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hint="eastAsia" w:ascii="宋体" w:hAnsi="宋体" w:cs="宋体"/>
          <w:color w:val="000000" w:themeColor="text1"/>
          <w:sz w:val="44"/>
          <w:szCs w:val="44"/>
          <w14:textFill>
            <w14:solidFill>
              <w14:schemeClr w14:val="tx1"/>
            </w14:solidFill>
          </w14:textFill>
        </w:rPr>
      </w:pPr>
      <w:r>
        <w:rPr>
          <w:rFonts w:hint="eastAsia" w:ascii="宋体" w:hAnsi="宋体" w:cs="宋体"/>
          <w:sz w:val="44"/>
          <w:szCs w:val="44"/>
        </w:rPr>
        <w:t>杭州市丁桥医</w:t>
      </w:r>
      <w:r>
        <w:rPr>
          <w:rFonts w:hint="eastAsia" w:ascii="宋体" w:hAnsi="宋体" w:cs="宋体"/>
          <w:color w:val="000000" w:themeColor="text1"/>
          <w:sz w:val="44"/>
          <w:szCs w:val="44"/>
          <w14:textFill>
            <w14:solidFill>
              <w14:schemeClr w14:val="tx1"/>
            </w14:solidFill>
          </w14:textFill>
        </w:rPr>
        <w:t>院手术室二期防护及净化系统</w:t>
      </w:r>
    </w:p>
    <w:p>
      <w:pPr>
        <w:adjustRightInd/>
        <w:spacing w:line="360" w:lineRule="auto"/>
        <w:jc w:val="center"/>
        <w:rPr>
          <w:rFonts w:ascii="宋体" w:hAnsi="宋体" w:cs="宋体"/>
          <w:color w:val="000000" w:themeColor="text1"/>
          <w:sz w:val="44"/>
          <w:szCs w:val="44"/>
          <w14:textFill>
            <w14:solidFill>
              <w14:schemeClr w14:val="tx1"/>
            </w14:solidFill>
          </w14:textFill>
        </w:rPr>
      </w:pPr>
      <w:r>
        <w:rPr>
          <w:rFonts w:hint="eastAsia" w:ascii="宋体" w:hAnsi="宋体" w:cs="宋体"/>
          <w:color w:val="000000" w:themeColor="text1"/>
          <w:sz w:val="44"/>
          <w:szCs w:val="44"/>
          <w14:textFill>
            <w14:solidFill>
              <w14:schemeClr w14:val="tx1"/>
            </w14:solidFill>
          </w14:textFill>
        </w:rPr>
        <w:t>招标文件</w:t>
      </w:r>
    </w:p>
    <w:p>
      <w:pPr>
        <w:adjustRightInd/>
        <w:spacing w:line="360" w:lineRule="auto"/>
        <w:jc w:val="center"/>
        <w:rPr>
          <w:rFonts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 xml:space="preserve"> （电子招投标）</w:t>
      </w:r>
    </w:p>
    <w:p>
      <w:pPr>
        <w:snapToGrid w:val="0"/>
        <w:spacing w:line="360" w:lineRule="auto"/>
        <w:jc w:val="center"/>
        <w:rPr>
          <w:rFonts w:hint="eastAsia" w:ascii="宋体" w:hAnsi="宋体" w:eastAsia="宋体" w:cs="宋体"/>
          <w:color w:val="000000" w:themeColor="text1"/>
          <w:sz w:val="30"/>
          <w:szCs w:val="30"/>
          <w:lang w:eastAsia="zh-CN"/>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编号:</w:t>
      </w:r>
      <w:r>
        <w:rPr>
          <w:rFonts w:hint="eastAsia" w:ascii="宋体" w:hAnsi="宋体" w:cs="宋体"/>
          <w:color w:val="000000" w:themeColor="text1"/>
          <w:sz w:val="30"/>
          <w:szCs w:val="30"/>
          <w:lang w:eastAsia="zh-CN"/>
          <w14:textFill>
            <w14:solidFill>
              <w14:schemeClr w14:val="tx1"/>
            </w14:solidFill>
          </w14:textFill>
        </w:rPr>
        <w:t>HZGX202304-001</w:t>
      </w:r>
    </w:p>
    <w:p>
      <w:pPr>
        <w:adjustRightInd/>
        <w:spacing w:line="360" w:lineRule="auto"/>
        <w:rPr>
          <w:rFonts w:ascii="宋体" w:hAnsi="宋体" w:cs="宋体"/>
          <w:color w:val="000000" w:themeColor="text1"/>
          <w:sz w:val="28"/>
          <w:szCs w:val="20"/>
          <w14:textFill>
            <w14:solidFill>
              <w14:schemeClr w14:val="tx1"/>
            </w14:solidFill>
          </w14:textFill>
        </w:rPr>
      </w:pPr>
    </w:p>
    <w:p>
      <w:pPr>
        <w:spacing w:line="360" w:lineRule="auto"/>
        <w:jc w:val="center"/>
        <w:rPr>
          <w:rFonts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 xml:space="preserve"> </w:t>
      </w:r>
    </w:p>
    <w:p>
      <w:pPr>
        <w:spacing w:line="360" w:lineRule="auto"/>
        <w:jc w:val="center"/>
        <w:rPr>
          <w:rFonts w:ascii="宋体" w:hAnsi="宋体" w:cs="宋体"/>
          <w:b/>
          <w:color w:val="000000" w:themeColor="text1"/>
          <w:sz w:val="44"/>
          <w:szCs w:val="44"/>
          <w14:textFill>
            <w14:solidFill>
              <w14:schemeClr w14:val="tx1"/>
            </w14:solidFill>
          </w14:textFill>
        </w:rPr>
      </w:pPr>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jc w:val="cente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杭州市丁桥医院</w:t>
      </w:r>
    </w:p>
    <w:p>
      <w:pPr>
        <w:spacing w:line="360" w:lineRule="auto"/>
        <w:jc w:val="center"/>
        <w:rPr>
          <w:rFonts w:ascii="宋体" w:hAnsi="宋体" w:cs="宋体"/>
          <w:bCs/>
          <w:color w:val="000000" w:themeColor="text1"/>
          <w:sz w:val="32"/>
          <w:szCs w:val="32"/>
          <w14:textFill>
            <w14:solidFill>
              <w14:schemeClr w14:val="tx1"/>
            </w14:solidFill>
          </w14:textFill>
        </w:rPr>
      </w:pPr>
      <w:r>
        <w:rPr>
          <w:rFonts w:hint="eastAsia" w:ascii="宋体" w:hAnsi="宋体" w:cs="宋体"/>
          <w:color w:val="000000" w:themeColor="text1"/>
          <w:sz w:val="32"/>
          <w:szCs w:val="32"/>
          <w:lang w:val="en-US" w:eastAsia="zh-CN"/>
          <w14:textFill>
            <w14:solidFill>
              <w14:schemeClr w14:val="tx1"/>
            </w14:solidFill>
          </w14:textFill>
        </w:rPr>
        <w:t>杭州广厦建筑咨询有限公司</w:t>
      </w:r>
    </w:p>
    <w:p>
      <w:pPr>
        <w:snapToGrid w:val="0"/>
        <w:spacing w:line="360" w:lineRule="auto"/>
        <w:jc w:val="center"/>
        <w:rPr>
          <w:rFonts w:ascii="宋体" w:hAnsi="宋体" w:cs="宋体"/>
          <w:bCs/>
          <w:color w:val="000000" w:themeColor="text1"/>
          <w:sz w:val="32"/>
          <w:szCs w:val="32"/>
          <w14:textFill>
            <w14:solidFill>
              <w14:schemeClr w14:val="tx1"/>
            </w14:solidFill>
          </w14:textFill>
        </w:rPr>
      </w:pPr>
      <w:r>
        <w:rPr>
          <w:rFonts w:hint="eastAsia" w:ascii="宋体" w:hAnsi="宋体" w:cs="宋体"/>
          <w:bCs/>
          <w:color w:val="000000" w:themeColor="text1"/>
          <w:sz w:val="32"/>
          <w:szCs w:val="32"/>
          <w14:textFill>
            <w14:solidFill>
              <w14:schemeClr w14:val="tx1"/>
            </w14:solidFill>
          </w14:textFill>
        </w:rPr>
        <w:t>二〇二</w:t>
      </w:r>
      <w:r>
        <w:rPr>
          <w:rFonts w:hint="eastAsia" w:ascii="宋体" w:hAnsi="宋体" w:cs="宋体"/>
          <w:bCs/>
          <w:color w:val="000000" w:themeColor="text1"/>
          <w:sz w:val="32"/>
          <w:szCs w:val="32"/>
          <w:lang w:val="en-US" w:eastAsia="zh-CN"/>
          <w14:textFill>
            <w14:solidFill>
              <w14:schemeClr w14:val="tx1"/>
            </w14:solidFill>
          </w14:textFill>
        </w:rPr>
        <w:t>三</w:t>
      </w:r>
      <w:r>
        <w:rPr>
          <w:rFonts w:hint="eastAsia" w:ascii="宋体" w:hAnsi="宋体" w:cs="宋体"/>
          <w:bCs/>
          <w:color w:val="000000" w:themeColor="text1"/>
          <w:sz w:val="32"/>
          <w:szCs w:val="32"/>
          <w14:textFill>
            <w14:solidFill>
              <w14:schemeClr w14:val="tx1"/>
            </w14:solidFill>
          </w14:textFill>
        </w:rPr>
        <w:t>年</w:t>
      </w:r>
      <w:r>
        <w:rPr>
          <w:rFonts w:hint="eastAsia" w:ascii="宋体" w:hAnsi="宋体" w:cs="宋体"/>
          <w:bCs/>
          <w:color w:val="000000" w:themeColor="text1"/>
          <w:sz w:val="32"/>
          <w:szCs w:val="32"/>
          <w:lang w:val="en-US" w:eastAsia="zh-CN"/>
          <w14:textFill>
            <w14:solidFill>
              <w14:schemeClr w14:val="tx1"/>
            </w14:solidFill>
          </w14:textFill>
        </w:rPr>
        <w:t>四</w:t>
      </w:r>
      <w:r>
        <w:rPr>
          <w:rFonts w:hint="eastAsia" w:ascii="宋体" w:hAnsi="宋体" w:cs="宋体"/>
          <w:bCs/>
          <w:color w:val="000000" w:themeColor="text1"/>
          <w:sz w:val="32"/>
          <w:szCs w:val="32"/>
          <w14:textFill>
            <w14:solidFill>
              <w14:schemeClr w14:val="tx1"/>
            </w14:solidFill>
          </w14:textFill>
        </w:rPr>
        <w:t>月</w:t>
      </w:r>
      <w:r>
        <w:rPr>
          <w:rFonts w:hint="eastAsia" w:ascii="宋体" w:hAnsi="宋体" w:cs="宋体"/>
          <w:bCs/>
          <w:color w:val="000000" w:themeColor="text1"/>
          <w:sz w:val="32"/>
          <w:szCs w:val="32"/>
          <w:lang w:val="en-US" w:eastAsia="zh-CN"/>
          <w14:textFill>
            <w14:solidFill>
              <w14:schemeClr w14:val="tx1"/>
            </w14:solidFill>
          </w14:textFill>
        </w:rPr>
        <w:t>十一</w:t>
      </w:r>
      <w:r>
        <w:rPr>
          <w:rFonts w:hint="eastAsia" w:ascii="宋体" w:hAnsi="宋体" w:cs="宋体"/>
          <w:bCs/>
          <w:color w:val="000000" w:themeColor="text1"/>
          <w:sz w:val="32"/>
          <w:szCs w:val="32"/>
          <w14:textFill>
            <w14:solidFill>
              <w14:schemeClr w14:val="tx1"/>
            </w14:solidFill>
          </w14:textFill>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649545"/>
      <w:bookmarkEnd w:id="4"/>
      <w:bookmarkStart w:id="5" w:name="_Hlt74707423"/>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000000" w:themeColor="text1"/>
          <w:sz w:val="24"/>
          <w:u w:val="single"/>
          <w14:textFill>
            <w14:solidFill>
              <w14:schemeClr w14:val="tx1"/>
            </w14:solidFill>
          </w14:textFill>
        </w:rPr>
      </w:pPr>
      <w:r>
        <w:rPr>
          <w:rFonts w:hint="eastAsia" w:cs="仿宋_GB2312" w:asciiTheme="minorEastAsia" w:hAnsiTheme="minorEastAsia" w:eastAsiaTheme="minorEastAsia"/>
          <w:color w:val="000000" w:themeColor="text1"/>
          <w:sz w:val="24"/>
          <w:u w:val="single"/>
          <w14:textFill>
            <w14:solidFill>
              <w14:schemeClr w14:val="tx1"/>
            </w14:solidFill>
          </w14:textFill>
        </w:rPr>
        <w:t>杭州市丁桥医院手术室二期防护及净化系统</w:t>
      </w:r>
      <w:r>
        <w:rPr>
          <w:rFonts w:hint="eastAsia" w:asciiTheme="minorEastAsia" w:hAnsiTheme="minorEastAsia" w:eastAsiaTheme="minorEastAsia"/>
          <w:color w:val="000000" w:themeColor="text1"/>
          <w:sz w:val="24"/>
          <w14:textFill>
            <w14:solidFill>
              <w14:schemeClr w14:val="tx1"/>
            </w14:solidFill>
          </w14:textFill>
        </w:rPr>
        <w:t>招标项目的潜在投标人应在政采云平台（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"https://www.zcygov.cn/）获取（下载）招标文件，并于202%20年%20月%20日%20点%20分00秒" </w:instrText>
      </w:r>
      <w:r>
        <w:rPr>
          <w:color w:val="000000" w:themeColor="text1"/>
          <w14:textFill>
            <w14:solidFill>
              <w14:schemeClr w14:val="tx1"/>
            </w14:solidFill>
          </w14:textFill>
        </w:rPr>
        <w:fldChar w:fldCharType="separate"/>
      </w:r>
      <w:r>
        <w:rPr>
          <w:rStyle w:val="76"/>
          <w:rFonts w:cs="Times New Roman" w:asciiTheme="minorEastAsia" w:hAnsiTheme="minorEastAsia" w:eastAsiaTheme="minorEastAsia"/>
          <w:snapToGrid/>
          <w:color w:val="000000" w:themeColor="text1"/>
          <w:kern w:val="2"/>
          <w:sz w:val="24"/>
          <w:szCs w:val="24"/>
          <w14:textFill>
            <w14:solidFill>
              <w14:schemeClr w14:val="tx1"/>
            </w14:solidFill>
          </w14:textFill>
        </w:rPr>
        <w:t>https://www.zcygov.cn/）获取（下载）招标文件，并于</w:t>
      </w:r>
      <w:r>
        <w:rPr>
          <w:rStyle w:val="76"/>
          <w:rFonts w:hint="eastAsia" w:cs="Times New Roman" w:asciiTheme="minorEastAsia" w:hAnsiTheme="minorEastAsia" w:eastAsiaTheme="minorEastAsia"/>
          <w:snapToGrid/>
          <w:color w:val="000000" w:themeColor="text1"/>
          <w:kern w:val="2"/>
          <w:sz w:val="24"/>
          <w:szCs w:val="24"/>
          <w14:textFill>
            <w14:solidFill>
              <w14:schemeClr w14:val="tx1"/>
            </w14:solidFill>
          </w14:textFill>
        </w:rPr>
        <w:t>202</w:t>
      </w:r>
      <w:r>
        <w:rPr>
          <w:rStyle w:val="76"/>
          <w:rFonts w:hint="eastAsia" w:cs="Times New Roman" w:asciiTheme="minorEastAsia" w:hAnsiTheme="minorEastAsia" w:eastAsiaTheme="minorEastAsia"/>
          <w:snapToGrid/>
          <w:color w:val="000000" w:themeColor="text1"/>
          <w:kern w:val="2"/>
          <w:sz w:val="24"/>
          <w:szCs w:val="24"/>
          <w:lang w:val="en-US" w:eastAsia="zh-CN"/>
          <w14:textFill>
            <w14:solidFill>
              <w14:schemeClr w14:val="tx1"/>
            </w14:solidFill>
          </w14:textFill>
        </w:rPr>
        <w:t>3</w:t>
      </w:r>
      <w:r>
        <w:rPr>
          <w:rStyle w:val="76"/>
          <w:rFonts w:cs="Times New Roman" w:asciiTheme="minorEastAsia" w:hAnsiTheme="minorEastAsia" w:eastAsiaTheme="minorEastAsia"/>
          <w:snapToGrid/>
          <w:color w:val="000000" w:themeColor="text1"/>
          <w:kern w:val="2"/>
          <w:sz w:val="24"/>
          <w:szCs w:val="24"/>
          <w14:textFill>
            <w14:solidFill>
              <w14:schemeClr w14:val="tx1"/>
            </w14:solidFill>
          </w14:textFill>
        </w:rPr>
        <w:t>年</w:t>
      </w:r>
      <w:r>
        <w:rPr>
          <w:rStyle w:val="76"/>
          <w:rFonts w:hint="eastAsia" w:cs="Times New Roman" w:asciiTheme="minorEastAsia" w:hAnsiTheme="minorEastAsia" w:eastAsiaTheme="minorEastAsia"/>
          <w:snapToGrid/>
          <w:color w:val="000000" w:themeColor="text1"/>
          <w:kern w:val="2"/>
          <w:sz w:val="24"/>
          <w:szCs w:val="24"/>
          <w:lang w:val="en-US" w:eastAsia="zh-CN"/>
          <w14:textFill>
            <w14:solidFill>
              <w14:schemeClr w14:val="tx1"/>
            </w14:solidFill>
          </w14:textFill>
        </w:rPr>
        <w:t>05</w:t>
      </w:r>
      <w:r>
        <w:rPr>
          <w:rStyle w:val="76"/>
          <w:rFonts w:hint="eastAsia" w:cs="Times New Roman" w:asciiTheme="minorEastAsia" w:hAnsiTheme="minorEastAsia" w:eastAsiaTheme="minorEastAsia"/>
          <w:snapToGrid/>
          <w:color w:val="000000" w:themeColor="text1"/>
          <w:kern w:val="2"/>
          <w:sz w:val="24"/>
          <w:szCs w:val="24"/>
          <w14:textFill>
            <w14:solidFill>
              <w14:schemeClr w14:val="tx1"/>
            </w14:solidFill>
          </w14:textFill>
        </w:rPr>
        <w:t>月</w:t>
      </w:r>
      <w:r>
        <w:rPr>
          <w:rStyle w:val="76"/>
          <w:rFonts w:hint="eastAsia" w:cs="Times New Roman" w:asciiTheme="minorEastAsia" w:hAnsiTheme="minorEastAsia" w:eastAsiaTheme="minorEastAsia"/>
          <w:snapToGrid/>
          <w:color w:val="000000" w:themeColor="text1"/>
          <w:kern w:val="2"/>
          <w:sz w:val="24"/>
          <w:szCs w:val="24"/>
          <w:lang w:val="en-US" w:eastAsia="zh-CN"/>
          <w14:textFill>
            <w14:solidFill>
              <w14:schemeClr w14:val="tx1"/>
            </w14:solidFill>
          </w14:textFill>
        </w:rPr>
        <w:t>04</w:t>
      </w:r>
      <w:r>
        <w:rPr>
          <w:rStyle w:val="76"/>
          <w:rFonts w:hint="eastAsia" w:cs="Times New Roman" w:asciiTheme="minorEastAsia" w:hAnsiTheme="minorEastAsia" w:eastAsiaTheme="minorEastAsia"/>
          <w:snapToGrid/>
          <w:color w:val="000000" w:themeColor="text1"/>
          <w:kern w:val="2"/>
          <w:sz w:val="24"/>
          <w:szCs w:val="24"/>
          <w14:textFill>
            <w14:solidFill>
              <w14:schemeClr w14:val="tx1"/>
            </w14:solidFill>
          </w14:textFill>
        </w:rPr>
        <w:t>日</w:t>
      </w:r>
      <w:r>
        <w:rPr>
          <w:rStyle w:val="76"/>
          <w:rFonts w:hint="eastAsia" w:cs="Times New Roman" w:asciiTheme="minorEastAsia" w:hAnsiTheme="minorEastAsia" w:eastAsiaTheme="minorEastAsia"/>
          <w:snapToGrid/>
          <w:color w:val="000000" w:themeColor="text1"/>
          <w:kern w:val="2"/>
          <w:sz w:val="24"/>
          <w:szCs w:val="24"/>
          <w:lang w:val="en-US" w:eastAsia="zh-CN"/>
          <w14:textFill>
            <w14:solidFill>
              <w14:schemeClr w14:val="tx1"/>
            </w14:solidFill>
          </w14:textFill>
        </w:rPr>
        <w:t>14</w:t>
      </w:r>
      <w:r>
        <w:rPr>
          <w:rStyle w:val="76"/>
          <w:rFonts w:hint="eastAsia" w:cs="Times New Roman" w:asciiTheme="minorEastAsia" w:hAnsiTheme="minorEastAsia" w:eastAsiaTheme="minorEastAsia"/>
          <w:snapToGrid/>
          <w:color w:val="000000" w:themeColor="text1"/>
          <w:kern w:val="2"/>
          <w:sz w:val="24"/>
          <w:szCs w:val="24"/>
          <w14:textFill>
            <w14:solidFill>
              <w14:schemeClr w14:val="tx1"/>
            </w14:solidFill>
          </w14:textFill>
        </w:rPr>
        <w:t xml:space="preserve">点 </w:t>
      </w:r>
      <w:r>
        <w:rPr>
          <w:rStyle w:val="76"/>
          <w:rFonts w:hint="eastAsia" w:cs="Times New Roman" w:asciiTheme="minorEastAsia" w:hAnsiTheme="minorEastAsia" w:eastAsiaTheme="minorEastAsia"/>
          <w:snapToGrid/>
          <w:color w:val="000000" w:themeColor="text1"/>
          <w:kern w:val="2"/>
          <w:sz w:val="24"/>
          <w:szCs w:val="24"/>
          <w:lang w:val="en-US" w:eastAsia="zh-CN"/>
          <w14:textFill>
            <w14:solidFill>
              <w14:schemeClr w14:val="tx1"/>
            </w14:solidFill>
          </w14:textFill>
        </w:rPr>
        <w:t>00</w:t>
      </w:r>
      <w:r>
        <w:rPr>
          <w:rStyle w:val="76"/>
          <w:rFonts w:hint="eastAsia" w:cs="Times New Roman" w:asciiTheme="minorEastAsia" w:hAnsiTheme="minorEastAsia" w:eastAsiaTheme="minorEastAsia"/>
          <w:snapToGrid/>
          <w:color w:val="000000" w:themeColor="text1"/>
          <w:kern w:val="2"/>
          <w:sz w:val="24"/>
          <w:szCs w:val="24"/>
          <w14:textFill>
            <w14:solidFill>
              <w14:schemeClr w14:val="tx1"/>
            </w14:solidFill>
          </w14:textFill>
        </w:rPr>
        <w:t>分</w:t>
      </w:r>
      <w:r>
        <w:rPr>
          <w:rStyle w:val="76"/>
          <w:rFonts w:hint="eastAsia" w:cs="Times New Roman" w:asciiTheme="minorEastAsia" w:hAnsiTheme="minorEastAsia" w:eastAsiaTheme="minorEastAsia"/>
          <w:bCs/>
          <w:snapToGrid/>
          <w:color w:val="000000" w:themeColor="text1"/>
          <w:kern w:val="2"/>
          <w:sz w:val="24"/>
          <w:szCs w:val="24"/>
          <w14:textFill>
            <w14:solidFill>
              <w14:schemeClr w14:val="tx1"/>
            </w14:solidFill>
          </w14:textFill>
        </w:rPr>
        <w:t>00秒</w:t>
      </w:r>
      <w:r>
        <w:rPr>
          <w:rStyle w:val="76"/>
          <w:rFonts w:hint="eastAsia" w:cs="Times New Roman" w:asciiTheme="minorEastAsia" w:hAnsiTheme="minorEastAsia" w:eastAsiaTheme="minorEastAsia"/>
          <w:bCs/>
          <w:snapToGrid/>
          <w:color w:val="000000" w:themeColor="text1"/>
          <w:kern w:val="2"/>
          <w:sz w:val="24"/>
          <w:szCs w:val="24"/>
          <w14:textFill>
            <w14:solidFill>
              <w14:schemeClr w14:val="tx1"/>
            </w14:solidFill>
          </w14:textFill>
        </w:rPr>
        <w:fldChar w:fldCharType="end"/>
      </w:r>
      <w:r>
        <w:rPr>
          <w:rFonts w:hint="eastAsia" w:asciiTheme="minorEastAsia" w:hAnsiTheme="minorEastAsia" w:eastAsiaTheme="minorEastAsia"/>
          <w:bCs/>
          <w:color w:val="000000" w:themeColor="text1"/>
          <w:sz w:val="24"/>
          <w14:textFill>
            <w14:solidFill>
              <w14:schemeClr w14:val="tx1"/>
            </w14:solidFill>
          </w14:textFill>
        </w:rPr>
        <w:t>（北京时间）前</w:t>
      </w:r>
      <w:r>
        <w:rPr>
          <w:rFonts w:hint="eastAsia" w:asciiTheme="minorEastAsia" w:hAnsiTheme="minorEastAsia" w:eastAsiaTheme="minorEastAsia"/>
          <w:color w:val="000000" w:themeColor="text1"/>
          <w:sz w:val="24"/>
          <w14:textFill>
            <w14:solidFill>
              <w14:schemeClr w14:val="tx1"/>
            </w14:solidFill>
          </w14:textFill>
        </w:rPr>
        <w:t>递交（上传）投标文件。</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一、项目基本情况                                            </w:t>
      </w:r>
    </w:p>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项目编号：</w:t>
      </w:r>
      <w:r>
        <w:rPr>
          <w:rFonts w:hint="eastAsia" w:ascii="宋体" w:hAnsi="宋体" w:cs="宋体"/>
          <w:color w:val="000000" w:themeColor="text1"/>
          <w:sz w:val="24"/>
          <w:lang w:eastAsia="zh-CN"/>
          <w14:textFill>
            <w14:solidFill>
              <w14:schemeClr w14:val="tx1"/>
            </w14:solidFill>
          </w14:textFill>
        </w:rPr>
        <w:t>HZGX202304-001</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xml:space="preserve"> 项目名称：</w:t>
      </w:r>
      <w:r>
        <w:rPr>
          <w:rFonts w:hint="eastAsia" w:ascii="宋体" w:hAnsi="宋体" w:cs="宋体"/>
          <w:color w:val="000000" w:themeColor="text1"/>
          <w:sz w:val="24"/>
          <w14:textFill>
            <w14:solidFill>
              <w14:schemeClr w14:val="tx1"/>
            </w14:solidFill>
          </w14:textFill>
        </w:rPr>
        <w:t>杭州市丁桥医院手术室二期防护及净化系统</w:t>
      </w:r>
    </w:p>
    <w:p>
      <w:pPr>
        <w:spacing w:line="360" w:lineRule="auto"/>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xml:space="preserve"> 预算金额（元）：</w:t>
      </w:r>
      <w:r>
        <w:rPr>
          <w:rFonts w:hint="eastAsia" w:ascii="宋体" w:hAnsi="宋体" w:cs="宋体"/>
          <w:b/>
          <w:color w:val="000000" w:themeColor="text1"/>
          <w:sz w:val="24"/>
          <w:lang w:val="en-US" w:eastAsia="zh-CN"/>
          <w14:textFill>
            <w14:solidFill>
              <w14:schemeClr w14:val="tx1"/>
            </w14:solidFill>
          </w14:textFill>
        </w:rPr>
        <w:t>6155000.00</w:t>
      </w:r>
    </w:p>
    <w:p>
      <w:pPr>
        <w:spacing w:line="360" w:lineRule="auto"/>
        <w:ind w:firstLine="480"/>
        <w:rPr>
          <w:rFonts w:hint="default" w:ascii="宋体" w:hAnsi="宋体" w:cs="宋体"/>
          <w:b/>
          <w:color w:val="000000" w:themeColor="text1"/>
          <w:sz w:val="24"/>
          <w:lang w:val="en-US" w:eastAsia="zh-CN"/>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最高限价（元）：</w:t>
      </w:r>
      <w:r>
        <w:rPr>
          <w:rFonts w:hint="eastAsia" w:ascii="宋体" w:hAnsi="宋体" w:cs="宋体"/>
          <w:b/>
          <w:color w:val="000000" w:themeColor="text1"/>
          <w:sz w:val="24"/>
          <w:lang w:val="en-US" w:eastAsia="zh-CN"/>
          <w14:textFill>
            <w14:solidFill>
              <w14:schemeClr w14:val="tx1"/>
            </w14:solidFill>
          </w14:textFill>
        </w:rPr>
        <w:t>5800000.00</w:t>
      </w:r>
    </w:p>
    <w:p>
      <w:pPr>
        <w:pStyle w:val="16"/>
        <w:spacing w:line="360" w:lineRule="auto"/>
        <w:ind w:left="0" w:leftChars="0" w:firstLine="482" w:firstLineChars="200"/>
        <w:rPr>
          <w:rFonts w:hAnsi="宋体" w:cs="宋体"/>
          <w:bCs/>
          <w:snapToGrid/>
          <w:color w:val="000000" w:themeColor="text1"/>
          <w:kern w:val="2"/>
          <w:sz w:val="24"/>
          <w:szCs w:val="24"/>
          <w14:textFill>
            <w14:solidFill>
              <w14:schemeClr w14:val="tx1"/>
            </w14:solidFill>
          </w14:textFill>
        </w:rPr>
      </w:pPr>
      <w:r>
        <w:rPr>
          <w:rFonts w:hint="eastAsia" w:hAnsi="宋体" w:cs="宋体"/>
          <w:b/>
          <w:color w:val="000000" w:themeColor="text1"/>
          <w:sz w:val="24"/>
          <w14:textFill>
            <w14:solidFill>
              <w14:schemeClr w14:val="tx1"/>
            </w14:solidFill>
          </w14:textFill>
        </w:rPr>
        <w:t>采购需求：</w:t>
      </w:r>
      <w:r>
        <w:rPr>
          <w:rFonts w:hint="eastAsia" w:ascii="宋体" w:hAnsi="宋体" w:cs="宋体"/>
          <w:color w:val="000000" w:themeColor="text1"/>
          <w:sz w:val="24"/>
          <w14:textFill>
            <w14:solidFill>
              <w14:schemeClr w14:val="tx1"/>
            </w14:solidFill>
          </w14:textFill>
        </w:rPr>
        <w:t>杭州市丁桥医院手术室二期防护及净化系统</w:t>
      </w:r>
      <w:r>
        <w:rPr>
          <w:rFonts w:hint="eastAsia" w:hAnsi="宋体" w:cs="宋体"/>
          <w:color w:val="000000" w:themeColor="text1"/>
          <w:sz w:val="24"/>
          <w:lang w:eastAsia="zh-CN"/>
          <w14:textFill>
            <w14:solidFill>
              <w14:schemeClr w14:val="tx1"/>
            </w14:solidFill>
          </w14:textFill>
        </w:rPr>
        <w:t>。</w:t>
      </w:r>
      <w:r>
        <w:rPr>
          <w:rFonts w:hint="eastAsia" w:hAnsi="宋体" w:cs="宋体"/>
          <w:bCs/>
          <w:snapToGrid/>
          <w:color w:val="000000" w:themeColor="text1"/>
          <w:kern w:val="2"/>
          <w:sz w:val="24"/>
          <w:szCs w:val="24"/>
          <w14:textFill>
            <w14:solidFill>
              <w14:schemeClr w14:val="tx1"/>
            </w14:solidFill>
          </w14:textFill>
        </w:rPr>
        <w:t>主要内容：杭州市丁桥医院手术室二期防护及净化系统，包含杭州市丁桥医院两间手术室及附属用房净化及防护系统。</w:t>
      </w:r>
      <w:r>
        <w:rPr>
          <w:rFonts w:hint="eastAsia" w:asciiTheme="minorEastAsia" w:hAnsiTheme="minorEastAsia" w:eastAsiaTheme="minorEastAsia"/>
          <w:snapToGrid/>
          <w:color w:val="000000" w:themeColor="text1"/>
          <w:kern w:val="2"/>
          <w:sz w:val="24"/>
          <w:szCs w:val="24"/>
          <w14:textFill>
            <w14:solidFill>
              <w14:schemeClr w14:val="tx1"/>
            </w14:solidFill>
          </w14:textFill>
        </w:rPr>
        <w:t>具体以招标文件第三部分采购需求为准，供应商可点击本公告下方“浏览采购文件”查看采购需求。</w:t>
      </w:r>
    </w:p>
    <w:p>
      <w:pPr>
        <w:pStyle w:val="128"/>
        <w:ind w:firstLine="482"/>
        <w:outlineLvl w:val="2"/>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b/>
          <w:color w:val="000000" w:themeColor="text1"/>
          <w14:textFill>
            <w14:solidFill>
              <w14:schemeClr w14:val="tx1"/>
            </w14:solidFill>
          </w14:textFill>
        </w:rPr>
        <w:t>合同履约期限：</w:t>
      </w:r>
      <w:r>
        <w:rPr>
          <w:rFonts w:hint="eastAsia" w:ascii="宋体" w:hAnsi="宋体" w:cs="宋体"/>
          <w:b w:val="0"/>
          <w:bCs/>
          <w:color w:val="000000" w:themeColor="text1"/>
          <w14:textFill>
            <w14:solidFill>
              <w14:schemeClr w14:val="tx1"/>
            </w14:solidFill>
          </w14:textFill>
        </w:rPr>
        <w:t>通知进场之日起【</w:t>
      </w:r>
      <w:r>
        <w:rPr>
          <w:rFonts w:hint="eastAsia" w:ascii="宋体" w:hAnsi="宋体" w:cs="宋体"/>
          <w:b w:val="0"/>
          <w:bCs/>
          <w:color w:val="000000" w:themeColor="text1"/>
          <w:lang w:val="en-US" w:eastAsia="zh-CN"/>
          <w14:textFill>
            <w14:solidFill>
              <w14:schemeClr w14:val="tx1"/>
            </w14:solidFill>
          </w14:textFill>
        </w:rPr>
        <w:t>100</w:t>
      </w:r>
      <w:r>
        <w:rPr>
          <w:rFonts w:hint="eastAsia" w:ascii="宋体" w:hAnsi="宋体" w:cs="宋体"/>
          <w:b w:val="0"/>
          <w:bCs/>
          <w:color w:val="000000" w:themeColor="text1"/>
          <w14:textFill>
            <w14:solidFill>
              <w14:schemeClr w14:val="tx1"/>
            </w14:solidFill>
          </w14:textFill>
        </w:rPr>
        <w:t>】日内完成本项目并通过项目整体履约验收</w:t>
      </w:r>
      <w:r>
        <w:rPr>
          <w:rFonts w:hint="eastAsia" w:ascii="宋体" w:hAnsi="宋体" w:cs="宋体"/>
          <w:b w:val="0"/>
          <w:bCs/>
          <w:color w:val="000000" w:themeColor="text1"/>
          <w:lang w:eastAsia="zh-CN"/>
          <w14:textFill>
            <w14:solidFill>
              <w14:schemeClr w14:val="tx1"/>
            </w14:solidFill>
          </w14:textFill>
        </w:rPr>
        <w:t>。</w:t>
      </w:r>
    </w:p>
    <w:p>
      <w:pPr>
        <w:pStyle w:val="16"/>
        <w:spacing w:line="360" w:lineRule="auto"/>
        <w:ind w:firstLine="480"/>
        <w:rPr>
          <w:rFonts w:hAnsi="宋体" w:cs="宋体"/>
          <w:color w:val="000000" w:themeColor="text1"/>
          <w:kern w:val="0"/>
          <w:sz w:val="24"/>
          <w14:textFill>
            <w14:solidFill>
              <w14:schemeClr w14:val="tx1"/>
            </w14:solidFill>
          </w14:textFill>
        </w:rPr>
      </w:pPr>
      <w:r>
        <w:rPr>
          <w:rFonts w:hint="eastAsia" w:hAnsi="宋体" w:cs="宋体"/>
          <w:b/>
          <w:color w:val="auto"/>
          <w:sz w:val="24"/>
        </w:rPr>
        <w:t>本项目接受联合体</w:t>
      </w:r>
      <w:r>
        <w:rPr>
          <w:rFonts w:hint="eastAsia" w:hAnsi="宋体" w:cs="宋体"/>
          <w:b/>
          <w:color w:val="000000" w:themeColor="text1"/>
          <w:sz w:val="24"/>
          <w14:textFill>
            <w14:solidFill>
              <w14:schemeClr w14:val="tx1"/>
            </w14:solidFill>
          </w14:textFill>
        </w:rPr>
        <w:t>投标：</w:t>
      </w:r>
      <w:sdt>
        <w:sdtPr>
          <w:rPr>
            <w:rFonts w:hint="eastAsia" w:hAnsi="宋体" w:cs="宋体"/>
            <w:color w:val="000000" w:themeColor="text1"/>
            <w:kern w:val="0"/>
            <w:sz w:val="24"/>
            <w14:textFill>
              <w14:solidFill>
                <w14:schemeClr w14:val="tx1"/>
              </w14:solidFill>
            </w14:textFill>
          </w:rPr>
          <w:id w:val="2035453831"/>
          <w14:checkbox>
            <w14:checked w14:val="1"/>
            <w14:checkedState w14:val="00FE" w14:font="Wingdings"/>
            <w14:uncheckedState w14:val="2610" w14:font="MS Gothic"/>
          </w14:checkbox>
        </w:sdtPr>
        <w:sdtEndPr>
          <w:rPr>
            <w:rFonts w:hint="eastAsia" w:hAnsi="宋体" w:cs="宋体"/>
            <w:color w:val="000000" w:themeColor="text1"/>
            <w:kern w:val="0"/>
            <w:sz w:val="24"/>
            <w14:textFill>
              <w14:solidFill>
                <w14:schemeClr w14:val="tx1"/>
              </w14:solidFill>
            </w14:textFill>
          </w:rPr>
        </w:sdtEndPr>
        <w:sdtContent>
          <w:r>
            <w:rPr>
              <w:rFonts w:hint="eastAsia" w:hAnsi="宋体" w:cs="宋体"/>
              <w:color w:val="000000" w:themeColor="text1"/>
              <w:kern w:val="0"/>
              <w:sz w:val="24"/>
              <w14:textFill>
                <w14:solidFill>
                  <w14:schemeClr w14:val="tx1"/>
                </w14:solidFill>
              </w14:textFill>
            </w:rPr>
            <w:sym w:font="Wingdings" w:char="F0FE"/>
          </w:r>
        </w:sdtContent>
      </w:sdt>
      <w:r>
        <w:rPr>
          <w:rFonts w:hint="eastAsia" w:hAnsi="宋体" w:cs="宋体"/>
          <w:b/>
          <w:color w:val="000000" w:themeColor="text1"/>
          <w:sz w:val="24"/>
          <w14:textFill>
            <w14:solidFill>
              <w14:schemeClr w14:val="tx1"/>
            </w14:solidFill>
          </w14:textFill>
        </w:rPr>
        <w:t>是</w:t>
      </w:r>
      <w:r>
        <w:rPr>
          <w:rFonts w:hint="eastAsia" w:hAnsi="宋体" w:cs="宋体"/>
          <w:b/>
          <w:snapToGrid/>
          <w:color w:val="000000" w:themeColor="text1"/>
          <w:kern w:val="2"/>
          <w:sz w:val="24"/>
          <w14:textFill>
            <w14:solidFill>
              <w14:schemeClr w14:val="tx1"/>
            </w14:solidFill>
          </w14:textFill>
        </w:rPr>
        <w:t>；</w:t>
      </w:r>
      <w:sdt>
        <w:sdtPr>
          <w:rPr>
            <w:rFonts w:hint="eastAsia" w:hAnsi="宋体" w:cs="宋体"/>
            <w:color w:val="000000" w:themeColor="text1"/>
            <w:kern w:val="0"/>
            <w:sz w:val="24"/>
            <w14:textFill>
              <w14:solidFill>
                <w14:schemeClr w14:val="tx1"/>
              </w14:solidFill>
            </w14:textFill>
          </w:rPr>
          <w:id w:val="-1765526721"/>
          <w14:checkbox>
            <w14:checked w14:val="0"/>
            <w14:checkedState w14:val="00FE" w14:font="Wingdings"/>
            <w14:uncheckedState w14:val="2610" w14:font="MS Gothic"/>
          </w14:checkbox>
        </w:sdtPr>
        <w:sdtEndPr>
          <w:rPr>
            <w:rFonts w:hint="eastAsia" w:hAnsi="宋体" w:cs="宋体"/>
            <w:color w:val="000000" w:themeColor="text1"/>
            <w:kern w:val="0"/>
            <w:sz w:val="24"/>
            <w14:textFill>
              <w14:solidFill>
                <w14:schemeClr w14:val="tx1"/>
              </w14:solidFill>
            </w14:textFill>
          </w:rPr>
        </w:sdtEndPr>
        <w:sdtContent>
          <w:r>
            <w:rPr>
              <w:rFonts w:hint="eastAsia" w:hAnsi="宋体" w:cs="宋体"/>
              <w:color w:val="000000" w:themeColor="text1"/>
              <w:kern w:val="0"/>
              <w:sz w:val="24"/>
              <w14:textFill>
                <w14:solidFill>
                  <w14:schemeClr w14:val="tx1"/>
                </w14:solidFill>
              </w14:textFill>
            </w:rPr>
            <w:t>☐</w:t>
          </w:r>
        </w:sdtContent>
      </w:sdt>
      <w:r>
        <w:rPr>
          <w:rFonts w:hint="eastAsia" w:hAnsi="宋体" w:cs="宋体"/>
          <w:b/>
          <w:color w:val="000000" w:themeColor="text1"/>
          <w:sz w:val="24"/>
          <w14:textFill>
            <w14:solidFill>
              <w14:schemeClr w14:val="tx1"/>
            </w14:solidFill>
          </w14:textFill>
        </w:rPr>
        <w:t>否</w:t>
      </w:r>
      <w:r>
        <w:rPr>
          <w:rFonts w:hint="eastAsia" w:hAnsi="宋体" w:cs="宋体"/>
          <w:color w:val="000000" w:themeColor="text1"/>
          <w:kern w:val="0"/>
          <w:sz w:val="24"/>
          <w14:textFill>
            <w14:solidFill>
              <w14:schemeClr w14:val="tx1"/>
            </w14:solidFill>
          </w14:textFill>
        </w:rPr>
        <w:t>。</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二、</w:t>
      </w:r>
      <w:bookmarkStart w:id="11" w:name="_Hlk101132948"/>
      <w:r>
        <w:rPr>
          <w:rFonts w:hint="eastAsia" w:ascii="宋体" w:hAnsi="宋体" w:cs="宋体"/>
          <w:b/>
          <w:color w:val="000000" w:themeColor="text1"/>
          <w:sz w:val="24"/>
          <w14:textFill>
            <w14:solidFill>
              <w14:schemeClr w14:val="tx1"/>
            </w14:solidFill>
          </w14:textFill>
        </w:rPr>
        <w:t>申请人的资格要求</w:t>
      </w:r>
      <w:bookmarkEnd w:id="11"/>
      <w:r>
        <w:rPr>
          <w:rFonts w:hint="eastAsia" w:ascii="宋体" w:hAnsi="宋体" w:cs="宋体"/>
          <w:b/>
          <w:color w:val="000000" w:themeColor="text1"/>
          <w:sz w:val="24"/>
          <w14:textFill>
            <w14:solidFill>
              <w14:schemeClr w14:val="tx1"/>
            </w14:solidFill>
          </w14:textFill>
        </w:rPr>
        <w:t>：</w:t>
      </w:r>
    </w:p>
    <w:p>
      <w:pPr>
        <w:spacing w:line="360" w:lineRule="auto"/>
        <w:ind w:firstLine="480"/>
        <w:rPr>
          <w:rFonts w:ascii="宋体" w:hAnsi="宋体" w:cs="宋体"/>
          <w:snapToGrid w:val="0"/>
          <w:color w:val="000000" w:themeColor="text1"/>
          <w:kern w:val="28"/>
          <w:sz w:val="24"/>
          <w:szCs w:val="20"/>
          <w14:textFill>
            <w14:solidFill>
              <w14:schemeClr w14:val="tx1"/>
            </w14:solidFill>
          </w14:textFill>
        </w:rPr>
      </w:pPr>
      <w:r>
        <w:rPr>
          <w:rFonts w:hint="eastAsia" w:ascii="宋体" w:hAnsi="宋体" w:cs="宋体"/>
          <w:snapToGrid w:val="0"/>
          <w:color w:val="000000" w:themeColor="text1"/>
          <w:kern w:val="28"/>
          <w:sz w:val="24"/>
          <w:szCs w:val="20"/>
          <w14:textFill>
            <w14:solidFill>
              <w14:schemeClr w14:val="tx1"/>
            </w14:solidFill>
          </w14:textFill>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000000" w:themeColor="text1"/>
          <w:kern w:val="28"/>
          <w:sz w:val="24"/>
          <w:szCs w:val="20"/>
          <w14:textFill>
            <w14:solidFill>
              <w14:schemeClr w14:val="tx1"/>
            </w14:solidFill>
          </w14:textFill>
        </w:rPr>
      </w:pPr>
      <w:r>
        <w:rPr>
          <w:rFonts w:hint="eastAsia" w:ascii="宋体" w:hAnsi="宋体" w:cs="宋体"/>
          <w:snapToGrid w:val="0"/>
          <w:color w:val="000000" w:themeColor="text1"/>
          <w:kern w:val="28"/>
          <w:sz w:val="24"/>
          <w:szCs w:val="20"/>
          <w14:textFill>
            <w14:solidFill>
              <w14:schemeClr w14:val="tx1"/>
            </w14:solidFill>
          </w14:textFill>
        </w:rPr>
        <w:t xml:space="preserve">    </w:t>
      </w:r>
      <w:r>
        <w:rPr>
          <w:rFonts w:ascii="宋体" w:hAnsi="宋体" w:cs="宋体"/>
          <w:snapToGrid w:val="0"/>
          <w:color w:val="000000" w:themeColor="text1"/>
          <w:kern w:val="28"/>
          <w:sz w:val="24"/>
          <w:szCs w:val="20"/>
          <w14:textFill>
            <w14:solidFill>
              <w14:schemeClr w14:val="tx1"/>
            </w14:solidFill>
          </w14:textFill>
        </w:rPr>
        <w:t>2</w:t>
      </w:r>
      <w:r>
        <w:rPr>
          <w:rFonts w:hint="eastAsia" w:ascii="宋体" w:hAnsi="宋体" w:cs="宋体"/>
          <w:snapToGrid w:val="0"/>
          <w:color w:val="000000" w:themeColor="text1"/>
          <w:kern w:val="28"/>
          <w:sz w:val="24"/>
          <w:szCs w:val="20"/>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ascii="宋体" w:hAnsi="宋体" w:cs="宋体"/>
          <w:snapToGrid w:val="0"/>
          <w:color w:val="000000" w:themeColor="text1"/>
          <w:kern w:val="28"/>
          <w:sz w:val="24"/>
          <w:szCs w:val="20"/>
          <w14:textFill>
            <w14:solidFill>
              <w14:schemeClr w14:val="tx1"/>
            </w14:solidFill>
          </w14:textFill>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000000" w:themeColor="text1"/>
          <w:kern w:val="28"/>
          <w:sz w:val="24"/>
          <w:szCs w:val="20"/>
          <w14:textFill>
            <w14:solidFill>
              <w14:schemeClr w14:val="tx1"/>
            </w14:solidFill>
          </w14:textFill>
        </w:rPr>
      </w:pPr>
      <w:r>
        <w:rPr>
          <w:rFonts w:ascii="宋体" w:hAnsi="宋体" w:cs="宋体"/>
          <w:snapToGrid w:val="0"/>
          <w:color w:val="000000" w:themeColor="text1"/>
          <w:kern w:val="28"/>
          <w:sz w:val="24"/>
          <w:szCs w:val="20"/>
          <w14:textFill>
            <w14:solidFill>
              <w14:schemeClr w14:val="tx1"/>
            </w14:solidFill>
          </w14:textFill>
        </w:rPr>
        <w:t>3</w:t>
      </w:r>
      <w:r>
        <w:rPr>
          <w:rFonts w:hint="eastAsia" w:ascii="宋体" w:hAnsi="宋体" w:cs="宋体"/>
          <w:snapToGrid w:val="0"/>
          <w:color w:val="000000" w:themeColor="text1"/>
          <w:kern w:val="28"/>
          <w:sz w:val="24"/>
          <w:szCs w:val="20"/>
          <w14:textFill>
            <w14:solidFill>
              <w14:schemeClr w14:val="tx1"/>
            </w14:solidFill>
          </w14:textFill>
        </w:rPr>
        <w:t>.落实政府采购政策需满足的资格要求：</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985607795"/>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bookmarkStart w:id="12" w:name="_Hlk101132524"/>
          <w:r>
            <w:rPr>
              <w:rFonts w:hint="eastAsia" w:ascii="Wingdings" w:hAnsi="Wingdings" w:eastAsia="宋体"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cs="宋体"/>
          <w:color w:val="000000" w:themeColor="text1"/>
          <w:sz w:val="24"/>
          <w14:textFill>
            <w14:solidFill>
              <w14:schemeClr w14:val="tx1"/>
            </w14:solidFill>
          </w14:textFill>
        </w:rPr>
        <w:t>要求以联合体形式参加，提供联合协议和中小企业声明函，联合协议中中小企业合同金额应当达到</w:t>
      </w:r>
      <w:r>
        <w:rPr>
          <w:rFonts w:hint="eastAsia" w:ascii="宋体" w:hAnsi="宋体" w:cs="宋体"/>
          <w:color w:val="000000" w:themeColor="text1"/>
          <w:sz w:val="24"/>
          <w:u w:val="single"/>
          <w:lang w:val="en-US" w:eastAsia="zh-CN"/>
          <w14:textFill>
            <w14:solidFill>
              <w14:schemeClr w14:val="tx1"/>
            </w14:solidFill>
          </w14:textFill>
        </w:rPr>
        <w:t>40</w:t>
      </w:r>
      <w:r>
        <w:rPr>
          <w:rFonts w:hint="eastAsia" w:ascii="宋体" w:hAnsi="宋体" w:cs="宋体"/>
          <w:color w:val="000000" w:themeColor="text1"/>
          <w:sz w:val="24"/>
          <w14:textFill>
            <w14:solidFill>
              <w14:schemeClr w14:val="tx1"/>
            </w14:solidFill>
          </w14:textFill>
        </w:rPr>
        <w:t>%，其中小微企业合同金额应当达到</w:t>
      </w:r>
      <w:r>
        <w:rPr>
          <w:rFonts w:hint="eastAsia" w:ascii="宋体" w:hAnsi="宋体" w:cs="宋体"/>
          <w:color w:val="000000" w:themeColor="text1"/>
          <w:sz w:val="24"/>
          <w:u w:val="single"/>
          <w:lang w:val="en-US" w:eastAsia="zh-CN"/>
          <w14:textFill>
            <w14:solidFill>
              <w14:schemeClr w14:val="tx1"/>
            </w14:solidFill>
          </w14:textFill>
        </w:rPr>
        <w:t>70</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pacing w:val="8"/>
          <w:kern w:val="0"/>
          <w:sz w:val="24"/>
          <w14:textFill>
            <w14:solidFill>
              <w14:schemeClr w14:val="tx1"/>
            </w14:solidFill>
          </w14:textFill>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00" w:themeColor="text1"/>
          <w:spacing w:val="8"/>
          <w:kern w:val="0"/>
          <w:sz w:val="24"/>
          <w:lang w:eastAsia="zh-CN"/>
          <w14:textFill>
            <w14:solidFill>
              <w14:schemeClr w14:val="tx1"/>
            </w14:solidFill>
          </w14:textFill>
        </w:rPr>
        <w:t>（</w:t>
      </w:r>
      <w:r>
        <w:rPr>
          <w:rFonts w:hint="eastAsia" w:ascii="宋体" w:hAnsi="宋体" w:cs="宋体"/>
          <w:color w:val="000000" w:themeColor="text1"/>
          <w:spacing w:val="8"/>
          <w:kern w:val="0"/>
          <w:sz w:val="24"/>
          <w:lang w:val="en-US" w:eastAsia="zh-CN"/>
          <w14:textFill>
            <w14:solidFill>
              <w14:schemeClr w14:val="tx1"/>
            </w14:solidFill>
          </w14:textFill>
        </w:rPr>
        <w:t>本项目为货物项目，本项目涉及所有货物标的的生产厂商已达到上述</w:t>
      </w:r>
      <w:r>
        <w:rPr>
          <w:rFonts w:hint="eastAsia" w:ascii="宋体" w:hAnsi="宋体" w:cs="宋体"/>
          <w:color w:val="000000" w:themeColor="text1"/>
          <w:sz w:val="24"/>
          <w14:textFill>
            <w14:solidFill>
              <w14:schemeClr w14:val="tx1"/>
            </w14:solidFill>
          </w14:textFill>
        </w:rPr>
        <w:t>中小企业</w:t>
      </w:r>
      <w:r>
        <w:rPr>
          <w:rFonts w:hint="eastAsia" w:ascii="宋体" w:hAnsi="宋体" w:cs="宋体"/>
          <w:color w:val="000000" w:themeColor="text1"/>
          <w:spacing w:val="8"/>
          <w:kern w:val="0"/>
          <w:sz w:val="24"/>
          <w:lang w:val="en-US" w:eastAsia="zh-CN"/>
          <w14:textFill>
            <w14:solidFill>
              <w14:schemeClr w14:val="tx1"/>
            </w14:solidFill>
          </w14:textFill>
        </w:rPr>
        <w:t>比例的，无需再以联合体参加</w:t>
      </w:r>
      <w:r>
        <w:rPr>
          <w:rFonts w:hint="eastAsia" w:ascii="宋体" w:hAnsi="宋体" w:cs="宋体"/>
          <w:color w:val="000000" w:themeColor="text1"/>
          <w:spacing w:val="8"/>
          <w:kern w:val="0"/>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bookmarkEnd w:id="12"/>
    </w:p>
    <w:p>
      <w:pPr>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.本项目的特定资格要求：供应商具有医疗器械经营许可证</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具有中华人民共和国特种设备安装改造维修许可证（压力管道GC2级及以上）；同时具有建筑装修装饰工程专业承包二级资质及以上、建筑机电安装工程专业承包二级资质及以上和电子及智能化专业承包二级资质及以上；</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三、获取招标文件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时间：</w:t>
      </w:r>
      <w:r>
        <w:rPr>
          <w:rFonts w:hint="eastAsia" w:ascii="宋体" w:hAnsi="宋体" w:cs="宋体"/>
          <w:color w:val="000000" w:themeColor="text1"/>
          <w:sz w:val="24"/>
          <w14:textFill>
            <w14:solidFill>
              <w14:schemeClr w14:val="tx1"/>
            </w14:solidFill>
          </w14:textFill>
        </w:rPr>
        <w:t>/至</w:t>
      </w:r>
      <w:r>
        <w:rPr>
          <w:rFonts w:hint="eastAsia" w:ascii="宋体" w:hAnsi="宋体" w:cs="宋体"/>
          <w:color w:val="000000" w:themeColor="text1"/>
          <w:sz w:val="24"/>
          <w:u w:val="single"/>
          <w14:textFill>
            <w14:solidFill>
              <w14:schemeClr w14:val="tx1"/>
            </w14:solidFill>
          </w14:textFill>
        </w:rPr>
        <w:t>202</w:t>
      </w:r>
      <w:r>
        <w:rPr>
          <w:rFonts w:hint="eastAsia" w:ascii="宋体" w:hAnsi="宋体" w:cs="宋体"/>
          <w:color w:val="000000" w:themeColor="text1"/>
          <w:sz w:val="24"/>
          <w:u w:val="single"/>
          <w:lang w:val="en-US" w:eastAsia="zh-CN"/>
          <w14:textFill>
            <w14:solidFill>
              <w14:schemeClr w14:val="tx1"/>
            </w14:solidFill>
          </w14:textFill>
        </w:rPr>
        <w:t>3</w:t>
      </w:r>
      <w:r>
        <w:rPr>
          <w:rFonts w:hint="eastAsia" w:ascii="宋体" w:hAnsi="宋体" w:cs="宋体"/>
          <w:color w:val="000000" w:themeColor="text1"/>
          <w:sz w:val="24"/>
          <w:u w:val="single"/>
          <w14:textFill>
            <w14:solidFill>
              <w14:schemeClr w14:val="tx1"/>
            </w14:solidFill>
          </w14:textFill>
        </w:rPr>
        <w:t>年</w:t>
      </w:r>
      <w:r>
        <w:rPr>
          <w:rFonts w:hint="eastAsia" w:ascii="宋体" w:hAnsi="宋体" w:cs="宋体"/>
          <w:color w:val="000000" w:themeColor="text1"/>
          <w:sz w:val="24"/>
          <w:u w:val="single"/>
          <w:lang w:val="en-US" w:eastAsia="zh-CN"/>
          <w14:textFill>
            <w14:solidFill>
              <w14:schemeClr w14:val="tx1"/>
            </w14:solidFill>
          </w14:textFill>
        </w:rPr>
        <w:t>05</w:t>
      </w:r>
      <w:r>
        <w:rPr>
          <w:rFonts w:hint="eastAsia" w:ascii="宋体" w:hAnsi="宋体" w:cs="宋体"/>
          <w:color w:val="000000" w:themeColor="text1"/>
          <w:sz w:val="24"/>
          <w:u w:val="single"/>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04</w:t>
      </w:r>
      <w:r>
        <w:rPr>
          <w:rFonts w:hint="eastAsia" w:ascii="宋体" w:hAnsi="宋体" w:cs="宋体"/>
          <w:color w:val="000000" w:themeColor="text1"/>
          <w:sz w:val="24"/>
          <w:u w:val="single"/>
          <w14:textFill>
            <w14:solidFill>
              <w14:schemeClr w14:val="tx1"/>
            </w14:solidFill>
          </w14:textFill>
        </w:rPr>
        <w:t>日</w:t>
      </w:r>
      <w:r>
        <w:rPr>
          <w:rFonts w:hint="eastAsia" w:ascii="宋体" w:hAnsi="宋体" w:cs="宋体"/>
          <w:color w:val="000000" w:themeColor="text1"/>
          <w:sz w:val="24"/>
          <w14:textFill>
            <w14:solidFill>
              <w14:schemeClr w14:val="tx1"/>
            </w14:solidFill>
          </w14:textFill>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地点（网址）：</w:t>
      </w:r>
      <w:r>
        <w:rPr>
          <w:rFonts w:hint="eastAsia" w:ascii="宋体" w:hAnsi="宋体" w:cs="宋体"/>
          <w:color w:val="000000" w:themeColor="text1"/>
          <w:sz w:val="24"/>
          <w14:textFill>
            <w14:solidFill>
              <w14:schemeClr w14:val="tx1"/>
            </w14:solidFill>
          </w14:textFill>
        </w:rPr>
        <w:t xml:space="preserve">政采云平台（https://www.zcygov.cn/）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方式：</w:t>
      </w:r>
      <w:r>
        <w:rPr>
          <w:rFonts w:hint="eastAsia" w:ascii="宋体" w:hAnsi="宋体" w:cs="宋体"/>
          <w:color w:val="000000" w:themeColor="text1"/>
          <w:sz w:val="24"/>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售价（元）：</w:t>
      </w:r>
      <w:r>
        <w:rPr>
          <w:rFonts w:hint="eastAsia" w:ascii="宋体" w:hAnsi="宋体" w:cs="宋体"/>
          <w:color w:val="000000" w:themeColor="text1"/>
          <w:sz w:val="24"/>
          <w14:textFill>
            <w14:solidFill>
              <w14:schemeClr w14:val="tx1"/>
            </w14:solidFill>
          </w14:textFill>
        </w:rPr>
        <w:t xml:space="preserve">0 </w:t>
      </w:r>
      <w:r>
        <w:rPr>
          <w:rFonts w:hint="eastAsia" w:ascii="宋体" w:hAnsi="宋体" w:cs="宋体"/>
          <w:color w:val="000000" w:themeColor="text1"/>
          <w:sz w:val="24"/>
          <w14:textFill>
            <w14:solidFill>
              <w14:schemeClr w14:val="tx1"/>
            </w14:solidFill>
          </w14:textFill>
        </w:rPr>
        <w:tab/>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四、提交投标文件截止时间、开标时间和地点</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提交投标文件截止时间：</w:t>
      </w:r>
      <w:r>
        <w:rPr>
          <w:rFonts w:hint="eastAsia" w:ascii="宋体" w:hAnsi="宋体" w:cs="宋体"/>
          <w:color w:val="000000" w:themeColor="text1"/>
          <w:sz w:val="24"/>
          <w:u w:val="single"/>
          <w14:textFill>
            <w14:solidFill>
              <w14:schemeClr w14:val="tx1"/>
            </w14:solidFill>
          </w14:textFill>
        </w:rPr>
        <w:t xml:space="preserve"> 202</w:t>
      </w:r>
      <w:r>
        <w:rPr>
          <w:rFonts w:hint="eastAsia" w:ascii="宋体" w:hAnsi="宋体" w:cs="宋体"/>
          <w:color w:val="000000" w:themeColor="text1"/>
          <w:sz w:val="24"/>
          <w:u w:val="single"/>
          <w:lang w:val="en-US" w:eastAsia="zh-CN"/>
          <w14:textFill>
            <w14:solidFill>
              <w14:schemeClr w14:val="tx1"/>
            </w14:solidFill>
          </w14:textFill>
        </w:rPr>
        <w:t>3</w:t>
      </w:r>
      <w:r>
        <w:rPr>
          <w:rFonts w:hint="eastAsia" w:ascii="宋体" w:hAnsi="宋体" w:cs="宋体"/>
          <w:color w:val="000000" w:themeColor="text1"/>
          <w:sz w:val="24"/>
          <w:u w:val="single"/>
          <w14:textFill>
            <w14:solidFill>
              <w14:schemeClr w14:val="tx1"/>
            </w14:solidFill>
          </w14:textFill>
        </w:rPr>
        <w:t>年</w:t>
      </w:r>
      <w:r>
        <w:rPr>
          <w:rFonts w:hint="eastAsia" w:ascii="宋体" w:hAnsi="宋体" w:cs="宋体"/>
          <w:color w:val="000000" w:themeColor="text1"/>
          <w:sz w:val="24"/>
          <w:u w:val="single"/>
          <w:lang w:val="en-US" w:eastAsia="zh-CN"/>
          <w14:textFill>
            <w14:solidFill>
              <w14:schemeClr w14:val="tx1"/>
            </w14:solidFill>
          </w14:textFill>
        </w:rPr>
        <w:t>05</w:t>
      </w:r>
      <w:r>
        <w:rPr>
          <w:rFonts w:hint="eastAsia" w:ascii="宋体" w:hAnsi="宋体" w:cs="宋体"/>
          <w:color w:val="000000" w:themeColor="text1"/>
          <w:sz w:val="24"/>
          <w:u w:val="single"/>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04</w:t>
      </w:r>
      <w:r>
        <w:rPr>
          <w:rFonts w:hint="eastAsia" w:ascii="宋体" w:hAnsi="宋体" w:cs="宋体"/>
          <w:color w:val="000000" w:themeColor="text1"/>
          <w:sz w:val="24"/>
          <w:u w:val="single"/>
          <w14:textFill>
            <w14:solidFill>
              <w14:schemeClr w14:val="tx1"/>
            </w14:solidFill>
          </w14:textFill>
        </w:rPr>
        <w:t>日</w:t>
      </w:r>
      <w:r>
        <w:rPr>
          <w:rFonts w:hint="eastAsia" w:ascii="宋体" w:hAnsi="宋体" w:cs="宋体"/>
          <w:color w:val="000000" w:themeColor="text1"/>
          <w:sz w:val="24"/>
          <w:u w:val="single"/>
          <w:lang w:val="en-US" w:eastAsia="zh-CN"/>
          <w14:textFill>
            <w14:solidFill>
              <w14:schemeClr w14:val="tx1"/>
            </w14:solidFill>
          </w14:textFill>
        </w:rPr>
        <w:t>14</w:t>
      </w:r>
      <w:r>
        <w:rPr>
          <w:rFonts w:hint="eastAsia" w:ascii="宋体" w:hAnsi="宋体" w:cs="宋体"/>
          <w:color w:val="000000" w:themeColor="text1"/>
          <w:sz w:val="24"/>
          <w:u w:val="single"/>
          <w14:textFill>
            <w14:solidFill>
              <w14:schemeClr w14:val="tx1"/>
            </w14:solidFill>
          </w14:textFill>
        </w:rPr>
        <w:t>点</w:t>
      </w:r>
      <w:r>
        <w:rPr>
          <w:rFonts w:hint="eastAsia" w:ascii="宋体" w:hAnsi="宋体" w:cs="宋体"/>
          <w:color w:val="000000" w:themeColor="text1"/>
          <w:sz w:val="24"/>
          <w:u w:val="single"/>
          <w:lang w:val="en-US" w:eastAsia="zh-CN"/>
          <w14:textFill>
            <w14:solidFill>
              <w14:schemeClr w14:val="tx1"/>
            </w14:solidFill>
          </w14:textFill>
        </w:rPr>
        <w:t>00</w:t>
      </w:r>
      <w:r>
        <w:rPr>
          <w:rFonts w:hint="eastAsia" w:ascii="宋体" w:hAnsi="宋体" w:cs="宋体"/>
          <w:color w:val="000000" w:themeColor="text1"/>
          <w:sz w:val="24"/>
          <w:u w:val="single"/>
          <w14:textFill>
            <w14:solidFill>
              <w14:schemeClr w14:val="tx1"/>
            </w14:solidFill>
          </w14:textFill>
        </w:rPr>
        <w:t>分00秒</w:t>
      </w:r>
      <w:r>
        <w:rPr>
          <w:rFonts w:hint="eastAsia" w:ascii="宋体" w:hAnsi="宋体" w:cs="宋体"/>
          <w:color w:val="000000" w:themeColor="text1"/>
          <w:sz w:val="24"/>
          <w14:textFill>
            <w14:solidFill>
              <w14:schemeClr w14:val="tx1"/>
            </w14:solidFill>
          </w14:textFill>
        </w:rPr>
        <w:t>（北京时间）</w:t>
      </w:r>
    </w:p>
    <w:p>
      <w:pPr>
        <w:spacing w:line="360" w:lineRule="auto"/>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投标地点（网址）：</w:t>
      </w:r>
      <w:r>
        <w:rPr>
          <w:rFonts w:hint="eastAsia" w:ascii="宋体" w:hAnsi="宋体" w:cs="宋体"/>
          <w:color w:val="000000" w:themeColor="text1"/>
          <w:sz w:val="24"/>
          <w14:textFill>
            <w14:solidFill>
              <w14:schemeClr w14:val="tx1"/>
            </w14:solidFill>
          </w14:textFill>
        </w:rPr>
        <w:t xml:space="preserve">政采云平台（https://www.zcygov.cn/） </w:t>
      </w:r>
    </w:p>
    <w:p>
      <w:pPr>
        <w:spacing w:line="360" w:lineRule="auto"/>
        <w:ind w:firstLine="482" w:firstLineChars="200"/>
        <w:rPr>
          <w:rFonts w:ascii="宋体" w:hAnsi="宋体" w:cs="宋体"/>
          <w:bCs/>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开标时间：</w:t>
      </w:r>
      <w:r>
        <w:rPr>
          <w:rFonts w:hint="eastAsia" w:ascii="宋体" w:hAnsi="宋体" w:cs="宋体"/>
          <w:color w:val="000000" w:themeColor="text1"/>
          <w:sz w:val="24"/>
          <w:u w:val="single"/>
          <w14:textFill>
            <w14:solidFill>
              <w14:schemeClr w14:val="tx1"/>
            </w14:solidFill>
          </w14:textFill>
        </w:rPr>
        <w:t>202</w:t>
      </w:r>
      <w:r>
        <w:rPr>
          <w:rFonts w:hint="eastAsia" w:ascii="宋体" w:hAnsi="宋体" w:cs="宋体"/>
          <w:color w:val="000000" w:themeColor="text1"/>
          <w:sz w:val="24"/>
          <w:u w:val="single"/>
          <w:lang w:val="en-US" w:eastAsia="zh-CN"/>
          <w14:textFill>
            <w14:solidFill>
              <w14:schemeClr w14:val="tx1"/>
            </w14:solidFill>
          </w14:textFill>
        </w:rPr>
        <w:t>3</w:t>
      </w:r>
      <w:r>
        <w:rPr>
          <w:rFonts w:hint="eastAsia" w:ascii="宋体" w:hAnsi="宋体" w:cs="宋体"/>
          <w:color w:val="000000" w:themeColor="text1"/>
          <w:sz w:val="24"/>
          <w:u w:val="single"/>
          <w14:textFill>
            <w14:solidFill>
              <w14:schemeClr w14:val="tx1"/>
            </w14:solidFill>
          </w14:textFill>
        </w:rPr>
        <w:t>年</w:t>
      </w:r>
      <w:r>
        <w:rPr>
          <w:rFonts w:hint="eastAsia" w:ascii="宋体" w:hAnsi="宋体" w:cs="宋体"/>
          <w:color w:val="000000" w:themeColor="text1"/>
          <w:sz w:val="24"/>
          <w:u w:val="single"/>
          <w:lang w:val="en-US" w:eastAsia="zh-CN"/>
          <w14:textFill>
            <w14:solidFill>
              <w14:schemeClr w14:val="tx1"/>
            </w14:solidFill>
          </w14:textFill>
        </w:rPr>
        <w:t>05</w:t>
      </w:r>
      <w:r>
        <w:rPr>
          <w:rFonts w:hint="eastAsia" w:ascii="宋体" w:hAnsi="宋体" w:cs="宋体"/>
          <w:color w:val="000000" w:themeColor="text1"/>
          <w:sz w:val="24"/>
          <w:u w:val="single"/>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04</w:t>
      </w:r>
      <w:r>
        <w:rPr>
          <w:rFonts w:hint="eastAsia" w:ascii="宋体" w:hAnsi="宋体" w:cs="宋体"/>
          <w:color w:val="000000" w:themeColor="text1"/>
          <w:sz w:val="24"/>
          <w:u w:val="single"/>
          <w14:textFill>
            <w14:solidFill>
              <w14:schemeClr w14:val="tx1"/>
            </w14:solidFill>
          </w14:textFill>
        </w:rPr>
        <w:t>日</w:t>
      </w:r>
      <w:r>
        <w:rPr>
          <w:rFonts w:hint="eastAsia" w:ascii="宋体" w:hAnsi="宋体" w:cs="宋体"/>
          <w:color w:val="000000" w:themeColor="text1"/>
          <w:sz w:val="24"/>
          <w:u w:val="single"/>
          <w:lang w:val="en-US" w:eastAsia="zh-CN"/>
          <w14:textFill>
            <w14:solidFill>
              <w14:schemeClr w14:val="tx1"/>
            </w14:solidFill>
          </w14:textFill>
        </w:rPr>
        <w:t>14</w:t>
      </w:r>
      <w:r>
        <w:rPr>
          <w:rFonts w:hint="eastAsia" w:ascii="宋体" w:hAnsi="宋体" w:cs="宋体"/>
          <w:color w:val="000000" w:themeColor="text1"/>
          <w:sz w:val="24"/>
          <w:u w:val="single"/>
          <w14:textFill>
            <w14:solidFill>
              <w14:schemeClr w14:val="tx1"/>
            </w14:solidFill>
          </w14:textFill>
        </w:rPr>
        <w:t>点</w:t>
      </w:r>
      <w:r>
        <w:rPr>
          <w:rFonts w:hint="eastAsia" w:ascii="宋体" w:hAnsi="宋体" w:cs="宋体"/>
          <w:color w:val="000000" w:themeColor="text1"/>
          <w:sz w:val="24"/>
          <w:u w:val="single"/>
          <w:lang w:val="en-US" w:eastAsia="zh-CN"/>
          <w14:textFill>
            <w14:solidFill>
              <w14:schemeClr w14:val="tx1"/>
            </w14:solidFill>
          </w14:textFill>
        </w:rPr>
        <w:t>00</w:t>
      </w:r>
      <w:r>
        <w:rPr>
          <w:rFonts w:hint="eastAsia" w:ascii="宋体" w:hAnsi="宋体" w:cs="宋体"/>
          <w:color w:val="000000" w:themeColor="text1"/>
          <w:sz w:val="24"/>
          <w:u w:val="single"/>
          <w14:textFill>
            <w14:solidFill>
              <w14:schemeClr w14:val="tx1"/>
            </w14:solidFill>
          </w14:textFill>
        </w:rPr>
        <w:t>分00秒</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开标地点（网址）：</w:t>
      </w:r>
      <w:r>
        <w:rPr>
          <w:rFonts w:hint="eastAsia" w:ascii="宋体" w:hAnsi="宋体" w:cs="宋体"/>
          <w:color w:val="000000" w:themeColor="text1"/>
          <w:sz w:val="24"/>
          <w14:textFill>
            <w14:solidFill>
              <w14:schemeClr w14:val="tx1"/>
            </w14:solidFill>
          </w14:textFill>
        </w:rPr>
        <w:t>政采云平台（https://www.zcygov.cn/）</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五、公告期限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自本公告发布之日起5个工作日。</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六、其他补充事宜</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1. </w:t>
      </w:r>
      <w:r>
        <w:rPr>
          <w:rFonts w:ascii="宋体" w:hAnsi="宋体" w:cs="宋体"/>
          <w:color w:val="000000" w:themeColor="text1"/>
          <w:sz w:val="24"/>
          <w14:textFill>
            <w14:solidFill>
              <w14:schemeClr w14:val="tx1"/>
            </w14:solidFill>
          </w14:textFill>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sz w:val="24"/>
        </w:rPr>
      </w:pPr>
      <w:r>
        <w:rPr>
          <w:rFonts w:hint="eastAsia" w:ascii="宋体" w:hAnsi="宋体" w:cs="宋体"/>
          <w:color w:val="000000" w:themeColor="text1"/>
          <w:sz w:val="24"/>
          <w14:textFill>
            <w14:solidFill>
              <w14:schemeClr w14:val="tx1"/>
            </w14:solidFill>
          </w14:textFill>
        </w:rPr>
        <w:t xml:space="preserve"> 2.根据《浙江省财政厅关于进一步促进政府采购公平竞争打造最优营商环境的通知》（浙财采监（20</w:t>
      </w:r>
      <w:r>
        <w:rPr>
          <w:rFonts w:hint="eastAsia" w:ascii="宋体" w:hAnsi="宋体" w:cs="宋体"/>
          <w:sz w:val="24"/>
        </w:rPr>
        <w:t>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七、对本次采购提出询问、质疑、投诉，请按以下方式联系</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1.采购人信息</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名    称：杭州市丁桥医院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地    址：浙江省杭州市上城区环丁路1630号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传    真：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项目联系人（询问）：冯腾元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项目联系方式（询问）：0571-88950020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质疑联系人：</w:t>
      </w:r>
      <w:r>
        <w:rPr>
          <w:rFonts w:hint="eastAsia" w:ascii="宋体" w:hAnsi="宋体" w:cs="宋体"/>
          <w:color w:val="000000" w:themeColor="text1"/>
          <w:sz w:val="24"/>
          <w:lang w:val="en-US" w:eastAsia="zh-CN"/>
          <w14:textFill>
            <w14:solidFill>
              <w14:schemeClr w14:val="tx1"/>
            </w14:solidFill>
          </w14:textFill>
        </w:rPr>
        <w:t>万国峰</w:t>
      </w: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质疑联系方式：0571-85827886 </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hint="eastAsia" w:ascii="宋体" w:hAnsi="宋体" w:cs="宋体"/>
          <w:sz w:val="24"/>
        </w:rPr>
      </w:pPr>
      <w:r>
        <w:rPr>
          <w:rFonts w:hint="eastAsia" w:ascii="宋体" w:hAnsi="宋体" w:cs="宋体"/>
          <w:sz w:val="24"/>
        </w:rPr>
        <w:t>名    称：杭州广厦建筑咨询有限公司</w:t>
      </w:r>
    </w:p>
    <w:p>
      <w:pPr>
        <w:spacing w:line="360" w:lineRule="auto"/>
        <w:ind w:firstLine="480"/>
        <w:rPr>
          <w:rFonts w:hint="default" w:ascii="宋体" w:hAnsi="宋体" w:eastAsia="宋体" w:cs="宋体"/>
          <w:sz w:val="24"/>
          <w:lang w:val="en-US" w:eastAsia="zh-CN"/>
        </w:rPr>
      </w:pPr>
      <w:r>
        <w:rPr>
          <w:rFonts w:hint="eastAsia" w:ascii="宋体" w:hAnsi="宋体" w:cs="宋体"/>
          <w:sz w:val="24"/>
        </w:rPr>
        <w:t>地    址：</w:t>
      </w:r>
      <w:r>
        <w:rPr>
          <w:rFonts w:hint="eastAsia" w:ascii="宋体" w:hAnsi="宋体" w:cs="宋体"/>
          <w:sz w:val="24"/>
          <w:lang w:val="en-US" w:eastAsia="zh-CN"/>
        </w:rPr>
        <w:t>杭州市上城区佰富时代中心2幢10楼</w:t>
      </w:r>
    </w:p>
    <w:p>
      <w:pPr>
        <w:spacing w:line="360" w:lineRule="auto"/>
        <w:rPr>
          <w:rFonts w:ascii="宋体" w:hAnsi="宋体" w:cs="宋体"/>
          <w:sz w:val="24"/>
        </w:rPr>
      </w:pPr>
      <w:r>
        <w:rPr>
          <w:rFonts w:hint="eastAsia" w:ascii="宋体" w:hAnsi="宋体" w:cs="宋体"/>
          <w:sz w:val="24"/>
        </w:rPr>
        <w:t xml:space="preserve">    传    真：</w:t>
      </w:r>
      <w:r>
        <w:rPr>
          <w:rFonts w:hint="eastAsia" w:ascii="宋体" w:hAnsi="宋体" w:cs="宋体"/>
          <w:sz w:val="24"/>
          <w:lang w:val="en-US" w:eastAsia="zh-CN"/>
        </w:rPr>
        <w:t>/</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项目联系人（询问）：</w:t>
      </w:r>
      <w:r>
        <w:rPr>
          <w:rFonts w:hint="eastAsia"/>
          <w:kern w:val="0"/>
          <w:szCs w:val="21"/>
        </w:rPr>
        <w:t>刘佳陇</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项目联系方式（询问）：15167505678</w:t>
      </w:r>
    </w:p>
    <w:p>
      <w:pPr>
        <w:spacing w:line="360" w:lineRule="auto"/>
        <w:rPr>
          <w:rFonts w:ascii="宋体" w:hAnsi="宋体" w:cs="宋体"/>
          <w:sz w:val="24"/>
        </w:rPr>
      </w:pPr>
      <w:r>
        <w:rPr>
          <w:rFonts w:hint="eastAsia" w:ascii="宋体" w:hAnsi="宋体" w:cs="宋体"/>
          <w:sz w:val="24"/>
        </w:rPr>
        <w:t xml:space="preserve">    质疑联系人：孟聪 </w:t>
      </w:r>
    </w:p>
    <w:p>
      <w:pPr>
        <w:spacing w:line="360" w:lineRule="auto"/>
        <w:rPr>
          <w:rFonts w:ascii="宋体" w:hAnsi="宋体" w:cs="宋体"/>
          <w:sz w:val="24"/>
        </w:rPr>
      </w:pPr>
      <w:r>
        <w:rPr>
          <w:rFonts w:hint="eastAsia" w:ascii="宋体" w:hAnsi="宋体" w:cs="宋体"/>
          <w:sz w:val="24"/>
        </w:rPr>
        <w:t xml:space="preserve">    质疑联系方式：0571-85093236</w:t>
      </w:r>
    </w:p>
    <w:p>
      <w:pPr>
        <w:spacing w:line="360" w:lineRule="auto"/>
        <w:rPr>
          <w:rFonts w:ascii="宋体" w:hAnsi="宋体" w:cs="宋体"/>
          <w:sz w:val="24"/>
        </w:rPr>
      </w:pPr>
      <w:r>
        <w:rPr>
          <w:rFonts w:hint="eastAsia" w:ascii="宋体" w:hAnsi="宋体" w:cs="宋体"/>
          <w:sz w:val="24"/>
        </w:rPr>
        <w:t xml:space="preserve">    3.</w:t>
      </w:r>
      <w:r>
        <w:rPr>
          <w:rFonts w:hint="eastAsia"/>
        </w:rPr>
        <w:t xml:space="preserve"> </w:t>
      </w:r>
      <w:r>
        <w:rPr>
          <w:rFonts w:hint="eastAsia" w:ascii="宋体" w:hAnsi="宋体" w:cs="宋体"/>
          <w:sz w:val="24"/>
        </w:rPr>
        <w:t xml:space="preserve">同级政府采购监督管理部门            </w:t>
      </w:r>
    </w:p>
    <w:p>
      <w:pPr>
        <w:spacing w:line="360" w:lineRule="auto"/>
        <w:rPr>
          <w:rFonts w:ascii="宋体" w:hAnsi="宋体" w:cs="宋体"/>
          <w:sz w:val="24"/>
        </w:rPr>
      </w:pPr>
      <w:r>
        <w:rPr>
          <w:rFonts w:hint="eastAsia" w:ascii="宋体" w:hAnsi="宋体" w:cs="宋体"/>
          <w:sz w:val="24"/>
        </w:rPr>
        <w:t xml:space="preserve">    名    称：杭州市财政局政府采购监管处 /浙江省政府采购行政裁决服务中心（杭州）</w:t>
      </w:r>
    </w:p>
    <w:p>
      <w:pPr>
        <w:spacing w:line="360" w:lineRule="auto"/>
        <w:rPr>
          <w:rFonts w:ascii="宋体" w:hAnsi="宋体" w:cs="宋体"/>
          <w:sz w:val="24"/>
        </w:rPr>
      </w:pPr>
      <w:r>
        <w:rPr>
          <w:rFonts w:hint="eastAsia" w:ascii="宋体" w:hAnsi="宋体" w:cs="宋体"/>
          <w:sz w:val="24"/>
        </w:rPr>
        <w:t xml:space="preserve">    地    址：杭州市上城区四季青街道新业路市民之家G03办公室 </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：朱女士、王女士</w:t>
      </w:r>
    </w:p>
    <w:p>
      <w:pPr>
        <w:spacing w:line="360" w:lineRule="auto"/>
        <w:ind w:firstLine="480"/>
        <w:rPr>
          <w:rFonts w:hint="eastAsia" w:ascii="宋体" w:hAnsi="宋体" w:cs="宋体"/>
          <w:sz w:val="24"/>
        </w:rPr>
      </w:pPr>
      <w:r>
        <w:rPr>
          <w:rFonts w:hint="eastAsia" w:ascii="宋体" w:hAnsi="宋体" w:cs="宋体"/>
          <w:sz w:val="24"/>
        </w:rPr>
        <w:t>监督投诉电话：电话：0571-85252453</w:t>
      </w:r>
    </w:p>
    <w:p>
      <w:pPr>
        <w:spacing w:line="360" w:lineRule="auto"/>
        <w:ind w:firstLine="480"/>
        <w:rPr>
          <w:rFonts w:hint="eastAsia" w:ascii="宋体" w:hAnsi="宋体" w:cs="宋体"/>
          <w:sz w:val="24"/>
          <w:lang w:val="en-US" w:eastAsia="zh-CN"/>
        </w:rPr>
      </w:pPr>
      <w:r>
        <w:rPr>
          <w:rFonts w:hint="eastAsia" w:ascii="宋体" w:hAnsi="宋体" w:cs="宋体"/>
          <w:sz w:val="24"/>
          <w:lang w:val="en-US" w:eastAsia="zh-CN"/>
        </w:rPr>
        <w:t>政策咨询：陈先生、厉先生，0571-89580460、89580456</w:t>
      </w:r>
    </w:p>
    <w:p>
      <w:pPr>
        <w:spacing w:line="360" w:lineRule="auto"/>
        <w:ind w:firstLine="480"/>
        <w:rPr>
          <w:rFonts w:ascii="宋体" w:hAnsi="宋体" w:cs="宋体"/>
          <w:sz w:val="24"/>
        </w:rPr>
      </w:pP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w:t>
      </w:r>
      <w:r>
        <w:rPr>
          <w:rFonts w:hint="eastAsia" w:ascii="宋体" w:hAnsi="宋体" w:cs="宋体"/>
          <w:sz w:val="24"/>
          <w:highlight w:val="none"/>
        </w:rPr>
        <w:t>95763</w:t>
      </w:r>
      <w:r>
        <w:rPr>
          <w:rFonts w:hint="eastAsia" w:ascii="宋体" w:hAnsi="宋体" w:cs="宋体"/>
          <w:sz w:val="24"/>
        </w:rPr>
        <w:t>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33"/>
        <w:spacing w:line="360" w:lineRule="auto"/>
        <w:rPr>
          <w:rFonts w:hAnsi="宋体" w:cs="宋体"/>
          <w:b/>
          <w:sz w:val="36"/>
          <w:szCs w:val="20"/>
        </w:rPr>
      </w:pPr>
      <w:r>
        <w:rPr>
          <w:rFonts w:hint="eastAsia" w:hAnsi="宋体" w:cs="宋体"/>
          <w:sz w:val="24"/>
        </w:rPr>
        <w:t xml:space="preserve">                        </w:t>
      </w:r>
      <w:r>
        <w:rPr>
          <w:rFonts w:hAnsi="宋体" w:cs="宋体"/>
          <w:b/>
          <w:sz w:val="36"/>
          <w:szCs w:val="20"/>
        </w:rPr>
        <w:t xml:space="preserve"> </w:t>
      </w:r>
    </w:p>
    <w:p>
      <w:pPr>
        <w:pStyle w:val="4"/>
        <w:rPr>
          <w:rFonts w:ascii="宋体"/>
          <w:snapToGrid w:val="0"/>
        </w:rPr>
      </w:pPr>
      <w: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项目属性与</w:t>
            </w:r>
            <w:bookmarkStart w:id="419" w:name="_GoBack"/>
            <w:bookmarkEnd w:id="419"/>
            <w:r>
              <w:rPr>
                <w:rFonts w:hint="eastAsia" w:ascii="宋体" w:hAnsi="宋体" w:cs="宋体"/>
                <w:b/>
                <w:color w:val="000000" w:themeColor="text1"/>
                <w:sz w:val="24"/>
                <w14:textFill>
                  <w14:solidFill>
                    <w14:schemeClr w14:val="tx1"/>
                  </w14:solidFill>
                </w14:textFill>
              </w:rPr>
              <w:t>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货物类，单一产品或</w:t>
            </w:r>
            <w:r>
              <w:rPr>
                <w:rFonts w:hint="eastAsia" w:ascii="宋体" w:hAnsi="宋体" w:cs="宋体"/>
                <w:color w:val="000000" w:themeColor="text1"/>
                <w:kern w:val="0"/>
                <w:sz w:val="24"/>
                <w14:textFill>
                  <w14:solidFill>
                    <w14:schemeClr w14:val="tx1"/>
                  </w14:solidFill>
                </w14:textFill>
              </w:rPr>
              <w:t>核心产品为：空气处理机组</w:t>
            </w:r>
            <w:r>
              <w:rPr>
                <w:rFonts w:hint="eastAsia" w:ascii="宋体" w:hAnsi="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6"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1</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标的：</w:t>
            </w:r>
            <w:r>
              <w:rPr>
                <w:rFonts w:hint="eastAsia" w:ascii="宋体" w:hAnsi="宋体" w:cs="宋体"/>
                <w:color w:val="000000" w:themeColor="text1"/>
                <w:kern w:val="0"/>
                <w:sz w:val="24"/>
                <w:lang w:val="en-US" w:eastAsia="zh-CN"/>
                <w14:textFill>
                  <w14:solidFill>
                    <w14:schemeClr w14:val="tx1"/>
                  </w14:solidFill>
                </w14:textFill>
              </w:rPr>
              <w:t>采购清单第1-52项</w:t>
            </w:r>
            <w:r>
              <w:rPr>
                <w:rFonts w:hint="eastAsia" w:ascii="宋体" w:hAnsi="宋体" w:cs="宋体"/>
                <w:color w:val="000000" w:themeColor="text1"/>
                <w:kern w:val="0"/>
                <w:sz w:val="24"/>
                <w14:textFill>
                  <w14:solidFill>
                    <w14:schemeClr w14:val="tx1"/>
                  </w14:solidFill>
                </w14:textFill>
              </w:rPr>
              <w:t>，属于工业-制造业行业；</w:t>
            </w:r>
          </w:p>
          <w:p>
            <w:pPr>
              <w:spacing w:line="360" w:lineRule="auto"/>
              <w:rPr>
                <w:rFonts w:hint="eastAsia" w:eastAsia="宋体"/>
                <w:color w:val="000000" w:themeColor="text1"/>
                <w:lang w:val="en-US" w:eastAsia="zh-CN"/>
                <w14:textFill>
                  <w14:solidFill>
                    <w14:schemeClr w14:val="tx1"/>
                  </w14:solidFill>
                </w14:textFill>
              </w:rPr>
            </w:pP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标的：</w:t>
            </w:r>
            <w:r>
              <w:rPr>
                <w:rFonts w:hint="eastAsia" w:ascii="宋体" w:hAnsi="宋体" w:cs="宋体"/>
                <w:color w:val="000000" w:themeColor="text1"/>
                <w:kern w:val="0"/>
                <w:sz w:val="24"/>
                <w:lang w:val="en-US" w:eastAsia="zh-CN"/>
                <w14:textFill>
                  <w14:solidFill>
                    <w14:schemeClr w14:val="tx1"/>
                  </w14:solidFill>
                </w14:textFill>
              </w:rPr>
              <w:t>采购清单第53-60项</w:t>
            </w:r>
            <w:r>
              <w:rPr>
                <w:rFonts w:hint="eastAsia" w:ascii="宋体" w:hAnsi="宋体" w:cs="宋体"/>
                <w:color w:val="000000" w:themeColor="text1"/>
                <w:kern w:val="0"/>
                <w:sz w:val="24"/>
                <w14:textFill>
                  <w14:solidFill>
                    <w14:schemeClr w14:val="tx1"/>
                  </w14:solidFill>
                </w14:textFill>
              </w:rPr>
              <w:t>，属于</w:t>
            </w:r>
            <w:r>
              <w:rPr>
                <w:rFonts w:hint="eastAsia" w:ascii="宋体" w:hAnsi="宋体" w:cs="宋体"/>
                <w:color w:val="000000" w:themeColor="text1"/>
                <w:kern w:val="0"/>
                <w:sz w:val="24"/>
                <w:lang w:val="en-US" w:eastAsia="zh-CN"/>
                <w14:textFill>
                  <w14:solidFill>
                    <w14:schemeClr w14:val="tx1"/>
                  </w14:solidFill>
                </w14:textFill>
              </w:rPr>
              <w:t>建筑业</w:t>
            </w:r>
            <w:r>
              <w:rPr>
                <w:rFonts w:hint="eastAsia" w:ascii="宋体" w:hAnsi="宋体" w:cs="宋体"/>
                <w:color w:val="000000" w:themeColor="text1"/>
                <w:kern w:val="0"/>
                <w:sz w:val="24"/>
                <w14:textFill>
                  <w14:solidFill>
                    <w14:schemeClr w14:val="tx1"/>
                  </w14:solidFill>
                </w14:textFill>
              </w:rPr>
              <w:t>行业</w:t>
            </w:r>
            <w:r>
              <w:rPr>
                <w:rFonts w:hint="eastAsia" w:ascii="宋体" w:hAnsi="宋体" w:cs="宋体"/>
                <w:color w:val="000000" w:themeColor="text1"/>
                <w:kern w:val="0"/>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ind w:firstLine="240" w:firstLineChars="100"/>
              <w:jc w:val="both"/>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828425707"/>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sym w:font="Wingdings" w:char="F0FE"/>
                </w:r>
              </w:sdtContent>
            </w:sdt>
            <w:r>
              <w:rPr>
                <w:rFonts w:hint="eastAsia" w:ascii="宋体" w:hAnsi="宋体" w:cs="宋体"/>
                <w:color w:val="000000" w:themeColor="text1"/>
                <w:kern w:val="0"/>
                <w:sz w:val="24"/>
                <w14:textFill>
                  <w14:solidFill>
                    <w14:schemeClr w14:val="tx1"/>
                  </w14:solidFill>
                </w14:textFill>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477286927"/>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ascii="Wingdings" w:hAnsi="Wingdings"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 xml:space="preserve"> A</w:t>
            </w:r>
            <w:r>
              <w:rPr>
                <w:rFonts w:hint="eastAsia" w:ascii="宋体" w:hAnsi="宋体" w:cs="宋体"/>
                <w:color w:val="000000" w:themeColor="text1"/>
                <w:sz w:val="24"/>
                <w14:textFill>
                  <w14:solidFill>
                    <w14:schemeClr w14:val="tx1"/>
                  </w14:solidFill>
                </w14:textFill>
              </w:rPr>
              <w:t>同意将非主体、非关键性的</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配送运输、消防末端点位等</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工作分包。</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szCs w:val="20"/>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2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both"/>
              <w:rPr>
                <w:rFonts w:hint="eastAsia"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kern w:val="0"/>
                <w:sz w:val="24"/>
                <w:lang w:val="zh-CN"/>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kern w:val="28"/>
                <w:sz w:val="24"/>
                <w:szCs w:val="24"/>
                <w:u w:val="single"/>
              </w:rPr>
              <w:t>杭州市上城区佰富时代中心2幢10楼</w:t>
            </w:r>
            <w:r>
              <w:rPr>
                <w:rFonts w:hint="eastAsia" w:hAnsi="宋体" w:cs="宋体"/>
                <w:kern w:val="28"/>
                <w:sz w:val="24"/>
                <w:szCs w:val="24"/>
                <w:u w:val="single"/>
                <w:lang w:val="en-US" w:eastAsia="zh-CN"/>
              </w:rPr>
              <w:t>1009室</w:t>
            </w:r>
            <w:r>
              <w:rPr>
                <w:rFonts w:hint="eastAsia" w:hAnsi="宋体" w:cs="宋体"/>
                <w:sz w:val="24"/>
                <w:u w:val="single"/>
              </w:rPr>
              <w:t xml:space="preserve"> </w:t>
            </w:r>
            <w:r>
              <w:rPr>
                <w:rFonts w:hint="eastAsia" w:hAnsi="宋体" w:cs="宋体"/>
                <w:kern w:val="28"/>
                <w:sz w:val="24"/>
                <w:szCs w:val="24"/>
              </w:rPr>
              <w:t>；备份投标文件签收人员联系电</w:t>
            </w:r>
            <w:r>
              <w:rPr>
                <w:rFonts w:hint="eastAsia" w:hAnsi="宋体" w:cs="宋体"/>
                <w:color w:val="000000" w:themeColor="text1"/>
                <w:kern w:val="28"/>
                <w:sz w:val="24"/>
                <w:szCs w:val="24"/>
                <w14:textFill>
                  <w14:solidFill>
                    <w14:schemeClr w14:val="tx1"/>
                  </w14:solidFill>
                </w14:textFill>
              </w:rPr>
              <w:t>话：</w:t>
            </w:r>
            <w:r>
              <w:rPr>
                <w:rFonts w:hint="eastAsia" w:hAnsi="宋体" w:cs="宋体"/>
                <w:color w:val="000000" w:themeColor="text1"/>
                <w:sz w:val="24"/>
                <w:u w:val="single"/>
                <w:lang w:val="en-US" w:eastAsia="zh-CN"/>
                <w14:textFill>
                  <w14:solidFill>
                    <w14:schemeClr w14:val="tx1"/>
                  </w14:solidFill>
                </w14:textFill>
              </w:rPr>
              <w:t>刘佳陇 15167505678</w:t>
            </w:r>
            <w:r>
              <w:rPr>
                <w:rFonts w:hint="eastAsia" w:hAnsi="宋体" w:cs="宋体"/>
                <w:color w:val="000000" w:themeColor="text1"/>
                <w:sz w:val="24"/>
                <w:u w:val="single"/>
                <w14:textFill>
                  <w14:solidFill>
                    <w14:schemeClr w14:val="tx1"/>
                  </w14:solidFill>
                </w14:textFill>
              </w:rPr>
              <w:t xml:space="preserve"> </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8"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cs="宋体"/>
                <w:sz w:val="24"/>
              </w:rPr>
            </w:pPr>
          </w:p>
          <w:p>
            <w:pPr>
              <w:snapToGrid w:val="0"/>
              <w:spacing w:line="360" w:lineRule="auto"/>
              <w:jc w:val="both"/>
              <w:rPr>
                <w:rFonts w:ascii="宋体" w:hAnsi="宋体" w:cs="宋体"/>
                <w:sz w:val="24"/>
              </w:rPr>
            </w:pPr>
            <w:r>
              <w:rPr>
                <w:rFonts w:hint="eastAsia" w:ascii="宋体" w:hAnsi="宋体" w:cs="宋体"/>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052570136"/>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both"/>
              <w:rPr>
                <w:rFonts w:hint="eastAsia" w:ascii="宋体" w:hAnsi="宋体" w:cs="宋体"/>
                <w:sz w:val="24"/>
                <w:lang w:val="en-US" w:eastAsia="zh-CN"/>
              </w:rPr>
            </w:pPr>
          </w:p>
          <w:p>
            <w:pPr>
              <w:snapToGrid w:val="0"/>
              <w:spacing w:line="360" w:lineRule="auto"/>
              <w:jc w:val="both"/>
              <w:rPr>
                <w:rFonts w:hint="default" w:ascii="宋体" w:hAnsi="宋体" w:eastAsia="宋体" w:cs="宋体"/>
                <w:sz w:val="24"/>
                <w:lang w:val="en-US" w:eastAsia="zh-CN"/>
              </w:rPr>
            </w:pPr>
            <w:r>
              <w:rPr>
                <w:rFonts w:hint="eastAsia" w:ascii="宋体" w:hAnsi="宋体" w:cs="宋体"/>
                <w:sz w:val="24"/>
                <w:lang w:val="en-US" w:eastAsia="zh-CN"/>
              </w:rPr>
              <w:t>14</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default" w:cs="仿宋_GB2312" w:asciiTheme="minorEastAsia" w:hAnsiTheme="minorEastAsia" w:eastAsiaTheme="minorEastAsia"/>
                <w:b/>
                <w:sz w:val="24"/>
                <w:lang w:val="en-US" w:eastAsia="zh-CN"/>
              </w:rPr>
            </w:pPr>
            <w:r>
              <w:rPr>
                <w:rFonts w:hint="eastAsia" w:cs="仿宋_GB2312" w:asciiTheme="minorEastAsia" w:hAnsiTheme="minorEastAsia" w:eastAsiaTheme="minorEastAsia"/>
                <w:b/>
                <w:sz w:val="24"/>
                <w:lang w:val="en-US" w:eastAsia="zh-CN"/>
              </w:rPr>
              <w:t>采购代理服务费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kern w:val="0"/>
                <w:sz w:val="24"/>
              </w:rPr>
            </w:pPr>
            <w:r>
              <w:rPr>
                <w:rFonts w:hint="eastAsia" w:ascii="宋体" w:hAnsi="宋体" w:cs="宋体"/>
                <w:snapToGrid w:val="0"/>
                <w:kern w:val="28"/>
                <w:sz w:val="24"/>
              </w:rPr>
              <w:t>本项目的采购代理费由成交人支付，按照《国家发展改革委办公厅关于印发招标代理服务收费管理暂行办法的通知》</w:t>
            </w:r>
            <w:r>
              <w:rPr>
                <w:rFonts w:ascii="宋体" w:hAnsi="宋体" w:cs="宋体"/>
                <w:snapToGrid w:val="0"/>
                <w:kern w:val="28"/>
                <w:sz w:val="24"/>
              </w:rPr>
              <w:t>(</w:t>
            </w:r>
            <w:r>
              <w:rPr>
                <w:rFonts w:hint="eastAsia" w:ascii="宋体" w:hAnsi="宋体" w:cs="宋体"/>
                <w:snapToGrid w:val="0"/>
                <w:kern w:val="28"/>
                <w:sz w:val="24"/>
              </w:rPr>
              <w:t>发改办价格【</w:t>
            </w:r>
            <w:r>
              <w:rPr>
                <w:rFonts w:ascii="宋体" w:hAnsi="宋体" w:cs="宋体"/>
                <w:snapToGrid w:val="0"/>
                <w:kern w:val="28"/>
                <w:sz w:val="24"/>
              </w:rPr>
              <w:t>2003</w:t>
            </w:r>
            <w:r>
              <w:rPr>
                <w:rFonts w:hint="eastAsia" w:ascii="宋体" w:hAnsi="宋体" w:cs="宋体"/>
                <w:snapToGrid w:val="0"/>
                <w:kern w:val="28"/>
                <w:sz w:val="24"/>
              </w:rPr>
              <w:t>】</w:t>
            </w:r>
            <w:r>
              <w:rPr>
                <w:rFonts w:ascii="宋体" w:hAnsi="宋体" w:cs="宋体"/>
                <w:snapToGrid w:val="0"/>
                <w:kern w:val="28"/>
                <w:sz w:val="24"/>
              </w:rPr>
              <w:t>857</w:t>
            </w:r>
            <w:r>
              <w:rPr>
                <w:rFonts w:hint="eastAsia" w:ascii="宋体" w:hAnsi="宋体" w:cs="宋体"/>
                <w:snapToGrid w:val="0"/>
                <w:kern w:val="28"/>
                <w:sz w:val="24"/>
              </w:rPr>
              <w:t>号</w:t>
            </w:r>
            <w:r>
              <w:rPr>
                <w:rFonts w:ascii="宋体" w:hAnsi="宋体" w:cs="宋体"/>
                <w:snapToGrid w:val="0"/>
                <w:kern w:val="28"/>
                <w:sz w:val="24"/>
              </w:rPr>
              <w:t>)</w:t>
            </w:r>
            <w:r>
              <w:rPr>
                <w:rFonts w:hint="eastAsia" w:ascii="宋体" w:hAnsi="宋体" w:cs="宋体"/>
                <w:snapToGrid w:val="0"/>
                <w:kern w:val="28"/>
                <w:sz w:val="24"/>
              </w:rPr>
              <w:t>规定的</w:t>
            </w:r>
            <w:r>
              <w:rPr>
                <w:rFonts w:hint="eastAsia" w:ascii="宋体" w:hAnsi="宋体" w:cs="宋体"/>
                <w:snapToGrid w:val="0"/>
                <w:kern w:val="28"/>
                <w:sz w:val="24"/>
                <w:lang w:val="en-US" w:eastAsia="zh-CN"/>
              </w:rPr>
              <w:t>79%</w:t>
            </w:r>
            <w:r>
              <w:rPr>
                <w:rFonts w:hint="eastAsia" w:ascii="宋体" w:hAnsi="宋体" w:cs="宋体"/>
                <w:snapToGrid w:val="0"/>
                <w:kern w:val="28"/>
                <w:sz w:val="24"/>
              </w:rPr>
              <w:t>计算。结算方式及时间为：在领取成交通知书时由成交人一次性向采购代理机构付清。</w:t>
            </w:r>
          </w:p>
        </w:tc>
      </w:tr>
    </w:tbl>
    <w:p>
      <w:pPr>
        <w:snapToGrid w:val="0"/>
        <w:spacing w:line="360" w:lineRule="auto"/>
        <w:jc w:val="cente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bookmarkEnd w:id="10"/>
    <w:p>
      <w:pPr>
        <w:adjustRightInd/>
        <w:spacing w:line="360" w:lineRule="auto"/>
        <w:ind w:firstLine="3845" w:firstLineChars="1197"/>
        <w:outlineLvl w:val="0"/>
        <w:rPr>
          <w:rFonts w:ascii="宋体" w:hAnsi="宋体" w:cs="宋体"/>
          <w:b/>
          <w:sz w:val="32"/>
          <w:szCs w:val="20"/>
        </w:rPr>
      </w:pPr>
      <w:bookmarkStart w:id="13" w:name="第三部分"/>
      <w:bookmarkStart w:id="14"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w:t>
      </w:r>
      <w:r>
        <w:rPr>
          <w:rFonts w:hint="eastAsia" w:ascii="宋体" w:hAnsi="宋体" w:cs="宋体"/>
          <w:color w:val="000000" w:themeColor="text1"/>
          <w:sz w:val="24"/>
          <w14:textFill>
            <w14:solidFill>
              <w14:schemeClr w14:val="tx1"/>
            </w14:solidFill>
          </w14:textFill>
        </w:rPr>
        <w:t>采购需求中明确规定可以采购进口产品（但如果因信息不对称等原因，仍有满足需求的国内产品要求参与采购竞争的，采购人、</w:t>
      </w:r>
      <w:r>
        <w:rPr>
          <w:rFonts w:hint="eastAsia" w:ascii="宋体" w:hAnsi="宋体" w:cs="宋体"/>
          <w:color w:val="000000" w:themeColor="text1"/>
          <w:sz w:val="24"/>
          <w:lang w:eastAsia="zh-CN"/>
          <w14:textFill>
            <w14:solidFill>
              <w14:schemeClr w14:val="tx1"/>
            </w14:solidFill>
          </w14:textFill>
        </w:rPr>
        <w:t>采购代理机构</w:t>
      </w:r>
      <w:r>
        <w:rPr>
          <w:rFonts w:hint="eastAsia" w:ascii="宋体" w:hAnsi="宋体" w:cs="宋体"/>
          <w:color w:val="000000" w:themeColor="text1"/>
          <w:sz w:val="24"/>
          <w14:textFill>
            <w14:solidFill>
              <w14:schemeClr w14:val="tx1"/>
            </w14:solidFill>
          </w14:textFill>
        </w:rPr>
        <w:t>不会对其加以限制，仍将按照公平竞争原则实施采购）；</w:t>
      </w:r>
      <w:r>
        <w:rPr>
          <w:rFonts w:hint="eastAsia" w:ascii="宋体" w:hAnsi="宋体" w:cs="宋体"/>
          <w:color w:val="000000" w:themeColor="text1"/>
          <w:kern w:val="0"/>
          <w:sz w:val="24"/>
          <w14:textFill>
            <w14:solidFill>
              <w14:schemeClr w14:val="tx1"/>
            </w14:solidFill>
          </w14:textFill>
        </w:rPr>
        <w:t>优先采购向我国企业转让技术、与我国企业签订消化吸收再创新方案的供应商的进口产品</w:t>
      </w:r>
      <w:r>
        <w:rPr>
          <w:rFonts w:hint="eastAsia" w:ascii="宋体" w:hAnsi="宋体" w:cs="宋体"/>
          <w:color w:val="000000" w:themeColor="text1"/>
          <w:sz w:val="24"/>
          <w14:textFill>
            <w14:solidFill>
              <w14:schemeClr w14:val="tx1"/>
            </w14:solidFill>
          </w14:textFill>
        </w:rPr>
        <w:t>。</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 支持绿色发展</w:t>
      </w:r>
    </w:p>
    <w:p>
      <w:pPr>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000000" w:themeColor="text1"/>
          <w:sz w:val="24"/>
          <w14:textFill>
            <w14:solidFill>
              <w14:schemeClr w14:val="tx1"/>
            </w14:solidFill>
          </w14:textFill>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color w:val="000000" w:themeColor="text1"/>
          <w:sz w:val="24"/>
          <w14:textFill>
            <w14:solidFill>
              <w14:schemeClr w14:val="tx1"/>
            </w14:solidFill>
          </w14:textFill>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3.3支持中小企业发展</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ascii="宋体" w:hAnsi="宋体" w:cs="宋体"/>
          <w:bCs/>
          <w:color w:val="000000" w:themeColor="text1"/>
          <w:sz w:val="24"/>
          <w14:textFill>
            <w14:solidFill>
              <w14:schemeClr w14:val="tx1"/>
            </w14:solidFill>
          </w14:textFill>
        </w:rPr>
        <w:t>3.3.2</w:t>
      </w:r>
      <w:r>
        <w:rPr>
          <w:rFonts w:hint="eastAsia" w:ascii="宋体" w:hAnsi="宋体" w:cs="宋体"/>
          <w:color w:val="000000" w:themeColor="text1"/>
          <w:kern w:val="0"/>
          <w:sz w:val="24"/>
          <w14:textFill>
            <w14:solidFill>
              <w14:schemeClr w14:val="tx1"/>
            </w14:solidFill>
          </w14:textFill>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3.3.3对于未预留份额专门面向中小企业的政府采购货物项目，以及预留份额政府采购货物项目中的非预留部分标项，对小型和微型企业的投标报价给予10%-</w:t>
      </w:r>
      <w:r>
        <w:rPr>
          <w:rFonts w:ascii="宋体" w:hAnsi="宋体" w:cs="宋体"/>
          <w:color w:val="000000" w:themeColor="text1"/>
          <w:sz w:val="24"/>
          <w14:textFill>
            <w14:solidFill>
              <w14:schemeClr w14:val="tx1"/>
            </w14:solidFill>
          </w14:textFill>
        </w:rPr>
        <w:t>20</w:t>
      </w:r>
      <w:r>
        <w:rPr>
          <w:rFonts w:hint="eastAsia" w:ascii="宋体" w:hAnsi="宋体" w:cs="宋体"/>
          <w:color w:val="000000" w:themeColor="text1"/>
          <w:sz w:val="24"/>
          <w14:textFill>
            <w14:solidFill>
              <w14:schemeClr w14:val="tx1"/>
            </w14:solidFill>
          </w14:textFill>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color w:val="000000" w:themeColor="text1"/>
          <w:sz w:val="24"/>
          <w14:textFill>
            <w14:solidFill>
              <w14:schemeClr w14:val="tx1"/>
            </w14:solidFill>
          </w14:textFill>
        </w:rPr>
        <w:t>联合协议或者分包意向协议约定小微企业的合同份额占到合同总金额30%以上的</w:t>
      </w:r>
      <w:bookmarkEnd w:id="16"/>
      <w:r>
        <w:rPr>
          <w:rFonts w:hint="eastAsia" w:ascii="宋体" w:hAnsi="宋体" w:cs="宋体"/>
          <w:color w:val="000000" w:themeColor="text1"/>
          <w:sz w:val="24"/>
          <w14:textFill>
            <w14:solidFill>
              <w14:schemeClr w14:val="tx1"/>
            </w14:solidFill>
          </w14:textFill>
        </w:rPr>
        <w:t>，对联合体或者大中型企业的报价给予4%-</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w:t>
      </w:r>
      <w:r>
        <w:rPr>
          <w:rFonts w:hint="eastAsia" w:ascii="宋体" w:hAnsi="宋体" w:cs="宋体"/>
          <w:bCs/>
          <w:color w:val="000000" w:themeColor="text1"/>
          <w:sz w:val="24"/>
          <w14:textFill>
            <w14:solidFill>
              <w14:schemeClr w14:val="tx1"/>
            </w14:solidFill>
          </w14:textFill>
        </w:rPr>
        <w:t>支持创新发展</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3.4.1 采购人优先采购被认定为首台套产品和“制造精品”的自主创新产品。</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3.4.2首台套产品被纳入《首台套产品推广应用指导目录》之日起</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3.5平等对待内外资企业和符合条件的破产重整企业</w:t>
      </w:r>
    </w:p>
    <w:p>
      <w:pPr>
        <w:spacing w:line="360" w:lineRule="auto"/>
        <w:ind w:firstLine="480" w:firstLineChars="200"/>
        <w:rPr>
          <w:b/>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平等对待内外资企业和符合条件的破产重整企业，切实保障企业公平竞争，平等维护企业的合法利益。</w:t>
      </w:r>
      <w:r>
        <w:rPr>
          <w:rFonts w:hint="eastAsia" w:ascii="宋体" w:hAnsi="宋体" w:cs="宋体"/>
          <w:color w:val="000000" w:themeColor="text1"/>
          <w:sz w:val="24"/>
          <w14:textFill>
            <w14:solidFill>
              <w14:schemeClr w14:val="tx1"/>
            </w14:solidFill>
          </w14:textFill>
        </w:rPr>
        <w:cr/>
      </w:r>
      <w:r>
        <w:rPr>
          <w:rFonts w:hint="eastAsia"/>
          <w:b/>
          <w:color w:val="000000" w:themeColor="text1"/>
          <w14:textFill>
            <w14:solidFill>
              <w14:schemeClr w14:val="tx1"/>
            </w14:solidFill>
          </w14:textFill>
        </w:rPr>
        <w:t>4. 询问、质疑、投诉</w:t>
      </w:r>
    </w:p>
    <w:p>
      <w:pPr>
        <w:pStyle w:val="886"/>
        <w:shd w:val="clear" w:color="auto" w:fill="FFFFFF"/>
        <w:snapToGrid w:val="0"/>
        <w:spacing w:after="240" w:afterAutospacing="0" w:line="360" w:lineRule="auto"/>
        <w:ind w:firstLine="400"/>
        <w:contextualSpacing/>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4.1在线询问、质疑、投诉</w:t>
      </w:r>
    </w:p>
    <w:p>
      <w:pPr>
        <w:pStyle w:val="886"/>
        <w:shd w:val="clear" w:color="auto" w:fill="FFFFFF"/>
        <w:snapToGrid w:val="0"/>
        <w:spacing w:after="240" w:afterAutospacing="0" w:line="360" w:lineRule="auto"/>
        <w:ind w:firstLine="400"/>
        <w:contextualSpacing/>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4.2供应商询问</w:t>
      </w:r>
    </w:p>
    <w:p>
      <w:pPr>
        <w:autoSpaceDE w:val="0"/>
        <w:autoSpaceDN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4.3供应商质疑</w:t>
      </w:r>
    </w:p>
    <w:p>
      <w:pPr>
        <w:pStyle w:val="33"/>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w:t>
      </w:r>
      <w:r>
        <w:rPr>
          <w:rFonts w:hint="eastAsia" w:hAnsi="宋体" w:cs="宋体"/>
          <w:color w:val="000000" w:themeColor="text1"/>
          <w:sz w:val="24"/>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w:t>
      </w:r>
      <w:r>
        <w:rPr>
          <w:rFonts w:hint="eastAsia" w:hAnsi="宋体" w:cs="宋体"/>
          <w:color w:val="000000" w:themeColor="text1"/>
          <w:sz w:val="24"/>
          <w14:textFill>
            <w14:solidFill>
              <w14:schemeClr w14:val="tx1"/>
            </w14:solidFill>
          </w14:textFill>
        </w:rPr>
        <w:t>.2供应商认为招标文件、采购过程和中标结果使自己的权益受到损害的，可以在知道或者应知其权益受到损害之日起七个工作日内，以书面形式向采购人或者</w:t>
      </w:r>
      <w:r>
        <w:rPr>
          <w:rFonts w:hint="eastAsia" w:hAnsi="宋体" w:cs="宋体"/>
          <w:color w:val="000000" w:themeColor="text1"/>
          <w:sz w:val="24"/>
          <w:lang w:eastAsia="zh-CN"/>
          <w14:textFill>
            <w14:solidFill>
              <w14:schemeClr w14:val="tx1"/>
            </w14:solidFill>
          </w14:textFill>
        </w:rPr>
        <w:t>采购代理机构</w:t>
      </w:r>
      <w:r>
        <w:rPr>
          <w:rFonts w:hint="eastAsia" w:hAnsi="宋体" w:cs="宋体"/>
          <w:color w:val="000000" w:themeColor="text1"/>
          <w:sz w:val="24"/>
          <w14:textFill>
            <w14:solidFill>
              <w14:schemeClr w14:val="tx1"/>
            </w14:solidFill>
          </w14:textFill>
        </w:rPr>
        <w:t>提出质疑，否则，采购人或者</w:t>
      </w:r>
      <w:r>
        <w:rPr>
          <w:rFonts w:hint="eastAsia" w:hAnsi="宋体" w:cs="宋体"/>
          <w:color w:val="000000" w:themeColor="text1"/>
          <w:sz w:val="24"/>
          <w:lang w:eastAsia="zh-CN"/>
          <w14:textFill>
            <w14:solidFill>
              <w14:schemeClr w14:val="tx1"/>
            </w14:solidFill>
          </w14:textFill>
        </w:rPr>
        <w:t>采购代理机构</w:t>
      </w:r>
      <w:r>
        <w:rPr>
          <w:rFonts w:hint="eastAsia" w:hAnsi="宋体" w:cs="宋体"/>
          <w:color w:val="000000" w:themeColor="text1"/>
          <w:sz w:val="24"/>
          <w14:textFill>
            <w14:solidFill>
              <w14:schemeClr w14:val="tx1"/>
            </w14:solidFill>
          </w14:textFill>
        </w:rPr>
        <w:t>不予受理：</w:t>
      </w:r>
    </w:p>
    <w:p>
      <w:pPr>
        <w:pStyle w:val="16"/>
        <w:spacing w:line="360" w:lineRule="auto"/>
        <w:ind w:firstLine="480" w:firstLineChars="200"/>
        <w:rPr>
          <w:rFonts w:hAnsi="宋体" w:cs="宋体"/>
          <w:snapToGrid/>
          <w:color w:val="000000" w:themeColor="text1"/>
          <w:kern w:val="2"/>
          <w:sz w:val="24"/>
          <w14:textFill>
            <w14:solidFill>
              <w14:schemeClr w14:val="tx1"/>
            </w14:solidFill>
          </w14:textFill>
        </w:rPr>
      </w:pPr>
      <w:r>
        <w:rPr>
          <w:rFonts w:hint="eastAsia" w:hAnsi="宋体" w:cs="宋体"/>
          <w:snapToGrid/>
          <w:color w:val="000000" w:themeColor="text1"/>
          <w:kern w:val="2"/>
          <w:sz w:val="24"/>
          <w14:textFill>
            <w14:solidFill>
              <w14:schemeClr w14:val="tx1"/>
            </w14:solidFill>
          </w14:textFill>
        </w:rPr>
        <w:t>4.3.2.1对招标文件提出质疑的，质疑期限为供应商获得招标文件之日或者招标文件公告期限届满之日起计算。</w:t>
      </w:r>
    </w:p>
    <w:p>
      <w:pPr>
        <w:pStyle w:val="33"/>
        <w:spacing w:line="360" w:lineRule="auto"/>
        <w:ind w:left="479" w:leftChars="228"/>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4.3.3</w:t>
      </w:r>
      <w:r>
        <w:rPr>
          <w:rFonts w:hint="eastAsia" w:hAnsi="宋体" w:cs="宋体"/>
          <w:color w:val="000000" w:themeColor="text1"/>
          <w:sz w:val="24"/>
          <w14:textFill>
            <w14:solidFill>
              <w14:schemeClr w14:val="tx1"/>
            </w14:solidFill>
          </w14:textFill>
        </w:rPr>
        <w:t>供应商提出质疑应当提交质疑函和必要的证明材料。质疑函应当包括下列内容：</w:t>
      </w:r>
    </w:p>
    <w:p>
      <w:pPr>
        <w:pStyle w:val="33"/>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4.3.3.1供应商的姓名或者名称、地址、邮编、联系人及联系电话；</w:t>
      </w:r>
    </w:p>
    <w:p>
      <w:pPr>
        <w:pStyle w:val="33"/>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4.3.3.2质疑项目的名称、编号；</w:t>
      </w:r>
    </w:p>
    <w:p>
      <w:pPr>
        <w:pStyle w:val="33"/>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4.3.3.3具体、明确的质疑事项和与质疑事项相关的请求；</w:t>
      </w:r>
    </w:p>
    <w:p>
      <w:pPr>
        <w:pStyle w:val="33"/>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4.3.3.4事实依据；</w:t>
      </w:r>
    </w:p>
    <w:p>
      <w:pPr>
        <w:pStyle w:val="33"/>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4.3.3.5必要的法律依据；</w:t>
      </w:r>
    </w:p>
    <w:p>
      <w:pPr>
        <w:pStyle w:val="33"/>
        <w:spacing w:line="360" w:lineRule="auto"/>
        <w:ind w:firstLine="960" w:firstLineChars="4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4.3.3.6提出质疑的日期。</w:t>
      </w:r>
    </w:p>
    <w:p>
      <w:pPr>
        <w:pStyle w:val="886"/>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质疑函范本及制作说明详见附件2。</w:t>
      </w:r>
    </w:p>
    <w:p>
      <w:pPr>
        <w:pStyle w:val="886"/>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4.3</w:t>
      </w:r>
      <w:r>
        <w:rPr>
          <w:rFonts w:hint="eastAsia"/>
          <w:color w:val="000000" w:themeColor="text1"/>
          <w14:textFill>
            <w14:solidFill>
              <w14:schemeClr w14:val="tx1"/>
            </w14:solidFill>
          </w14:textFill>
        </w:rPr>
        <w:t>.5采购人或者</w:t>
      </w:r>
      <w:r>
        <w:rPr>
          <w:rFonts w:hint="eastAsia"/>
          <w:color w:val="000000" w:themeColor="text1"/>
          <w:lang w:eastAsia="zh-CN"/>
          <w14:textFill>
            <w14:solidFill>
              <w14:schemeClr w14:val="tx1"/>
            </w14:solidFill>
          </w14:textFill>
        </w:rPr>
        <w:t>采购代理机构</w:t>
      </w:r>
      <w:r>
        <w:rPr>
          <w:rFonts w:hint="eastAsia"/>
          <w:color w:val="000000" w:themeColor="text1"/>
          <w14:textFill>
            <w14:solidFill>
              <w14:schemeClr w14:val="tx1"/>
            </w14:solidFill>
          </w14:textFill>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000000" w:themeColor="text1"/>
          <w:lang w:eastAsia="zh-CN"/>
          <w14:textFill>
            <w14:solidFill>
              <w14:schemeClr w14:val="tx1"/>
            </w14:solidFill>
          </w14:textFill>
        </w:rPr>
        <w:t>采购代理机构</w:t>
      </w:r>
      <w:r>
        <w:rPr>
          <w:rFonts w:hint="eastAsia"/>
          <w:color w:val="000000" w:themeColor="text1"/>
          <w14:textFill>
            <w14:solidFill>
              <w14:schemeClr w14:val="tx1"/>
            </w14:solidFill>
          </w14:textFill>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4.3</w:t>
      </w:r>
      <w:r>
        <w:rPr>
          <w:rFonts w:hint="eastAsia"/>
          <w:color w:val="000000" w:themeColor="text1"/>
          <w14:textFill>
            <w14:solidFill>
              <w14:schemeClr w14:val="tx1"/>
            </w14:solidFill>
          </w14:textFill>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4.4供应商投诉</w:t>
      </w:r>
    </w:p>
    <w:p>
      <w:pPr>
        <w:pStyle w:val="886"/>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4.4.1质疑供应商对采购人、</w:t>
      </w:r>
      <w:r>
        <w:rPr>
          <w:rFonts w:hint="eastAsia"/>
          <w:color w:val="000000" w:themeColor="text1"/>
          <w:lang w:eastAsia="zh-CN"/>
          <w14:textFill>
            <w14:solidFill>
              <w14:schemeClr w14:val="tx1"/>
            </w14:solidFill>
          </w14:textFill>
        </w:rPr>
        <w:t>采购代理机构</w:t>
      </w:r>
      <w:r>
        <w:rPr>
          <w:rFonts w:hint="eastAsia"/>
          <w:color w:val="000000" w:themeColor="text1"/>
          <w14:textFill>
            <w14:solidFill>
              <w14:schemeClr w14:val="tx1"/>
            </w14:solidFill>
          </w14:textFill>
        </w:rPr>
        <w:t>的答复不满意或者采购人、</w:t>
      </w:r>
      <w:r>
        <w:rPr>
          <w:rFonts w:hint="eastAsia"/>
          <w:color w:val="000000" w:themeColor="text1"/>
          <w:lang w:eastAsia="zh-CN"/>
          <w14:textFill>
            <w14:solidFill>
              <w14:schemeClr w14:val="tx1"/>
            </w14:solidFill>
          </w14:textFill>
        </w:rPr>
        <w:t>采购代理机构</w:t>
      </w:r>
      <w:r>
        <w:rPr>
          <w:rFonts w:hint="eastAsia"/>
          <w:color w:val="000000" w:themeColor="text1"/>
          <w14:textFill>
            <w14:solidFill>
              <w14:schemeClr w14:val="tx1"/>
            </w14:solidFill>
          </w14:textFill>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w:t>
      </w:r>
      <w:r>
        <w:rPr>
          <w:rFonts w:hint="eastAsia"/>
          <w:color w:val="000000" w:themeColor="text1"/>
          <w:lang w:val="zh-CN"/>
          <w14:textFill>
            <w14:solidFill>
              <w14:schemeClr w14:val="tx1"/>
            </w14:solidFill>
          </w14:textFill>
        </w:rPr>
        <w:t>2</w:t>
      </w:r>
      <w:r>
        <w:rPr>
          <w:rFonts w:hint="eastAsia"/>
          <w:color w:val="000000" w:themeColor="text1"/>
          <w14:textFill>
            <w14:solidFill>
              <w14:schemeClr w14:val="tx1"/>
            </w14:solidFill>
          </w14:textFill>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4.4.3供应商投诉应当有明确的请求和必要的证明材料。</w:t>
      </w:r>
    </w:p>
    <w:p>
      <w:pPr>
        <w:pStyle w:val="886"/>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4.4.4 以联合体形式参加政府采购活动的，其投诉应当由组成联合体的所有供应商共同提出。</w:t>
      </w:r>
    </w:p>
    <w:p>
      <w:pPr>
        <w:pStyle w:val="886"/>
        <w:shd w:val="clear" w:color="auto" w:fill="FFFFFF"/>
        <w:snapToGrid w:val="0"/>
        <w:spacing w:after="240" w:afterAutospacing="0" w:line="360" w:lineRule="auto"/>
        <w:ind w:firstLine="480" w:firstLineChars="2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投诉书范本及制作说明详见附件3。</w:t>
      </w:r>
    </w:p>
    <w:p>
      <w:pPr>
        <w:pStyle w:val="128"/>
        <w:snapToGrid w:val="0"/>
        <w:spacing w:before="0"/>
        <w:ind w:firstLine="360"/>
        <w:rPr>
          <w:rFonts w:ascii="宋体" w:hAnsi="宋体" w:cs="宋体"/>
          <w:color w:val="000000" w:themeColor="text1"/>
          <w:sz w:val="18"/>
          <w:szCs w:val="18"/>
          <w14:textFill>
            <w14:solidFill>
              <w14:schemeClr w14:val="tx1"/>
            </w14:solidFill>
          </w14:textFill>
        </w:rPr>
      </w:pPr>
    </w:p>
    <w:p>
      <w:pPr>
        <w:adjustRightInd/>
        <w:spacing w:line="360" w:lineRule="auto"/>
        <w:jc w:val="center"/>
        <w:outlineLvl w:val="0"/>
        <w:rPr>
          <w:rFonts w:ascii="宋体" w:hAnsi="宋体" w:cs="宋体"/>
          <w:b/>
          <w:color w:val="000000" w:themeColor="text1"/>
          <w:sz w:val="32"/>
          <w:szCs w:val="20"/>
          <w14:textFill>
            <w14:solidFill>
              <w14:schemeClr w14:val="tx1"/>
            </w14:solidFill>
          </w14:textFill>
        </w:rPr>
      </w:pPr>
      <w:r>
        <w:rPr>
          <w:rFonts w:hint="eastAsia" w:ascii="宋体" w:hAnsi="宋体" w:cs="宋体"/>
          <w:b/>
          <w:color w:val="000000" w:themeColor="text1"/>
          <w:sz w:val="32"/>
          <w:szCs w:val="20"/>
          <w14:textFill>
            <w14:solidFill>
              <w14:schemeClr w14:val="tx1"/>
            </w14:solidFill>
          </w14:textFill>
        </w:rPr>
        <w:t xml:space="preserve">      二、招标文件的构成、澄清、修改</w:t>
      </w:r>
    </w:p>
    <w:p>
      <w:pPr>
        <w:pStyle w:val="33"/>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5．招标文件的构成</w:t>
      </w:r>
    </w:p>
    <w:p>
      <w:pPr>
        <w:pStyle w:val="33"/>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 招标文件包括下列文件及附件：</w:t>
      </w:r>
    </w:p>
    <w:p>
      <w:pPr>
        <w:pStyle w:val="33"/>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5.1.1招标公告；</w:t>
      </w:r>
    </w:p>
    <w:p>
      <w:pPr>
        <w:pStyle w:val="33"/>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5.1.2投标人须知；</w:t>
      </w:r>
    </w:p>
    <w:p>
      <w:pPr>
        <w:pStyle w:val="33"/>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5.1.3采购需求；</w:t>
      </w:r>
    </w:p>
    <w:p>
      <w:pPr>
        <w:pStyle w:val="33"/>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5.1.4评标办法；</w:t>
      </w:r>
    </w:p>
    <w:p>
      <w:pPr>
        <w:pStyle w:val="33"/>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5.1.5拟签订的合同文本；</w:t>
      </w:r>
    </w:p>
    <w:p>
      <w:pPr>
        <w:pStyle w:val="33"/>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5.1.6</w:t>
      </w:r>
      <w:r>
        <w:rPr>
          <w:rFonts w:hint="eastAsia" w:hAnsi="宋体" w:cs="宋体"/>
          <w:color w:val="000000" w:themeColor="text1"/>
          <w:sz w:val="24"/>
          <w:szCs w:val="24"/>
          <w14:textFill>
            <w14:solidFill>
              <w14:schemeClr w14:val="tx1"/>
            </w14:solidFill>
          </w14:textFill>
        </w:rPr>
        <w:t>应提交的有关格式范例。</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5.2与本项目有关的</w:t>
      </w:r>
      <w:r>
        <w:rPr>
          <w:rFonts w:hint="eastAsia" w:ascii="宋体" w:hAnsi="宋体" w:cs="宋体"/>
          <w:bCs/>
          <w:color w:val="000000" w:themeColor="text1"/>
          <w:sz w:val="24"/>
          <w14:textFill>
            <w14:solidFill>
              <w14:schemeClr w14:val="tx1"/>
            </w14:solidFill>
          </w14:textFill>
        </w:rPr>
        <w:t>澄清或者修改的内容为招标文件的组成部分</w:t>
      </w:r>
      <w:r>
        <w:rPr>
          <w:rFonts w:hint="eastAsia" w:ascii="宋体" w:hAnsi="宋体" w:cs="宋体"/>
          <w:color w:val="000000" w:themeColor="text1"/>
          <w:sz w:val="24"/>
          <w14:textFill>
            <w14:solidFill>
              <w14:schemeClr w14:val="tx1"/>
            </w14:solidFill>
          </w14:textFill>
        </w:rPr>
        <w:t>。</w:t>
      </w:r>
    </w:p>
    <w:p>
      <w:pPr>
        <w:pStyle w:val="33"/>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6. 招标文件的澄清、修改</w:t>
      </w:r>
    </w:p>
    <w:p>
      <w:pPr>
        <w:pStyle w:val="128"/>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6.1已获取招标文件的潜在投标人，若有问题需要澄清，应于投标截止时间前，以书面形式向</w:t>
      </w:r>
      <w:r>
        <w:rPr>
          <w:rFonts w:hint="eastAsia" w:ascii="宋体" w:hAnsi="宋体" w:cs="宋体"/>
          <w:color w:val="000000" w:themeColor="text1"/>
          <w:lang w:eastAsia="zh-CN"/>
          <w14:textFill>
            <w14:solidFill>
              <w14:schemeClr w14:val="tx1"/>
            </w14:solidFill>
          </w14:textFill>
        </w:rPr>
        <w:t>采购代理机构</w:t>
      </w:r>
      <w:r>
        <w:rPr>
          <w:rFonts w:hint="eastAsia" w:ascii="宋体" w:hAnsi="宋体" w:cs="宋体"/>
          <w:color w:val="000000" w:themeColor="text1"/>
          <w14:textFill>
            <w14:solidFill>
              <w14:schemeClr w14:val="tx1"/>
            </w14:solidFill>
          </w14:textFill>
        </w:rPr>
        <w:t>提出。</w:t>
      </w:r>
    </w:p>
    <w:p>
      <w:pPr>
        <w:pStyle w:val="128"/>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6.2 </w:t>
      </w:r>
      <w:r>
        <w:rPr>
          <w:rFonts w:hint="eastAsia" w:ascii="宋体" w:hAnsi="宋体" w:cs="宋体"/>
          <w:color w:val="000000" w:themeColor="text1"/>
          <w:lang w:eastAsia="zh-CN"/>
          <w14:textFill>
            <w14:solidFill>
              <w14:schemeClr w14:val="tx1"/>
            </w14:solidFill>
          </w14:textFill>
        </w:rPr>
        <w:t>采购代理机构</w:t>
      </w:r>
      <w:r>
        <w:rPr>
          <w:rFonts w:hint="eastAsia" w:ascii="宋体" w:hAnsi="宋体" w:cs="宋体"/>
          <w:color w:val="000000" w:themeColor="text1"/>
          <w14:textFill>
            <w14:solidFill>
              <w14:schemeClr w14:val="tx1"/>
            </w14:solidFill>
          </w14:textFill>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color w:val="000000" w:themeColor="text1"/>
          <w:sz w:val="18"/>
          <w:szCs w:val="18"/>
          <w:lang w:val="en-US"/>
          <w14:textFill>
            <w14:solidFill>
              <w14:schemeClr w14:val="tx1"/>
            </w14:solidFill>
          </w14:textFill>
        </w:rPr>
      </w:pPr>
      <w:r>
        <w:rPr>
          <w:rFonts w:hint="eastAsia" w:hAnsi="宋体" w:cs="宋体"/>
          <w:color w:val="000000" w:themeColor="text1"/>
          <w:szCs w:val="24"/>
          <w:lang w:val="en-US"/>
          <w14:textFill>
            <w14:solidFill>
              <w14:schemeClr w14:val="tx1"/>
            </w14:solidFill>
          </w14:textFill>
        </w:rPr>
        <w:t xml:space="preserve">    </w:t>
      </w:r>
    </w:p>
    <w:p>
      <w:pPr>
        <w:adjustRightInd/>
        <w:spacing w:line="360" w:lineRule="auto"/>
        <w:jc w:val="center"/>
        <w:outlineLvl w:val="0"/>
        <w:rPr>
          <w:rFonts w:ascii="宋体" w:hAnsi="宋体" w:cs="宋体"/>
          <w:b/>
          <w:color w:val="000000" w:themeColor="text1"/>
          <w:sz w:val="30"/>
          <w:szCs w:val="20"/>
          <w14:textFill>
            <w14:solidFill>
              <w14:schemeClr w14:val="tx1"/>
            </w14:solidFill>
          </w14:textFill>
        </w:rPr>
      </w:pPr>
      <w:r>
        <w:rPr>
          <w:rFonts w:hint="eastAsia" w:ascii="宋体" w:hAnsi="宋体" w:cs="宋体"/>
          <w:b/>
          <w:color w:val="000000" w:themeColor="text1"/>
          <w:sz w:val="30"/>
          <w:szCs w:val="20"/>
          <w14:textFill>
            <w14:solidFill>
              <w14:schemeClr w14:val="tx1"/>
            </w14:solidFill>
          </w14:textFill>
        </w:rPr>
        <w:t>三、投标</w:t>
      </w:r>
    </w:p>
    <w:p>
      <w:pPr>
        <w:pStyle w:val="33"/>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7. 招标文件的获取</w:t>
      </w:r>
    </w:p>
    <w:p>
      <w:pPr>
        <w:spacing w:line="360" w:lineRule="auto"/>
        <w:ind w:firstLine="480" w:firstLineChars="200"/>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详见招标公告中获取招标文件的时间期限、地点、方式及招标文件售价。</w:t>
      </w:r>
    </w:p>
    <w:p>
      <w:pPr>
        <w:pStyle w:val="33"/>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8.开标前答疑会或现场考察</w:t>
      </w:r>
    </w:p>
    <w:p>
      <w:pPr>
        <w:pStyle w:val="33"/>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color w:val="000000" w:themeColor="text1"/>
          <w:szCs w:val="24"/>
          <w14:textFill>
            <w14:solidFill>
              <w14:schemeClr w14:val="tx1"/>
            </w14:solidFill>
          </w14:textFill>
        </w:rPr>
      </w:pPr>
      <w:r>
        <w:rPr>
          <w:rFonts w:hint="eastAsia" w:hAnsi="宋体" w:cs="宋体"/>
          <w:b/>
          <w:color w:val="000000" w:themeColor="text1"/>
          <w:kern w:val="28"/>
          <w:sz w:val="24"/>
          <w:szCs w:val="24"/>
          <w14:textFill>
            <w14:solidFill>
              <w14:schemeClr w14:val="tx1"/>
            </w14:solidFill>
          </w14:textFill>
        </w:rPr>
        <w:t>9.投标保证金</w:t>
      </w:r>
    </w:p>
    <w:p>
      <w:pPr>
        <w:pStyle w:val="16"/>
        <w:spacing w:line="360" w:lineRule="auto"/>
        <w:ind w:firstLine="470" w:firstLineChars="196"/>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本项目不需缴纳投标保证金。</w:t>
      </w:r>
    </w:p>
    <w:p>
      <w:pPr>
        <w:pStyle w:val="33"/>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10. 投标文件的语言</w:t>
      </w:r>
    </w:p>
    <w:p>
      <w:pPr>
        <w:autoSpaceDE w:val="0"/>
        <w:autoSpaceDN w:val="0"/>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投标文件及投标人与采购有关的来往通知、函件和文件均应使用中文。</w:t>
      </w:r>
    </w:p>
    <w:p>
      <w:pPr>
        <w:pStyle w:val="33"/>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11. 投标文件的组成</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hint="eastAsia" w:ascii="宋体" w:hAnsi="宋体" w:cs="宋体"/>
          <w:b/>
          <w:color w:val="000000" w:themeColor="text1"/>
          <w:sz w:val="24"/>
          <w14:textFill>
            <w14:solidFill>
              <w14:schemeClr w14:val="tx1"/>
            </w14:solidFill>
          </w14:textFill>
        </w:rPr>
        <w:t>资格文件</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11.1.1符合参加政府采购活动应当具备的一般条件的承诺函；</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ascii="宋体" w:hAnsi="宋体" w:cs="宋体"/>
          <w:color w:val="000000" w:themeColor="text1"/>
          <w:sz w:val="24"/>
          <w14:textFill>
            <w14:solidFill>
              <w14:schemeClr w14:val="tx1"/>
            </w14:solidFill>
          </w14:textFill>
        </w:rPr>
        <w:t>1.1.2</w:t>
      </w:r>
      <w:bookmarkStart w:id="17" w:name="_Hlk101259339"/>
      <w:r>
        <w:rPr>
          <w:rFonts w:hint="eastAsia" w:ascii="宋体" w:hAnsi="宋体" w:cs="宋体"/>
          <w:snapToGrid w:val="0"/>
          <w:color w:val="000000" w:themeColor="text1"/>
          <w:kern w:val="28"/>
          <w:sz w:val="24"/>
          <w:szCs w:val="20"/>
          <w14:textFill>
            <w14:solidFill>
              <w14:schemeClr w14:val="tx1"/>
            </w14:solidFill>
          </w14:textFill>
        </w:rPr>
        <w:t>联合协议</w:t>
      </w:r>
      <w:bookmarkEnd w:id="17"/>
      <w:r>
        <w:rPr>
          <w:rFonts w:hint="eastAsia" w:ascii="宋体" w:hAnsi="宋体" w:cs="宋体"/>
          <w:snapToGrid w:val="0"/>
          <w:color w:val="000000" w:themeColor="text1"/>
          <w:kern w:val="28"/>
          <w:sz w:val="24"/>
          <w:szCs w:val="20"/>
          <w14:textFill>
            <w14:solidFill>
              <w14:schemeClr w14:val="tx1"/>
            </w14:solidFill>
          </w14:textFill>
        </w:rPr>
        <w:t>（如果有)；</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落实政府采购政策需满足的资格要求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商务技术</w:t>
      </w:r>
      <w:r>
        <w:rPr>
          <w:rFonts w:hint="eastAsia" w:ascii="宋体" w:hAnsi="宋体" w:cs="宋体"/>
          <w:color w:val="000000" w:themeColor="text1"/>
          <w:sz w:val="24"/>
          <w:lang w:val="zh-CN"/>
          <w14:textFill>
            <w14:solidFill>
              <w14:schemeClr w14:val="tx1"/>
            </w14:solidFill>
          </w14:textFill>
        </w:rPr>
        <w:t>文件：</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11.2.1投标函；</w:t>
      </w:r>
      <w:r>
        <w:rPr>
          <w:rFonts w:hint="eastAsia" w:ascii="宋体" w:hAnsi="宋体" w:cs="宋体"/>
          <w:color w:val="000000" w:themeColor="text1"/>
          <w:sz w:val="24"/>
          <w:lang w:val="zh-CN"/>
          <w14:textFill>
            <w14:solidFill>
              <w14:schemeClr w14:val="tx1"/>
            </w14:solidFill>
          </w14:textFill>
        </w:rPr>
        <w:t xml:space="preserve"> </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11.2.2授权委托书或法定代表人（单位负责人、自然人本人）身份证明；</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分包意向协议</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符合性审查资料；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评标标准相应的商务技术资料；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投标标的清单；</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商务技术偏离表；</w:t>
      </w:r>
    </w:p>
    <w:p>
      <w:pPr>
        <w:snapToGrid w:val="0"/>
        <w:spacing w:line="360" w:lineRule="auto"/>
        <w:ind w:firstLine="960" w:firstLineChars="4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lang w:val="zh-CN"/>
          <w14:textFill>
            <w14:solidFill>
              <w14:schemeClr w14:val="tx1"/>
            </w14:solidFill>
          </w14:textFill>
        </w:rPr>
        <w:t>政府采购供应商廉洁自律承诺书；</w:t>
      </w:r>
    </w:p>
    <w:p>
      <w:pPr>
        <w:snapToGrid w:val="0"/>
        <w:spacing w:line="360" w:lineRule="auto"/>
        <w:ind w:firstLine="480" w:firstLineChars="200"/>
        <w:rPr>
          <w:rFonts w:ascii="宋体" w:hAnsi="宋体" w:cs="宋体"/>
          <w:color w:val="000000" w:themeColor="text1"/>
          <w:sz w:val="24"/>
          <w:u w:val="single"/>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11.</w:t>
      </w:r>
      <w:r>
        <w:rPr>
          <w:rFonts w:hint="eastAsia" w:ascii="宋体" w:hAnsi="宋体" w:cs="宋体"/>
          <w:color w:val="000000" w:themeColor="text1"/>
          <w:kern w:val="0"/>
          <w:sz w:val="24"/>
          <w14:textFill>
            <w14:solidFill>
              <w14:schemeClr w14:val="tx1"/>
            </w14:solidFill>
          </w14:textFill>
        </w:rPr>
        <w:t>3</w:t>
      </w:r>
      <w:r>
        <w:rPr>
          <w:rFonts w:hint="eastAsia" w:ascii="宋体" w:hAnsi="宋体" w:cs="宋体"/>
          <w:b/>
          <w:color w:val="000000" w:themeColor="text1"/>
          <w:sz w:val="24"/>
          <w14:textFill>
            <w14:solidFill>
              <w14:schemeClr w14:val="tx1"/>
            </w14:solidFill>
          </w14:textFill>
        </w:rPr>
        <w:t>报价文件：</w:t>
      </w:r>
      <w:r>
        <w:rPr>
          <w:rFonts w:hint="eastAsia" w:ascii="宋体" w:hAnsi="宋体" w:cs="宋体"/>
          <w:color w:val="000000" w:themeColor="text1"/>
          <w:sz w:val="24"/>
          <w14:textFill>
            <w14:solidFill>
              <w14:schemeClr w14:val="tx1"/>
            </w14:solidFill>
          </w14:textFill>
        </w:rPr>
        <w:t xml:space="preserve"> </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11.3.1开标一览表（报价表）；</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11.3.2中小企业声明函</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pacing w:line="360" w:lineRule="auto"/>
        <w:ind w:firstLine="723" w:firstLineChars="3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投标文件含有采购人不能接受的附加条件的，投标无效；</w:t>
      </w:r>
    </w:p>
    <w:p>
      <w:pPr>
        <w:spacing w:line="360" w:lineRule="auto"/>
        <w:ind w:firstLine="723" w:firstLineChars="300"/>
        <w:rPr>
          <w:rFonts w:ascii="宋体" w:hAnsi="宋体" w:cs="宋体"/>
          <w:b/>
          <w:color w:val="000000" w:themeColor="text1"/>
          <w:sz w:val="24"/>
          <w:szCs w:val="21"/>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投标人提供虚假材料投标的，投标无效。</w:t>
      </w:r>
    </w:p>
    <w:p>
      <w:pPr>
        <w:pStyle w:val="128"/>
        <w:snapToGrid w:val="0"/>
        <w:spacing w:before="0"/>
        <w:ind w:firstLine="0" w:firstLineChars="0"/>
        <w:outlineLvl w:val="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12</w:t>
      </w:r>
      <w:r>
        <w:rPr>
          <w:rFonts w:hint="eastAsia" w:ascii="宋体" w:hAnsi="宋体" w:cs="宋体"/>
          <w:b/>
          <w:color w:val="000000" w:themeColor="text1"/>
          <w:kern w:val="0"/>
          <w:szCs w:val="24"/>
          <w:lang w:val="zh-CN"/>
          <w14:textFill>
            <w14:solidFill>
              <w14:schemeClr w14:val="tx1"/>
            </w14:solidFill>
          </w14:textFill>
        </w:rPr>
        <w:t xml:space="preserve">. </w:t>
      </w:r>
      <w:r>
        <w:rPr>
          <w:rFonts w:hint="eastAsia" w:ascii="宋体" w:hAnsi="宋体" w:cs="宋体"/>
          <w:b/>
          <w:color w:val="000000" w:themeColor="text1"/>
          <w:szCs w:val="24"/>
          <w14:textFill>
            <w14:solidFill>
              <w14:schemeClr w14:val="tx1"/>
            </w14:solidFill>
          </w14:textFill>
        </w:rPr>
        <w:t>投标文件的编制</w:t>
      </w:r>
    </w:p>
    <w:p>
      <w:pPr>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13.投标文件的签署、盖章</w:t>
      </w:r>
    </w:p>
    <w:p>
      <w:pPr>
        <w:pStyle w:val="128"/>
        <w:snapToGrid w:val="0"/>
        <w:spacing w:before="0"/>
        <w:ind w:firstLine="480"/>
        <w:rPr>
          <w:rFonts w:ascii="宋体" w:hAnsi="宋体" w:cs="宋体"/>
          <w:b/>
          <w:color w:val="000000" w:themeColor="text1"/>
          <w14:textFill>
            <w14:solidFill>
              <w14:schemeClr w14:val="tx1"/>
            </w14:solidFill>
          </w14:textFill>
        </w:rPr>
      </w:pPr>
      <w:r>
        <w:rPr>
          <w:rFonts w:hint="eastAsia" w:ascii="宋体" w:hAnsi="宋体" w:cs="宋体"/>
          <w:color w:val="000000" w:themeColor="text1"/>
          <w:szCs w:val="24"/>
          <w14:textFill>
            <w14:solidFill>
              <w14:schemeClr w14:val="tx1"/>
            </w14:solidFill>
          </w14:textFill>
        </w:rPr>
        <w:t>13.1投标文件按照招标文件第六部分格式要</w:t>
      </w:r>
      <w:r>
        <w:rPr>
          <w:rFonts w:hint="eastAsia" w:ascii="宋体" w:hAnsi="宋体" w:cs="宋体"/>
          <w:color w:val="000000" w:themeColor="text1"/>
          <w14:textFill>
            <w14:solidFill>
              <w14:schemeClr w14:val="tx1"/>
            </w14:solidFill>
          </w14:textFill>
        </w:rPr>
        <w:t>求进行签署、盖章。</w:t>
      </w:r>
      <w:r>
        <w:rPr>
          <w:rFonts w:hint="eastAsia" w:ascii="宋体" w:hAnsi="宋体" w:cs="宋体"/>
          <w:b/>
          <w:color w:val="000000" w:themeColor="text1"/>
          <w14:textFill>
            <w14:solidFill>
              <w14:schemeClr w14:val="tx1"/>
            </w14:solidFill>
          </w14:textFill>
        </w:rPr>
        <w:t>▲投标人的投标文件未按照招标文件要求签署、盖章的，其投标无效</w:t>
      </w:r>
      <w:r>
        <w:rPr>
          <w:rFonts w:hint="eastAsia" w:ascii="宋体" w:hAnsi="宋体" w:cs="宋体"/>
          <w:color w:val="000000" w:themeColor="text1"/>
          <w:szCs w:val="24"/>
          <w14:textFill>
            <w14:solidFill>
              <w14:schemeClr w14:val="tx1"/>
            </w14:solidFill>
          </w14:textFill>
        </w:rPr>
        <w:t>。</w:t>
      </w:r>
    </w:p>
    <w:p>
      <w:pPr>
        <w:pStyle w:val="128"/>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14:textFill>
            <w14:solidFill>
              <w14:schemeClr w14:val="tx1"/>
            </w14:solidFill>
          </w14:textFill>
        </w:rPr>
        <w:t>13.3招标文件对投标文件签署、盖章的要求适用于电子签名。</w:t>
      </w:r>
    </w:p>
    <w:p>
      <w:pPr>
        <w:pStyle w:val="128"/>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14. 投标文件的提交、补充、修改、撤回</w:t>
      </w:r>
    </w:p>
    <w:p>
      <w:pPr>
        <w:pStyle w:val="128"/>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3"/>
        <w:spacing w:line="360" w:lineRule="auto"/>
        <w:rPr>
          <w:rFonts w:hAnsi="宋体" w:cs="宋体"/>
          <w:b/>
          <w:sz w:val="24"/>
          <w:szCs w:val="24"/>
        </w:rPr>
      </w:pPr>
      <w:r>
        <w:rPr>
          <w:rFonts w:hint="eastAsia" w:hAnsi="宋体" w:cs="宋体"/>
          <w:b/>
          <w:sz w:val="24"/>
          <w:szCs w:val="24"/>
        </w:rPr>
        <w:t>15.备份投标文件</w:t>
      </w:r>
    </w:p>
    <w:p>
      <w:pPr>
        <w:pStyle w:val="33"/>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3"/>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8"/>
        <w:spacing w:before="0"/>
        <w:ind w:firstLine="0" w:firstLineChars="0"/>
        <w:rPr>
          <w:rFonts w:ascii="宋体" w:hAnsi="宋体" w:cs="宋体"/>
          <w:b/>
          <w:szCs w:val="24"/>
        </w:rPr>
      </w:pPr>
      <w:r>
        <w:rPr>
          <w:rFonts w:hint="eastAsia" w:ascii="宋体" w:hAnsi="宋体" w:cs="宋体"/>
          <w:b/>
          <w:szCs w:val="24"/>
        </w:rPr>
        <w:t>16.投标文件的无效处理</w:t>
      </w:r>
    </w:p>
    <w:p>
      <w:pPr>
        <w:pStyle w:val="25"/>
        <w:spacing w:line="360" w:lineRule="auto"/>
        <w:ind w:firstLine="360" w:firstLineChars="150"/>
        <w:rPr>
          <w:rFonts w:cs="宋体"/>
          <w:szCs w:val="21"/>
        </w:rPr>
      </w:pPr>
      <w:r>
        <w:rPr>
          <w:rFonts w:hint="eastAsia" w:cs="宋体"/>
          <w:szCs w:val="21"/>
        </w:rPr>
        <w:t>有招标文件第四部分</w:t>
      </w:r>
      <w:r>
        <w:rPr>
          <w:rFonts w:cs="宋体"/>
        </w:rPr>
        <w:t>4.2规定</w:t>
      </w:r>
      <w:r>
        <w:rPr>
          <w:rFonts w:hint="eastAsia" w:cs="宋体"/>
          <w:szCs w:val="21"/>
        </w:rPr>
        <w:t>的情形之一的，投标无效：</w:t>
      </w:r>
    </w:p>
    <w:p>
      <w:pPr>
        <w:pStyle w:val="12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8"/>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sz w:val="32"/>
        </w:rPr>
      </w:pPr>
    </w:p>
    <w:p>
      <w:pPr>
        <w:pStyle w:val="128"/>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128"/>
        <w:spacing w:before="0"/>
        <w:ind w:firstLine="0" w:firstLineChars="0"/>
        <w:rPr>
          <w:rFonts w:ascii="宋体" w:hAnsi="宋体" w:cs="宋体"/>
          <w:b/>
          <w:szCs w:val="24"/>
        </w:rPr>
      </w:pPr>
      <w:r>
        <w:rPr>
          <w:rFonts w:hint="eastAsia" w:ascii="宋体" w:hAnsi="宋体" w:cs="宋体"/>
          <w:b/>
          <w:szCs w:val="24"/>
        </w:rPr>
        <w:t>20、信用信息查询</w:t>
      </w:r>
    </w:p>
    <w:p>
      <w:pPr>
        <w:pStyle w:val="12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将在资格审查时通过“信用中国”网站(www.creditchina.gov.cn)、中国政府采购网(www.ccgp.gov.cn)渠道查询投标人接受资格审查时的信用记录。</w:t>
      </w:r>
    </w:p>
    <w:p>
      <w:pPr>
        <w:pStyle w:val="12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8"/>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8"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5"/>
        <w:spacing w:line="360" w:lineRule="auto"/>
        <w:ind w:left="479" w:hanging="479" w:hangingChars="199"/>
        <w:rPr>
          <w:rFonts w:cs="宋体"/>
          <w:b/>
        </w:rPr>
      </w:pPr>
      <w:r>
        <w:rPr>
          <w:rFonts w:hint="eastAsia" w:cs="宋体"/>
          <w:b/>
        </w:rPr>
        <w:t>22. 确定中标供应商</w:t>
      </w:r>
    </w:p>
    <w:p>
      <w:pPr>
        <w:pStyle w:val="128"/>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5"/>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5"/>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b/>
          <w:bCs/>
          <w:sz w:val="24"/>
          <w:lang w:eastAsia="zh-CN"/>
        </w:rPr>
        <w:t>（</w:t>
      </w:r>
      <w:r>
        <w:rPr>
          <w:rFonts w:hint="eastAsia" w:ascii="宋体" w:hAnsi="宋体" w:cs="宋体"/>
          <w:b/>
          <w:bCs/>
          <w:sz w:val="24"/>
          <w:lang w:val="en-US" w:eastAsia="zh-CN"/>
        </w:rPr>
        <w:t>本项目不收取履约保证金</w:t>
      </w:r>
      <w:r>
        <w:rPr>
          <w:rFonts w:hint="eastAsia" w:ascii="宋体" w:hAnsi="宋体" w:cs="宋体"/>
          <w:b/>
          <w:bCs/>
          <w:sz w:val="24"/>
          <w:lang w:eastAsia="zh-CN"/>
        </w:rPr>
        <w:t>）</w:t>
      </w:r>
      <w:r>
        <w:rPr>
          <w:rFonts w:hint="eastAsia" w:ascii="宋体" w:hAnsi="宋体" w:cs="宋体"/>
          <w:sz w:val="24"/>
        </w:rPr>
        <w:t>，</w:t>
      </w:r>
      <w:r>
        <w:rPr>
          <w:rFonts w:hint="eastAsia" w:ascii="宋体" w:hAnsi="宋体" w:cs="宋体"/>
          <w:kern w:val="2"/>
          <w:sz w:val="24"/>
          <w:highlight w:val="none"/>
        </w:rPr>
        <w:t>鼓励根据项目特点、供应商诚信等因素免收履约保证金或降低缴纳比例</w:t>
      </w:r>
      <w:r>
        <w:rPr>
          <w:rFonts w:hint="eastAsia" w:ascii="宋体" w:hAnsi="宋体" w:cs="宋体"/>
          <w:kern w:val="2"/>
          <w:sz w:val="24"/>
        </w:rPr>
        <w:t>。</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4"/>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highlight w:val="none"/>
        </w:rPr>
      </w:pPr>
      <w:r>
        <w:rPr>
          <w:rFonts w:ascii="宋体" w:hAnsi="宋体" w:eastAsia="宋体" w:cs="Times New Roman"/>
          <w:b/>
          <w:bCs/>
          <w:kern w:val="2"/>
          <w:sz w:val="24"/>
          <w:szCs w:val="32"/>
          <w:highlight w:val="none"/>
          <w:lang w:val="en-US"/>
        </w:rPr>
        <w:t>27.预付款</w:t>
      </w:r>
    </w:p>
    <w:p>
      <w:pPr>
        <w:adjustRightInd/>
        <w:spacing w:line="360" w:lineRule="auto"/>
        <w:ind w:firstLine="480" w:firstLineChars="200"/>
        <w:rPr>
          <w:highlight w:val="none"/>
        </w:rPr>
      </w:pPr>
      <w:r>
        <w:rPr>
          <w:rFonts w:hint="eastAsia" w:ascii="宋体" w:hAnsi="宋体" w:cs="Times New Roman"/>
          <w:kern w:val="2"/>
          <w:sz w:val="24"/>
          <w:highlight w:val="none"/>
        </w:rPr>
        <w:t>采购单位应当在政府采购合同中约定预付款，对中小企业合同预付款比例原则上不低于合同金额的</w:t>
      </w:r>
      <w:r>
        <w:rPr>
          <w:rFonts w:ascii="宋体" w:hAnsi="宋体" w:cs="Times New Roman"/>
          <w:kern w:val="2"/>
          <w:sz w:val="24"/>
          <w:highlight w:val="none"/>
        </w:rPr>
        <w:t>40％</w:t>
      </w:r>
      <w:r>
        <w:rPr>
          <w:rFonts w:hint="eastAsia" w:ascii="宋体" w:hAnsi="宋体" w:cs="Times New Roman"/>
          <w:kern w:val="2"/>
          <w:sz w:val="24"/>
          <w:highlight w:val="none"/>
        </w:rPr>
        <w:t>，不高于合同金额的</w:t>
      </w:r>
      <w:r>
        <w:rPr>
          <w:rFonts w:ascii="宋体" w:hAnsi="宋体" w:cs="Times New Roman"/>
          <w:kern w:val="2"/>
          <w:sz w:val="24"/>
          <w:highlight w:val="none"/>
        </w:rPr>
        <w:t>70%；项目分年安排预算的，每年预付款比例</w:t>
      </w:r>
      <w:r>
        <w:rPr>
          <w:rFonts w:hint="eastAsia" w:ascii="宋体" w:hAnsi="宋体"/>
          <w:sz w:val="24"/>
        </w:rPr>
        <w:t>不低于</w:t>
      </w:r>
      <w:r>
        <w:rPr>
          <w:rFonts w:ascii="宋体" w:hAnsi="宋体" w:cs="Times New Roman"/>
          <w:kern w:val="2"/>
          <w:sz w:val="24"/>
          <w:highlight w:val="none"/>
        </w:rPr>
        <w:t>项目年度计划支付资金额的40％</w:t>
      </w:r>
      <w:r>
        <w:rPr>
          <w:rFonts w:hint="eastAsia" w:ascii="宋体" w:hAnsi="宋体" w:cs="Times New Roman"/>
          <w:kern w:val="2"/>
          <w:sz w:val="24"/>
          <w:highlight w:val="none"/>
        </w:rPr>
        <w:t>，不高于合同金额的</w:t>
      </w:r>
      <w:r>
        <w:rPr>
          <w:rFonts w:ascii="宋体" w:hAnsi="宋体" w:cs="Times New Roman"/>
          <w:kern w:val="2"/>
          <w:sz w:val="24"/>
          <w:highlight w:val="none"/>
        </w:rPr>
        <w:t>70%；采购项目实施以人工投入为主的，</w:t>
      </w:r>
      <w:r>
        <w:rPr>
          <w:rFonts w:hint="eastAsia" w:ascii="宋体" w:hAnsi="宋体" w:cs="Times New Roman"/>
          <w:kern w:val="2"/>
          <w:sz w:val="24"/>
          <w:highlight w:val="none"/>
        </w:rPr>
        <w:t>可适当降低预付款比例，但不得低于</w:t>
      </w:r>
      <w:r>
        <w:rPr>
          <w:rFonts w:ascii="宋体" w:hAnsi="宋体" w:cs="Times New Roman"/>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kern w:val="2"/>
          <w:sz w:val="24"/>
          <w:highlight w:val="none"/>
        </w:rPr>
        <w:t>供应商</w:t>
      </w:r>
      <w:r>
        <w:rPr>
          <w:rFonts w:ascii="宋体" w:hAnsi="宋体" w:cs="Times New Roman"/>
          <w:kern w:val="2"/>
          <w:sz w:val="24"/>
          <w:highlight w:val="none"/>
        </w:rPr>
        <w:t>明确表示无需预付款或者主动要求降低预付款比例的，</w:t>
      </w:r>
      <w:r>
        <w:rPr>
          <w:rFonts w:hint="eastAsia" w:ascii="宋体" w:hAnsi="宋体" w:cs="Times New Roman"/>
          <w:kern w:val="2"/>
          <w:sz w:val="24"/>
          <w:highlight w:val="none"/>
        </w:rPr>
        <w:t>采购单位</w:t>
      </w:r>
      <w:r>
        <w:rPr>
          <w:rFonts w:ascii="宋体" w:hAnsi="宋体" w:cs="Times New Roman"/>
          <w:kern w:val="2"/>
          <w:sz w:val="24"/>
          <w:highlight w:val="none"/>
        </w:rPr>
        <w:t>可不适用前述规定。</w:t>
      </w:r>
      <w:r>
        <w:rPr>
          <w:rFonts w:hint="eastAsia" w:ascii="宋体" w:hAnsi="宋体" w:cs="Times New Roman"/>
          <w:kern w:val="2"/>
          <w:sz w:val="24"/>
          <w:highlight w:val="none"/>
        </w:rPr>
        <w:t>采购单位</w:t>
      </w:r>
      <w:r>
        <w:rPr>
          <w:rFonts w:ascii="宋体" w:hAnsi="宋体" w:cs="Times New Roman"/>
          <w:kern w:val="2"/>
          <w:sz w:val="24"/>
          <w:highlight w:val="none"/>
        </w:rPr>
        <w:t>根据项目特点、供应商诚信等因素，可以要求</w:t>
      </w:r>
      <w:r>
        <w:rPr>
          <w:rFonts w:hint="eastAsia" w:ascii="宋体" w:hAnsi="宋体" w:cs="Times New Roman"/>
          <w:kern w:val="2"/>
          <w:sz w:val="24"/>
          <w:highlight w:val="none"/>
        </w:rPr>
        <w:t>供应商</w:t>
      </w:r>
      <w:r>
        <w:rPr>
          <w:rFonts w:ascii="宋体" w:hAnsi="宋体" w:cs="Times New Roman"/>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kern w:val="2"/>
          <w:sz w:val="24"/>
          <w:highlight w:val="none"/>
        </w:rPr>
        <w:t xml:space="preserve"> - </w:t>
      </w:r>
      <w:r>
        <w:rPr>
          <w:rFonts w:hint="eastAsia" w:ascii="宋体" w:hAnsi="宋体" w:cs="Times New Roman"/>
          <w:kern w:val="2"/>
          <w:sz w:val="24"/>
          <w:highlight w:val="none"/>
        </w:rPr>
        <w:t>【保函保险服务】出具预付款保函，具体步骤：选择产品—填写供应商信息—选择中标项目—确认信息—等待保险</w:t>
      </w:r>
      <w:r>
        <w:rPr>
          <w:rFonts w:ascii="宋体" w:hAnsi="宋体" w:cs="Times New Roman"/>
          <w:kern w:val="2"/>
          <w:sz w:val="24"/>
          <w:highlight w:val="none"/>
        </w:rPr>
        <w:t>/保函受理—确认保单—支付保费—成功出单。政</w:t>
      </w:r>
      <w:r>
        <w:rPr>
          <w:rFonts w:hint="eastAsia" w:ascii="宋体" w:hAnsi="宋体" w:cs="Times New Roman"/>
          <w:kern w:val="2"/>
          <w:sz w:val="24"/>
          <w:highlight w:val="none"/>
        </w:rPr>
        <w:t>采云金融专线</w:t>
      </w:r>
      <w:r>
        <w:rPr>
          <w:rFonts w:ascii="宋体" w:hAnsi="宋体" w:cs="Times New Roman"/>
          <w:kern w:val="2"/>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8"/>
        <w:snapToGrid w:val="0"/>
        <w:spacing w:before="0"/>
        <w:ind w:firstLine="0" w:firstLineChars="0"/>
        <w:rPr>
          <w:rFonts w:ascii="宋体" w:hAnsi="宋体" w:cs="宋体"/>
        </w:rPr>
      </w:pPr>
      <w:r>
        <w:rPr>
          <w:rFonts w:ascii="宋体" w:hAnsi="宋体" w:cs="宋体"/>
          <w:b/>
          <w:bCs/>
          <w:kern w:val="2"/>
          <w:sz w:val="24"/>
          <w:szCs w:val="20"/>
        </w:rPr>
        <w:t>2</w:t>
      </w:r>
      <w:r>
        <w:rPr>
          <w:rFonts w:ascii="宋体" w:hAnsi="宋体" w:cs="宋体"/>
          <w:b/>
          <w:bCs/>
          <w:kern w:val="2"/>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28"/>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28"/>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28"/>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5"/>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9" w:name="_Hlt75236011"/>
      <w:bookmarkEnd w:id="19"/>
      <w:bookmarkStart w:id="20" w:name="_Hlt68057669"/>
      <w:bookmarkEnd w:id="20"/>
      <w:bookmarkStart w:id="21" w:name="_Hlt74729768"/>
      <w:bookmarkEnd w:id="21"/>
      <w:bookmarkStart w:id="22" w:name="_Hlt74707468"/>
      <w:bookmarkEnd w:id="22"/>
      <w:bookmarkStart w:id="23" w:name="_Hlt68072998"/>
      <w:bookmarkEnd w:id="23"/>
      <w:bookmarkStart w:id="24" w:name="_Hlt74714665"/>
      <w:bookmarkEnd w:id="24"/>
      <w:bookmarkStart w:id="25" w:name="_Hlt68072990"/>
      <w:bookmarkEnd w:id="25"/>
      <w:bookmarkStart w:id="26" w:name="_Hlt68073093"/>
      <w:bookmarkEnd w:id="26"/>
      <w:bookmarkStart w:id="27" w:name="_Hlt68403820"/>
      <w:bookmarkEnd w:id="27"/>
      <w:bookmarkStart w:id="28" w:name="_Hlt75236290"/>
      <w:bookmarkEnd w:id="28"/>
      <w:bookmarkStart w:id="29" w:name="_Hlt74730295"/>
      <w:bookmarkEnd w:id="29"/>
      <w:bookmarkStart w:id="30" w:name="_Hlt75236101"/>
      <w:bookmarkEnd w:id="30"/>
    </w:p>
    <w:bookmarkEnd w:id="13"/>
    <w:bookmarkEnd w:id="14"/>
    <w:p>
      <w:pPr>
        <w:spacing w:line="360" w:lineRule="auto"/>
        <w:jc w:val="center"/>
        <w:outlineLvl w:val="0"/>
        <w:rPr>
          <w:rFonts w:ascii="宋体" w:hAnsi="宋体" w:cs="宋体"/>
          <w:b/>
          <w:sz w:val="36"/>
          <w:szCs w:val="36"/>
        </w:rPr>
      </w:pPr>
      <w:bookmarkStart w:id="31" w:name="第四部分"/>
      <w:r>
        <w:rPr>
          <w:rFonts w:hint="eastAsia" w:ascii="宋体" w:hAnsi="宋体" w:cs="宋体"/>
          <w:b/>
          <w:sz w:val="36"/>
          <w:szCs w:val="36"/>
        </w:rPr>
        <w:t>第三部分   采购需求</w:t>
      </w:r>
    </w:p>
    <w:p>
      <w:pPr>
        <w:snapToGrid w:val="0"/>
        <w:spacing w:line="360" w:lineRule="auto"/>
        <w:jc w:val="left"/>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一、工程概况</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本招标项目的材料、施工技术要求须按采购文件、设计图纸规定；采购文件、施工图纸未作明确要求的，须达到现行中华人民共和国以及省、市或行业的工程建设标准、规范的要求。</w:t>
      </w:r>
    </w:p>
    <w:p>
      <w:pPr>
        <w:widowControl/>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本项目为杭州市丁桥医院手术室二期防护及净化系统设备采购及安装，大楼为框剪结构</w:t>
      </w:r>
    </w:p>
    <w:p>
      <w:pPr>
        <w:widowControl/>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1、中心手术部位于医技楼四层，设备层设置于五层，本次系统安装范围如下：</w:t>
      </w:r>
    </w:p>
    <w:p>
      <w:pPr>
        <w:widowControl/>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I级DSA复合手术室 OR18</w:t>
      </w:r>
    </w:p>
    <w:p>
      <w:pPr>
        <w:widowControl/>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II</w:t>
      </w:r>
      <w:r>
        <w:rPr>
          <w:rFonts w:hint="eastAsia" w:asciiTheme="minorEastAsia" w:hAnsiTheme="minorEastAsia" w:eastAsiaTheme="minorEastAsia" w:cstheme="minorEastAsia"/>
          <w:szCs w:val="21"/>
          <w:lang w:val="en-US" w:eastAsia="zh-CN"/>
        </w:rPr>
        <w:t>s</w:t>
      </w:r>
      <w:r>
        <w:rPr>
          <w:rFonts w:hint="eastAsia" w:asciiTheme="minorEastAsia" w:hAnsiTheme="minorEastAsia" w:eastAsiaTheme="minorEastAsia" w:cstheme="minorEastAsia"/>
          <w:szCs w:val="21"/>
        </w:rPr>
        <w:t>I级CT诊查室</w:t>
      </w:r>
    </w:p>
    <w:p>
      <w:pPr>
        <w:widowControl/>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II级机器人复合手术室 OP19</w:t>
      </w:r>
    </w:p>
    <w:p>
      <w:pPr>
        <w:widowControl/>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特殊要求：DSA复合手术室（4个铅当量）：OP18</w:t>
      </w:r>
    </w:p>
    <w:p>
      <w:pPr>
        <w:widowControl/>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CT诊查室室：（4个铅当量）</w:t>
      </w:r>
    </w:p>
    <w:p>
      <w:pPr>
        <w:widowControl/>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空调设备机房：手术部设备机房设置于位于医技楼五层，需考虑部分系统与一期对接。</w:t>
      </w:r>
    </w:p>
    <w:p>
      <w:pPr>
        <w:widowControl/>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2、本次装修设计区域面积29</w:t>
      </w: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平方米，原功能为手术室，现仍为手术室，不涉及外立面、功能、防火分区、疏散走道、楼梯间等改变。</w:t>
      </w:r>
    </w:p>
    <w:p>
      <w:pPr>
        <w:widowControl/>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3、本项目纳入采购人委托的监理管理，中标人需遵从监理管理相关约定，上报监理需要的材料报表、每月的工程量、施工进度等。</w:t>
      </w:r>
    </w:p>
    <w:p>
      <w:pPr>
        <w:snapToGrid w:val="0"/>
        <w:spacing w:line="360" w:lineRule="auto"/>
        <w:jc w:val="left"/>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二、总体技术要求</w:t>
      </w:r>
    </w:p>
    <w:p>
      <w:pPr>
        <w:widowControl/>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总体原则是：洁污分明，配套设施完善，功能与设施先进完备。</w:t>
      </w:r>
    </w:p>
    <w:p>
      <w:pPr>
        <w:widowControl/>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范围内的设计、施工工艺、设备及材料的选择都应具有先进性，满足现代化医院的使用要求。设备及工艺的安排应具有先进性、高可靠性、实用性、经济性与合理性。全部技术指标，包括设备、材料、包装、运输、安装、调试、维修等各项目技术参数，必须符合本采购文件及国家最新的相关专业的规范要求。</w:t>
      </w:r>
    </w:p>
    <w:p>
      <w:pPr>
        <w:widowControl/>
        <w:snapToGri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如果国家有新的行业标准公布，则按新标准执行。</w:t>
      </w:r>
    </w:p>
    <w:p>
      <w:pPr>
        <w:widowControl/>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投标人应以采购人提供招标图纸为基础，根据采购文件的要求，实施招标范围内的所有，本工程为交钥匙工程。</w:t>
      </w:r>
    </w:p>
    <w:p>
      <w:pPr>
        <w:snapToGrid w:val="0"/>
        <w:spacing w:line="360" w:lineRule="auto"/>
        <w:jc w:val="left"/>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三、工程范围及界面</w:t>
      </w:r>
    </w:p>
    <w:p>
      <w:pPr>
        <w:widowControl/>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本次招标具体范围如下：</w:t>
      </w:r>
    </w:p>
    <w:p>
      <w:pPr>
        <w:widowControl/>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范围包括本项目</w:t>
      </w:r>
      <w:r>
        <w:rPr>
          <w:rFonts w:hint="eastAsia" w:asciiTheme="minorEastAsia" w:hAnsiTheme="minorEastAsia" w:eastAsiaTheme="minorEastAsia" w:cstheme="minorEastAsia"/>
          <w:lang w:eastAsia="zh-Hans"/>
        </w:rPr>
        <w:t>净化系统配套建设及装饰装修工程，</w:t>
      </w:r>
      <w:r>
        <w:rPr>
          <w:rFonts w:hint="eastAsia" w:asciiTheme="minorEastAsia" w:hAnsiTheme="minorEastAsia" w:eastAsiaTheme="minorEastAsia" w:cstheme="minorEastAsia"/>
        </w:rPr>
        <w:t>包括但不限于净化空调系统工程、弱电系统工程、强电系统工程、建筑装饰工程、医用气体系统工程等。具体包括前述工程内的施工、设备和材料的采购、产品制造、系统测试、运输、安装、调试、有效可靠的试运行、系统完善、培训操作和维修人员、提交</w:t>
      </w:r>
      <w:r>
        <w:rPr>
          <w:rFonts w:hint="eastAsia" w:asciiTheme="minorEastAsia" w:hAnsiTheme="minorEastAsia" w:eastAsiaTheme="minorEastAsia" w:cstheme="minorEastAsia"/>
          <w:lang w:eastAsia="zh-Hans"/>
        </w:rPr>
        <w:t>净化系统和配套建设及装饰装修工程</w:t>
      </w:r>
      <w:r>
        <w:rPr>
          <w:rFonts w:hint="eastAsia" w:asciiTheme="minorEastAsia" w:hAnsiTheme="minorEastAsia" w:eastAsiaTheme="minorEastAsia" w:cstheme="minorEastAsia"/>
        </w:rPr>
        <w:t>竣工图纸、负责完成验收、资料提交、质保服务等，以及所有其他为系统正常运行所需必要的项目。</w:t>
      </w:r>
    </w:p>
    <w:p>
      <w:pPr>
        <w:widowControl/>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2、中标人必须无条件配合采购人完成手术室内DSA、CT设备的施工。</w:t>
      </w:r>
    </w:p>
    <w:p>
      <w:pPr>
        <w:widowControl/>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3、施工界面：以浙江新空间建筑设计有限公司设计的图纸为准，有特殊要求的，以设计院设计的图纸划分施工界面。</w:t>
      </w:r>
    </w:p>
    <w:p>
      <w:pPr>
        <w:widowControl/>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4、本项目为交钥匙设备采购安装项目。</w:t>
      </w:r>
    </w:p>
    <w:p>
      <w:pPr>
        <w:snapToGrid w:val="0"/>
        <w:spacing w:line="360" w:lineRule="auto"/>
        <w:jc w:val="left"/>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四、各系统工程技术要求</w:t>
      </w:r>
    </w:p>
    <w:p>
      <w:pPr>
        <w:numPr>
          <w:ilvl w:val="0"/>
          <w:numId w:val="1"/>
        </w:numPr>
        <w:tabs>
          <w:tab w:val="left" w:pos="720"/>
        </w:tabs>
        <w:spacing w:line="360" w:lineRule="auto"/>
        <w:ind w:left="0" w:firstLine="422" w:firstLineChars="200"/>
        <w:jc w:val="left"/>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t>建筑装饰工程技术要求</w:t>
      </w:r>
    </w:p>
    <w:p>
      <w:pPr>
        <w:numPr>
          <w:ilvl w:val="0"/>
          <w:numId w:val="2"/>
        </w:numPr>
        <w:snapToGrid w:val="0"/>
        <w:spacing w:line="360" w:lineRule="auto"/>
        <w:ind w:left="0" w:firstLine="422" w:firstLineChars="200"/>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建筑系统设计：</w:t>
      </w:r>
    </w:p>
    <w:p>
      <w:pPr>
        <w:widowControl/>
        <w:snapToGrid w:val="0"/>
        <w:spacing w:line="360" w:lineRule="auto"/>
        <w:ind w:firstLine="420" w:firstLineChars="200"/>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系统设计总体要求：</w:t>
      </w:r>
    </w:p>
    <w:p>
      <w:pPr>
        <w:widowControl/>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设计方案应布局合理，功能完善，符合消防疏散、功能流程短捷、洁污分区的原则。严格执行国家各项规范、标准，尤其是强制性标准要求。</w:t>
      </w:r>
    </w:p>
    <w:p>
      <w:pPr>
        <w:widowControl/>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建筑装饰应遵循不产尘、不积尘、耐腐蚀、防潮防霉、容易清洁和符合消防规范要求的总原则。洁净区范围内与空气直接接触的外露材料不得使用木材和石膏等。</w:t>
      </w:r>
    </w:p>
    <w:p>
      <w:pPr>
        <w:widowControl/>
        <w:numPr>
          <w:ilvl w:val="0"/>
          <w:numId w:val="2"/>
        </w:numPr>
        <w:snapToGrid w:val="0"/>
        <w:spacing w:line="360" w:lineRule="auto"/>
        <w:ind w:left="0"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Cs w:val="21"/>
        </w:rPr>
        <w:t>手术室基本装备：</w:t>
      </w:r>
    </w:p>
    <w:tbl>
      <w:tblPr>
        <w:tblStyle w:val="62"/>
        <w:tblpPr w:leftFromText="180" w:rightFromText="180" w:vertAnchor="text" w:horzAnchor="page" w:tblpX="1481" w:tblpY="174"/>
        <w:tblOverlap w:val="never"/>
        <w:tblW w:w="5139" w:type="pct"/>
        <w:tblInd w:w="0" w:type="dxa"/>
        <w:tblLayout w:type="autofit"/>
        <w:tblCellMar>
          <w:top w:w="0" w:type="dxa"/>
          <w:left w:w="108" w:type="dxa"/>
          <w:bottom w:w="0" w:type="dxa"/>
          <w:right w:w="108" w:type="dxa"/>
        </w:tblCellMar>
      </w:tblPr>
      <w:tblGrid>
        <w:gridCol w:w="2198"/>
        <w:gridCol w:w="756"/>
        <w:gridCol w:w="6590"/>
      </w:tblGrid>
      <w:tr>
        <w:tblPrEx>
          <w:tblCellMar>
            <w:top w:w="0" w:type="dxa"/>
            <w:left w:w="108" w:type="dxa"/>
            <w:bottom w:w="0" w:type="dxa"/>
            <w:right w:w="108" w:type="dxa"/>
          </w:tblCellMar>
        </w:tblPrEx>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名称</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数量</w:t>
            </w:r>
          </w:p>
        </w:tc>
        <w:tc>
          <w:tcPr>
            <w:tcW w:w="34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配 置 要 求</w:t>
            </w:r>
          </w:p>
        </w:tc>
      </w:tr>
      <w:tr>
        <w:tblPrEx>
          <w:tblCellMar>
            <w:top w:w="0" w:type="dxa"/>
            <w:left w:w="108" w:type="dxa"/>
            <w:bottom w:w="0" w:type="dxa"/>
            <w:right w:w="108" w:type="dxa"/>
          </w:tblCellMar>
        </w:tblPrEx>
        <w:tc>
          <w:tcPr>
            <w:tcW w:w="1151"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中央控制面板（32寸液晶显示触摸屏）</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snapToGrid w:val="0"/>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详见图纸</w:t>
            </w:r>
          </w:p>
        </w:tc>
        <w:tc>
          <w:tcPr>
            <w:tcW w:w="3451" w:type="pct"/>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系统采用最新安卓系统版本、图型动态画面显示，图型界面任意放大、缩小，自由拖拽、可点击、可刷屏。</w:t>
            </w:r>
          </w:p>
          <w:p>
            <w:pPr>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含手术计时、麻醉计时、北京时间、空调监测、IT 电源监测、气体报警、电话/群呼、背景音乐、自选音乐、灯光照明控制及消防报警指示等功能。</w:t>
            </w:r>
          </w:p>
          <w:p>
            <w:pPr>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全镜面触摸屏、无边框安装、导轨式输出。</w:t>
            </w:r>
          </w:p>
          <w:p>
            <w:pPr>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标准网络接口、RS485 通讯接口。</w:t>
            </w:r>
          </w:p>
          <w:p>
            <w:pPr>
              <w:snapToGrid w:val="0"/>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显示屏尺寸≥29寸及分辨率≥1920*1080</w:t>
            </w:r>
          </w:p>
        </w:tc>
      </w:tr>
      <w:tr>
        <w:tblPrEx>
          <w:tblCellMar>
            <w:top w:w="0" w:type="dxa"/>
            <w:left w:w="108" w:type="dxa"/>
            <w:bottom w:w="0" w:type="dxa"/>
            <w:right w:w="108" w:type="dxa"/>
          </w:tblCellMar>
        </w:tblPrEx>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组合电源插座箱</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详见图纸</w:t>
            </w:r>
          </w:p>
        </w:tc>
        <w:tc>
          <w:tcPr>
            <w:tcW w:w="345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不锈钢面框，带底盒盒面盖，1个三相380V 20A插座，3个220V 10A插座 ，2个接地端子</w:t>
            </w:r>
          </w:p>
        </w:tc>
      </w:tr>
      <w:tr>
        <w:tblPrEx>
          <w:tblCellMar>
            <w:top w:w="0" w:type="dxa"/>
            <w:left w:w="108" w:type="dxa"/>
            <w:bottom w:w="0" w:type="dxa"/>
            <w:right w:w="108" w:type="dxa"/>
          </w:tblCellMar>
        </w:tblPrEx>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组合电源插座箱</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详见图纸</w:t>
            </w:r>
          </w:p>
        </w:tc>
        <w:tc>
          <w:tcPr>
            <w:tcW w:w="345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不锈钢面框，带底盒盒面盖，4个220V 10A插座，2个接地端子</w:t>
            </w:r>
          </w:p>
        </w:tc>
      </w:tr>
      <w:tr>
        <w:tblPrEx>
          <w:tblCellMar>
            <w:top w:w="0" w:type="dxa"/>
            <w:left w:w="108" w:type="dxa"/>
            <w:bottom w:w="0" w:type="dxa"/>
            <w:right w:w="108" w:type="dxa"/>
          </w:tblCellMar>
        </w:tblPrEx>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嵌入式麻醉柜</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详见图纸</w:t>
            </w:r>
          </w:p>
        </w:tc>
        <w:tc>
          <w:tcPr>
            <w:tcW w:w="345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1、柜体边框1.5厚304不锈钢</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2、平开门片采用1.2厚304不锈钢</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3、舟形扣手304不锈钢</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4、本体1.2厚304不锈钢</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5、上下柜各内置2层高度可调不锈钢隔板，隔板竖向挂架孔需采用密封措施</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6、柜体面层喷涂同墙体颜色</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7、箱体后背面衬6mm硅酸钙板</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适用编号及尺寸：</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编号：麻醉柜（MZG）</w:t>
            </w:r>
          </w:p>
          <w:p>
            <w:pPr>
              <w:widowControl/>
              <w:jc w:val="left"/>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尺寸：1200（宽）X1700（高）X400（厚）</w:t>
            </w:r>
          </w:p>
        </w:tc>
      </w:tr>
      <w:tr>
        <w:tblPrEx>
          <w:tblCellMar>
            <w:top w:w="0" w:type="dxa"/>
            <w:left w:w="108" w:type="dxa"/>
            <w:bottom w:w="0" w:type="dxa"/>
            <w:right w:w="108" w:type="dxa"/>
          </w:tblCellMar>
        </w:tblPrEx>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嵌入式器械柜</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详见图纸</w:t>
            </w:r>
          </w:p>
        </w:tc>
        <w:tc>
          <w:tcPr>
            <w:tcW w:w="345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1、柜体边框1.5厚304不锈钢</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2、平开门片采用1.2厚304不锈钢</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3、舟形扣手304不锈钢</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4、本体1.2厚304不锈钢</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5、上下柜各内置2层高度可调不锈钢隔板，隔板竖向挂架孔需采用密封措施</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6、柜体面层喷涂同墙体颜色</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7、箱体后背面衬6mm硅酸钙板</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适用编号及尺寸：</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编号：器械柜（QXG）</w:t>
            </w:r>
          </w:p>
          <w:p>
            <w:pPr>
              <w:widowControl/>
              <w:jc w:val="left"/>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尺寸：1200（宽）X1700（高）X400（厚）</w:t>
            </w:r>
          </w:p>
        </w:tc>
      </w:tr>
      <w:tr>
        <w:tblPrEx>
          <w:tblCellMar>
            <w:top w:w="0" w:type="dxa"/>
            <w:left w:w="108" w:type="dxa"/>
            <w:bottom w:w="0" w:type="dxa"/>
            <w:right w:w="108" w:type="dxa"/>
          </w:tblCellMar>
        </w:tblPrEx>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嵌入式药品柜</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详见图纸</w:t>
            </w:r>
          </w:p>
        </w:tc>
        <w:tc>
          <w:tcPr>
            <w:tcW w:w="345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1、柜体边框1.5厚304不锈钢</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2、平开门片采用1.2厚304不锈钢，中间设双抽屉</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3、舟形扣手304不锈钢</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4、本体1.2厚304不锈钢</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5、上下柜各内置2层高度可调不</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锈钢隔板，隔板竖向挂架孔需采用密封措施</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6、柜体面层喷涂同墙体颜色</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7、箱体后背面衬6mm硅酸钙板</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适用编号及尺寸：</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编号：药品柜YPG</w:t>
            </w:r>
          </w:p>
          <w:p>
            <w:pPr>
              <w:widowControl/>
              <w:jc w:val="left"/>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尺寸：1200（宽）X1700（高）X400（厚）</w:t>
            </w:r>
          </w:p>
        </w:tc>
      </w:tr>
      <w:tr>
        <w:tblPrEx>
          <w:tblCellMar>
            <w:top w:w="0" w:type="dxa"/>
            <w:left w:w="108" w:type="dxa"/>
            <w:bottom w:w="0" w:type="dxa"/>
            <w:right w:w="108" w:type="dxa"/>
          </w:tblCellMar>
        </w:tblPrEx>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嵌入式收纳柜</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详见图纸</w:t>
            </w:r>
          </w:p>
        </w:tc>
        <w:tc>
          <w:tcPr>
            <w:tcW w:w="345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1、柜体边框1.5厚304不锈钢</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2、平开门片采用1.2厚304不锈钢</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3、舟形扣手304不锈钢</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4、本体1.2厚304不锈钢</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5、上下柜各内置2层高度可调不锈钢隔板，隔板竖向挂架孔需采用密封措施</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6、柜体面层喷涂同墙体颜色</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7、箱体后背面衬6mm硅酸钙板</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适用编号及尺寸：</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编号：收纳柜（SNG）</w:t>
            </w:r>
          </w:p>
          <w:p>
            <w:pPr>
              <w:widowControl/>
              <w:jc w:val="left"/>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尺寸：1200（宽）X1800（高）X400（厚）</w:t>
            </w:r>
          </w:p>
        </w:tc>
      </w:tr>
      <w:tr>
        <w:tblPrEx>
          <w:tblCellMar>
            <w:top w:w="0" w:type="dxa"/>
            <w:left w:w="108" w:type="dxa"/>
            <w:bottom w:w="0" w:type="dxa"/>
            <w:right w:w="108" w:type="dxa"/>
          </w:tblCellMar>
        </w:tblPrEx>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嵌入式电脑柜</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详见图纸</w:t>
            </w:r>
          </w:p>
        </w:tc>
        <w:tc>
          <w:tcPr>
            <w:tcW w:w="345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1、柜体边框1.5厚304不锈钢</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2、上平开门片采用1.2厚304不锈钢，舟形扣手304不锈钢</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3、中间设置电脑操作台，预留3个五孔插座，2个网络接口</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4、本体1.2厚304不锈钢</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5、柜体面层喷涂同墙体颜色</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6、箱体后背面衬6mm硅酸钙板</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适用编号及尺寸：</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编号：电脑柜DNG</w:t>
            </w:r>
          </w:p>
          <w:p>
            <w:pPr>
              <w:widowControl/>
              <w:jc w:val="left"/>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尺寸：1200（宽）X1700（高）X400（厚）</w:t>
            </w:r>
          </w:p>
        </w:tc>
      </w:tr>
      <w:tr>
        <w:tblPrEx>
          <w:tblCellMar>
            <w:top w:w="0" w:type="dxa"/>
            <w:left w:w="108" w:type="dxa"/>
            <w:bottom w:w="0" w:type="dxa"/>
            <w:right w:w="108" w:type="dxa"/>
          </w:tblCellMar>
        </w:tblPrEx>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嵌入式导管柜</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详见图纸</w:t>
            </w:r>
          </w:p>
        </w:tc>
        <w:tc>
          <w:tcPr>
            <w:tcW w:w="345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1、前面框、移门框、平开门框1.2厚304不锈钢</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2、成品导管架</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3、平开门玻璃8厚浮法白玻璃</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4、接地端子2厚铜板</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5、舟形扣手304不锈钢</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6、本体1.2厚304不锈钢</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7、304不锈钢隔板</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适用编号及尺寸：</w:t>
            </w:r>
          </w:p>
          <w:p>
            <w:pPr>
              <w:widowControl/>
              <w:jc w:val="left"/>
              <w:textAlignment w:val="center"/>
              <w:rPr>
                <w:rFonts w:hint="eastAsia"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编号：导管柜</w:t>
            </w:r>
          </w:p>
          <w:p>
            <w:pPr>
              <w:widowControl/>
              <w:jc w:val="left"/>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尺寸：1200（宽）X1700（高）X400（厚）</w:t>
            </w:r>
          </w:p>
        </w:tc>
      </w:tr>
      <w:tr>
        <w:tblPrEx>
          <w:tblCellMar>
            <w:top w:w="0" w:type="dxa"/>
            <w:left w:w="108" w:type="dxa"/>
            <w:bottom w:w="0" w:type="dxa"/>
            <w:right w:w="108" w:type="dxa"/>
          </w:tblCellMar>
        </w:tblPrEx>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嵌入式气体面板</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详见图纸</w:t>
            </w:r>
          </w:p>
        </w:tc>
        <w:tc>
          <w:tcPr>
            <w:tcW w:w="345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不锈钢制作，气体终端(氧气、压缩空气、负压吸引、二氧化碳、氮气)孔预留</w:t>
            </w:r>
          </w:p>
        </w:tc>
      </w:tr>
      <w:tr>
        <w:tblPrEx>
          <w:tblCellMar>
            <w:top w:w="0" w:type="dxa"/>
            <w:left w:w="108" w:type="dxa"/>
            <w:bottom w:w="0" w:type="dxa"/>
            <w:right w:w="108" w:type="dxa"/>
          </w:tblCellMar>
        </w:tblPrEx>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内嵌式铝合金回风口</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详见图纸</w:t>
            </w:r>
          </w:p>
        </w:tc>
        <w:tc>
          <w:tcPr>
            <w:tcW w:w="345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面层采用1.5mm网孔防锈铝板(面层喷涂)，开孔直径6mm，孔中心间距20mm</w:t>
            </w:r>
          </w:p>
        </w:tc>
      </w:tr>
      <w:tr>
        <w:tblPrEx>
          <w:tblCellMar>
            <w:top w:w="0" w:type="dxa"/>
            <w:left w:w="108" w:type="dxa"/>
            <w:bottom w:w="0" w:type="dxa"/>
            <w:right w:w="108" w:type="dxa"/>
          </w:tblCellMar>
        </w:tblPrEx>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保温柜(恒温培养箱)</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详见图纸</w:t>
            </w:r>
          </w:p>
        </w:tc>
        <w:tc>
          <w:tcPr>
            <w:tcW w:w="345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有效容积 93 升，温度 +5 ℃~ +80 ℃(环境温度 20 ℃)，配不锈钢外框密封装置</w:t>
            </w:r>
          </w:p>
        </w:tc>
      </w:tr>
      <w:tr>
        <w:tblPrEx>
          <w:tblCellMar>
            <w:top w:w="0" w:type="dxa"/>
            <w:left w:w="108" w:type="dxa"/>
            <w:bottom w:w="0" w:type="dxa"/>
            <w:right w:w="108" w:type="dxa"/>
          </w:tblCellMar>
        </w:tblPrEx>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保冷柜(血液储存箱)</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详见图纸</w:t>
            </w:r>
          </w:p>
        </w:tc>
        <w:tc>
          <w:tcPr>
            <w:tcW w:w="345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有效容积 79 升，制冷性能4℃%%P1℃(室温35℃)，配不锈钢外框密封装置</w:t>
            </w:r>
          </w:p>
        </w:tc>
      </w:tr>
      <w:tr>
        <w:tblPrEx>
          <w:tblCellMar>
            <w:top w:w="0" w:type="dxa"/>
            <w:left w:w="108" w:type="dxa"/>
            <w:bottom w:w="0" w:type="dxa"/>
            <w:right w:w="108" w:type="dxa"/>
          </w:tblCellMar>
        </w:tblPrEx>
        <w:trPr>
          <w:trHeight w:val="312" w:hRule="atLeast"/>
        </w:trPr>
        <w:tc>
          <w:tcPr>
            <w:tcW w:w="115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气体吊塔(甲供)</w:t>
            </w:r>
          </w:p>
        </w:tc>
        <w:tc>
          <w:tcPr>
            <w:tcW w:w="39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详见图纸</w:t>
            </w:r>
          </w:p>
        </w:tc>
        <w:tc>
          <w:tcPr>
            <w:tcW w:w="345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净化公司仅负责气体吊塔锚栓底座安装， 5# 角钢制作</w:t>
            </w:r>
          </w:p>
        </w:tc>
      </w:tr>
      <w:tr>
        <w:tblPrEx>
          <w:tblCellMar>
            <w:top w:w="0" w:type="dxa"/>
            <w:left w:w="108" w:type="dxa"/>
            <w:bottom w:w="0" w:type="dxa"/>
            <w:right w:w="108" w:type="dxa"/>
          </w:tblCellMar>
        </w:tblPrEx>
        <w:trPr>
          <w:trHeight w:val="312" w:hRule="atLeast"/>
        </w:trPr>
        <w:tc>
          <w:tcPr>
            <w:tcW w:w="11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Cs w:val="21"/>
              </w:rPr>
            </w:pPr>
          </w:p>
        </w:tc>
        <w:tc>
          <w:tcPr>
            <w:tcW w:w="39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Cs w:val="21"/>
              </w:rPr>
            </w:pPr>
          </w:p>
        </w:tc>
        <w:tc>
          <w:tcPr>
            <w:tcW w:w="3451"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szCs w:val="21"/>
              </w:rPr>
            </w:pPr>
          </w:p>
        </w:tc>
      </w:tr>
      <w:tr>
        <w:tblPrEx>
          <w:tblCellMar>
            <w:top w:w="0" w:type="dxa"/>
            <w:left w:w="108" w:type="dxa"/>
            <w:bottom w:w="0" w:type="dxa"/>
            <w:right w:w="108" w:type="dxa"/>
          </w:tblCellMar>
        </w:tblPrEx>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无影灯(甲供)</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详见图纸</w:t>
            </w:r>
          </w:p>
        </w:tc>
        <w:tc>
          <w:tcPr>
            <w:tcW w:w="345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净化公司仅负责无影灯锚栓底座安装， 5# 角钢制作</w:t>
            </w:r>
          </w:p>
        </w:tc>
      </w:tr>
      <w:tr>
        <w:tblPrEx>
          <w:tblCellMar>
            <w:top w:w="0" w:type="dxa"/>
            <w:left w:w="108" w:type="dxa"/>
            <w:bottom w:w="0" w:type="dxa"/>
            <w:right w:w="108" w:type="dxa"/>
          </w:tblCellMar>
        </w:tblPrEx>
        <w:trPr>
          <w:trHeight w:val="312" w:hRule="atLeast"/>
        </w:trPr>
        <w:tc>
          <w:tcPr>
            <w:tcW w:w="115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嵌入式微压差计</w:t>
            </w:r>
          </w:p>
        </w:tc>
        <w:tc>
          <w:tcPr>
            <w:tcW w:w="39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详见图纸</w:t>
            </w:r>
          </w:p>
        </w:tc>
        <w:tc>
          <w:tcPr>
            <w:tcW w:w="345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压差范围：-20Pa~30Pa，最小分辨率达1Pa，液晶显示</w:t>
            </w:r>
          </w:p>
        </w:tc>
      </w:tr>
      <w:tr>
        <w:tblPrEx>
          <w:tblCellMar>
            <w:top w:w="0" w:type="dxa"/>
            <w:left w:w="108" w:type="dxa"/>
            <w:bottom w:w="0" w:type="dxa"/>
            <w:right w:w="108" w:type="dxa"/>
          </w:tblCellMar>
        </w:tblPrEx>
        <w:trPr>
          <w:trHeight w:val="312" w:hRule="atLeast"/>
        </w:trPr>
        <w:tc>
          <w:tcPr>
            <w:tcW w:w="11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Cs w:val="21"/>
              </w:rPr>
            </w:pPr>
          </w:p>
        </w:tc>
        <w:tc>
          <w:tcPr>
            <w:tcW w:w="39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Cs w:val="21"/>
              </w:rPr>
            </w:pPr>
          </w:p>
        </w:tc>
        <w:tc>
          <w:tcPr>
            <w:tcW w:w="3451"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szCs w:val="21"/>
              </w:rPr>
            </w:pPr>
          </w:p>
        </w:tc>
      </w:tr>
      <w:tr>
        <w:tblPrEx>
          <w:tblCellMar>
            <w:top w:w="0" w:type="dxa"/>
            <w:left w:w="108" w:type="dxa"/>
            <w:bottom w:w="0" w:type="dxa"/>
            <w:right w:w="108" w:type="dxa"/>
          </w:tblCellMar>
        </w:tblPrEx>
        <w:trPr>
          <w:trHeight w:val="312" w:hRule="atLeast"/>
        </w:trPr>
        <w:tc>
          <w:tcPr>
            <w:tcW w:w="11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Cs w:val="21"/>
              </w:rPr>
            </w:pPr>
          </w:p>
        </w:tc>
        <w:tc>
          <w:tcPr>
            <w:tcW w:w="39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Cs w:val="21"/>
              </w:rPr>
            </w:pPr>
          </w:p>
        </w:tc>
        <w:tc>
          <w:tcPr>
            <w:tcW w:w="3451"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szCs w:val="21"/>
              </w:rPr>
            </w:pPr>
          </w:p>
        </w:tc>
      </w:tr>
      <w:tr>
        <w:tblPrEx>
          <w:tblCellMar>
            <w:top w:w="0" w:type="dxa"/>
            <w:left w:w="108" w:type="dxa"/>
            <w:bottom w:w="0" w:type="dxa"/>
            <w:right w:w="108" w:type="dxa"/>
          </w:tblCellMar>
        </w:tblPrEx>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手术床(甲供)</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详见图纸</w:t>
            </w:r>
          </w:p>
        </w:tc>
        <w:tc>
          <w:tcPr>
            <w:tcW w:w="345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数量详见平面图，设备甲供，中标人配合施工</w:t>
            </w:r>
          </w:p>
        </w:tc>
      </w:tr>
    </w:tbl>
    <w:p>
      <w:pPr>
        <w:pStyle w:val="5"/>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 w:val="21"/>
          <w:szCs w:val="20"/>
        </w:rPr>
        <w:t>注：其他详见图纸。</w:t>
      </w:r>
    </w:p>
    <w:p>
      <w:pPr>
        <w:snapToGrid w:val="0"/>
        <w:spacing w:line="440" w:lineRule="exact"/>
        <w:ind w:left="48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kern w:val="0"/>
          <w:szCs w:val="21"/>
        </w:rPr>
        <w:t>3.墙面装饰装修工程</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en-US" w:eastAsia="zh-Hans"/>
        </w:rPr>
        <w:t>.</w:t>
      </w:r>
      <w:r>
        <w:rPr>
          <w:rFonts w:hint="eastAsia" w:asciiTheme="minorEastAsia" w:hAnsiTheme="minorEastAsia" w:eastAsiaTheme="minorEastAsia" w:cstheme="minorEastAsia"/>
          <w:szCs w:val="21"/>
          <w:lang w:eastAsia="zh-Hans"/>
        </w:rPr>
        <w:t>1</w:t>
      </w:r>
      <w:r>
        <w:rPr>
          <w:rFonts w:hint="eastAsia" w:asciiTheme="minorEastAsia" w:hAnsiTheme="minorEastAsia" w:eastAsiaTheme="minorEastAsia" w:cstheme="minorEastAsia"/>
          <w:szCs w:val="21"/>
        </w:rPr>
        <w:t>墙面</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en-US" w:eastAsia="zh-Hans"/>
        </w:rPr>
        <w:t>.</w:t>
      </w:r>
      <w:r>
        <w:rPr>
          <w:rFonts w:hint="eastAsia" w:asciiTheme="minorEastAsia" w:hAnsiTheme="minorEastAsia" w:eastAsiaTheme="minorEastAsia" w:cstheme="minorEastAsia"/>
          <w:szCs w:val="21"/>
        </w:rPr>
        <w:t>1.1 手术室墙面面层装饰材料均采用1.2mm厚电解钢板（内衬8mm硅酸钙板），模块化安装，防锈、耐冲击、耐擦洗、耐酸碱、不变色、隔音保温的，墙板表面严禁现场喷涂，板间拼缝采用环保型耐候胶进行密封处理。墙面拐角及与吊顶衔接处采用半径300的大圆弧形过渡。</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en-US" w:eastAsia="zh-Hans"/>
        </w:rPr>
        <w:t>.</w:t>
      </w:r>
      <w:r>
        <w:rPr>
          <w:rFonts w:hint="eastAsia" w:asciiTheme="minorEastAsia" w:hAnsiTheme="minorEastAsia" w:eastAsiaTheme="minorEastAsia" w:cstheme="minorEastAsia"/>
          <w:szCs w:val="21"/>
        </w:rPr>
        <w:t>1.2有防辐射要求的DSA手术室、CT室墙面，采用30*50*1.5方镀锌钢管龙骨+8mm硅酸钙板+4.0mm铅板防护（四面防护），安装高度同本层建筑层高。(具体铅当量参照平面图纸）</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en-US" w:eastAsia="zh-Hans"/>
        </w:rPr>
        <w:t>.</w:t>
      </w:r>
      <w:r>
        <w:rPr>
          <w:rFonts w:hint="eastAsia" w:asciiTheme="minorEastAsia" w:hAnsiTheme="minorEastAsia" w:eastAsiaTheme="minorEastAsia" w:cstheme="minorEastAsia"/>
          <w:szCs w:val="21"/>
        </w:rPr>
        <w:t>1.3有防辐射要求的机器人手术室墙面，采用30*50*1.5方镀锌钢管龙骨+8mm硅酸钙板+2.0mm铅板防护（四面防护），安装高度同本层建筑层高。(具体铅当量参照平面图纸）</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en-US" w:eastAsia="zh-Hans"/>
        </w:rPr>
        <w:t>.</w:t>
      </w:r>
      <w:r>
        <w:rPr>
          <w:rFonts w:hint="eastAsia" w:asciiTheme="minorEastAsia" w:hAnsiTheme="minorEastAsia" w:eastAsiaTheme="minorEastAsia" w:cstheme="minorEastAsia"/>
          <w:szCs w:val="21"/>
        </w:rPr>
        <w:t>1.4 其余所有的走廊及辅房墙面面层装饰材料采用均采用5mm厚石英纤维医疗洁净板，具体详见装饰材料表。</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en-US" w:eastAsia="zh-Hans"/>
        </w:rPr>
        <w:t>.</w:t>
      </w:r>
      <w:r>
        <w:rPr>
          <w:rFonts w:hint="eastAsia" w:asciiTheme="minorEastAsia" w:hAnsiTheme="minorEastAsia" w:eastAsiaTheme="minorEastAsia" w:cstheme="minorEastAsia"/>
          <w:szCs w:val="21"/>
        </w:rPr>
        <w:t>1.5 轻钢龙骨隔墙要求：</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A、非土建墙侧1：8mm硅酸钙板（双层）+75mm轻钢龙骨（填充50mm岩棉，容重100kg/m3）+8mm硅酸钙板（双层），耐火时间2.0h，安装高度为本层建筑层高。</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B、非土建墙侧：8mm硅酸钙板（单层）+75mm轻钢龙骨（填充50mm岩棉，容重100kg/m3）+8mm硅酸钙板（单层），耐火时间1.0h，安装高度为本层建筑层高。</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C、有土建墙侧2：8mm硅酸钙板（单层）+钢结构龙骨（40*20*1.2镀锌方管）土建隔墙，安装高度为吊顶设计高度+200mm。</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en-US" w:eastAsia="zh-Hans"/>
        </w:rPr>
        <w:t>.</w:t>
      </w:r>
      <w:r>
        <w:rPr>
          <w:rFonts w:hint="eastAsia" w:asciiTheme="minorEastAsia" w:hAnsiTheme="minorEastAsia" w:eastAsiaTheme="minorEastAsia" w:cstheme="minorEastAsia"/>
          <w:szCs w:val="21"/>
        </w:rPr>
        <w:t>1.6 相关区域内墙面所有阳角安装50*50*1.5宽不锈钢防撞护角，安装高度与吊顶高度相同（砌块墙面所在阳角处均做1:2水泥砂浆包角R=20，在安装防撞护角；安装区域详见平面图）。</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en-US" w:eastAsia="zh-Hans"/>
        </w:rPr>
        <w:t>.</w:t>
      </w:r>
      <w:r>
        <w:rPr>
          <w:rFonts w:hint="eastAsia" w:asciiTheme="minorEastAsia" w:hAnsiTheme="minorEastAsia" w:eastAsiaTheme="minorEastAsia" w:cstheme="minorEastAsia"/>
          <w:szCs w:val="21"/>
        </w:rPr>
        <w:t>1.7 所有消防栓、配电箱、电箱、医气阀门箱均需隐藏在墙内，其装饰同所在区域墙面装饰，配电箱、电箱如在同一立面上时应尽可能保证箱体上沿在统一水平线上；室内消火栓暗装时，均不设在防火墙上，墙体预留洞口待箱、盒安装完毕后背面钉钢板网抹灰，1:2.5水泥砂浆抹灰找平；承重墙、楼梯间墙、电梯井墙上消火栓采用半暗装时，墙体预留洞口背面采用100厚加气混凝土砌块砌筑封堵，其耐火极限2.00h。（耐火极限数据详见《建筑设计防火规范》GB50016-2014(2018年版)-412附表1各类建筑构件的燃烧性能和耐火极限）。</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en-US" w:eastAsia="zh-Hans"/>
        </w:rPr>
        <w:t>.</w:t>
      </w:r>
      <w:r>
        <w:rPr>
          <w:rFonts w:hint="eastAsia" w:asciiTheme="minorEastAsia" w:hAnsiTheme="minorEastAsia" w:eastAsiaTheme="minorEastAsia" w:cstheme="minorEastAsia"/>
          <w:szCs w:val="21"/>
        </w:rPr>
        <w:t>1.8 本套图中，未做特殊处理的所有明立管、柱子及回风管，采用同所在位置内墙面材料包封，管道接口处设300X300检修门。</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en-US" w:eastAsia="zh-Hans"/>
        </w:rPr>
        <w:t>.</w:t>
      </w:r>
      <w:r>
        <w:rPr>
          <w:rFonts w:hint="eastAsia" w:asciiTheme="minorEastAsia" w:hAnsiTheme="minorEastAsia" w:eastAsiaTheme="minorEastAsia" w:cstheme="minorEastAsia"/>
          <w:szCs w:val="21"/>
        </w:rPr>
        <w:t>2、地面：</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en-US" w:eastAsia="zh-Hans"/>
        </w:rPr>
        <w:t>.</w:t>
      </w:r>
      <w:r>
        <w:rPr>
          <w:rFonts w:hint="eastAsia" w:asciiTheme="minorEastAsia" w:hAnsiTheme="minorEastAsia" w:eastAsiaTheme="minorEastAsia" w:cstheme="minorEastAsia"/>
          <w:szCs w:val="21"/>
        </w:rPr>
        <w:t>2.1 区域内的铺卷材的地面，在卷材铺装前，均进行3厚自流平找平（自流平以下工艺做法详见工程做法表）。</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en-US" w:eastAsia="zh-Hans"/>
        </w:rPr>
        <w:t>.</w:t>
      </w:r>
      <w:r>
        <w:rPr>
          <w:rFonts w:hint="eastAsia" w:asciiTheme="minorEastAsia" w:hAnsiTheme="minorEastAsia" w:eastAsiaTheme="minorEastAsia" w:cstheme="minorEastAsia"/>
          <w:szCs w:val="21"/>
        </w:rPr>
        <w:t>2.2 所有手术室地面面层饰面采用铺贴抗菌型、耐腐蚀、耐污染、耐擦洗、防滑、防尘、防水、耐压、耐磨、静音2.0mm抗静电橡胶卷材，踢脚上墙高度100mm；</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en-US" w:eastAsia="zh-Hans"/>
        </w:rPr>
        <w:t>.</w:t>
      </w:r>
      <w:r>
        <w:rPr>
          <w:rFonts w:hint="eastAsia" w:asciiTheme="minorEastAsia" w:hAnsiTheme="minorEastAsia" w:eastAsiaTheme="minorEastAsia" w:cstheme="minorEastAsia"/>
          <w:szCs w:val="21"/>
        </w:rPr>
        <w:t>2.3 特殊要求手术室</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防辐射地面（防辐射手术室、DSA复合手术室、CT诊查室）地面基层需浇筑30mm厚硫酸钡水泥(4:1)，达到射线防护要求，施工区域详见土建配合图。</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en-US" w:eastAsia="zh-Hans"/>
        </w:rPr>
        <w:t>.</w:t>
      </w:r>
      <w:r>
        <w:rPr>
          <w:rFonts w:hint="eastAsia" w:asciiTheme="minorEastAsia" w:hAnsiTheme="minorEastAsia" w:eastAsiaTheme="minorEastAsia" w:cstheme="minorEastAsia"/>
          <w:szCs w:val="21"/>
        </w:rPr>
        <w:t>2.4 区域内的除手术室外，其余所有的走廊及辅房地面均采用抗静电2.0厚PVC地板，踢脚线上墙高度100高，辅房及走廊墙面下部的踢脚严禁凸出墙面；具体详见装饰材料表。</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en-US" w:eastAsia="zh-Hans"/>
        </w:rPr>
        <w:t>.</w:t>
      </w:r>
      <w:r>
        <w:rPr>
          <w:rFonts w:hint="eastAsia" w:asciiTheme="minorEastAsia" w:hAnsiTheme="minorEastAsia" w:eastAsiaTheme="minorEastAsia" w:cstheme="minorEastAsia"/>
          <w:szCs w:val="21"/>
        </w:rPr>
        <w:t>3、顶面：</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en-US" w:eastAsia="zh-Hans"/>
        </w:rPr>
        <w:t>.</w:t>
      </w:r>
      <w:r>
        <w:rPr>
          <w:rFonts w:hint="eastAsia" w:asciiTheme="minorEastAsia" w:hAnsiTheme="minorEastAsia" w:eastAsiaTheme="minorEastAsia" w:cstheme="minorEastAsia"/>
          <w:szCs w:val="21"/>
        </w:rPr>
        <w:t>3.1 手术室吊顶均采用1.2mm厚电解钢板，模块化安装，防锈、耐冲击、耐擦洗、耐酸碱、不变色、隔音保温的，墙板表面严禁现场喷涂，板间拼缝采用环保型耐候胶进行密封处理。墙面及与吊顶衔接处采用半径300的大圆弧形过渡。</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en-US" w:eastAsia="zh-Hans"/>
        </w:rPr>
        <w:t>.</w:t>
      </w:r>
      <w:r>
        <w:rPr>
          <w:rFonts w:hint="eastAsia" w:asciiTheme="minorEastAsia" w:hAnsiTheme="minorEastAsia" w:eastAsiaTheme="minorEastAsia" w:cstheme="minorEastAsia"/>
          <w:szCs w:val="21"/>
        </w:rPr>
        <w:t>3.2 特殊要求手术室</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（1）有防辐射要求的DSA手术室、CT诊查室顶面，采用30*50*1.5方钢管龙骨+6mm硅酸钙板+3.0mm铅板防护。</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（2）有防辐射要求的机器人复合手术室顶面，采用30*50*1.5方钢管龙骨+6mm硅酸钙板+2.0mm铅板防护。</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en-US" w:eastAsia="zh-Hans"/>
        </w:rPr>
        <w:t>.</w:t>
      </w:r>
      <w:r>
        <w:rPr>
          <w:rFonts w:hint="eastAsia" w:asciiTheme="minorEastAsia" w:hAnsiTheme="minorEastAsia" w:eastAsiaTheme="minorEastAsia" w:cstheme="minorEastAsia"/>
          <w:szCs w:val="21"/>
        </w:rPr>
        <w:t>3.3 除手术室走廊外，其它功能区域吊顶均采用可上人轻钢龙骨+6mm硅酸钙板+1.5mm防锈铝板（面层喷塑），颜色可选，顶面板间拼缝采用结缝胶密封。</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en-US" w:eastAsia="zh-Hans"/>
        </w:rPr>
        <w:t>.</w:t>
      </w:r>
      <w:r>
        <w:rPr>
          <w:rFonts w:hint="eastAsia" w:asciiTheme="minorEastAsia" w:hAnsiTheme="minorEastAsia" w:eastAsiaTheme="minorEastAsia" w:cstheme="minorEastAsia"/>
          <w:szCs w:val="21"/>
        </w:rPr>
        <w:t>3.4 轻钢龙骨吊顶及配件：本工程吊顶龙骨采用U60系上人轻钢龙骨系列配套。吊筋为%%C8钢筋吊杆。主龙骨间距小于1000mm范围内，吊点间距小于900mm范围。</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en-US" w:eastAsia="zh-Hans"/>
        </w:rPr>
        <w:t>.</w:t>
      </w:r>
      <w:r>
        <w:rPr>
          <w:rFonts w:hint="eastAsia" w:asciiTheme="minorEastAsia" w:hAnsiTheme="minorEastAsia" w:eastAsiaTheme="minorEastAsia" w:cstheme="minorEastAsia"/>
          <w:szCs w:val="21"/>
        </w:rPr>
        <w:t>3.5 防锈铝板吊顶应预留规格为600mmx600mm气密封检修孔，当吊顶为模数板时，检修孔尺寸与模数板规格一致。用于手术室室内的检修口需设置在手术室外走廊，检修口表面喷涂颜色需与饰面材料保持一致。另空调检修口位置均须设在冷凝水管与风机接口侧。</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en-US" w:eastAsia="zh-Hans"/>
        </w:rPr>
        <w:t>.</w:t>
      </w:r>
      <w:r>
        <w:rPr>
          <w:rFonts w:hint="eastAsia" w:asciiTheme="minorEastAsia" w:hAnsiTheme="minorEastAsia" w:eastAsiaTheme="minorEastAsia" w:cstheme="minorEastAsia"/>
          <w:szCs w:val="21"/>
        </w:rPr>
        <w:t>3.6 所有吊顶的房间，灯具、风口的规格及安装位置，应根据不同板材的规格和排列情况，并结合各专业图纸予以确定。吊顶为上人型吊顶，吊顶及吊挂件必须牢固，能上人维修。</w:t>
      </w:r>
    </w:p>
    <w:p>
      <w:pPr>
        <w:snapToGrid w:val="0"/>
        <w:spacing w:line="440" w:lineRule="exact"/>
        <w:ind w:left="482"/>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4.门窗工程：</w:t>
      </w:r>
    </w:p>
    <w:p>
      <w:pPr>
        <w:snapToGrid w:val="0"/>
        <w:spacing w:line="440" w:lineRule="exact"/>
        <w:ind w:left="48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4.1 各区域门窗洞口位置、尺寸规格、开启样式、技术要求详见本施工图册。</w:t>
      </w:r>
    </w:p>
    <w:p>
      <w:pPr>
        <w:snapToGrid w:val="0"/>
        <w:spacing w:line="440" w:lineRule="exact"/>
        <w:ind w:left="48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4.2 土建墙安装门窗时用膨胀螺栓与门窗框锚固。</w:t>
      </w:r>
    </w:p>
    <w:p>
      <w:pPr>
        <w:snapToGrid w:val="0"/>
        <w:spacing w:line="440" w:lineRule="exact"/>
        <w:ind w:left="48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4.3 光控感应电动门，门洞净尺寸为1500mmx2100mm，采用脚感应装置、有全开、半开功能，带延时关闭功能，配备安全光线，具有应急手动开门功能，防夹，电机采用双电机。采用外挂式安装。手术室门上方配有“手术中”指示灯。具有射线要求的手术室配有“射线中”指示灯。自动感应门停电时可手动开启，作为疏散门。</w:t>
      </w:r>
    </w:p>
    <w:p>
      <w:pPr>
        <w:snapToGrid w:val="0"/>
        <w:spacing w:line="440" w:lineRule="exact"/>
        <w:ind w:left="48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4.5、防辐射手术室自动门门体内部必须安装防辐射铅板，铅板厚度同手术室铅当量技术要求，观察窗采用铅玻璃，导轨采用重型导轨，确保门体运行平稳、可靠，其它要求通手术室自动门。</w:t>
      </w:r>
    </w:p>
    <w:p>
      <w:pPr>
        <w:snapToGrid w:val="0"/>
        <w:spacing w:line="440" w:lineRule="exact"/>
        <w:ind w:left="48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4.5、手术室与污物走廊相通采用单开电动平移门，自由通过尺寸不小于1000*2100，带500*300观察窗，门扇表面均采用1.0mm镀锌钢板表面静电喷粉处理，色调与墙面协调，具气密封，门体表面安装不锈钢防撞带，优质铝合金型材门框。</w:t>
      </w:r>
    </w:p>
    <w:p>
      <w:pPr>
        <w:snapToGrid w:val="0"/>
        <w:spacing w:line="440" w:lineRule="exact"/>
        <w:ind w:left="48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4.6、走廊及辅房设置气密型手动平开门，门扇表面均采用1.0mm镀锌钢板表面静电喷粉处理，色调与墙面协调，具气密封，门体表面安装不锈钢防撞带，优质铝合金型材门框。</w:t>
      </w:r>
    </w:p>
    <w:p>
      <w:pPr>
        <w:snapToGrid w:val="0"/>
        <w:spacing w:line="440" w:lineRule="exact"/>
        <w:ind w:left="48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4.7、各区域净化设计范围内的所有外窗均安装窗帘盒，其内侧窗台采用20mm厚大理石台面。</w:t>
      </w:r>
    </w:p>
    <w:p>
      <w:pPr>
        <w:snapToGrid w:val="0"/>
        <w:spacing w:line="440" w:lineRule="exact"/>
        <w:ind w:left="482"/>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5.其他：</w:t>
      </w:r>
    </w:p>
    <w:p>
      <w:pPr>
        <w:widowControl/>
        <w:spacing w:line="440" w:lineRule="exact"/>
        <w:ind w:firstLine="481"/>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5.1、手术室内不设喷淋，仅装烟感，且消防水管和其它水管不宜横穿手术室天花之上，如无法避免，应采取相应措施，保证水管密封不得发生渗漏。</w:t>
      </w:r>
    </w:p>
    <w:p>
      <w:pPr>
        <w:widowControl/>
        <w:spacing w:line="440" w:lineRule="exact"/>
        <w:ind w:firstLine="481"/>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5.2、与消防专业相关的施工项目（包括防火门、防火卷帘、烟感、喷淋、疏散指示等）参照消防专业设计图纸。</w:t>
      </w:r>
    </w:p>
    <w:p>
      <w:pPr>
        <w:widowControl/>
        <w:spacing w:line="440" w:lineRule="exact"/>
        <w:ind w:firstLine="481"/>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5.3、各净化施工区域内的水管立管需做包柱处理，材料同水管周边，预留检修口位置。</w:t>
      </w:r>
    </w:p>
    <w:p>
      <w:pPr>
        <w:widowControl/>
        <w:spacing w:line="440" w:lineRule="exact"/>
        <w:ind w:firstLine="481"/>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5.4、所有手术室顶棚面平行手术室长轴方向安装两条铝合金输液导轨，2.5m长/根，带四个挂勾。</w:t>
      </w:r>
    </w:p>
    <w:p>
      <w:pPr>
        <w:widowControl/>
        <w:spacing w:line="440" w:lineRule="exact"/>
        <w:ind w:firstLine="481"/>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5.5、施工时要求各工种密切配合，及时解决施工中的问题。</w:t>
      </w:r>
    </w:p>
    <w:p>
      <w:pPr>
        <w:widowControl/>
        <w:spacing w:line="440" w:lineRule="exact"/>
        <w:ind w:firstLine="481"/>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5.6、手术室的部分吊塔由吊塔供应商提供并负责安装，净化单位配合，供应商提供具体数量及相关技术参数，净化单位敷设气体管路。</w:t>
      </w:r>
    </w:p>
    <w:p>
      <w:pPr>
        <w:widowControl/>
        <w:spacing w:line="440" w:lineRule="exact"/>
        <w:ind w:firstLine="481"/>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5.7、未尽事宜按现行建筑规范施工，如果国家有新的行业标准公布，则按新标准执行。</w:t>
      </w:r>
    </w:p>
    <w:p>
      <w:pPr>
        <w:numPr>
          <w:ilvl w:val="0"/>
          <w:numId w:val="1"/>
        </w:numPr>
        <w:tabs>
          <w:tab w:val="left" w:pos="720"/>
        </w:tabs>
        <w:snapToGrid w:val="0"/>
        <w:spacing w:line="360" w:lineRule="auto"/>
        <w:ind w:left="0" w:firstLine="422" w:firstLineChars="200"/>
        <w:jc w:val="left"/>
        <w:outlineLvl w:val="2"/>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净化空调系统技术要求</w:t>
      </w:r>
    </w:p>
    <w:p>
      <w:pPr>
        <w:snapToGrid w:val="0"/>
        <w:spacing w:line="360" w:lineRule="auto"/>
        <w:ind w:firstLine="422" w:firstLineChars="200"/>
        <w:jc w:val="lef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整体要求：</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选用节能环保的空气净化系统和先进的气流组织模式，各净化区应按国家现行相关规范的要求设置其相对邻室的气压，以保持洁净室的级别及无菌净化要求，并使洁净区处于受控状态。</w:t>
      </w:r>
    </w:p>
    <w:p>
      <w:pPr>
        <w:numPr>
          <w:ilvl w:val="0"/>
          <w:numId w:val="3"/>
        </w:numPr>
        <w:snapToGrid w:val="0"/>
        <w:spacing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设计参数：</w:t>
      </w:r>
    </w:p>
    <w:p>
      <w:pPr>
        <w:snapToGrid w:val="0"/>
        <w:spacing w:line="360" w:lineRule="auto"/>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kern w:val="0"/>
          <w:szCs w:val="21"/>
        </w:rPr>
        <w:t>1.1</w:t>
      </w:r>
      <w:r>
        <w:rPr>
          <w:rFonts w:hint="eastAsia" w:asciiTheme="minorEastAsia" w:hAnsiTheme="minorEastAsia" w:eastAsiaTheme="minorEastAsia" w:cstheme="minorEastAsia"/>
          <w:b/>
          <w:szCs w:val="21"/>
        </w:rPr>
        <w:t>选用室外气象参数</w:t>
      </w:r>
    </w:p>
    <w:p>
      <w:pPr>
        <w:tabs>
          <w:tab w:val="left" w:pos="720"/>
          <w:tab w:val="left" w:pos="900"/>
          <w:tab w:val="left" w:pos="1080"/>
        </w:tabs>
        <w:snapToGrid w:val="0"/>
        <w:spacing w:line="360" w:lineRule="auto"/>
        <w:ind w:left="2" w:firstLine="630" w:firstLineChars="3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夏季空调计算干球温度35.6°C   冬季空调计算干球温度-2.4°C</w:t>
      </w:r>
    </w:p>
    <w:p>
      <w:pPr>
        <w:tabs>
          <w:tab w:val="left" w:pos="720"/>
          <w:tab w:val="left" w:pos="900"/>
          <w:tab w:val="left" w:pos="1080"/>
        </w:tabs>
        <w:snapToGrid w:val="0"/>
        <w:spacing w:line="360" w:lineRule="auto"/>
        <w:ind w:left="2" w:firstLine="630" w:firstLineChars="3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夏季空调计算湿球温度27.9°C   冬季室外计算相对湿度76%</w:t>
      </w:r>
    </w:p>
    <w:p>
      <w:pPr>
        <w:tabs>
          <w:tab w:val="left" w:pos="720"/>
          <w:tab w:val="left" w:pos="900"/>
          <w:tab w:val="left" w:pos="1080"/>
        </w:tabs>
        <w:snapToGrid w:val="0"/>
        <w:spacing w:line="360" w:lineRule="auto"/>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Cs w:val="21"/>
        </w:rPr>
        <w:t>1.2</w:t>
      </w:r>
      <w:r>
        <w:rPr>
          <w:rFonts w:hint="eastAsia" w:asciiTheme="minorEastAsia" w:hAnsiTheme="minorEastAsia" w:eastAsiaTheme="minorEastAsia" w:cstheme="minorEastAsia"/>
          <w:b/>
          <w:szCs w:val="21"/>
        </w:rPr>
        <w:t>选用室内气象参数</w:t>
      </w:r>
    </w:p>
    <w:p>
      <w:pPr>
        <w:tabs>
          <w:tab w:val="left" w:pos="720"/>
          <w:tab w:val="left" w:pos="900"/>
          <w:tab w:val="left" w:pos="1080"/>
        </w:tabs>
        <w:snapToGrid w:val="0"/>
        <w:spacing w:line="360" w:lineRule="auto"/>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1）洁净手术部</w:t>
      </w:r>
    </w:p>
    <w:tbl>
      <w:tblPr>
        <w:tblStyle w:val="62"/>
        <w:tblW w:w="4998" w:type="pct"/>
        <w:tblInd w:w="0" w:type="dxa"/>
        <w:tblLayout w:type="autofit"/>
        <w:tblCellMar>
          <w:top w:w="0" w:type="dxa"/>
          <w:left w:w="108" w:type="dxa"/>
          <w:bottom w:w="0" w:type="dxa"/>
          <w:right w:w="108" w:type="dxa"/>
        </w:tblCellMar>
      </w:tblPr>
      <w:tblGrid>
        <w:gridCol w:w="1630"/>
        <w:gridCol w:w="441"/>
        <w:gridCol w:w="777"/>
        <w:gridCol w:w="1016"/>
        <w:gridCol w:w="1052"/>
        <w:gridCol w:w="781"/>
        <w:gridCol w:w="1437"/>
        <w:gridCol w:w="716"/>
        <w:gridCol w:w="784"/>
        <w:gridCol w:w="648"/>
      </w:tblGrid>
      <w:tr>
        <w:tblPrEx>
          <w:tblCellMar>
            <w:top w:w="0" w:type="dxa"/>
            <w:left w:w="108" w:type="dxa"/>
            <w:bottom w:w="0" w:type="dxa"/>
            <w:right w:w="108" w:type="dxa"/>
          </w:tblCellMar>
        </w:tblPrEx>
        <w:trPr>
          <w:trHeight w:val="2377" w:hRule="atLeast"/>
        </w:trPr>
        <w:tc>
          <w:tcPr>
            <w:tcW w:w="8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名称</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室内压力</w:t>
            </w:r>
          </w:p>
        </w:tc>
        <w:tc>
          <w:tcPr>
            <w:tcW w:w="42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最小换气次数</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工作区平均风速</w:t>
            </w: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温度</w:t>
            </w:r>
          </w:p>
        </w:tc>
        <w:tc>
          <w:tcPr>
            <w:tcW w:w="4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相对湿度</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最小新风量</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噪声</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最低照度</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最小术间自净时间</w:t>
            </w:r>
          </w:p>
        </w:tc>
      </w:tr>
      <w:tr>
        <w:tblPrEx>
          <w:tblCellMar>
            <w:top w:w="0" w:type="dxa"/>
            <w:left w:w="108" w:type="dxa"/>
            <w:bottom w:w="0" w:type="dxa"/>
            <w:right w:w="108" w:type="dxa"/>
          </w:tblCellMar>
        </w:tblPrEx>
        <w:trPr>
          <w:trHeight w:val="255" w:hRule="atLeast"/>
        </w:trPr>
        <w:tc>
          <w:tcPr>
            <w:tcW w:w="8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w:t>
            </w:r>
          </w:p>
        </w:tc>
        <w:tc>
          <w:tcPr>
            <w:tcW w:w="42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次/h</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m/s</w:t>
            </w: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c>
          <w:tcPr>
            <w:tcW w:w="4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m3/h.m2(次/h)</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dB(A)</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lx</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min</w:t>
            </w:r>
          </w:p>
        </w:tc>
      </w:tr>
      <w:tr>
        <w:tblPrEx>
          <w:tblCellMar>
            <w:top w:w="0" w:type="dxa"/>
            <w:left w:w="108" w:type="dxa"/>
            <w:bottom w:w="0" w:type="dxa"/>
            <w:right w:w="108" w:type="dxa"/>
          </w:tblCellMar>
        </w:tblPrEx>
        <w:trPr>
          <w:trHeight w:val="255" w:hRule="atLeast"/>
        </w:trPr>
        <w:tc>
          <w:tcPr>
            <w:tcW w:w="8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Ⅰ级洁净手术室和需要无菌操作的特殊用房</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正</w:t>
            </w:r>
          </w:p>
        </w:tc>
        <w:tc>
          <w:tcPr>
            <w:tcW w:w="42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0.2~0.25</w:t>
            </w: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21~25</w:t>
            </w:r>
          </w:p>
        </w:tc>
        <w:tc>
          <w:tcPr>
            <w:tcW w:w="4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30~60</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15~20</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≤51</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≥350</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10</w:t>
            </w:r>
          </w:p>
        </w:tc>
      </w:tr>
      <w:tr>
        <w:tblPrEx>
          <w:tblCellMar>
            <w:top w:w="0" w:type="dxa"/>
            <w:left w:w="108" w:type="dxa"/>
            <w:bottom w:w="0" w:type="dxa"/>
            <w:right w:w="108" w:type="dxa"/>
          </w:tblCellMar>
        </w:tblPrEx>
        <w:trPr>
          <w:trHeight w:val="255" w:hRule="atLeast"/>
        </w:trPr>
        <w:tc>
          <w:tcPr>
            <w:tcW w:w="8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Ⅱ级洁净手术室</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正</w:t>
            </w:r>
          </w:p>
        </w:tc>
        <w:tc>
          <w:tcPr>
            <w:tcW w:w="42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24</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w:t>
            </w: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21~25</w:t>
            </w:r>
          </w:p>
        </w:tc>
        <w:tc>
          <w:tcPr>
            <w:tcW w:w="4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30~60</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15~20</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≤49</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≥350</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20</w:t>
            </w:r>
          </w:p>
        </w:tc>
      </w:tr>
      <w:tr>
        <w:tblPrEx>
          <w:tblCellMar>
            <w:top w:w="0" w:type="dxa"/>
            <w:left w:w="108" w:type="dxa"/>
            <w:bottom w:w="0" w:type="dxa"/>
            <w:right w:w="108" w:type="dxa"/>
          </w:tblCellMar>
        </w:tblPrEx>
        <w:trPr>
          <w:trHeight w:val="255" w:hRule="atLeast"/>
        </w:trPr>
        <w:tc>
          <w:tcPr>
            <w:tcW w:w="8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Ⅲ级洁净手术室</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正</w:t>
            </w:r>
          </w:p>
        </w:tc>
        <w:tc>
          <w:tcPr>
            <w:tcW w:w="42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18</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w:t>
            </w: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21~25</w:t>
            </w:r>
          </w:p>
        </w:tc>
        <w:tc>
          <w:tcPr>
            <w:tcW w:w="4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30~60</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15~20</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≤49</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≥350</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20</w:t>
            </w:r>
          </w:p>
        </w:tc>
      </w:tr>
      <w:tr>
        <w:tblPrEx>
          <w:tblCellMar>
            <w:top w:w="0" w:type="dxa"/>
            <w:left w:w="108" w:type="dxa"/>
            <w:bottom w:w="0" w:type="dxa"/>
            <w:right w:w="108" w:type="dxa"/>
          </w:tblCellMar>
        </w:tblPrEx>
        <w:trPr>
          <w:trHeight w:val="255" w:hRule="atLeast"/>
        </w:trPr>
        <w:tc>
          <w:tcPr>
            <w:tcW w:w="8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Ⅳ级洁净手术室</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正</w:t>
            </w:r>
          </w:p>
        </w:tc>
        <w:tc>
          <w:tcPr>
            <w:tcW w:w="42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12</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w:t>
            </w: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21~25</w:t>
            </w:r>
          </w:p>
        </w:tc>
        <w:tc>
          <w:tcPr>
            <w:tcW w:w="4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30~60</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15~20</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≤49</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≥350</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30</w:t>
            </w:r>
          </w:p>
        </w:tc>
      </w:tr>
      <w:tr>
        <w:tblPrEx>
          <w:tblCellMar>
            <w:top w:w="0" w:type="dxa"/>
            <w:left w:w="108" w:type="dxa"/>
            <w:bottom w:w="0" w:type="dxa"/>
            <w:right w:w="108" w:type="dxa"/>
          </w:tblCellMar>
        </w:tblPrEx>
        <w:trPr>
          <w:trHeight w:val="255" w:hRule="atLeast"/>
        </w:trPr>
        <w:tc>
          <w:tcPr>
            <w:tcW w:w="8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体外循环</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正</w:t>
            </w:r>
          </w:p>
        </w:tc>
        <w:tc>
          <w:tcPr>
            <w:tcW w:w="42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12</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w:t>
            </w: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21~27</w:t>
            </w:r>
          </w:p>
        </w:tc>
        <w:tc>
          <w:tcPr>
            <w:tcW w:w="4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≤60</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≤60</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≥150</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w:t>
            </w:r>
          </w:p>
        </w:tc>
      </w:tr>
      <w:tr>
        <w:tblPrEx>
          <w:tblCellMar>
            <w:top w:w="0" w:type="dxa"/>
            <w:left w:w="108" w:type="dxa"/>
            <w:bottom w:w="0" w:type="dxa"/>
            <w:right w:w="108" w:type="dxa"/>
          </w:tblCellMar>
        </w:tblPrEx>
        <w:trPr>
          <w:trHeight w:val="255" w:hRule="atLeast"/>
        </w:trPr>
        <w:tc>
          <w:tcPr>
            <w:tcW w:w="8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无菌敷料室</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正</w:t>
            </w:r>
          </w:p>
        </w:tc>
        <w:tc>
          <w:tcPr>
            <w:tcW w:w="42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12</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w:t>
            </w: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≤27</w:t>
            </w:r>
          </w:p>
        </w:tc>
        <w:tc>
          <w:tcPr>
            <w:tcW w:w="4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≤60</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≤60</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≥150</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w:t>
            </w:r>
          </w:p>
        </w:tc>
      </w:tr>
      <w:tr>
        <w:tblPrEx>
          <w:tblCellMar>
            <w:top w:w="0" w:type="dxa"/>
            <w:left w:w="108" w:type="dxa"/>
            <w:bottom w:w="0" w:type="dxa"/>
            <w:right w:w="108" w:type="dxa"/>
          </w:tblCellMar>
        </w:tblPrEx>
        <w:trPr>
          <w:trHeight w:val="255" w:hRule="atLeast"/>
        </w:trPr>
        <w:tc>
          <w:tcPr>
            <w:tcW w:w="8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未拆封器械、无菌药品、一次性物品和精密仪器存放室</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正</w:t>
            </w:r>
          </w:p>
        </w:tc>
        <w:tc>
          <w:tcPr>
            <w:tcW w:w="42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10</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w:t>
            </w: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≤27</w:t>
            </w:r>
          </w:p>
        </w:tc>
        <w:tc>
          <w:tcPr>
            <w:tcW w:w="4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≤60</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≤60</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≥150</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w:t>
            </w:r>
          </w:p>
        </w:tc>
      </w:tr>
      <w:tr>
        <w:tblPrEx>
          <w:tblCellMar>
            <w:top w:w="0" w:type="dxa"/>
            <w:left w:w="108" w:type="dxa"/>
            <w:bottom w:w="0" w:type="dxa"/>
            <w:right w:w="108" w:type="dxa"/>
          </w:tblCellMar>
        </w:tblPrEx>
        <w:trPr>
          <w:trHeight w:val="255" w:hRule="atLeast"/>
        </w:trPr>
        <w:tc>
          <w:tcPr>
            <w:tcW w:w="8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预麻醉室</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负</w:t>
            </w:r>
          </w:p>
        </w:tc>
        <w:tc>
          <w:tcPr>
            <w:tcW w:w="42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10</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w:t>
            </w: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23~26</w:t>
            </w:r>
          </w:p>
        </w:tc>
        <w:tc>
          <w:tcPr>
            <w:tcW w:w="4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30~60</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≤55</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≥150</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w:t>
            </w:r>
          </w:p>
        </w:tc>
      </w:tr>
      <w:tr>
        <w:tblPrEx>
          <w:tblCellMar>
            <w:top w:w="0" w:type="dxa"/>
            <w:left w:w="108" w:type="dxa"/>
            <w:bottom w:w="0" w:type="dxa"/>
            <w:right w:w="108" w:type="dxa"/>
          </w:tblCellMar>
        </w:tblPrEx>
        <w:trPr>
          <w:trHeight w:val="255" w:hRule="atLeast"/>
        </w:trPr>
        <w:tc>
          <w:tcPr>
            <w:tcW w:w="8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手术室前室</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正</w:t>
            </w:r>
          </w:p>
        </w:tc>
        <w:tc>
          <w:tcPr>
            <w:tcW w:w="42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8</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w:t>
            </w: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21~27</w:t>
            </w:r>
          </w:p>
        </w:tc>
        <w:tc>
          <w:tcPr>
            <w:tcW w:w="4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≤60</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≤52</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≥200</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w:t>
            </w:r>
          </w:p>
        </w:tc>
      </w:tr>
      <w:tr>
        <w:trPr>
          <w:trHeight w:val="255" w:hRule="atLeast"/>
        </w:trPr>
        <w:tc>
          <w:tcPr>
            <w:tcW w:w="8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刷手间</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正</w:t>
            </w:r>
          </w:p>
        </w:tc>
        <w:tc>
          <w:tcPr>
            <w:tcW w:w="42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8</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w:t>
            </w: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21~27</w:t>
            </w:r>
          </w:p>
        </w:tc>
        <w:tc>
          <w:tcPr>
            <w:tcW w:w="4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≤55</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≥150</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w:t>
            </w:r>
          </w:p>
        </w:tc>
      </w:tr>
      <w:tr>
        <w:tblPrEx>
          <w:tblCellMar>
            <w:top w:w="0" w:type="dxa"/>
            <w:left w:w="108" w:type="dxa"/>
            <w:bottom w:w="0" w:type="dxa"/>
            <w:right w:w="108" w:type="dxa"/>
          </w:tblCellMar>
        </w:tblPrEx>
        <w:trPr>
          <w:trHeight w:val="255" w:hRule="atLeast"/>
        </w:trPr>
        <w:tc>
          <w:tcPr>
            <w:tcW w:w="88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洁净区走廊</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正</w:t>
            </w:r>
          </w:p>
        </w:tc>
        <w:tc>
          <w:tcPr>
            <w:tcW w:w="42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8</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w:t>
            </w:r>
          </w:p>
        </w:tc>
        <w:tc>
          <w:tcPr>
            <w:tcW w:w="57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21~27</w:t>
            </w:r>
          </w:p>
        </w:tc>
        <w:tc>
          <w:tcPr>
            <w:tcW w:w="4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≤60</w:t>
            </w:r>
          </w:p>
        </w:tc>
        <w:tc>
          <w:tcPr>
            <w:tcW w:w="78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(2)</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≤52</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≥150</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bidi="ar"/>
              </w:rPr>
              <w:t>-</w:t>
            </w:r>
          </w:p>
        </w:tc>
      </w:tr>
    </w:tbl>
    <w:p>
      <w:pPr>
        <w:snapToGrid w:val="0"/>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注:1、平均风速指集中送风区地面以上1.2m截面的平均风速。</w:t>
      </w:r>
    </w:p>
    <w:p>
      <w:pPr>
        <w:snapToGrid w:val="0"/>
        <w:spacing w:line="360" w:lineRule="auto"/>
        <w:jc w:val="lef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2、洁净空调系统</w:t>
      </w:r>
    </w:p>
    <w:p>
      <w:pPr>
        <w:snapToGrid w:val="0"/>
        <w:spacing w:line="360" w:lineRule="auto"/>
        <w:jc w:val="lef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1)净化空调机组设备部件的选用应满足下列要求：</w:t>
      </w:r>
    </w:p>
    <w:p>
      <w:pPr>
        <w:pStyle w:val="255"/>
        <w:numPr>
          <w:ilvl w:val="0"/>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总体要求</w:t>
      </w:r>
    </w:p>
    <w:p>
      <w:pPr>
        <w:pStyle w:val="255"/>
        <w:numPr>
          <w:ilvl w:val="1"/>
          <w:numId w:val="4"/>
        </w:numPr>
        <w:spacing w:line="360" w:lineRule="auto"/>
        <w:ind w:firstLineChars="0"/>
        <w:rPr>
          <w:rFonts w:hint="eastAsia" w:asciiTheme="minorEastAsia" w:hAnsiTheme="minorEastAsia" w:eastAsiaTheme="minorEastAsia" w:cstheme="minorEastAsia"/>
          <w:sz w:val="22"/>
          <w:szCs w:val="20"/>
        </w:rPr>
      </w:pPr>
      <w:bookmarkStart w:id="32" w:name="OLE_LINK17"/>
      <w:bookmarkStart w:id="33" w:name="OLE_LINK24"/>
      <w:bookmarkStart w:id="34" w:name="OLE_LINK25"/>
      <w:bookmarkStart w:id="35" w:name="_Toc389657720"/>
      <w:bookmarkStart w:id="36" w:name="OLE_LINK85"/>
      <w:r>
        <w:rPr>
          <w:rFonts w:hint="eastAsia" w:asciiTheme="minorEastAsia" w:hAnsiTheme="minorEastAsia" w:eastAsiaTheme="minorEastAsia" w:cstheme="minorEastAsia"/>
          <w:sz w:val="22"/>
          <w:szCs w:val="20"/>
        </w:rPr>
        <w:t>制造商具有全国工业产品生产许可证，产品许可范围包含“洁净空气调节机组”、“组合式空调机组”产品（提供生产许可证，并加盖公章）；</w:t>
      </w:r>
    </w:p>
    <w:p>
      <w:pPr>
        <w:pStyle w:val="255"/>
        <w:numPr>
          <w:ilvl w:val="1"/>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空调制造商必须通过 ISO9001 质量体系证书， ISO14001 环境管理体系证书，GB/T28001 职业健康安全体系证书。</w:t>
      </w:r>
    </w:p>
    <w:p>
      <w:pPr>
        <w:pStyle w:val="255"/>
        <w:numPr>
          <w:ilvl w:val="1"/>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空气处理机组制造商需要有参与鲁班工程的经验；</w:t>
      </w:r>
    </w:p>
    <w:p>
      <w:pPr>
        <w:pStyle w:val="255"/>
        <w:numPr>
          <w:ilvl w:val="1"/>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空气处理机组通过欧盟高标准认证并获得“TUV”证书；</w:t>
      </w:r>
    </w:p>
    <w:p>
      <w:pPr>
        <w:pStyle w:val="255"/>
        <w:numPr>
          <w:ilvl w:val="1"/>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空气处理机组获得CRAA产品认证；</w:t>
      </w:r>
    </w:p>
    <w:p>
      <w:pPr>
        <w:pStyle w:val="255"/>
        <w:numPr>
          <w:ilvl w:val="1"/>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空气处理机组制造商在制造基地应有经过国家认可的，具有能效标识能源效率检测实验室认证的焓差实验室。机组在出厂前至少抽检一台上线检测，并提供测试报告。</w:t>
      </w:r>
    </w:p>
    <w:p>
      <w:pPr>
        <w:pStyle w:val="255"/>
        <w:numPr>
          <w:ilvl w:val="1"/>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空气处理机组的换热部件应为自主产品，设备提供商应有完整的换热部件生产线。投标文件中应列出相关的设备清单，并附以图片说明。</w:t>
      </w:r>
    </w:p>
    <w:p>
      <w:pPr>
        <w:pStyle w:val="255"/>
        <w:numPr>
          <w:ilvl w:val="1"/>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为保证空气处理机组的设计、生产能满足使用要求，并且达到一定的稳定性，制造商应有成熟的净化空气处理机组的设计选型软件（提供空气处理机组的设计选型软件证明材料并加盖公章）</w:t>
      </w:r>
    </w:p>
    <w:p>
      <w:pPr>
        <w:pStyle w:val="255"/>
        <w:numPr>
          <w:ilvl w:val="1"/>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机组供货商应有提供与机组配套的自动近制系统的能力，应同时提供与机组配套的恒温恒湿控制系统，并应保证运行稳定，自控系统不得采用OEM产品。投标书中提供3C认证并加盖公章。</w:t>
      </w:r>
    </w:p>
    <w:p>
      <w:pPr>
        <w:pStyle w:val="255"/>
        <w:numPr>
          <w:ilvl w:val="1"/>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制造商应有成熟的恒温恒湿控制方案，并有相应的软件与之匹配，并原始取得国家版权局登记的软件著作权，并且应用时间不得低于5年（提供相关证明文件并加盖公章）</w:t>
      </w:r>
    </w:p>
    <w:p>
      <w:pPr>
        <w:pStyle w:val="255"/>
        <w:numPr>
          <w:ilvl w:val="0"/>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产品技术要求</w:t>
      </w:r>
    </w:p>
    <w:p>
      <w:pPr>
        <w:pStyle w:val="255"/>
        <w:numPr>
          <w:ilvl w:val="1"/>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箱体</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机组外形美观大方，机组外表面应无明显划痕、锈班和压痕，表面光洁，喷涂均匀一致，不得有色差。</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机组采用铝合金框架结构，</w:t>
      </w:r>
      <w:bookmarkStart w:id="37" w:name="OLE_LINK2"/>
      <w:bookmarkStart w:id="38" w:name="OLE_LINK1"/>
      <w:r>
        <w:rPr>
          <w:rFonts w:hint="eastAsia" w:asciiTheme="minorEastAsia" w:hAnsiTheme="minorEastAsia" w:eastAsiaTheme="minorEastAsia" w:cstheme="minorEastAsia"/>
          <w:sz w:val="22"/>
          <w:szCs w:val="20"/>
        </w:rPr>
        <w:t>结构应拆装方便，风机段、表冷段的侧板应能保证独立拆除，以方便日后的大部件的维护维修方便。</w:t>
      </w:r>
      <w:bookmarkEnd w:id="37"/>
      <w:bookmarkEnd w:id="38"/>
      <w:r>
        <w:rPr>
          <w:rFonts w:hint="eastAsia" w:asciiTheme="minorEastAsia" w:hAnsiTheme="minorEastAsia" w:eastAsiaTheme="minorEastAsia" w:cstheme="minorEastAsia"/>
          <w:sz w:val="22"/>
          <w:szCs w:val="20"/>
        </w:rPr>
        <w:t>转角处采用高强度铸铝叉接，铝柱为双腔防冷桥结构，材料厚度不小于1.8mm，以保证良好的强度；</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空气处理机组箱板与框架采用螺钉联接，螺钉为内藏式并与空气隔离，以保证永不生锈。机组每一块箱板均可以独立拆下，以方便大部件更换或维修。</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空气处理机组采用双层保温板设计，内外板材料标准配置均为白色烤漆镀锌钢板。框架选用铝合金框架，整体箱板厚度不小于50mm。内、外金属板与发泡保温层一次发泡成型，形成高强度箱板，在±1000pa下，机组变形量≤2.3mm/m，机组的机械强度性能达到欧洲EN1886标准D1级（提供厂家产品检测报告并加盖公章）</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内外金属板之间充注密度不小于45m3/kg的阻燃型硬质聚氨酯发泡保温材料，整机结构应具有良好的隔热性能。</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空气处理机组采用高强度防冷桥结构，防止框架处存在冷桥而引起的结露，冷桥因子不低于0.7，防冷桥性能达到欧洲EN1886标准TB2级，机组传热系数不大于0.9（W/㎡·K），整体保温性能达到欧洲EN1886标准T2级（提供厂家产品检测报告并加盖公章）</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空气处理机组的保温护板与框架之间、各功能段之间在拼装时，应采用不含硅的密封胶密封，具有区别于常规含硅密封胶的性能，不易老化变形，以保证整个机组的密封性。依据GB/T19569-2004标准规定的试验方法,手术室用空气处理机组在静压1500Pa下，箱体的设计漏风率不大于0.2%，在静压1000Pa下，箱体的设计漏风率不大于0.1%。（依据EN1886：2007标准规定的试验方法，箱体漏风率，在-400Pa下，漏风率≤0.12l/(s·㎡)，在+700Pa下，漏风率≤0.15l/(s·㎡)，在正压和负压测试下均达到L1等级。）投标书中提供手术室用空气处理机组（机组风量不大于16000m³/h）的国家空调检测及行业权威机构出具的检测报告，并加盖厂家公章。</w:t>
      </w:r>
    </w:p>
    <w:p>
      <w:pPr>
        <w:pStyle w:val="255"/>
        <w:numPr>
          <w:ilvl w:val="1"/>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表冷段</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表冷器采用铜管穿铝翅片结构，铝翅片表面必须有防腐涂层，铝翅片的形状要兼顾清洁和换热效率，</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冷媒介质为水时，进出水接管采用钢管，并预留外螺纹接口；</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highlight w:val="none"/>
        </w:rPr>
      </w:pPr>
      <w:r>
        <w:rPr>
          <w:rFonts w:hint="eastAsia" w:asciiTheme="minorEastAsia" w:hAnsiTheme="minorEastAsia" w:eastAsiaTheme="minorEastAsia" w:cstheme="minorEastAsia"/>
          <w:sz w:val="22"/>
          <w:szCs w:val="20"/>
          <w:highlight w:val="none"/>
        </w:rPr>
        <w:t>所有换热器在安装于机组前必须进行检漏试验。　</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highlight w:val="none"/>
        </w:rPr>
      </w:pPr>
      <w:r>
        <w:rPr>
          <w:rFonts w:hint="eastAsia" w:asciiTheme="minorEastAsia" w:hAnsiTheme="minorEastAsia" w:eastAsiaTheme="minorEastAsia" w:cstheme="minorEastAsia"/>
          <w:sz w:val="22"/>
          <w:szCs w:val="20"/>
          <w:highlight w:val="none"/>
        </w:rPr>
        <w:t>表冷器应有良好的旁通密封措施，不得有没有经过换热片处理过的旁通风现象。</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highlight w:val="none"/>
        </w:rPr>
      </w:pPr>
      <w:r>
        <w:rPr>
          <w:rFonts w:hint="eastAsia" w:asciiTheme="minorEastAsia" w:hAnsiTheme="minorEastAsia" w:eastAsiaTheme="minorEastAsia" w:cstheme="minorEastAsia"/>
          <w:sz w:val="22"/>
          <w:szCs w:val="20"/>
          <w:highlight w:val="none"/>
        </w:rPr>
        <w:t>空气处理机组的接水盘采用特种抗菌型304不锈钢材质，该种材质对常风的大肠杆菌和金黄色葡萄菌具有明显的抗菌效果，抗菌率达到99.9%以上，投标书中应提供相关证明文件并加盖公章。</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highlight w:val="none"/>
        </w:rPr>
      </w:pPr>
      <w:r>
        <w:rPr>
          <w:rFonts w:hint="eastAsia" w:asciiTheme="minorEastAsia" w:hAnsiTheme="minorEastAsia" w:eastAsiaTheme="minorEastAsia" w:cstheme="minorEastAsia"/>
          <w:sz w:val="22"/>
          <w:szCs w:val="20"/>
          <w:highlight w:val="none"/>
        </w:rPr>
        <w:t>凝结水盘底部需带厚度不小于25mm的聚氨脂发泡材料进行保温，确保在环境温度在40℃左右，相对湿度不超过95%的条件下机组不结露，凝结水盘为干式设计，局部下沉结构，可保证快速排水。投标书中应提供相关证明文件并加盖公章。</w:t>
      </w:r>
    </w:p>
    <w:p>
      <w:pPr>
        <w:pStyle w:val="255"/>
        <w:numPr>
          <w:ilvl w:val="1"/>
          <w:numId w:val="4"/>
        </w:numPr>
        <w:spacing w:line="360" w:lineRule="auto"/>
        <w:ind w:firstLineChars="0"/>
        <w:rPr>
          <w:rFonts w:hint="eastAsia" w:asciiTheme="minorEastAsia" w:hAnsiTheme="minorEastAsia" w:eastAsiaTheme="minorEastAsia" w:cstheme="minorEastAsia"/>
          <w:sz w:val="22"/>
          <w:szCs w:val="20"/>
          <w:highlight w:val="none"/>
        </w:rPr>
      </w:pPr>
      <w:r>
        <w:rPr>
          <w:rFonts w:hint="eastAsia" w:asciiTheme="minorEastAsia" w:hAnsiTheme="minorEastAsia" w:eastAsiaTheme="minorEastAsia" w:cstheme="minorEastAsia"/>
          <w:sz w:val="22"/>
          <w:szCs w:val="20"/>
          <w:highlight w:val="none"/>
        </w:rPr>
        <w:t>风机段</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highlight w:val="none"/>
        </w:rPr>
      </w:pPr>
      <w:r>
        <w:rPr>
          <w:rFonts w:hint="eastAsia" w:asciiTheme="minorEastAsia" w:hAnsiTheme="minorEastAsia" w:eastAsiaTheme="minorEastAsia" w:cstheme="minorEastAsia"/>
          <w:sz w:val="22"/>
          <w:szCs w:val="20"/>
          <w:highlight w:val="none"/>
        </w:rPr>
        <w:t>风机品牌采用知名品牌，</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highlight w:val="none"/>
        </w:rPr>
        <w:t>风机设计转速</w:t>
      </w:r>
      <w:r>
        <w:rPr>
          <w:rFonts w:hint="eastAsia" w:asciiTheme="minorEastAsia" w:hAnsiTheme="minorEastAsia" w:eastAsiaTheme="minorEastAsia" w:cstheme="minorEastAsia"/>
          <w:sz w:val="22"/>
          <w:szCs w:val="20"/>
        </w:rPr>
        <w:t>应有足够的余量，一般不得低于15%，以保证轴承安全；</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风机的选择优先考虑20以上的寿命、高效率、低噪音，风机效率全压效率不低于70%；</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风机叶片型式不得先用前向型叶轮，以保证有较好的压力补偿性能，避免风量衰减过大；</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（风机采用直联式传动，高效无涡壳离心风机，后弯叶片，高效低噪；）</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（电机选用国际知名品牌，不低于国标三级能效、欧标IE2）</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电机选用国产优质三相异步电动机，不低于国标三级能效、欧标IE2，防护等级不低于IP55,F级绝缘；</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风机电机安装于同一支架上 ，支架下面至少安装4个减振器。减振器的型式为弹簧减振器，并且不得有限制水平位移的硬接件，降低减振效果；</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风机出厂有难燃级帆布软联接。</w:t>
      </w:r>
    </w:p>
    <w:p>
      <w:pPr>
        <w:pStyle w:val="255"/>
        <w:numPr>
          <w:ilvl w:val="1"/>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过滤段</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循环机组至少配初效、中效两级过滤，新风机组至少配置三级过滤；</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过滤器规格应国国内市场上标准的规格尺寸，600*600、600*300，以方便用户更换；</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过滤器的效率满足参数表的技术要求；</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循环机组的过滤器为一次抛弃型，不得循环使用，以防止病菌的传播；</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过滤器的安装方式应操作简便，具有良好的密封性能。</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空气处理机组内部的过滤器安装应有可靠的密封措施，不经过过滤器滤料的旁通风量可有效控制。过滤器的安装密封槽在+400pa压力下，形成的旁通泄漏风量不大于0.3%，在-400pa压力下，形成的旁通泄漏风量不大于0.5%。投标书中提供行业权威机构出具的检测报告，并加盖厂家公章。</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机组将采用板式初效过滤器，粗效过滤器材料为无纺布，滤料W型排布，有较大的过滤面积，过滤级别G4，标称厚度不小于50mm，设计风量条件下初阻力不大于100Pa，过滤器计数效率≥50%（2.0μm）以上。主要用于过滤10～100μm的大颗粒，滤材及滤框具有防腐性。</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中效过滤采用袋式过滤器，材料为化纤材料，袋长不小于500，过滤级别F8，过滤器计数效率不低于90%（0.5μm）以上。需要提供足够的安装维修空间。</w:t>
      </w:r>
    </w:p>
    <w:p>
      <w:pPr>
        <w:pStyle w:val="255"/>
        <w:widowControl/>
        <w:numPr>
          <w:ilvl w:val="2"/>
          <w:numId w:val="4"/>
        </w:numPr>
        <w:spacing w:line="360" w:lineRule="auto"/>
        <w:ind w:firstLineChars="0"/>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新风机应配备亚高效过滤器，采用密褶式，厚度不小于290mm，过滤级别H10，过滤器计数效率95%(O.5μm)以上。需要提供足够的安装维修空间</w:t>
      </w:r>
    </w:p>
    <w:p>
      <w:pPr>
        <w:pStyle w:val="255"/>
        <w:numPr>
          <w:ilvl w:val="1"/>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加湿段</w:t>
      </w:r>
    </w:p>
    <w:p>
      <w:pPr>
        <w:pStyle w:val="255"/>
        <w:numPr>
          <w:ilvl w:val="2"/>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采用电极式加湿器，产品为清洁节能型进口产品。要求湿度控制精度±10%以内，正常使用寿命10年以上。</w:t>
      </w:r>
    </w:p>
    <w:p>
      <w:pPr>
        <w:pStyle w:val="255"/>
        <w:numPr>
          <w:ilvl w:val="2"/>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加湿器应能做到蒸汽输出量在0-100%间线性可调。</w:t>
      </w:r>
    </w:p>
    <w:p>
      <w:pPr>
        <w:pStyle w:val="255"/>
        <w:numPr>
          <w:ilvl w:val="2"/>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加湿器须能接收0～10V、2～10V、0～20mA、4～20mA等不同的控制或传感信号；</w:t>
      </w:r>
    </w:p>
    <w:p>
      <w:pPr>
        <w:pStyle w:val="255"/>
        <w:numPr>
          <w:ilvl w:val="2"/>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为保证洁净加湿，消除异味，并降低故障率，加湿器的蒸汽输送管及蒸汽分布管均采用304不锈钢材质，并要有冷凝水排放措施；</w:t>
      </w:r>
    </w:p>
    <w:p>
      <w:pPr>
        <w:pStyle w:val="255"/>
        <w:numPr>
          <w:ilvl w:val="2"/>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加湿器有电气安全保护，及防溢水功能，机电一体化，方便维护检修。</w:t>
      </w:r>
    </w:p>
    <w:p>
      <w:pPr>
        <w:pStyle w:val="255"/>
        <w:numPr>
          <w:ilvl w:val="1"/>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电加热</w:t>
      </w:r>
    </w:p>
    <w:p>
      <w:pPr>
        <w:pStyle w:val="255"/>
        <w:numPr>
          <w:ilvl w:val="2"/>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机组内应配备辅助电加热，以适应过渡季或再热所需；</w:t>
      </w:r>
    </w:p>
    <w:p>
      <w:pPr>
        <w:pStyle w:val="255"/>
        <w:numPr>
          <w:ilvl w:val="2"/>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电加热器采用PTC陶瓷发热无件，无高温烧红危险，具有可靠的安全性能。</w:t>
      </w:r>
    </w:p>
    <w:p>
      <w:pPr>
        <w:pStyle w:val="255"/>
        <w:numPr>
          <w:ilvl w:val="2"/>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电加热的散热片选用机械压紧式，不得采用胶粘式，以保证在运行时不得产生异味；</w:t>
      </w:r>
    </w:p>
    <w:p>
      <w:pPr>
        <w:pStyle w:val="255"/>
        <w:numPr>
          <w:ilvl w:val="2"/>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有机组启停联锁控制，防止无风投入；</w:t>
      </w:r>
    </w:p>
    <w:p>
      <w:pPr>
        <w:pStyle w:val="255"/>
        <w:numPr>
          <w:ilvl w:val="2"/>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必须安装温度过高断电装置，以确保过热现象；</w:t>
      </w:r>
    </w:p>
    <w:p>
      <w:pPr>
        <w:pStyle w:val="255"/>
        <w:numPr>
          <w:ilvl w:val="2"/>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采用分极调节，每投入一级应保证温度变化不超过3摄氏度，以保证室内温度的稳定控制。</w:t>
      </w:r>
    </w:p>
    <w:p>
      <w:pPr>
        <w:pStyle w:val="255"/>
        <w:numPr>
          <w:ilvl w:val="1"/>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风口</w:t>
      </w:r>
    </w:p>
    <w:p>
      <w:pPr>
        <w:pStyle w:val="255"/>
        <w:numPr>
          <w:ilvl w:val="2"/>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机组的送风口为法兰联接，回风口及新风口需配备风量调节阀；</w:t>
      </w:r>
    </w:p>
    <w:p>
      <w:pPr>
        <w:pStyle w:val="255"/>
        <w:numPr>
          <w:ilvl w:val="2"/>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风阀为铝合金材质，多页对开型，配有密封胶条，气密性好；</w:t>
      </w:r>
    </w:p>
    <w:p>
      <w:pPr>
        <w:pStyle w:val="255"/>
        <w:numPr>
          <w:ilvl w:val="2"/>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风阀应配备电动执行器，模拟量控制；</w:t>
      </w:r>
    </w:p>
    <w:p>
      <w:pPr>
        <w:pStyle w:val="255"/>
        <w:numPr>
          <w:ilvl w:val="1"/>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检修段</w:t>
      </w:r>
    </w:p>
    <w:p>
      <w:pPr>
        <w:pStyle w:val="255"/>
        <w:numPr>
          <w:ilvl w:val="2"/>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机组在必要的位置，应设置检修段，检修段的长度应合适，以方便维修操作为宜；</w:t>
      </w:r>
    </w:p>
    <w:p>
      <w:pPr>
        <w:pStyle w:val="255"/>
        <w:numPr>
          <w:ilvl w:val="2"/>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检修段设有检修门，检修门的宽度净宽度不小于500mm，高度不低于700mm，以方便检修；</w:t>
      </w:r>
    </w:p>
    <w:p>
      <w:pPr>
        <w:pStyle w:val="255"/>
        <w:numPr>
          <w:ilvl w:val="2"/>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检修门应采用与空调机组外壳相同的双层板制作，并具有相同的隔热、隔声、密封性能。</w:t>
      </w:r>
    </w:p>
    <w:p>
      <w:pPr>
        <w:pStyle w:val="255"/>
        <w:numPr>
          <w:ilvl w:val="2"/>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检修门采用带铰链结构，具备多点锁紧功能，设把手，正压段配有双保险把手，保证密封性能。</w:t>
      </w:r>
    </w:p>
    <w:p>
      <w:pPr>
        <w:pStyle w:val="255"/>
        <w:numPr>
          <w:ilvl w:val="1"/>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其它</w:t>
      </w:r>
    </w:p>
    <w:p>
      <w:pPr>
        <w:pStyle w:val="255"/>
        <w:numPr>
          <w:ilvl w:val="2"/>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空气处理机组采用热管防冻技术，提高加热盘管的安全性能，既能实现空气处理机组冬季运行防冻的效果，同时还可保证空气处理机组的较低的送风温度，节约能量。（提供相关证明文件并加盖公章）</w:t>
      </w:r>
    </w:p>
    <w:p>
      <w:pPr>
        <w:pStyle w:val="255"/>
        <w:numPr>
          <w:ilvl w:val="2"/>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空气处理机组采用停机防冻的功能。可以减少机组在北方冬季寒冷季节在停机状态时，机组内部温度过低而冻坏盘管的机率。提供相关证明文件并加盖公章）</w:t>
      </w:r>
    </w:p>
    <w:p>
      <w:pPr>
        <w:pStyle w:val="255"/>
        <w:numPr>
          <w:ilvl w:val="2"/>
          <w:numId w:val="4"/>
        </w:numPr>
        <w:spacing w:line="360" w:lineRule="auto"/>
        <w:ind w:firstLineChars="0"/>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为保证手术室达到的一定的湿度要求，空调系统在夏季应有足够除能力。要求新风机组在满足新风量的情况下，具有专门的、有效的除湿技术措施，降低能源浪费,新风机组应配置双冷源深度除湿装置，设备制造商必须有独立的知识产权，并提供相关证明文件。由该知识产权引起的所有纠纷、后果，由投标方负责（提供相关证明文件并加盖公章）</w:t>
      </w:r>
      <w:bookmarkEnd w:id="32"/>
      <w:bookmarkEnd w:id="33"/>
      <w:bookmarkEnd w:id="34"/>
      <w:bookmarkEnd w:id="35"/>
      <w:bookmarkEnd w:id="36"/>
    </w:p>
    <w:p>
      <w:pPr>
        <w:numPr>
          <w:ilvl w:val="0"/>
          <w:numId w:val="4"/>
        </w:numPr>
        <w:snapToGrid w:val="0"/>
        <w:spacing w:line="360" w:lineRule="auto"/>
        <w:jc w:val="left"/>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机组配置</w:t>
      </w:r>
    </w:p>
    <w:p>
      <w:pPr>
        <w:pStyle w:val="57"/>
        <w:widowControl/>
        <w:spacing w:before="0" w:beforeAutospacing="0" w:after="0" w:afterAutospacing="0" w:line="360" w:lineRule="auto"/>
        <w:ind w:left="63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净化区域全部采用全空气型净化空调系统。空调机组均采用四管制。</w:t>
      </w:r>
    </w:p>
    <w:p>
      <w:pPr>
        <w:pStyle w:val="57"/>
        <w:widowControl/>
        <w:spacing w:before="0" w:beforeAutospacing="0" w:after="0" w:afterAutospacing="0" w:line="360" w:lineRule="auto"/>
        <w:ind w:left="630"/>
        <w:rPr>
          <w:rFonts w:hint="eastAsia"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&lt;1&gt;四层手术部：</w:t>
      </w:r>
    </w:p>
    <w:p>
      <w:pPr>
        <w:pStyle w:val="57"/>
        <w:widowControl/>
        <w:numPr>
          <w:ilvl w:val="0"/>
          <w:numId w:val="5"/>
        </w:numPr>
        <w:spacing w:before="0" w:beforeAutospacing="0" w:after="0" w:afterAutospacing="0" w:line="360" w:lineRule="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Ⅰ级DSA复合手术室及其控制室、机房采用一台净化型空气处理机组；</w:t>
      </w:r>
    </w:p>
    <w:p>
      <w:pPr>
        <w:pStyle w:val="57"/>
        <w:widowControl/>
        <w:numPr>
          <w:ilvl w:val="0"/>
          <w:numId w:val="5"/>
        </w:numPr>
        <w:spacing w:before="0" w:beforeAutospacing="0" w:after="0" w:afterAutospacing="0" w:line="360" w:lineRule="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Ⅲ级CT诊查室采用一台净化型空气处理机组；</w:t>
      </w:r>
    </w:p>
    <w:p>
      <w:pPr>
        <w:pStyle w:val="57"/>
        <w:widowControl/>
        <w:numPr>
          <w:ilvl w:val="0"/>
          <w:numId w:val="5"/>
        </w:numPr>
        <w:spacing w:before="0" w:beforeAutospacing="0" w:after="0" w:afterAutospacing="0" w:line="360" w:lineRule="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Ⅰ级OR19手术室及设备间采用一台净化型空气处理机组；</w:t>
      </w:r>
    </w:p>
    <w:p>
      <w:pPr>
        <w:pStyle w:val="57"/>
        <w:widowControl/>
        <w:numPr>
          <w:ilvl w:val="0"/>
          <w:numId w:val="5"/>
        </w:numPr>
        <w:spacing w:before="0" w:beforeAutospacing="0" w:after="0" w:afterAutospacing="0" w:line="360" w:lineRule="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污物走廊及辅房采用一台净化型空气处理机组，并预留未改造区域风管接管。</w:t>
      </w:r>
    </w:p>
    <w:p>
      <w:pPr>
        <w:pStyle w:val="57"/>
        <w:widowControl/>
        <w:numPr>
          <w:ilvl w:val="0"/>
          <w:numId w:val="5"/>
        </w:numPr>
        <w:spacing w:before="0" w:beforeAutospacing="0" w:after="0" w:afterAutospacing="0" w:line="360" w:lineRule="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新风系统：DSA复合手术室、OR19手术室及污物走廊均接入原预留净化型新风处理机组，CT诊查室采用自吸新风式空调机组。</w:t>
      </w:r>
    </w:p>
    <w:p>
      <w:pPr>
        <w:pStyle w:val="57"/>
        <w:widowControl/>
        <w:spacing w:before="0" w:beforeAutospacing="0" w:after="0" w:afterAutospacing="0"/>
        <w:ind w:firstLine="422" w:firstLineChars="200"/>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rPr>
        <w:t>3）气流组织设计</w:t>
      </w:r>
    </w:p>
    <w:p>
      <w:pPr>
        <w:pStyle w:val="57"/>
        <w:widowControl/>
        <w:numPr>
          <w:ilvl w:val="0"/>
          <w:numId w:val="6"/>
        </w:numPr>
        <w:spacing w:before="0" w:beforeAutospacing="0" w:after="0" w:afterAutospacing="0" w:line="360" w:lineRule="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四层手术部：复合手术室、CT诊查室、手术室OR19采用工作区顶棚布置层流送风天花,两侧墙下部布置回风口即上送下回的气流组织形式;</w:t>
      </w:r>
    </w:p>
    <w:p>
      <w:pPr>
        <w:pStyle w:val="57"/>
        <w:widowControl/>
        <w:numPr>
          <w:ilvl w:val="0"/>
          <w:numId w:val="6"/>
        </w:numPr>
        <w:spacing w:before="0" w:beforeAutospacing="0" w:after="0" w:afterAutospacing="0" w:line="360" w:lineRule="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污物走道采用顶棚均布高效送风口,两侧墙下布置回风口即上送下回的气流组织形式。</w:t>
      </w:r>
    </w:p>
    <w:p>
      <w:pPr>
        <w:pStyle w:val="57"/>
        <w:widowControl/>
        <w:numPr>
          <w:ilvl w:val="0"/>
          <w:numId w:val="7"/>
        </w:numPr>
        <w:spacing w:before="0" w:beforeAutospacing="0" w:after="0" w:afterAutospacing="0"/>
        <w:ind w:firstLine="422" w:firstLineChars="200"/>
        <w:rPr>
          <w:rFonts w:hint="eastAsia" w:asciiTheme="minorEastAsia" w:hAnsiTheme="minorEastAsia" w:eastAsiaTheme="minorEastAsia" w:cstheme="minorEastAsia"/>
          <w:b/>
          <w:bCs/>
          <w:kern w:val="2"/>
          <w:sz w:val="21"/>
          <w:szCs w:val="21"/>
        </w:rPr>
      </w:pPr>
      <w:r>
        <w:rPr>
          <w:rFonts w:hint="eastAsia" w:asciiTheme="minorEastAsia" w:hAnsiTheme="minorEastAsia" w:eastAsiaTheme="minorEastAsia" w:cstheme="minorEastAsia"/>
          <w:b/>
          <w:bCs/>
          <w:kern w:val="2"/>
          <w:sz w:val="21"/>
          <w:szCs w:val="21"/>
        </w:rPr>
        <w:t>净化风管系统</w:t>
      </w:r>
    </w:p>
    <w:p>
      <w:pPr>
        <w:pStyle w:val="57"/>
        <w:widowControl/>
        <w:spacing w:before="0" w:beforeAutospacing="0" w:after="0" w:afterAutospacing="0" w:line="360" w:lineRule="auto"/>
        <w:ind w:firstLine="630" w:firstLineChars="3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四层手术室采用活性炭过滤器、蒸汽加湿器、调节阀、卫生型微穿孔板消声器，防火阀等。采用镀锌钢板制作，保温采用30mm厚B1级橡塑保温棉，风管板材的拼接采用单咬口。转角缝采用转角口或联合咬口，咬口缝须涂密封胶；法兰连接处用闭孔海绵条进行密封。</w:t>
      </w:r>
    </w:p>
    <w:p>
      <w:pPr>
        <w:snapToGrid w:val="0"/>
        <w:ind w:firstLine="422" w:firstLineChars="200"/>
        <w:jc w:val="left"/>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5）过滤器</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1)单体高效过滤器送风口，安装时应将安装高效过滤器的外壳擦拭干净，当外壳内表面的涂层有损坏时，应修补完好后方准安装，壳体安装完毕应随即和风管连接好。孔板部位应用塑料薄膜和胶带纸密封。</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2)高效过滤器在安装时，应使气流方向与过滤器外框上的箭头方向一致，垂直安装时滤纸折痕垂直于地面。</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3)当在框架下（下装式）不采用托架安装高效过滤器时，其安装框架与孔板框架之间的距离，宜取1.5倍的高效过滤器高度，且孔板框架的分格尺寸不应小于过滤器托架的外形尺寸。</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4)过滤器前后应装有压差计的测定接管，测定管应畅通、安装严密、无变形裂痕。</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安装高效过滤器前，系统应至少空吹24小时以上，同时必须对洁净室进行全面清扫、擦净，净化空调系统内也应达到同样的要求，如在设备层内安装高效过滤器时。设备层内应进行全面清扫，不宜在吊顶内安装高效过滤器。</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6)高效过滤器必需搬动、存放时应按GB13554规定执行。</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7)高效过滤器必需在安装时现场拆开包装，进行外观检查，严禁用手触摸滤纸，如内包装具备手提拉的条件时，可直接提拉内包装取出高效过滤器，否则应采用倒置法取出高效过滤器</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8)高效过滤器的外框，应采用金属不锈的外框。成品不应有大的刺激气味。</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9)高效过滤器和框架间的的密封垫，采用单环、双环闭孔海绵泡沫橡胶密封垫，粘贴时，应把垫片、过滤器边框面和框架面檫试干净。</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10)高效过滤器除采用密封垫安装外，也可采用密封可靠、便于更换的液槽密封、负压密封等其他方法。</w:t>
      </w:r>
    </w:p>
    <w:p>
      <w:pPr>
        <w:snapToGrid w:val="0"/>
        <w:spacing w:line="360" w:lineRule="auto"/>
        <w:ind w:firstLine="422" w:firstLineChars="200"/>
        <w:jc w:val="left"/>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6）消声隔振</w:t>
      </w:r>
    </w:p>
    <w:p>
      <w:pPr>
        <w:pStyle w:val="57"/>
        <w:widowControl/>
        <w:spacing w:before="0" w:beforeAutospacing="0" w:after="0" w:afterAutospacing="0" w:line="360" w:lineRule="auto"/>
        <w:ind w:firstLine="630" w:firstLineChars="3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1.手术室与洁净走道、辅房空调系统送、回风均设微孔板消声器。</w:t>
      </w:r>
    </w:p>
    <w:p>
      <w:pPr>
        <w:pStyle w:val="57"/>
        <w:widowControl/>
        <w:spacing w:before="0" w:beforeAutospacing="0" w:after="0" w:afterAutospacing="0" w:line="360" w:lineRule="auto"/>
        <w:ind w:firstLine="630" w:firstLineChars="3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2.空调机组设置减振垫、排风机设置减振吊架。</w:t>
      </w:r>
    </w:p>
    <w:p>
      <w:pPr>
        <w:pStyle w:val="57"/>
        <w:widowControl/>
        <w:spacing w:before="0" w:beforeAutospacing="0" w:after="0" w:afterAutospacing="0" w:line="360" w:lineRule="auto"/>
        <w:ind w:firstLine="630" w:firstLineChars="3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3.净化通风设备进出口均安装150mm长的柔性短管，短管采用不产尘材料制作。</w:t>
      </w:r>
    </w:p>
    <w:p>
      <w:pPr>
        <w:pStyle w:val="57"/>
        <w:widowControl/>
        <w:spacing w:before="0" w:beforeAutospacing="0" w:after="0" w:afterAutospacing="0" w:line="360" w:lineRule="auto"/>
        <w:ind w:firstLine="630" w:firstLineChars="3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4.所有与组合式净化机组、排风机相连的风管，均需要设置软接，软接头采用双层不产尘难燃材料制作，里层光面朝里，外层光面朝外。</w:t>
      </w:r>
    </w:p>
    <w:p>
      <w:pPr>
        <w:snapToGrid w:val="0"/>
        <w:spacing w:line="360" w:lineRule="auto"/>
        <w:ind w:firstLine="422" w:firstLineChars="200"/>
        <w:jc w:val="left"/>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7）加湿系统</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空调水系统采用干蒸汽加湿器。</w:t>
      </w:r>
    </w:p>
    <w:p>
      <w:pPr>
        <w:numPr>
          <w:ilvl w:val="0"/>
          <w:numId w:val="8"/>
        </w:numPr>
        <w:snapToGrid w:val="0"/>
        <w:spacing w:line="360" w:lineRule="auto"/>
        <w:ind w:firstLine="422" w:firstLineChars="200"/>
        <w:jc w:val="left"/>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空调冷热源</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改造区域机组接入原净化空调水系统，提供全年（含过渡季节）冷热负荷；空调水系统采用四管制,夏季冷冻水盘管降温除湿，热水盘管提供再热量；冬季由热水盘管制热，加湿采用干蒸汽加湿器加湿。夏季冷冻水供回水温度为7/12℃,冬季热水供回水温度为60/50℃</w:t>
      </w:r>
    </w:p>
    <w:p>
      <w:pPr>
        <w:snapToGrid w:val="0"/>
        <w:spacing w:line="360" w:lineRule="auto"/>
        <w:ind w:firstLine="422" w:firstLineChars="200"/>
        <w:jc w:val="lef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3、净化空调自动化控制系统设计要求：</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1）采用著名品牌多功能控制器、温、湿度传感器，压差开关、风阀执行器、冷水阀门执行器、热水阀门执行器、阀门执行器、电动比例积分调节阀、变频器等对系统的风量及温湿度进行控制。</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2）净化空调控制系统的控制含有机房本地控制和手术室等远程控制的两种功能。远程室内空调控制面板应可以实现以下的控制功能：</w:t>
      </w:r>
    </w:p>
    <w:p>
      <w:pPr>
        <w:numPr>
          <w:ilvl w:val="0"/>
          <w:numId w:val="9"/>
        </w:numPr>
        <w:snapToGrid w:val="0"/>
        <w:spacing w:line="360" w:lineRule="auto"/>
        <w:ind w:left="0"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机组启、停；</w:t>
      </w:r>
    </w:p>
    <w:p>
      <w:pPr>
        <w:numPr>
          <w:ilvl w:val="0"/>
          <w:numId w:val="9"/>
        </w:numPr>
        <w:snapToGrid w:val="0"/>
        <w:spacing w:line="360" w:lineRule="auto"/>
        <w:ind w:left="0"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值班运行/全风量运行转换；</w:t>
      </w:r>
    </w:p>
    <w:p>
      <w:pPr>
        <w:numPr>
          <w:ilvl w:val="0"/>
          <w:numId w:val="9"/>
        </w:numPr>
        <w:snapToGrid w:val="0"/>
        <w:spacing w:line="360" w:lineRule="auto"/>
        <w:ind w:left="0"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温度的设定；</w:t>
      </w:r>
    </w:p>
    <w:p>
      <w:pPr>
        <w:numPr>
          <w:ilvl w:val="0"/>
          <w:numId w:val="9"/>
        </w:numPr>
        <w:snapToGrid w:val="0"/>
        <w:spacing w:line="360" w:lineRule="auto"/>
        <w:ind w:left="0"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室内温、湿度的显示；</w:t>
      </w:r>
    </w:p>
    <w:p>
      <w:pPr>
        <w:numPr>
          <w:ilvl w:val="0"/>
          <w:numId w:val="9"/>
        </w:numPr>
        <w:snapToGrid w:val="0"/>
        <w:spacing w:line="360" w:lineRule="auto"/>
        <w:ind w:left="0"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机组启、停指示；</w:t>
      </w:r>
    </w:p>
    <w:p>
      <w:pPr>
        <w:numPr>
          <w:ilvl w:val="0"/>
          <w:numId w:val="9"/>
        </w:numPr>
        <w:snapToGrid w:val="0"/>
        <w:spacing w:line="360" w:lineRule="auto"/>
        <w:ind w:left="0"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机组值班状态指示；</w:t>
      </w:r>
    </w:p>
    <w:p>
      <w:pPr>
        <w:numPr>
          <w:ilvl w:val="0"/>
          <w:numId w:val="9"/>
        </w:numPr>
        <w:snapToGrid w:val="0"/>
        <w:spacing w:line="360" w:lineRule="auto"/>
        <w:ind w:left="0"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机组运行指示；</w:t>
      </w:r>
    </w:p>
    <w:p>
      <w:pPr>
        <w:numPr>
          <w:ilvl w:val="0"/>
          <w:numId w:val="9"/>
        </w:numPr>
        <w:snapToGrid w:val="0"/>
        <w:spacing w:line="360" w:lineRule="auto"/>
        <w:ind w:left="0"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机组故障指示；</w:t>
      </w:r>
    </w:p>
    <w:p>
      <w:pPr>
        <w:numPr>
          <w:ilvl w:val="0"/>
          <w:numId w:val="9"/>
        </w:numPr>
        <w:snapToGrid w:val="0"/>
        <w:spacing w:line="360" w:lineRule="auto"/>
        <w:ind w:left="0"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高效过滤器堵塞报警指示；</w:t>
      </w:r>
    </w:p>
    <w:p>
      <w:pPr>
        <w:numPr>
          <w:ilvl w:val="0"/>
          <w:numId w:val="9"/>
        </w:numPr>
        <w:snapToGrid w:val="0"/>
        <w:spacing w:line="360" w:lineRule="auto"/>
        <w:ind w:left="0"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正负压手术室能在手术部内实现正负压控制切换；</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3）机房控制柜内还可以实现以下的控制功能：</w:t>
      </w:r>
    </w:p>
    <w:p>
      <w:pPr>
        <w:numPr>
          <w:ilvl w:val="0"/>
          <w:numId w:val="10"/>
        </w:numPr>
        <w:snapToGrid w:val="0"/>
        <w:spacing w:line="360" w:lineRule="auto"/>
        <w:ind w:left="0"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室内控制面板实现的全部功能</w:t>
      </w:r>
    </w:p>
    <w:p>
      <w:pPr>
        <w:numPr>
          <w:ilvl w:val="0"/>
          <w:numId w:val="10"/>
        </w:numPr>
        <w:snapToGrid w:val="0"/>
        <w:spacing w:line="360" w:lineRule="auto"/>
        <w:ind w:left="0"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风机运行频率显示；</w:t>
      </w:r>
    </w:p>
    <w:p>
      <w:pPr>
        <w:numPr>
          <w:ilvl w:val="0"/>
          <w:numId w:val="10"/>
        </w:numPr>
        <w:snapToGrid w:val="0"/>
        <w:spacing w:line="360" w:lineRule="auto"/>
        <w:ind w:left="0"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初、中、高效过滤网堵塞报警、缺风保护报警、风机运行情况及过载报警、手术室排风机运行状态显示，运行状态和故障显示等；</w:t>
      </w:r>
    </w:p>
    <w:p>
      <w:pPr>
        <w:numPr>
          <w:ilvl w:val="0"/>
          <w:numId w:val="10"/>
        </w:numPr>
        <w:snapToGrid w:val="0"/>
        <w:spacing w:line="360" w:lineRule="auto"/>
        <w:ind w:left="0"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阀联锁指示；</w:t>
      </w:r>
    </w:p>
    <w:p>
      <w:pPr>
        <w:numPr>
          <w:ilvl w:val="0"/>
          <w:numId w:val="10"/>
        </w:numPr>
        <w:snapToGrid w:val="0"/>
        <w:spacing w:line="360" w:lineRule="auto"/>
        <w:ind w:left="0"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电流过压、欠压、缺相等报警并自动保护；</w:t>
      </w:r>
    </w:p>
    <w:p>
      <w:pPr>
        <w:numPr>
          <w:ilvl w:val="0"/>
          <w:numId w:val="10"/>
        </w:numPr>
        <w:snapToGrid w:val="0"/>
        <w:spacing w:line="360" w:lineRule="auto"/>
        <w:ind w:left="0"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手、自动风量调频切换，手动频率设定、半风量值班频率设定；</w:t>
      </w:r>
    </w:p>
    <w:p>
      <w:pPr>
        <w:numPr>
          <w:ilvl w:val="0"/>
          <w:numId w:val="10"/>
        </w:numPr>
        <w:snapToGrid w:val="0"/>
        <w:spacing w:line="360" w:lineRule="auto"/>
        <w:ind w:left="0"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冷热供水自动调节阀、电加热器工作状态；</w:t>
      </w:r>
    </w:p>
    <w:p>
      <w:pPr>
        <w:numPr>
          <w:ilvl w:val="0"/>
          <w:numId w:val="10"/>
        </w:numPr>
        <w:snapToGrid w:val="0"/>
        <w:spacing w:line="360" w:lineRule="auto"/>
        <w:ind w:left="0"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试灯和功能切换；</w:t>
      </w:r>
    </w:p>
    <w:p>
      <w:pPr>
        <w:numPr>
          <w:ilvl w:val="0"/>
          <w:numId w:val="10"/>
        </w:numPr>
        <w:snapToGrid w:val="0"/>
        <w:spacing w:line="360" w:lineRule="auto"/>
        <w:ind w:left="0"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各种控制参数（室内温、湿度；变频器频率等）的设定和修改；</w:t>
      </w:r>
    </w:p>
    <w:p>
      <w:pPr>
        <w:numPr>
          <w:ilvl w:val="0"/>
          <w:numId w:val="10"/>
        </w:numPr>
        <w:snapToGrid w:val="0"/>
        <w:spacing w:line="360" w:lineRule="auto"/>
        <w:ind w:left="0"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显示所有机电设备运行及故障情况；</w:t>
      </w:r>
    </w:p>
    <w:p>
      <w:pPr>
        <w:numPr>
          <w:ilvl w:val="0"/>
          <w:numId w:val="10"/>
        </w:numPr>
        <w:snapToGrid w:val="0"/>
        <w:spacing w:line="360" w:lineRule="auto"/>
        <w:ind w:left="0"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显示温、湿度状态；</w:t>
      </w:r>
    </w:p>
    <w:p>
      <w:pPr>
        <w:numPr>
          <w:ilvl w:val="0"/>
          <w:numId w:val="10"/>
        </w:numPr>
        <w:snapToGrid w:val="0"/>
        <w:spacing w:line="360" w:lineRule="auto"/>
        <w:ind w:left="0"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具有变频功能控制平台，数字显示调节。</w:t>
      </w:r>
    </w:p>
    <w:p>
      <w:pPr>
        <w:numPr>
          <w:ilvl w:val="0"/>
          <w:numId w:val="1"/>
        </w:numPr>
        <w:tabs>
          <w:tab w:val="left" w:pos="720"/>
        </w:tabs>
        <w:snapToGrid w:val="0"/>
        <w:spacing w:line="360" w:lineRule="auto"/>
        <w:ind w:left="0" w:firstLine="422" w:firstLineChars="200"/>
        <w:jc w:val="left"/>
        <w:outlineLvl w:val="2"/>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强电系统技术要求</w:t>
      </w:r>
    </w:p>
    <w:p>
      <w:pPr>
        <w:snapToGrid w:val="0"/>
        <w:spacing w:line="440" w:lineRule="exact"/>
        <w:ind w:firstLine="422" w:firstLineChars="200"/>
        <w:jc w:val="lef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1、总体要求</w:t>
      </w:r>
    </w:p>
    <w:p>
      <w:pPr>
        <w:snapToGrid w:val="0"/>
        <w:spacing w:line="440" w:lineRule="exact"/>
        <w:ind w:firstLine="422" w:firstLineChars="200"/>
        <w:jc w:val="left"/>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安全、合理、节能、实用。</w:t>
      </w:r>
    </w:p>
    <w:p>
      <w:pPr>
        <w:widowControl/>
        <w:spacing w:line="440" w:lineRule="exact"/>
        <w:ind w:left="420" w:left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 本工程配电：手术室等的配电为一级负荷中特别重要的负荷，手术室空调系统等为一级负荷。</w:t>
      </w:r>
    </w:p>
    <w:p>
      <w:pPr>
        <w:widowControl/>
        <w:spacing w:line="440" w:lineRule="exact"/>
        <w:ind w:left="420" w:left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5)本工程范围内手术室等用电均设置UPS不间断电源，应急电源工作时间为30分钟，以保证医疗场所重要设备用电的不间断性。</w:t>
      </w:r>
    </w:p>
    <w:p>
      <w:pPr>
        <w:widowControl/>
        <w:spacing w:line="440" w:lineRule="exact"/>
        <w:ind w:left="420" w:left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本工程每台空调机组均配置一台机组自控柜，自控柜由控制器、变频器、继电器、接触器等组成。每台机组自控柜及其后端送风风机、传感器、电预热、防火阀等配置管线由机组厂家根据暖通专业要求进行整套配置，含在本次招标范围内。</w:t>
      </w:r>
    </w:p>
    <w:p>
      <w:pPr>
        <w:snapToGrid w:val="0"/>
        <w:spacing w:line="440" w:lineRule="exact"/>
        <w:ind w:firstLine="422" w:firstLineChars="200"/>
        <w:jc w:val="lef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2、招标范围</w:t>
      </w:r>
    </w:p>
    <w:p>
      <w:pPr>
        <w:pStyle w:val="255"/>
        <w:snapToGrid w:val="0"/>
        <w:spacing w:line="440" w:lineRule="exact"/>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本工程采用TN-S系统（</w:t>
      </w:r>
      <w:r>
        <w:rPr>
          <w:rFonts w:hint="eastAsia" w:asciiTheme="minorEastAsia" w:hAnsiTheme="minorEastAsia" w:eastAsiaTheme="minorEastAsia" w:cstheme="minorEastAsia"/>
          <w:kern w:val="0"/>
          <w:sz w:val="22"/>
          <w:szCs w:val="20"/>
        </w:rPr>
        <w:t>手术室</w:t>
      </w:r>
      <w:r>
        <w:rPr>
          <w:rFonts w:hint="eastAsia" w:asciiTheme="minorEastAsia" w:hAnsiTheme="minorEastAsia" w:eastAsiaTheme="minorEastAsia" w:cstheme="minorEastAsia"/>
          <w:sz w:val="22"/>
          <w:szCs w:val="20"/>
        </w:rPr>
        <w:t>等二类场所重要负荷采用医疗IT系统），中性线（N）与保护线（PE）严格分开，插座“地”孔，配电箱外壳，金属穿线管，用电设备的金属外壳均需与保护线可靠连接。</w:t>
      </w:r>
    </w:p>
    <w:p>
      <w:pPr>
        <w:pStyle w:val="255"/>
        <w:snapToGrid w:val="0"/>
        <w:spacing w:line="440" w:lineRule="exact"/>
        <w:jc w:val="left"/>
        <w:rPr>
          <w:rFonts w:hint="eastAsia" w:asciiTheme="minorEastAsia" w:hAnsiTheme="minorEastAsia" w:eastAsiaTheme="minorEastAsia" w:cstheme="minorEastAsia"/>
          <w:sz w:val="22"/>
          <w:szCs w:val="20"/>
        </w:rPr>
      </w:pPr>
      <w:r>
        <w:rPr>
          <w:rFonts w:hint="eastAsia" w:asciiTheme="minorEastAsia" w:hAnsiTheme="minorEastAsia" w:eastAsiaTheme="minorEastAsia" w:cstheme="minorEastAsia"/>
          <w:sz w:val="22"/>
          <w:szCs w:val="20"/>
        </w:rPr>
        <w:t>中标方负责将电源线从低压配电房引入配电总箱。净化区域配电总箱及其以后的各配电分箱、桥架、线管、电源线、医疗IT系统、UPS设备、照明、插座等全部由中标人负责（消防箱、消防疏散、消防烟感等消防系统除外）。</w:t>
      </w:r>
    </w:p>
    <w:p>
      <w:pPr>
        <w:snapToGrid w:val="0"/>
        <w:spacing w:line="440" w:lineRule="exact"/>
        <w:ind w:firstLine="422" w:firstLineChars="200"/>
        <w:jc w:val="lef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3、设计要求</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1）配电负荷</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手术部等配电必须采用双电源供电，洁净手术室内用电应与辅房用电分开，每个手术室内干线必须单独敷设，每间手术室应设一个专用的配电箱，各手术室单独配电箱设在手术部外廊的侧墙内；每间手术室均设置医疗IT系统。</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2）照明系统</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所有净化区域照明采用洁净密封灯盘，禁用普通灯带代替，灯带布置在送风口之外。洁净手术室设计照度在750Lx，洁净走廊及相关辅房设计最低照度在150Lx以上。</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"手术中"指示灯在门洞上方0.15m处明装。</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3）插座系统</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每间洁净手术室墙面设四组电源插座面板，每组电源插座面板含</w:t>
      </w:r>
      <w:r>
        <w:rPr>
          <w:rFonts w:hint="eastAsia" w:asciiTheme="minorEastAsia" w:hAnsiTheme="minorEastAsia" w:eastAsiaTheme="minorEastAsia" w:cstheme="minorEastAsia"/>
          <w:spacing w:val="-10"/>
          <w:szCs w:val="21"/>
        </w:rPr>
        <w:t>每组4个220V插座，带2个接地端子；</w:t>
      </w:r>
      <w:r>
        <w:rPr>
          <w:rFonts w:hint="eastAsia" w:asciiTheme="minorEastAsia" w:hAnsiTheme="minorEastAsia" w:eastAsiaTheme="minorEastAsia" w:cstheme="minorEastAsia"/>
          <w:szCs w:val="21"/>
        </w:rPr>
        <w:t>每间手术室设一个380V电源插座，并在手术床头部地面附近设（220V、10A）五孔防水地板插座一个。每个洁净辅房均至少设五孔插座2个。</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其他区域根据使用要求设置五孔插座。</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4）安全保护与接地</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工程采用TN-S系统（手术室等二类场所重要负荷采用医疗IT系统），中性线（N）与保护线（PE）严格分开。所有手术室、麻醉复苏等医疗一类、二类场所均设置等电位接地系统和安全保护接地系统，每间手术室内所有电气设备裸露的导电部分、金属外壳、所有线管、金属屏蔽层、导电地板的金属网络及水管、各种金属支架等均与PE等位体相连(用电设备的不带电金属部分与PE保护线联接,互为后备)。</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每个手术室等用6mm2的电线做等电位连接。用于进行等电位联结的保护线的电阻值，使金属导体相互电位差限制在10mv以下。</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所有接地与原设计接地板联结，由原接地系统保证接地电阻要求。具体实施按《民用建筑电气设计规范》。</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5）隔离电源系统</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IT隔离电源系统，系统包括隔离变压器、绝缘监视仪、外接报警显示等。</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6）UPS系统</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麻醉复苏室等用电设置UPS备用电源（各层区域的UPS规格详见图纸清单、后备时间为30分钟）；所有手术室（中心手术室、DSA手术室等）用电配置手术室隔离电源UPS一体机（包含10KVA后备30min锂电池UPS及8KVA隔离变压器成套系统，详见设计图纸）。当市电输入正常时，UPS 将市电稳压后供应给手术室等使用；当市电中断（事故停电）时，UPS立即将电池组的电能，通过逆变转换的方法向手术室等重要场所继续供应交流电，保证电力供应。</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7）导线绝缘</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本工程主要采用阻燃低烟无卤型电线电缆，该线缆绝缘、填充、隔离层及护套等都不含卤素，燃烧时不产生腐蚀性有害气体且阻燃特性好，符合国家规范要求。</w:t>
      </w:r>
    </w:p>
    <w:p>
      <w:pPr>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8）其它</w:t>
      </w:r>
    </w:p>
    <w:p>
      <w:pPr>
        <w:tabs>
          <w:tab w:val="left" w:pos="1050"/>
        </w:tabs>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各洁净手术室的空调设备能在室内自动或手动控制，控制装备显示面板与手术室内墙面齐平。</w:t>
      </w:r>
    </w:p>
    <w:p>
      <w:pPr>
        <w:tabs>
          <w:tab w:val="left" w:pos="360"/>
          <w:tab w:val="left" w:pos="1050"/>
        </w:tabs>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情报面盘有专业厂家定制，安装高度现场定。</w:t>
      </w:r>
    </w:p>
    <w:p>
      <w:pPr>
        <w:tabs>
          <w:tab w:val="left" w:pos="360"/>
          <w:tab w:val="left" w:pos="1050"/>
        </w:tabs>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暗开关底边距地1.3m，距门沿0.2m，暗插座底边距地0.3m。在潮湿、有水的房间环境中，防水防尘插座安装高度底边距地1.3m</w:t>
      </w:r>
    </w:p>
    <w:p>
      <w:pPr>
        <w:tabs>
          <w:tab w:val="left" w:pos="360"/>
          <w:tab w:val="left" w:pos="1050"/>
        </w:tabs>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弱电桥架与强电桥架之间的距离不小于500mm。</w:t>
      </w:r>
    </w:p>
    <w:p>
      <w:pPr>
        <w:tabs>
          <w:tab w:val="left" w:pos="360"/>
          <w:tab w:val="left" w:pos="1050"/>
        </w:tabs>
        <w:snapToGrid w:val="0"/>
        <w:spacing w:line="44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具体施工按《建筑安装工程施工图集》实施。</w:t>
      </w:r>
    </w:p>
    <w:p>
      <w:pPr>
        <w:rPr>
          <w:rFonts w:hint="eastAsia" w:asciiTheme="minorEastAsia" w:hAnsiTheme="minorEastAsia" w:eastAsiaTheme="minorEastAsia" w:cstheme="minorEastAsia"/>
        </w:rPr>
      </w:pPr>
    </w:p>
    <w:p>
      <w:pPr>
        <w:numPr>
          <w:ilvl w:val="0"/>
          <w:numId w:val="1"/>
        </w:numPr>
        <w:tabs>
          <w:tab w:val="left" w:pos="720"/>
        </w:tabs>
        <w:snapToGrid w:val="0"/>
        <w:spacing w:line="360" w:lineRule="auto"/>
        <w:ind w:left="0" w:firstLine="422" w:firstLineChars="200"/>
        <w:jc w:val="left"/>
        <w:outlineLvl w:val="2"/>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弱电系统技术要求</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 电视监控系统:</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每间手术室设置网络彩色半球摄像机，接入手术室原有监控系统主机。系统可实现视频图像的任意切换、任意组合排列、画面的集中监控、同时实现单画面、多画面的显示以及实时录像、图像查找等功能。存储时间按不少于30天计算。在护士站及手术室办公室设置分控网络点，分别可查看调用各自区域的监控。</w:t>
      </w:r>
    </w:p>
    <w:p>
      <w:pPr>
        <w:pStyle w:val="2"/>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公共区域设置安防监控，接入医院保卫科原有监控系统主机。</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2.护士呼叫系统:</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手术部设有护士呼叫系统，接入手术部原有护士呼叫系统，每间手术室等设置护士呼叫分机，系统布线引至护士站呼叫主机上。系统布线采用总线或者网络通信的方式，系统可实现主机与分机、分机与主机之间的呼叫对讲功能，外形美观、使用方便。</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 公共广播、背景音乐系统:</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手术部区域接入手术部原有背景音乐系统，每间手术室设置一个音量控制器和天花喇叭。系统布线引至各区域护士站背景音乐主机上，系统通过广播中心输出定压音源。智能广播中心主机可通过话筒输入或 DVD播放、存贮各种格式的音乐文件。系统主机采用简单易用的触摸屏或轨迹球操控，操作简单方便。在护士站设有寻呼话筒，可通过话筒进行呼叫实现广播找人、发布消息等功能。设置两套系统，分别为全院系统及手术室系统。</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 语音、网络信息系统:</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每间手术室等均设置网络信息点，其中手术室每台吊塔上至少设置四个信息口。各信息点用于与大楼 LIS、PACS、HIS系统连接，实现病人综合信息的录入和查询功能，另外综合控制箱设有免提电话面板，方便医护人员进行通讯联络，其他功能辅房按使用需要设置适当的语音、网络插座。网络和电话系统均采用六类非屏蔽双绞线传输，穿金属线槽及金属线管敷设。所有布线至各层弱电井内配线架上。配线架、交换机等配置参考弱电系统图。</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5.其它说明:</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5.1.本工程弱电系统的管线采用钢管敷设，在沿墙明敷管线采用镀锌钢管敷设，在潮湿的地方和底层埋地采用厚壁热镀锌钢管敷设，其余均采用JDG管敷设。在下列情况下加装过路盒:直线段&gt;30m。 一个弯&gt;20m。 二个弯&gt;15m。 三个弯&gt;8m。</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5.2.管子过沉降缝时两端断开，增设过路盒。在两过路盒之间用金属软管连接，电缆留5公分余量。</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5.3.线缆的布放应符合有关操作规程，管内穿放线缆时，直线管径利用率一般不超过40%，弯管线路的的管径利用率一般在30%~40%。桥架内敷设线缆时，线缆的总截面积(包括外护层)不应超过桥架内截面积的1/3。架空地板内线槽内布线时，线缆总截面积不应超过线 槽的50%。各系统穿线管除地下室、室外埋地或穿越人防工程出采用厚壁热镀锌钢管，其余均采用JDG管。</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5.4.管线、桥架穿越楼板，或穿越防火分区隔断时，在线缆敷设完毕后应作防火封堵。</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5.5.线缆布放时应有冗余，在交接间、设备间线缆应预留长度一般为3~6m。架空地板内线槽内布线时，线缆总截面积不应超过线槽的50%。</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5.6.为防止电磁干扰，在进行敷设线管和桥架时，各段线管与桥架应保持良好的电气连接和接地要求。</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5.7.在穿线管内需由施工单位穿好直径1.2mm铁丝，便于后期布放线缆，穿线管预埋完毕应用木质堵头封堵，以防泥沙进入管内。</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5.8.施工完毕后，施工单位应向建设单位提供详细的竣工资料，包括:a.点位分布及布线弱电平面图。b.工程系统图。c.测试报告。</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5.9.弱电墙、顶板基面平整刷白后刷涂乳胶漆间，地坪高出走廊面50~100mm左右，地面光洁，不起灰。井内应设通风设备，室内照明不低于150Lx，且尽可能不被遮挡。</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5.10.本工程部分施工具体做法请参见相关《建筑电气安装工程图集》、《弱电安装工程手册》和设备厂商技术资料及安装要求。</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5.11.本说明未及之处应严格遵循国家有关规范、规程和施工验收规范进行。</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 其它:</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r>
        <w:rPr>
          <w:rFonts w:hint="eastAsia" w:asciiTheme="minorEastAsia" w:hAnsiTheme="minorEastAsia" w:eastAsiaTheme="minorEastAsia" w:cstheme="minorEastAsia"/>
          <w:szCs w:val="21"/>
          <w:lang w:val="en-US" w:eastAsia="zh-Hans"/>
        </w:rPr>
        <w:t>.</w:t>
      </w:r>
      <w:r>
        <w:rPr>
          <w:rFonts w:hint="eastAsia" w:asciiTheme="minorEastAsia" w:hAnsiTheme="minorEastAsia" w:eastAsiaTheme="minorEastAsia" w:cstheme="minorEastAsia"/>
          <w:szCs w:val="21"/>
          <w:lang w:eastAsia="zh-Hans"/>
        </w:rPr>
        <w:t>1</w:t>
      </w:r>
      <w:r>
        <w:rPr>
          <w:rFonts w:hint="eastAsia" w:asciiTheme="minorEastAsia" w:hAnsiTheme="minorEastAsia" w:eastAsiaTheme="minorEastAsia" w:cstheme="minorEastAsia"/>
          <w:szCs w:val="21"/>
        </w:rPr>
        <w:t>本工程所选设备、材料必须具有国家级检测中心的检测合格证书(3C认证)。必须满足与产品相关的国家标准。本设计所涉及的设备型号均为表述技术参数，不作设备选型依据。要求所采购的设备的技术参数不低于本设计要求。</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WC:墙内敷设。FC:埋地敷设。ACC:吊顶内敷设。CT:桥架敷设</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JDG:穿镀锌紧定管敷设。SC:穿焊接钢管敷设。PVC:穿硬塑料管敷设</w:t>
      </w:r>
    </w:p>
    <w:p>
      <w:pPr>
        <w:tabs>
          <w:tab w:val="left" w:pos="720"/>
        </w:tabs>
        <w:snapToGrid w:val="0"/>
        <w:spacing w:line="360" w:lineRule="auto"/>
        <w:ind w:firstLine="316" w:firstLineChars="150"/>
        <w:jc w:val="left"/>
        <w:outlineLvl w:val="2"/>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注：其他详见图纸</w:t>
      </w:r>
    </w:p>
    <w:p>
      <w:pPr>
        <w:snapToGrid w:val="0"/>
        <w:spacing w:line="360" w:lineRule="auto"/>
        <w:ind w:firstLine="422" w:firstLineChars="200"/>
        <w:jc w:val="left"/>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6.2本系统必须要和医院现有院区系统兼容，并且调试通过。</w:t>
      </w:r>
    </w:p>
    <w:p>
      <w:pPr>
        <w:numPr>
          <w:ilvl w:val="0"/>
          <w:numId w:val="1"/>
        </w:numPr>
        <w:tabs>
          <w:tab w:val="left" w:pos="720"/>
        </w:tabs>
        <w:snapToGrid w:val="0"/>
        <w:spacing w:line="360" w:lineRule="auto"/>
        <w:jc w:val="left"/>
        <w:outlineLvl w:val="2"/>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医用气体系统技术要求</w:t>
      </w:r>
    </w:p>
    <w:p>
      <w:pPr>
        <w:snapToGrid w:val="0"/>
        <w:spacing w:line="360" w:lineRule="auto"/>
        <w:jc w:val="lef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1.配置要求</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目气体工程设置氧气、压缩空气、负压吸引、氮气、二氧化碳以及废气排放系统所用气源均接入原手术室洁净走廊气体管道横管、楼层气体支管进入手术室后，再均分为两路，分别流向吊塔和嵌壁终端箱上的气体终端.嵌壁终端箱内安装有各种气体终端、控制阀等。</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1.1、医用氧气由医院集中氧气站单独供给，要求供气压力0.60MPa，经手术层的二级减压箱减压至0.40MPa再送往手术室及其它功能用房。</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1.2、负压吸引由医院集中单独供给，要求供气压力-0.07~-0.03MPa再送往手术室及其它功能用房。</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1.3、压缩空气由医院集中单独供给，要求供气压力0.60MPa，经手术层的二级减压箱减压至0.40MPa再送往手术室及其他功能用房。</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1.4、氮气由汇流排间单独供给，大楼供气，要求供气压力0.90MPa送往手术室。</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1.5、二氧化碳由汇流排间单独供给，大楼供气，要求供气压力0.40MPa送往手术室。</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1.6、麻醉废气排放系统采用射流技术:麻醉废气只安装在吊塔上，麻醉废气由吊塔上的废气排放终端收集后，然后排至室外。</w:t>
      </w:r>
    </w:p>
    <w:p>
      <w:pPr>
        <w:snapToGrid w:val="0"/>
        <w:spacing w:line="360" w:lineRule="auto"/>
        <w:jc w:val="lef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2.技术设计参数</w:t>
      </w:r>
    </w:p>
    <w:tbl>
      <w:tblPr>
        <w:tblStyle w:val="62"/>
        <w:tblW w:w="5167" w:type="pct"/>
        <w:tblInd w:w="-135" w:type="dxa"/>
        <w:tblLayout w:type="fixed"/>
        <w:tblCellMar>
          <w:top w:w="0" w:type="dxa"/>
          <w:left w:w="108" w:type="dxa"/>
          <w:bottom w:w="0" w:type="dxa"/>
          <w:right w:w="108" w:type="dxa"/>
        </w:tblCellMar>
      </w:tblPr>
      <w:tblGrid>
        <w:gridCol w:w="1113"/>
        <w:gridCol w:w="850"/>
        <w:gridCol w:w="1324"/>
        <w:gridCol w:w="1261"/>
        <w:gridCol w:w="1338"/>
        <w:gridCol w:w="1157"/>
        <w:gridCol w:w="2553"/>
      </w:tblGrid>
      <w:tr>
        <w:tblPrEx>
          <w:tblCellMar>
            <w:top w:w="0" w:type="dxa"/>
            <w:left w:w="108" w:type="dxa"/>
            <w:bottom w:w="0" w:type="dxa"/>
            <w:right w:w="108" w:type="dxa"/>
          </w:tblCellMar>
        </w:tblPrEx>
        <w:trPr>
          <w:trHeight w:val="255" w:hRule="atLeast"/>
        </w:trPr>
        <w:tc>
          <w:tcPr>
            <w:tcW w:w="58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气体种类</w:t>
            </w:r>
          </w:p>
        </w:tc>
        <w:tc>
          <w:tcPr>
            <w:tcW w:w="443"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气体代号</w:t>
            </w:r>
          </w:p>
        </w:tc>
        <w:tc>
          <w:tcPr>
            <w:tcW w:w="69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气源供应</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气源供应压力</w:t>
            </w:r>
          </w:p>
        </w:tc>
        <w:tc>
          <w:tcPr>
            <w:tcW w:w="69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输出口压力</w:t>
            </w:r>
          </w:p>
        </w:tc>
        <w:tc>
          <w:tcPr>
            <w:tcW w:w="6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输出口流量</w:t>
            </w:r>
          </w:p>
        </w:tc>
        <w:tc>
          <w:tcPr>
            <w:tcW w:w="133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备注</w:t>
            </w:r>
          </w:p>
        </w:tc>
      </w:tr>
      <w:tr>
        <w:tblPrEx>
          <w:tblCellMar>
            <w:top w:w="0" w:type="dxa"/>
            <w:left w:w="108" w:type="dxa"/>
            <w:bottom w:w="0" w:type="dxa"/>
            <w:right w:w="108" w:type="dxa"/>
          </w:tblCellMar>
        </w:tblPrEx>
        <w:trPr>
          <w:trHeight w:val="152" w:hRule="atLeast"/>
        </w:trPr>
        <w:tc>
          <w:tcPr>
            <w:tcW w:w="5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Cs w:val="21"/>
              </w:rPr>
            </w:pPr>
          </w:p>
        </w:tc>
        <w:tc>
          <w:tcPr>
            <w:tcW w:w="4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Cs w:val="21"/>
              </w:rPr>
            </w:pPr>
          </w:p>
        </w:tc>
        <w:tc>
          <w:tcPr>
            <w:tcW w:w="69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Cs w:val="21"/>
              </w:rPr>
            </w:pP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Mpa</w:t>
            </w:r>
          </w:p>
        </w:tc>
        <w:tc>
          <w:tcPr>
            <w:tcW w:w="69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Mpa</w:t>
            </w:r>
          </w:p>
        </w:tc>
        <w:tc>
          <w:tcPr>
            <w:tcW w:w="6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(L/min)</w:t>
            </w:r>
          </w:p>
        </w:tc>
        <w:tc>
          <w:tcPr>
            <w:tcW w:w="133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Cs w:val="21"/>
              </w:rPr>
            </w:pPr>
          </w:p>
        </w:tc>
      </w:tr>
      <w:tr>
        <w:tblPrEx>
          <w:tblCellMar>
            <w:top w:w="0" w:type="dxa"/>
            <w:left w:w="108" w:type="dxa"/>
            <w:bottom w:w="0" w:type="dxa"/>
            <w:right w:w="108" w:type="dxa"/>
          </w:tblCellMar>
        </w:tblPrEx>
        <w:trPr>
          <w:trHeight w:val="25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氧气</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O₂</w:t>
            </w:r>
          </w:p>
        </w:tc>
        <w:tc>
          <w:tcPr>
            <w:tcW w:w="6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氧气站</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0.6</w:t>
            </w:r>
          </w:p>
        </w:tc>
        <w:tc>
          <w:tcPr>
            <w:tcW w:w="69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0.4</w:t>
            </w:r>
          </w:p>
        </w:tc>
        <w:tc>
          <w:tcPr>
            <w:tcW w:w="6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10</w:t>
            </w:r>
          </w:p>
        </w:tc>
        <w:tc>
          <w:tcPr>
            <w:tcW w:w="133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接自楼层走廊原有气体管道</w:t>
            </w:r>
          </w:p>
        </w:tc>
      </w:tr>
      <w:tr>
        <w:tblPrEx>
          <w:tblCellMar>
            <w:top w:w="0" w:type="dxa"/>
            <w:left w:w="108" w:type="dxa"/>
            <w:bottom w:w="0" w:type="dxa"/>
            <w:right w:w="108" w:type="dxa"/>
          </w:tblCellMar>
        </w:tblPrEx>
        <w:trPr>
          <w:trHeight w:val="25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负压吸引</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VAC</w:t>
            </w:r>
          </w:p>
        </w:tc>
        <w:tc>
          <w:tcPr>
            <w:tcW w:w="6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真空吸引站</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-0.07~-0.03</w:t>
            </w:r>
          </w:p>
        </w:tc>
        <w:tc>
          <w:tcPr>
            <w:tcW w:w="69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-0.06</w:t>
            </w:r>
          </w:p>
        </w:tc>
        <w:tc>
          <w:tcPr>
            <w:tcW w:w="6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40</w:t>
            </w:r>
          </w:p>
        </w:tc>
        <w:tc>
          <w:tcPr>
            <w:tcW w:w="1331"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Cs w:val="21"/>
                <w:lang w:bidi="ar"/>
              </w:rPr>
              <w:t>接自楼层走廊原有气体管道</w:t>
            </w:r>
          </w:p>
        </w:tc>
      </w:tr>
      <w:tr>
        <w:tblPrEx>
          <w:tblCellMar>
            <w:top w:w="0" w:type="dxa"/>
            <w:left w:w="108" w:type="dxa"/>
            <w:bottom w:w="0" w:type="dxa"/>
            <w:right w:w="108" w:type="dxa"/>
          </w:tblCellMar>
        </w:tblPrEx>
        <w:trPr>
          <w:trHeight w:val="25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压缩空气</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Air</w:t>
            </w:r>
          </w:p>
        </w:tc>
        <w:tc>
          <w:tcPr>
            <w:tcW w:w="6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压缩空气站</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0.6</w:t>
            </w:r>
          </w:p>
        </w:tc>
        <w:tc>
          <w:tcPr>
            <w:tcW w:w="69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0.4</w:t>
            </w:r>
          </w:p>
        </w:tc>
        <w:tc>
          <w:tcPr>
            <w:tcW w:w="6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20</w:t>
            </w:r>
          </w:p>
        </w:tc>
        <w:tc>
          <w:tcPr>
            <w:tcW w:w="1331"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Cs w:val="21"/>
                <w:lang w:bidi="ar"/>
              </w:rPr>
              <w:t>接自楼层走廊原有气体管道</w:t>
            </w:r>
          </w:p>
        </w:tc>
      </w:tr>
      <w:tr>
        <w:tblPrEx>
          <w:tblCellMar>
            <w:top w:w="0" w:type="dxa"/>
            <w:left w:w="108" w:type="dxa"/>
            <w:bottom w:w="0" w:type="dxa"/>
            <w:right w:w="108" w:type="dxa"/>
          </w:tblCellMar>
        </w:tblPrEx>
        <w:trPr>
          <w:trHeight w:val="25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氮气</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N2</w:t>
            </w:r>
          </w:p>
        </w:tc>
        <w:tc>
          <w:tcPr>
            <w:tcW w:w="6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汇流排</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0.9~0.95</w:t>
            </w:r>
          </w:p>
        </w:tc>
        <w:tc>
          <w:tcPr>
            <w:tcW w:w="69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0.9</w:t>
            </w:r>
          </w:p>
        </w:tc>
        <w:tc>
          <w:tcPr>
            <w:tcW w:w="6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230</w:t>
            </w:r>
          </w:p>
        </w:tc>
        <w:tc>
          <w:tcPr>
            <w:tcW w:w="1331"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Cs w:val="21"/>
                <w:lang w:bidi="ar"/>
              </w:rPr>
              <w:t>接自楼层走廊原有气体管道</w:t>
            </w:r>
          </w:p>
        </w:tc>
      </w:tr>
      <w:tr>
        <w:tblPrEx>
          <w:tblCellMar>
            <w:top w:w="0" w:type="dxa"/>
            <w:left w:w="108" w:type="dxa"/>
            <w:bottom w:w="0" w:type="dxa"/>
            <w:right w:w="108" w:type="dxa"/>
          </w:tblCellMar>
        </w:tblPrEx>
        <w:trPr>
          <w:trHeight w:val="25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二氧化碳</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CO2</w:t>
            </w:r>
          </w:p>
        </w:tc>
        <w:tc>
          <w:tcPr>
            <w:tcW w:w="6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汇流排</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0.40~0.45</w:t>
            </w:r>
          </w:p>
        </w:tc>
        <w:tc>
          <w:tcPr>
            <w:tcW w:w="69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0.4</w:t>
            </w:r>
          </w:p>
        </w:tc>
        <w:tc>
          <w:tcPr>
            <w:tcW w:w="6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4</w:t>
            </w:r>
          </w:p>
        </w:tc>
        <w:tc>
          <w:tcPr>
            <w:tcW w:w="1331"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Cs w:val="21"/>
                <w:lang w:bidi="ar"/>
              </w:rPr>
              <w:t>接自楼层走廊原有气体管道</w:t>
            </w:r>
          </w:p>
        </w:tc>
      </w:tr>
      <w:tr>
        <w:tblPrEx>
          <w:tblCellMar>
            <w:top w:w="0" w:type="dxa"/>
            <w:left w:w="108" w:type="dxa"/>
            <w:bottom w:w="0" w:type="dxa"/>
            <w:right w:w="108" w:type="dxa"/>
          </w:tblCellMar>
        </w:tblPrEx>
        <w:trPr>
          <w:trHeight w:val="255" w:hRule="atLeast"/>
        </w:trPr>
        <w:tc>
          <w:tcPr>
            <w:tcW w:w="5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麻醉废气排放</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AGSS</w:t>
            </w:r>
          </w:p>
        </w:tc>
        <w:tc>
          <w:tcPr>
            <w:tcW w:w="69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heme="minorEastAsia" w:hAnsiTheme="minorEastAsia" w:eastAsiaTheme="minorEastAsia" w:cstheme="minorEastAsia"/>
                <w:szCs w:val="21"/>
              </w:rPr>
            </w:pP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w:t>
            </w:r>
          </w:p>
        </w:tc>
        <w:tc>
          <w:tcPr>
            <w:tcW w:w="69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0.09</w:t>
            </w:r>
          </w:p>
        </w:tc>
        <w:tc>
          <w:tcPr>
            <w:tcW w:w="60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130</w:t>
            </w:r>
          </w:p>
        </w:tc>
        <w:tc>
          <w:tcPr>
            <w:tcW w:w="1331"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Cs w:val="21"/>
                <w:lang w:bidi="ar"/>
              </w:rPr>
              <w:t>接自楼层走廊原有气体管道</w:t>
            </w:r>
          </w:p>
        </w:tc>
      </w:tr>
    </w:tbl>
    <w:p>
      <w:pPr>
        <w:snapToGrid w:val="0"/>
        <w:spacing w:line="360" w:lineRule="auto"/>
        <w:jc w:val="lef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3.医用气体管道安装:</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3.1、各管道、管件应有生产厂的出厂合格证，并符合国家或相关部颁发标准，逐件进行核对，对其规格，查明钢号、公称直径是否符合设计规定。管道应进行无损检测，应符合医用气体工程技术规范《GB50751-2012》10.2.15的要求。</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3.2、所有医用气体管材、组成件进入工地前均应已脱脂清洗。不锈钢管材、组成件应经酸洗钝化、清洗干净并封装完毕，达到医用气体管材洁净标准。</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3.3、氧气管道不允许暗埋在建筑物结构内或敷设在没有检查门(或检查口)的管井内。</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3.4、不允许与供电线路敷设在同一管井内。氧气管道不允许和导电线路、电缆共架敷设，也不允许与导电线路、电缆交叉接触，防止漏电火花击穿管道造成事故，必须共架时需离开，50cm交叉时离开30cm。</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3.5、供氧管道穿过隔墙、楼板、屋面时应用套管保护，套管尺寸应比被保护管大一级，套管与医用气体管道之间，应采用不燃材料填实。穿屋面管道并作防水处理。</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3.6、忌油脂的设备和管路，吹扫介质应清洁无油，并将出口气源吹在白色过滤纸或布上。</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3.7、各层供气横管均安装在吊顶内，吊顶内供气引管道均水平架设，位置为梁下面，吊顶以上约200mm处，管子靠近病房一边，安装水平空间约350mm。</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3.8、各病房的引入管均由该层走廊吊顶内水平管上引出。</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3.9、管道穿越墙、隔离物和楼板时应设套管，套管内的医用气体管道不应有焊缝或接头。穿楼板套管应高出地板面不小于50mm。</w:t>
      </w:r>
    </w:p>
    <w:p>
      <w:pPr>
        <w:snapToGrid w:val="0"/>
        <w:spacing w:line="360" w:lineRule="auto"/>
        <w:jc w:val="left"/>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4.焊接技术:</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4.1、麻醉废气排放管道采用PVC材质。其余气体管道材质采用脱脂铜管。</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4.2、现场焊接的铜阀门，其两端应已包含预制连接短管。安全阀采用密闭型全启式安全阀，裂纹等缺陷。</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4.3、铜管连接：</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a&gt;、医用气体铜管道之间、管道与附件之间的焊接连接均应为硬钎焊。直管段、分支管道焊接均应使用管件，采用承插焊接，承插深度与间隙应符合《铜管接头第一部分:钎焊式管件》GB11618.1的要求。</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b&gt;、所以气体管道采用银基钎焊焊接，应应进行外观检查。不允许有气孔、缩孔、夹渣、漏焊、虚焊。</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c&gt;、压力等级为1.6Mpa，并符合《安全阀安全技术监察规程》的有关规定。铜波纹膨胀节安装时，其直管长度不得小于100mm，允许偏差为±l0mm。</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4.4、吸引管路在总管与进手术室管路的连接处应为法兰连接或活接头连接，以便检修。</w:t>
      </w:r>
    </w:p>
    <w:p>
      <w:pPr>
        <w:snapToGrid w:val="0"/>
        <w:spacing w:line="360" w:lineRule="auto"/>
        <w:jc w:val="left"/>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5.医用气体管材现场弯曲加工制作要求:</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5.1、现场弯曲加工应在冷状态下采用机械方法制作，不应采用加热方式制作弯管。管材宜用弯管器弯曲。</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5.2、高压管材弯曲半径不应小于管外径5倍，其余管材弯曲半径不应小于管外径3倍</w:t>
      </w:r>
    </w:p>
    <w:p>
      <w:pPr>
        <w:snapToGrid w:val="0"/>
        <w:spacing w:line="360" w:lineRule="auto"/>
        <w:jc w:val="left"/>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6.医用气体管材切割加工要求:</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6.1、医用气体管材下料时应使用机械方法或等离子切割，不得使用氧气乙炔焰切割和打孔。</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6.2、管材切口应与管轴线垂直，端面倾斜偏差不应大于管道外径的1%且不得超过1mm。切口表面应处理平整，不得有裂纹、毛刺、凸凹、缩口等缺陷。</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6.3、医用气体管材不应使用冲模扩孔。管材下料时禁止使用油脂或润滑剂。</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6.4、医用气体管材坡口加工宜采用机械方法。坡口及其内外表面应进行清理，合格后应及时焊接。</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6.5、气体管道安装时加装木托垫，防止电位差的腐蚀。</w:t>
      </w:r>
    </w:p>
    <w:p>
      <w:pPr>
        <w:snapToGrid w:val="0"/>
        <w:spacing w:line="360" w:lineRule="auto"/>
        <w:jc w:val="left"/>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7.气体管道接地</w:t>
      </w:r>
    </w:p>
    <w:p>
      <w:pPr>
        <w:snapToGrid w:val="0"/>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7.1、供氧、吸引系统管道须可靠接地，进入手术室内的金属管道接地电阻不应大于4Ω，供氧管道接地电阻应小于10Ω，吸引管道接地电阻应小于10Ω。如某个位置接地电阻大于规定值则应设接地引线。其他管道参照氧气。</w:t>
      </w:r>
    </w:p>
    <w:p>
      <w:pPr>
        <w:snapToGrid w:val="0"/>
        <w:spacing w:line="360" w:lineRule="auto"/>
        <w:ind w:firstLine="420" w:firstLineChars="20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7.2、接地引线采用30×3的镀锌扁铁，接地引线与管道之间的连接采用焊接形式或螺纹</w:t>
      </w:r>
      <w:r>
        <w:rPr>
          <w:rFonts w:hint="eastAsia" w:asciiTheme="minorEastAsia" w:hAnsiTheme="minorEastAsia" w:eastAsiaTheme="minorEastAsia" w:cstheme="minorEastAsia"/>
          <w:bCs/>
          <w:szCs w:val="21"/>
        </w:rPr>
        <w:t>连接。</w:t>
      </w:r>
    </w:p>
    <w:p>
      <w:pPr>
        <w:snapToGrid w:val="0"/>
        <w:spacing w:line="400" w:lineRule="exact"/>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7.3、金属管道固定处应包绝缘材料与支架绝缘。各段管道连接处应有良好的导电性，否则应用搭铁线连通。</w:t>
      </w:r>
    </w:p>
    <w:p>
      <w:pPr>
        <w:snapToGrid w:val="0"/>
        <w:spacing w:line="400" w:lineRule="exact"/>
        <w:jc w:val="left"/>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8.医用气体管道支吊架应符合以下要求:</w:t>
      </w:r>
    </w:p>
    <w:p>
      <w:pPr>
        <w:snapToGrid w:val="0"/>
        <w:spacing w:line="400" w:lineRule="exact"/>
        <w:ind w:firstLine="210" w:firstLineChars="100"/>
        <w:jc w:val="left"/>
        <w:outlineLvl w:val="1"/>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8.1、支吊架间距应符合下表的要求。</w:t>
      </w:r>
    </w:p>
    <w:p>
      <w:pPr>
        <w:snapToGrid w:val="0"/>
        <w:spacing w:line="400" w:lineRule="exact"/>
        <w:ind w:firstLine="210" w:firstLineChars="100"/>
        <w:jc w:val="left"/>
        <w:outlineLvl w:val="1"/>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8.2、支架材料应有足够的强度与刚度，现场制作的支架应除锈并涂二道以上防锈漆。</w:t>
      </w:r>
    </w:p>
    <w:p>
      <w:pPr>
        <w:snapToGrid w:val="0"/>
        <w:spacing w:line="400" w:lineRule="exact"/>
        <w:ind w:firstLine="210" w:firstLineChars="100"/>
        <w:jc w:val="left"/>
        <w:outlineLvl w:val="1"/>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8.3、医用气体管道与支架间应有绝缘隔离措施。</w:t>
      </w:r>
    </w:p>
    <w:p>
      <w:pPr>
        <w:pStyle w:val="57"/>
        <w:widowControl/>
        <w:spacing w:before="0" w:beforeAutospacing="0" w:after="0" w:afterAutospacing="0"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9.管道必须进行强度试验和严密性试验，试验要求应符合以下规定:</w:t>
      </w:r>
    </w:p>
    <w:p>
      <w:pPr>
        <w:pStyle w:val="57"/>
        <w:widowControl/>
        <w:spacing w:before="0" w:beforeAutospacing="0" w:after="0" w:afterAutospacing="0" w:line="400" w:lineRule="exact"/>
        <w:ind w:firstLine="210" w:firstLineChars="1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9.1、氧气、吸引管道安装中，应分区分阶段试压，合格后方可与另一段相接。全部安装后须另做总压力泄漏试验。氧气管道系统试验介质为氮气或无油压缩空气，吸引管道系统的试验介质为空气。其他管道参照氧气。</w:t>
      </w:r>
    </w:p>
    <w:p>
      <w:pPr>
        <w:snapToGrid w:val="0"/>
        <w:spacing w:line="400" w:lineRule="exact"/>
        <w:ind w:firstLine="210" w:firstLineChars="100"/>
        <w:jc w:val="left"/>
        <w:outlineLvl w:val="1"/>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9.2、氧气管道强度试验压力为1.25倍的设计压力，达到试验压力后维持30min，检查管件无变形、无渗漏为合格。试验结束后应用无油气体将管内残液吹扫干净。其他管道参照氧气。</w:t>
      </w:r>
    </w:p>
    <w:p>
      <w:pPr>
        <w:snapToGrid w:val="0"/>
        <w:spacing w:line="400" w:lineRule="exact"/>
        <w:ind w:firstLine="420" w:firstLineChars="200"/>
        <w:jc w:val="left"/>
        <w:outlineLvl w:val="1"/>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9.3、气压试验的压力为1.15倍的设计压力，真空管试验压力为0.2MPa。泄漏性试验压力为设计压力，真空管为70KPa。试验介质为洁净空气或者干燥、无油氮气。</w:t>
      </w:r>
    </w:p>
    <w:p>
      <w:pPr>
        <w:snapToGrid w:val="0"/>
        <w:spacing w:line="400" w:lineRule="exact"/>
        <w:ind w:firstLine="420" w:firstLineChars="200"/>
        <w:jc w:val="left"/>
        <w:outlineLvl w:val="1"/>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9.4、氧气管道强度试验合格后应进行严密性试验，严密性试验用的介质应是无油、干燥的空气或氮气。严密性试验压力等于设计压力。管道内气体压力达到设计压力后保持24小时，系统平均小时泄漏率不超过0.2%为合格。真空管道试验压力为-0.075MPa，保压24小时，小时增压率小于1%为合格。其他管道参照氧气。</w:t>
      </w:r>
    </w:p>
    <w:p>
      <w:pPr>
        <w:snapToGrid w:val="0"/>
        <w:spacing w:line="400" w:lineRule="exact"/>
        <w:ind w:firstLine="422" w:firstLineChars="200"/>
        <w:jc w:val="left"/>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10.管道清扫与清洗</w:t>
      </w:r>
    </w:p>
    <w:p>
      <w:pPr>
        <w:pStyle w:val="57"/>
        <w:widowControl/>
        <w:spacing w:before="0" w:beforeAutospacing="0" w:after="0" w:afterAutospacing="0" w:line="400" w:lineRule="exact"/>
        <w:ind w:firstLine="420" w:firstLineChars="2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10.1、氧气、吸引管道在安装中应分段进行吹扫，全部安装完后还应进行系统总吹扫。其他管1道参照氧气。</w:t>
      </w:r>
    </w:p>
    <w:p>
      <w:pPr>
        <w:pStyle w:val="57"/>
        <w:widowControl/>
        <w:spacing w:before="0" w:beforeAutospacing="0" w:after="0" w:afterAutospacing="0" w:line="400" w:lineRule="exact"/>
        <w:ind w:firstLine="420" w:firstLineChars="2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10.2、管道吹扫的气体为氮气或无油压缩空气，氧气管道吹扫压力为0.4MPa，真空管道为0.2MPa。</w:t>
      </w:r>
    </w:p>
    <w:p>
      <w:pPr>
        <w:pStyle w:val="57"/>
        <w:widowControl/>
        <w:spacing w:before="0" w:beforeAutospacing="0" w:after="0" w:afterAutospacing="0" w:line="400" w:lineRule="exact"/>
        <w:ind w:firstLine="420" w:firstLineChars="2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10.3、吹扫应依次由近向远，将全部阀门及终端出口逐处打开，按主管、支管分段分室逐步进行，吹扫时，须在排气口放置白布，白布不变色为合格。吹扫速度应不小于20m/sP&lt;设计压力。</w:t>
      </w:r>
    </w:p>
    <w:p>
      <w:pPr>
        <w:pStyle w:val="57"/>
        <w:widowControl/>
        <w:spacing w:before="0" w:beforeAutospacing="0" w:after="0" w:afterAutospacing="0" w:line="400" w:lineRule="exact"/>
        <w:ind w:firstLine="420" w:firstLineChars="2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10.4、氧气系统试压吹扫合格后，须用氧气汇流排氧站出口处接入，对全系统由近向远进行气体置换，将原系统内试验用气体全部排放干净。</w:t>
      </w:r>
    </w:p>
    <w:p>
      <w:pPr>
        <w:snapToGrid w:val="0"/>
        <w:spacing w:line="400" w:lineRule="exact"/>
        <w:ind w:firstLine="422" w:firstLineChars="200"/>
        <w:jc w:val="left"/>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11.其它</w:t>
      </w:r>
    </w:p>
    <w:p>
      <w:pPr>
        <w:pStyle w:val="57"/>
        <w:widowControl/>
        <w:spacing w:before="0" w:beforeAutospacing="0" w:after="0" w:afterAutospacing="0" w:line="400" w:lineRule="exact"/>
        <w:ind w:firstLine="420" w:firstLineChars="2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11.1、设备带采用铝合金组合式设备带，固定应牢固、水平，强弱电分槽走线，设备带距地面距离为1.4米。</w:t>
      </w:r>
    </w:p>
    <w:p>
      <w:pPr>
        <w:pStyle w:val="57"/>
        <w:widowControl/>
        <w:spacing w:before="0" w:beforeAutospacing="0" w:after="0" w:afterAutospacing="0" w:line="400" w:lineRule="exact"/>
        <w:ind w:firstLine="420" w:firstLineChars="2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11.2、手术室墙面气体终端装置暗装，面板与墙面齐平严密，装置距地1.2米，终端装置内部应干净且密封。手术室设声、光报警信号，监控各种医气超、欠压情况。医气报警系统控制面板设在中控室易于工作人员监控处。</w:t>
      </w:r>
    </w:p>
    <w:p>
      <w:pPr>
        <w:pStyle w:val="57"/>
        <w:widowControl/>
        <w:spacing w:before="0" w:beforeAutospacing="0" w:after="0" w:afterAutospacing="0" w:line="400" w:lineRule="exact"/>
        <w:ind w:firstLine="420" w:firstLineChars="2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11.3、气体汇流排间设置机械通风，正常通风不小于6次/h，事故排风为12次/h。</w:t>
      </w:r>
    </w:p>
    <w:p>
      <w:pPr>
        <w:pStyle w:val="57"/>
        <w:widowControl/>
        <w:spacing w:before="0" w:beforeAutospacing="0" w:after="0" w:afterAutospacing="0" w:line="400" w:lineRule="exact"/>
        <w:ind w:firstLine="420" w:firstLineChars="2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11.4、为保证医院供气的可靠性，在医用管井处设置声光报警装置，报警压力误差不大3%。</w:t>
      </w:r>
    </w:p>
    <w:p>
      <w:pPr>
        <w:pStyle w:val="57"/>
        <w:widowControl/>
        <w:spacing w:before="0" w:beforeAutospacing="0" w:after="0" w:afterAutospacing="0" w:line="400" w:lineRule="exact"/>
        <w:ind w:firstLine="420" w:firstLineChars="2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11.5、医用气体输出口采用插拔式快速插头，且各种接头互补相通。</w:t>
      </w:r>
    </w:p>
    <w:p>
      <w:pPr>
        <w:pStyle w:val="57"/>
        <w:widowControl/>
        <w:spacing w:before="0" w:beforeAutospacing="0" w:after="0" w:afterAutospacing="0" w:line="400" w:lineRule="exact"/>
        <w:ind w:firstLine="420" w:firstLineChars="20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11.6、为便于检查气体管路的种类，在各配管的主要地方设置色环标志，且在管道分支等处设置异色箭头表示气体流动方向。</w:t>
      </w:r>
    </w:p>
    <w:p>
      <w:pPr>
        <w:pStyle w:val="57"/>
        <w:widowControl/>
        <w:spacing w:before="0" w:beforeAutospacing="0" w:after="0" w:afterAutospacing="0" w:line="400" w:lineRule="exact"/>
        <w:ind w:firstLine="420" w:firstLineChars="200"/>
        <w:rPr>
          <w:rFonts w:hint="eastAsia"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11.7、医用气体管道的设计使用年限，不应小于30年。</w:t>
      </w:r>
    </w:p>
    <w:p>
      <w:pPr>
        <w:snapToGrid w:val="0"/>
        <w:spacing w:line="400" w:lineRule="exact"/>
        <w:ind w:firstLine="422" w:firstLineChars="200"/>
        <w:jc w:val="left"/>
        <w:outlineLvl w:val="1"/>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注：其他详见图纸。</w:t>
      </w:r>
    </w:p>
    <w:p>
      <w:pPr>
        <w:snapToGrid w:val="0"/>
        <w:spacing w:line="360" w:lineRule="auto"/>
        <w:jc w:val="left"/>
        <w:outlineLvl w:val="1"/>
        <w:rPr>
          <w:rFonts w:hint="eastAsia" w:asciiTheme="minorEastAsia" w:hAnsiTheme="minorEastAsia" w:eastAsiaTheme="minorEastAsia" w:cstheme="minorEastAsia"/>
          <w:b/>
          <w:szCs w:val="21"/>
          <w:highlight w:val="none"/>
          <w:lang w:eastAsia="zh-CN"/>
        </w:rPr>
      </w:pPr>
      <w:r>
        <w:rPr>
          <w:rFonts w:hint="eastAsia" w:asciiTheme="minorEastAsia" w:hAnsiTheme="minorEastAsia" w:eastAsiaTheme="minorEastAsia" w:cstheme="minorEastAsia"/>
          <w:b/>
          <w:szCs w:val="21"/>
          <w:highlight w:val="none"/>
        </w:rPr>
        <w:t>五、主要设备材料</w:t>
      </w:r>
      <w:r>
        <w:rPr>
          <w:rFonts w:hint="eastAsia" w:asciiTheme="minorEastAsia" w:hAnsiTheme="minorEastAsia" w:eastAsiaTheme="minorEastAsia" w:cstheme="minorEastAsia"/>
          <w:b/>
          <w:szCs w:val="21"/>
          <w:highlight w:val="none"/>
          <w:lang w:val="en-US" w:eastAsia="zh-CN"/>
        </w:rPr>
        <w:t>表</w:t>
      </w:r>
    </w:p>
    <w:p>
      <w:pPr>
        <w:adjustRightInd w:val="0"/>
        <w:snapToGrid w:val="0"/>
        <w:spacing w:line="360" w:lineRule="auto"/>
        <w:ind w:firstLine="420" w:firstLineChars="200"/>
        <w:jc w:val="left"/>
        <w:rPr>
          <w:rFonts w:hint="eastAsia" w:asciiTheme="minorEastAsia" w:hAnsiTheme="minorEastAsia" w:eastAsiaTheme="minorEastAsia" w:cstheme="minorEastAsia"/>
          <w:szCs w:val="21"/>
        </w:rPr>
      </w:pPr>
      <w:bookmarkStart w:id="39" w:name="_Hlk87626421"/>
      <w:r>
        <w:rPr>
          <w:rFonts w:hint="eastAsia" w:asciiTheme="minorEastAsia" w:hAnsiTheme="minorEastAsia" w:eastAsiaTheme="minorEastAsia" w:cstheme="minorEastAsia"/>
          <w:szCs w:val="21"/>
          <w:highlight w:val="none"/>
        </w:rPr>
        <w:t>本次招标对部分</w:t>
      </w:r>
      <w:r>
        <w:rPr>
          <w:rFonts w:hint="eastAsia" w:asciiTheme="minorEastAsia" w:hAnsiTheme="minorEastAsia" w:eastAsiaTheme="minorEastAsia" w:cstheme="minorEastAsia"/>
          <w:szCs w:val="21"/>
        </w:rPr>
        <w:t>主要设备材料清单如下，要求所有投标材料设备质量均要求为优等品，投标人应结合项目情况自主填报投标品牌，该项将在评分项中进行体现（投标人商务技术文件中未提供下表或下表提供不全的，相关评分项作0分处理）。投标人若未明确品牌的，采购人有权自主指定品牌。</w:t>
      </w:r>
    </w:p>
    <w:p>
      <w:pPr>
        <w:adjustRightInd w:val="0"/>
        <w:snapToGrid w:val="0"/>
        <w:spacing w:line="360" w:lineRule="auto"/>
        <w:ind w:firstLine="482" w:firstLineChars="20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 w:val="24"/>
        </w:rPr>
        <w:t>主要设备材料表</w:t>
      </w:r>
    </w:p>
    <w:bookmarkEnd w:id="39"/>
    <w:tbl>
      <w:tblPr>
        <w:tblStyle w:val="62"/>
        <w:tblW w:w="90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9"/>
        <w:gridCol w:w="4583"/>
        <w:gridCol w:w="3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75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458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设备材料名称</w:t>
            </w:r>
          </w:p>
        </w:tc>
        <w:tc>
          <w:tcPr>
            <w:tcW w:w="37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投标人所选品牌或厂家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75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c>
          <w:tcPr>
            <w:tcW w:w="458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c>
          <w:tcPr>
            <w:tcW w:w="37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 </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电解钢板</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2 </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轻钢龙骨</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3 </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防锈铝板</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4 </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防辐射铅板</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5 </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手术室内电动气密门（洁净走廊侧）</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6 </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手术室内电动气密门（其他区域）</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7 </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手动气密门</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8 </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保温柜、保冷柜</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9 </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石英纤维装饰板</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10 </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硫酸钡水泥</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11 </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LED灯具</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12 </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开关、插座</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13 </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电线电缆</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75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 xml:space="preserve">14 </w:t>
            </w:r>
          </w:p>
        </w:tc>
        <w:tc>
          <w:tcPr>
            <w:tcW w:w="458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配电箱及元器件</w:t>
            </w:r>
          </w:p>
        </w:tc>
        <w:tc>
          <w:tcPr>
            <w:tcW w:w="3750" w:type="dxa"/>
            <w:vMerge w:val="restart"/>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8" w:hRule="atLeast"/>
        </w:trPr>
        <w:tc>
          <w:tcPr>
            <w:tcW w:w="759"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458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375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15</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手术室隔离电源UPS一体机</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16</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UPS（锂电）及储能</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17</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PVC塑胶地板</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80"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18</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防静电橡胶卷材</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19</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人造大理石</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20</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视频监控系统</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21</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背景音响系统</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22</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光缆</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23</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网线</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24</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可视对讲</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25</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脱脂铜管</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26</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气体阀门</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27</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医气墙装式快速插座、插头（德式）</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28</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空气处理机组</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29</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新风处理机组</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30</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干蒸汽加湿器</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31</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自动控制系统（含电动调节阀、控制面板等）</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32</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变频器</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33</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排风机</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34</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空调风管各类阀门</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35</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给水阀门</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36</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空调水管各类阀门</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37</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消声器</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5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38</w:t>
            </w:r>
          </w:p>
        </w:tc>
        <w:tc>
          <w:tcPr>
            <w:tcW w:w="458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常年制冷分体机</w:t>
            </w:r>
          </w:p>
        </w:tc>
        <w:tc>
          <w:tcPr>
            <w:tcW w:w="3750" w:type="dxa"/>
            <w:vMerge w:val="restart"/>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59"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458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c>
          <w:tcPr>
            <w:tcW w:w="375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5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39</w:t>
            </w:r>
          </w:p>
        </w:tc>
        <w:tc>
          <w:tcPr>
            <w:tcW w:w="45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风管材（镀锌钢板）</w:t>
            </w:r>
          </w:p>
        </w:tc>
        <w:tc>
          <w:tcPr>
            <w:tcW w:w="3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i w:val="0"/>
                <w:iCs w:val="0"/>
                <w:color w:val="000000"/>
                <w:sz w:val="20"/>
                <w:szCs w:val="20"/>
                <w:u w:val="none"/>
              </w:rPr>
            </w:pPr>
          </w:p>
        </w:tc>
      </w:tr>
    </w:tbl>
    <w:p>
      <w:pPr>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注：1、响应人必须</w:t>
      </w:r>
      <w:r>
        <w:rPr>
          <w:rFonts w:hint="eastAsia" w:asciiTheme="minorEastAsia" w:hAnsiTheme="minorEastAsia" w:eastAsiaTheme="minorEastAsia" w:cstheme="minorEastAsia"/>
          <w:szCs w:val="21"/>
          <w:lang w:val="en-US" w:eastAsia="zh-CN"/>
        </w:rPr>
        <w:t>按</w:t>
      </w:r>
      <w:r>
        <w:rPr>
          <w:rFonts w:hint="eastAsia" w:asciiTheme="minorEastAsia" w:hAnsiTheme="minorEastAsia" w:eastAsiaTheme="minorEastAsia" w:cstheme="minorEastAsia"/>
          <w:szCs w:val="21"/>
        </w:rPr>
        <w:t>上述材料</w:t>
      </w:r>
      <w:r>
        <w:rPr>
          <w:rFonts w:hint="eastAsia" w:asciiTheme="minorEastAsia" w:hAnsiTheme="minorEastAsia" w:eastAsiaTheme="minorEastAsia" w:cstheme="minorEastAsia"/>
          <w:szCs w:val="21"/>
          <w:lang w:val="en-US" w:eastAsia="zh-CN"/>
        </w:rPr>
        <w:t>在采购响应文件中列出所用品牌，如未列出，评分项中该部分得分按0分处理。</w:t>
      </w:r>
    </w:p>
    <w:p>
      <w:pPr>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成交人不按该</w:t>
      </w:r>
      <w:r>
        <w:rPr>
          <w:rFonts w:hint="eastAsia" w:asciiTheme="minorEastAsia" w:hAnsiTheme="minorEastAsia" w:eastAsiaTheme="minorEastAsia" w:cstheme="minorEastAsia"/>
          <w:szCs w:val="21"/>
          <w:lang w:val="en-US" w:eastAsia="zh-CN"/>
        </w:rPr>
        <w:t>其</w:t>
      </w:r>
      <w:r>
        <w:rPr>
          <w:rFonts w:hint="eastAsia" w:asciiTheme="minorEastAsia" w:hAnsiTheme="minorEastAsia" w:eastAsiaTheme="minorEastAsia" w:cstheme="minorEastAsia"/>
          <w:szCs w:val="21"/>
        </w:rPr>
        <w:t>选用的材料采购的，采购人有权拒绝验收。</w:t>
      </w:r>
    </w:p>
    <w:p>
      <w:pPr>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rPr>
        <w:t>所有的材料采购前提前均需15天送样，待业主、设计、监理确认后方可批量采购。</w:t>
      </w:r>
    </w:p>
    <w:p>
      <w:pPr>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rPr>
        <w:t>所有材料的颜色在施工前，根据业主要求确定，但单价不作调整。</w:t>
      </w:r>
    </w:p>
    <w:p>
      <w:pPr>
        <w:snapToGrid w:val="0"/>
        <w:spacing w:line="360" w:lineRule="auto"/>
        <w:rPr>
          <w:rFonts w:hint="eastAsia" w:asciiTheme="minorEastAsia" w:hAnsiTheme="minorEastAsia" w:eastAsiaTheme="minorEastAsia" w:cstheme="minorEastAsia"/>
          <w:szCs w:val="21"/>
        </w:rPr>
      </w:pPr>
    </w:p>
    <w:p>
      <w:pPr>
        <w:snapToGrid w:val="0"/>
        <w:spacing w:line="360" w:lineRule="auto"/>
        <w:jc w:val="left"/>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六、补充条款</w:t>
      </w:r>
    </w:p>
    <w:p>
      <w:pPr>
        <w:snapToGrid w:val="0"/>
        <w:spacing w:line="360" w:lineRule="auto"/>
        <w:ind w:firstLine="422" w:firstLineChars="200"/>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rPr>
        <w:t>1、因杭州市丁桥医院现正常运行，故施工过程中不得影响现有门急诊、病房、行政楼等功能区的运行。承包人负责在工程施工、竣工及保修的整个过程中施工现场全部人员、医患人员的安全，在施工区域或危险区域应设置醒目的警示标志（包括夜间警示标志），并在工地周边设置必要的围护，围护要牢固、</w:t>
      </w:r>
      <w:r>
        <w:rPr>
          <w:rFonts w:hint="eastAsia" w:asciiTheme="minorEastAsia" w:hAnsiTheme="minorEastAsia" w:eastAsiaTheme="minorEastAsia" w:cstheme="minorEastAsia"/>
          <w:b/>
          <w:bCs/>
          <w:szCs w:val="21"/>
          <w:highlight w:val="none"/>
        </w:rPr>
        <w:t>顺直、整洁、美观。</w:t>
      </w:r>
    </w:p>
    <w:p>
      <w:pPr>
        <w:snapToGrid w:val="0"/>
        <w:spacing w:line="360" w:lineRule="auto"/>
        <w:ind w:firstLine="422" w:firstLineChars="200"/>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2、因重大会议或其他特殊情况，政府部门以任何形式发放相关停工通知的，所有项目必须无条件服从要求进行停工。投标人需充分考虑组织措施增加费、技术措施增加费，人员、机械窝工及相关全部费用。</w:t>
      </w:r>
    </w:p>
    <w:p>
      <w:pPr>
        <w:snapToGrid w:val="0"/>
        <w:spacing w:line="360" w:lineRule="auto"/>
        <w:ind w:firstLine="422" w:firstLineChars="200"/>
        <w:rPr>
          <w:rFonts w:hint="eastAsia"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highlight w:val="none"/>
        </w:rPr>
        <w:t>3、因发包人仍有部分区域正在使用，中标人应无条件配合发包人业务调整，合理安排施工工序人工投入，不得以此为理由拒绝业主指令或拖延工期。请投标人投标时综合考虑。</w:t>
      </w:r>
    </w:p>
    <w:p>
      <w:pPr>
        <w:snapToGrid w:val="0"/>
        <w:spacing w:line="360" w:lineRule="auto"/>
        <w:ind w:firstLine="422" w:firstLineChars="200"/>
        <w:rPr>
          <w:rFonts w:hint="default" w:asciiTheme="minorEastAsia" w:hAnsiTheme="minorEastAsia" w:eastAsiaTheme="minorEastAsia" w:cstheme="minorEastAsia"/>
          <w:b/>
          <w:bCs/>
          <w:szCs w:val="21"/>
          <w:highlight w:val="none"/>
          <w:lang w:val="en-US" w:eastAsia="zh-CN"/>
        </w:rPr>
      </w:pPr>
      <w:r>
        <w:rPr>
          <w:rFonts w:hint="eastAsia" w:asciiTheme="minorEastAsia" w:hAnsiTheme="minorEastAsia" w:eastAsiaTheme="minorEastAsia" w:cstheme="minorEastAsia"/>
          <w:b/>
          <w:bCs/>
          <w:szCs w:val="21"/>
          <w:highlight w:val="none"/>
          <w:lang w:val="en-US" w:eastAsia="zh-CN"/>
        </w:rPr>
        <w:t>4、中标人应在发包人各款项支付阶段前7个工作日内提供等额的发票，税率为13%。</w:t>
      </w:r>
    </w:p>
    <w:p>
      <w:pPr>
        <w:rPr>
          <w:rFonts w:hint="eastAsia" w:asciiTheme="minorEastAsia" w:hAnsiTheme="minorEastAsia" w:eastAsiaTheme="minorEastAsia" w:cstheme="minorEastAsia"/>
        </w:rPr>
      </w:pPr>
    </w:p>
    <w:p>
      <w:pPr>
        <w:snapToGrid w:val="0"/>
        <w:spacing w:line="360" w:lineRule="auto"/>
        <w:ind w:firstLine="420" w:firstLineChars="200"/>
        <w:rPr>
          <w:rFonts w:hint="eastAsia" w:asciiTheme="minorEastAsia" w:hAnsiTheme="minorEastAsia" w:eastAsiaTheme="minorEastAsia" w:cstheme="minorEastAsia"/>
          <w:szCs w:val="21"/>
        </w:rPr>
      </w:pPr>
    </w:p>
    <w:p>
      <w:pPr>
        <w:snapToGrid w:val="0"/>
        <w:spacing w:line="360" w:lineRule="auto"/>
        <w:jc w:val="left"/>
        <w:outlineLvl w:val="1"/>
        <w:rPr>
          <w:rFonts w:hint="eastAsia" w:asciiTheme="minorEastAsia" w:hAnsiTheme="minorEastAsia" w:eastAsiaTheme="minorEastAsia" w:cstheme="minorEastAsia"/>
          <w:b/>
          <w:szCs w:val="21"/>
        </w:rPr>
      </w:pPr>
    </w:p>
    <w:p>
      <w:pPr>
        <w:snapToGrid w:val="0"/>
        <w:spacing w:line="360" w:lineRule="auto"/>
        <w:jc w:val="left"/>
        <w:outlineLvl w:val="1"/>
        <w:rPr>
          <w:rFonts w:hint="eastAsia" w:asciiTheme="minorEastAsia" w:hAnsiTheme="minorEastAsia" w:eastAsiaTheme="minorEastAsia" w:cstheme="minorEastAsia"/>
          <w:b/>
          <w:szCs w:val="21"/>
        </w:rPr>
      </w:pPr>
    </w:p>
    <w:p>
      <w:pPr>
        <w:snapToGrid w:val="0"/>
        <w:spacing w:line="360" w:lineRule="auto"/>
        <w:jc w:val="left"/>
        <w:outlineLvl w:val="1"/>
        <w:rPr>
          <w:rFonts w:hint="eastAsia" w:asciiTheme="minorEastAsia" w:hAnsiTheme="minorEastAsia" w:eastAsiaTheme="minorEastAsia" w:cstheme="minorEastAsia"/>
          <w:b/>
          <w:szCs w:val="21"/>
        </w:rPr>
      </w:pPr>
    </w:p>
    <w:p>
      <w:pPr>
        <w:snapToGrid w:val="0"/>
        <w:spacing w:line="360" w:lineRule="auto"/>
        <w:jc w:val="left"/>
        <w:outlineLvl w:val="1"/>
        <w:rPr>
          <w:rFonts w:hint="eastAsia" w:asciiTheme="minorEastAsia" w:hAnsiTheme="minorEastAsia" w:eastAsiaTheme="minorEastAsia" w:cstheme="minorEastAsia"/>
          <w:b/>
          <w:szCs w:val="21"/>
        </w:rPr>
      </w:pPr>
    </w:p>
    <w:p>
      <w:pPr>
        <w:snapToGrid w:val="0"/>
        <w:spacing w:line="360" w:lineRule="auto"/>
        <w:jc w:val="left"/>
        <w:outlineLvl w:val="1"/>
        <w:rPr>
          <w:rFonts w:hint="eastAsia" w:asciiTheme="minorEastAsia" w:hAnsiTheme="minorEastAsia" w:eastAsiaTheme="minorEastAsia" w:cstheme="minorEastAsia"/>
          <w:b/>
          <w:szCs w:val="21"/>
        </w:rPr>
      </w:pPr>
    </w:p>
    <w:p>
      <w:pPr>
        <w:snapToGrid w:val="0"/>
        <w:spacing w:line="360" w:lineRule="auto"/>
        <w:jc w:val="left"/>
        <w:outlineLvl w:val="1"/>
        <w:rPr>
          <w:rFonts w:hint="eastAsia" w:asciiTheme="minorEastAsia" w:hAnsiTheme="minorEastAsia" w:eastAsiaTheme="minorEastAsia" w:cstheme="minorEastAsia"/>
          <w:b/>
          <w:szCs w:val="21"/>
        </w:rPr>
      </w:pPr>
    </w:p>
    <w:p>
      <w:pPr>
        <w:snapToGrid w:val="0"/>
        <w:spacing w:line="360" w:lineRule="auto"/>
        <w:jc w:val="left"/>
        <w:outlineLvl w:val="1"/>
        <w:rPr>
          <w:rFonts w:hint="eastAsia" w:asciiTheme="minorEastAsia" w:hAnsiTheme="minorEastAsia" w:eastAsiaTheme="minorEastAsia" w:cstheme="minorEastAsia"/>
          <w:b/>
          <w:szCs w:val="21"/>
        </w:rPr>
      </w:pPr>
    </w:p>
    <w:p>
      <w:pPr>
        <w:snapToGrid w:val="0"/>
        <w:spacing w:line="360" w:lineRule="auto"/>
        <w:jc w:val="left"/>
        <w:outlineLvl w:val="1"/>
        <w:rPr>
          <w:rFonts w:hint="eastAsia" w:asciiTheme="minorEastAsia" w:hAnsiTheme="minorEastAsia" w:eastAsiaTheme="minorEastAsia" w:cstheme="minorEastAsia"/>
          <w:b/>
          <w:szCs w:val="21"/>
        </w:rPr>
      </w:pPr>
    </w:p>
    <w:p>
      <w:pPr>
        <w:snapToGrid w:val="0"/>
        <w:spacing w:line="360" w:lineRule="auto"/>
        <w:jc w:val="left"/>
        <w:outlineLvl w:val="1"/>
        <w:rPr>
          <w:rFonts w:hint="eastAsia" w:asciiTheme="minorEastAsia" w:hAnsiTheme="minorEastAsia" w:eastAsiaTheme="minorEastAsia" w:cstheme="minorEastAsia"/>
          <w:b/>
          <w:szCs w:val="21"/>
        </w:rPr>
      </w:pPr>
    </w:p>
    <w:p>
      <w:pPr>
        <w:snapToGrid w:val="0"/>
        <w:spacing w:line="360" w:lineRule="auto"/>
        <w:jc w:val="left"/>
        <w:outlineLvl w:val="1"/>
        <w:rPr>
          <w:rFonts w:hint="eastAsia" w:asciiTheme="minorEastAsia" w:hAnsiTheme="minorEastAsia" w:eastAsiaTheme="minorEastAsia" w:cstheme="minorEastAsia"/>
          <w:b/>
          <w:szCs w:val="21"/>
        </w:rPr>
      </w:pPr>
    </w:p>
    <w:p>
      <w:pPr>
        <w:snapToGrid w:val="0"/>
        <w:spacing w:line="360" w:lineRule="auto"/>
        <w:jc w:val="left"/>
        <w:outlineLvl w:val="1"/>
        <w:rPr>
          <w:rFonts w:hint="eastAsia" w:asciiTheme="minorEastAsia" w:hAnsiTheme="minorEastAsia" w:eastAsiaTheme="minorEastAsia" w:cstheme="minorEastAsia"/>
          <w:b/>
          <w:szCs w:val="21"/>
        </w:rPr>
      </w:pPr>
    </w:p>
    <w:p>
      <w:pPr>
        <w:snapToGrid w:val="0"/>
        <w:spacing w:line="360" w:lineRule="auto"/>
        <w:jc w:val="left"/>
        <w:outlineLvl w:val="1"/>
        <w:rPr>
          <w:rFonts w:hint="eastAsia" w:asciiTheme="minorEastAsia" w:hAnsiTheme="minorEastAsia" w:eastAsiaTheme="minorEastAsia" w:cstheme="minorEastAsia"/>
          <w:b/>
          <w:szCs w:val="21"/>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pStyle w:val="2"/>
        <w:rPr>
          <w:rFonts w:hint="eastAsia"/>
        </w:rPr>
      </w:pPr>
    </w:p>
    <w:p>
      <w:pPr>
        <w:snapToGrid w:val="0"/>
        <w:spacing w:line="360" w:lineRule="auto"/>
        <w:jc w:val="left"/>
        <w:outlineLvl w:val="1"/>
        <w:rPr>
          <w:rFonts w:hint="eastAsia" w:asciiTheme="minorEastAsia" w:hAnsiTheme="minorEastAsia" w:eastAsiaTheme="minorEastAsia" w:cstheme="minorEastAsia"/>
          <w:b/>
          <w:szCs w:val="21"/>
          <w:lang w:val="en-US" w:eastAsia="zh-CN"/>
        </w:rPr>
      </w:pPr>
      <w:r>
        <w:rPr>
          <w:rFonts w:hint="eastAsia" w:asciiTheme="minorEastAsia" w:hAnsiTheme="minorEastAsia" w:eastAsiaTheme="minorEastAsia" w:cstheme="minorEastAsia"/>
          <w:b/>
          <w:szCs w:val="21"/>
        </w:rPr>
        <w:t>七、</w:t>
      </w:r>
      <w:r>
        <w:rPr>
          <w:rFonts w:hint="eastAsia" w:asciiTheme="minorEastAsia" w:hAnsiTheme="minorEastAsia" w:eastAsiaTheme="minorEastAsia" w:cstheme="minorEastAsia"/>
          <w:b/>
          <w:szCs w:val="21"/>
          <w:lang w:val="en-US" w:eastAsia="zh-CN"/>
        </w:rPr>
        <w:t>采购</w:t>
      </w:r>
      <w:r>
        <w:rPr>
          <w:rFonts w:hint="eastAsia" w:asciiTheme="minorEastAsia" w:hAnsiTheme="minorEastAsia" w:eastAsiaTheme="minorEastAsia" w:cstheme="minorEastAsia"/>
          <w:b/>
          <w:szCs w:val="21"/>
        </w:rPr>
        <w:t>清单</w:t>
      </w:r>
      <w:r>
        <w:rPr>
          <w:rFonts w:hint="eastAsia" w:asciiTheme="minorEastAsia" w:hAnsiTheme="minorEastAsia" w:eastAsiaTheme="minorEastAsia" w:cstheme="minorEastAsia"/>
          <w:b/>
          <w:szCs w:val="21"/>
          <w:lang w:val="en-US" w:eastAsia="zh-CN"/>
        </w:rPr>
        <w:t>及说明</w:t>
      </w:r>
    </w:p>
    <w:p>
      <w:pPr>
        <w:adjustRightInd w:val="0"/>
        <w:snapToGrid w:val="0"/>
        <w:spacing w:line="360" w:lineRule="auto"/>
        <w:jc w:val="both"/>
        <w:rPr>
          <w:rFonts w:hint="default"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b/>
          <w:bCs/>
          <w:szCs w:val="21"/>
          <w:lang w:val="en-US" w:eastAsia="zh-CN"/>
        </w:rPr>
        <w:t>一</w:t>
      </w:r>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b/>
          <w:bCs/>
          <w:szCs w:val="21"/>
          <w:lang w:val="en-US" w:eastAsia="zh-CN"/>
        </w:rPr>
        <w:t>采购清单</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1450"/>
        <w:gridCol w:w="6271"/>
        <w:gridCol w:w="2906"/>
        <w:gridCol w:w="2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adjustRightInd w:val="0"/>
              <w:snapToGrid w:val="0"/>
              <w:spacing w:line="360" w:lineRule="auto"/>
              <w:jc w:val="center"/>
              <w:rPr>
                <w:rFonts w:hint="eastAsia" w:asciiTheme="minorEastAsia" w:hAnsiTheme="minorEastAsia" w:eastAsiaTheme="minorEastAsia" w:cstheme="minorEastAsia"/>
                <w:b/>
                <w:bCs/>
                <w:szCs w:val="21"/>
                <w:vertAlign w:val="baseline"/>
                <w:lang w:val="en-US" w:eastAsia="zh-CN"/>
              </w:rPr>
            </w:pPr>
            <w:r>
              <w:rPr>
                <w:rFonts w:hint="eastAsia" w:asciiTheme="minorEastAsia" w:hAnsiTheme="minorEastAsia" w:eastAsiaTheme="minorEastAsia" w:cstheme="minorEastAsia"/>
                <w:b/>
                <w:bCs/>
                <w:szCs w:val="21"/>
                <w:vertAlign w:val="baseline"/>
                <w:lang w:val="en-US" w:eastAsia="zh-CN"/>
              </w:rPr>
              <w:t>序号</w:t>
            </w:r>
          </w:p>
        </w:tc>
        <w:tc>
          <w:tcPr>
            <w:tcW w:w="1450" w:type="dxa"/>
            <w:vAlign w:val="center"/>
          </w:tcPr>
          <w:p>
            <w:pPr>
              <w:adjustRightInd w:val="0"/>
              <w:snapToGrid w:val="0"/>
              <w:spacing w:line="360" w:lineRule="auto"/>
              <w:jc w:val="center"/>
              <w:rPr>
                <w:rFonts w:hint="eastAsia" w:asciiTheme="minorEastAsia" w:hAnsiTheme="minorEastAsia" w:eastAsiaTheme="minorEastAsia" w:cstheme="minorEastAsia"/>
                <w:b/>
                <w:bCs/>
                <w:szCs w:val="21"/>
                <w:vertAlign w:val="baseline"/>
              </w:rPr>
            </w:pPr>
            <w:r>
              <w:rPr>
                <w:rFonts w:hint="eastAsia" w:asciiTheme="minorEastAsia" w:hAnsiTheme="minorEastAsia" w:eastAsiaTheme="minorEastAsia" w:cstheme="minorEastAsia"/>
                <w:b/>
                <w:bCs/>
                <w:szCs w:val="21"/>
                <w:vertAlign w:val="baseline"/>
              </w:rPr>
              <w:t>项目名称</w:t>
            </w:r>
          </w:p>
        </w:tc>
        <w:tc>
          <w:tcPr>
            <w:tcW w:w="6271" w:type="dxa"/>
            <w:vAlign w:val="center"/>
          </w:tcPr>
          <w:p>
            <w:pPr>
              <w:adjustRightInd w:val="0"/>
              <w:snapToGrid w:val="0"/>
              <w:spacing w:line="360" w:lineRule="auto"/>
              <w:jc w:val="center"/>
              <w:rPr>
                <w:rFonts w:hint="eastAsia" w:asciiTheme="minorEastAsia" w:hAnsiTheme="minorEastAsia" w:eastAsiaTheme="minorEastAsia" w:cstheme="minorEastAsia"/>
                <w:b/>
                <w:bCs/>
                <w:szCs w:val="21"/>
                <w:vertAlign w:val="baseline"/>
              </w:rPr>
            </w:pPr>
            <w:r>
              <w:rPr>
                <w:rFonts w:hint="eastAsia" w:asciiTheme="minorEastAsia" w:hAnsiTheme="minorEastAsia" w:eastAsiaTheme="minorEastAsia" w:cstheme="minorEastAsia"/>
                <w:b/>
                <w:bCs/>
                <w:szCs w:val="21"/>
                <w:vertAlign w:val="baseline"/>
              </w:rPr>
              <w:t>规格参数</w:t>
            </w:r>
          </w:p>
        </w:tc>
        <w:tc>
          <w:tcPr>
            <w:tcW w:w="2906" w:type="dxa"/>
            <w:vAlign w:val="center"/>
          </w:tcPr>
          <w:p>
            <w:pPr>
              <w:adjustRightInd w:val="0"/>
              <w:snapToGrid w:val="0"/>
              <w:spacing w:line="360" w:lineRule="auto"/>
              <w:jc w:val="center"/>
              <w:rPr>
                <w:rFonts w:hint="eastAsia" w:asciiTheme="minorEastAsia" w:hAnsiTheme="minorEastAsia" w:eastAsiaTheme="minorEastAsia" w:cstheme="minorEastAsia"/>
                <w:b/>
                <w:bCs/>
                <w:szCs w:val="21"/>
                <w:vertAlign w:val="baseline"/>
              </w:rPr>
            </w:pPr>
            <w:r>
              <w:rPr>
                <w:rFonts w:hint="eastAsia" w:asciiTheme="minorEastAsia" w:hAnsiTheme="minorEastAsia" w:eastAsiaTheme="minorEastAsia" w:cstheme="minorEastAsia"/>
                <w:b/>
                <w:bCs/>
                <w:szCs w:val="21"/>
                <w:vertAlign w:val="baseline"/>
              </w:rPr>
              <w:t>单位</w:t>
            </w:r>
          </w:p>
        </w:tc>
        <w:tc>
          <w:tcPr>
            <w:tcW w:w="2907" w:type="dxa"/>
            <w:vAlign w:val="center"/>
          </w:tcPr>
          <w:p>
            <w:pPr>
              <w:adjustRightInd w:val="0"/>
              <w:snapToGrid w:val="0"/>
              <w:spacing w:line="360" w:lineRule="auto"/>
              <w:jc w:val="center"/>
              <w:rPr>
                <w:rFonts w:hint="eastAsia" w:asciiTheme="minorEastAsia" w:hAnsiTheme="minorEastAsia" w:eastAsiaTheme="minorEastAsia" w:cstheme="minorEastAsia"/>
                <w:b/>
                <w:bCs/>
                <w:szCs w:val="21"/>
                <w:vertAlign w:val="baseline"/>
              </w:rPr>
            </w:pPr>
            <w:r>
              <w:rPr>
                <w:rFonts w:hint="eastAsia" w:asciiTheme="minorEastAsia" w:hAnsiTheme="minorEastAsia" w:eastAsiaTheme="minorEastAsia" w:cstheme="minorEastAsia"/>
                <w:b/>
                <w:bCs/>
                <w:szCs w:val="21"/>
                <w:vertAlign w:val="baseli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2mm防静电橡胶地面</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1、2mm防静电橡胶地板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2、3mm厚自流平                              </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3、开箱检查、安装</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平方</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default" w:ascii="Arial" w:hAnsi="Arial" w:eastAsia="宋体" w:cs="Arial"/>
                <w:i w:val="0"/>
                <w:iCs w:val="0"/>
                <w:color w:val="000000"/>
                <w:kern w:val="0"/>
                <w:sz w:val="20"/>
                <w:szCs w:val="20"/>
                <w:u w:val="none"/>
                <w:lang w:val="en-US" w:eastAsia="zh-CN" w:bidi="ar"/>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2mm抗静电PVC地面</w:t>
            </w:r>
          </w:p>
        </w:tc>
        <w:tc>
          <w:tcPr>
            <w:tcW w:w="6271" w:type="dxa"/>
            <w:vAlign w:val="center"/>
          </w:tcPr>
          <w:p>
            <w:pPr>
              <w:keepNext w:val="0"/>
              <w:keepLines w:val="0"/>
              <w:widowControl/>
              <w:numPr>
                <w:ilvl w:val="0"/>
                <w:numId w:val="11"/>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抗静电PVC地面                                    </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 xml:space="preserve">2、3mm厚自流平                                  </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3、开箱检查、安装</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平方</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default" w:ascii="Arial" w:hAnsi="Arial" w:eastAsia="宋体" w:cs="Arial"/>
                <w:i w:val="0"/>
                <w:iCs w:val="0"/>
                <w:color w:val="000000"/>
                <w:kern w:val="0"/>
                <w:sz w:val="20"/>
                <w:szCs w:val="20"/>
                <w:u w:val="none"/>
                <w:lang w:val="en-US" w:eastAsia="zh-CN" w:bidi="ar"/>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DSA防辐射设备</w:t>
            </w:r>
          </w:p>
        </w:tc>
        <w:tc>
          <w:tcPr>
            <w:tcW w:w="6271" w:type="dxa"/>
            <w:vAlign w:val="center"/>
          </w:tcPr>
          <w:p>
            <w:pPr>
              <w:keepNext w:val="0"/>
              <w:keepLines w:val="0"/>
              <w:widowControl/>
              <w:numPr>
                <w:ilvl w:val="0"/>
                <w:numId w:val="12"/>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DSA手术室配套防辐射基础设施安装                                        2、开箱检查、安装                           </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3、调试、验收</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项</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default" w:ascii="Arial" w:hAnsi="Arial" w:eastAsia="宋体" w:cs="Arial"/>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医用钢制铅防护气密自动平移门（单开）（ZD10Q4)</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1、不锈钢门框包边，进口导轨、电机、感应器，防火板门片，带观察窗，自动平移</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2、具备手动、半开、全开三种模式，防夹模式</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3、尺寸1000×2200mm，4个铅当量</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樘</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5</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医用钢制铅防护气密自动平移门（单开）（ZD15Q4)</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1、不锈钢门框包边，进口导轨、电机、感应器，防火板门片，带观察窗，自动平移</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2、具备手动、半开、全开三种模式，防夹模式</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3、尺寸1500×2200mm，4个铅当量</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樘</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6</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医用钢制气密自动平移门（单开）（ZD15)</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1、不锈钢门框包边，进口导轨、电机、感应器，防火板门片，带观察窗，自动平移</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2、具备手动、半开、全开三种模式，防夹模式</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3、尺寸1500×2200mm</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樘</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7</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单开医用钢制气密平开门（M10)</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1、成品钢质气密门，带观察窗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2、手动平开，带门吸</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3、尺寸1000×2200mm</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樘</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8</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医用钢制铅防护气密平开门（单开）（M10Q4)</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1、成品钢质气密门，带观察窗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2、手动平开，带门吸</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3、尺寸1000×2200mm，4个铅当量</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樘</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9</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双开医用钢制气密平开门(SM15)</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1、成品钢制气密门，带观察窗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2、手动平开，带门吸</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3、尺寸1500×2200mm</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樘</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10</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医疗专用灯</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LED气密灯（长形）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1、一级光学导光板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2、50w LED照明</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3、尺寸1300×350</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11</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医疗专用灯</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LED气密灯应急（长形）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1、一级光学导光板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2、50w LED照明</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3、尺寸1300×350</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12</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医疗专用灯</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LED气密灯（长形）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1、一级光学导光板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2、45w LED照明</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3、尺寸1200×300</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13</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医疗专用灯</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“手术中”指示灯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1、发光二极管显示</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2、用于手术室使用状态标示</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14</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医疗专用灯</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“射线中”指示灯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1、发光二极管显示</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2、用于手术室射线机使用状态标示</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15</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多功能控制面板</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1、规格900x600x100，32寸液晶显示屏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2、时钟、计时器；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3、空调系统开关机、运行状态显示和故障报警、温湿度显示、设置控制；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4、照明开关、无影灯开关；</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5、过滤器堵塞报警、绝缘监测及漏电保护报警、消防报警、医气系统监控报警；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6、对讲呼叫、免提电话；</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7、手术中、放射操作指示</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8、内置检修</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16</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治疗电源插座箱</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1、不锈钢面框，CM1</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2、尺寸:900mm×250mm×100mm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3、4个220V 10A插座</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4、2个接地端子</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17</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动力电源插座箱（带380v）</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1、不锈钢面框，CM2</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2、尺寸:900mm×250mm×100mm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3、1个三相380V 20A插座，3个220V 10A插座</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4、2个接地端子</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18</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嵌入式电脑柜</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1、柜体边框1.5厚304不锈钢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2、上平开门片采用1.2厚304不锈钢，舟形扣手304不锈钢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3、中间设置电脑操作台，预留3个五孔插座，2个网络接口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4、本体1.2厚304不锈钢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5、柜体面层喷涂同墙体颜色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6、箱体后背面衬6mm硅酸钙板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适用编号及尺寸：</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编号：电脑柜DNG</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尺寸：1200（宽）X1700（高）X400（厚）</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19</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嵌入式麻醉柜</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1、柜体边框1.5厚304不锈钢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2、平开门片采用1.2厚304不锈钢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3、舟形扣手304不锈钢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4、本体1.2厚304不锈钢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5、上下柜各内置2层高度可调不锈钢隔板，隔板竖向挂架孔需采用密封措施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6、柜体面层喷涂同墙体颜色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7、箱体后背面衬6mm硅酸钙板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适用编号及尺寸：</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编号：麻醉柜（MZG）</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尺寸：1200（宽）X1700（高）X400（厚）</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20</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嵌入式器械柜</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1、柜体边框1.5厚304不锈钢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2、平开门片采用1.2厚304不锈钢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3、舟形扣手304不锈钢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4、本体1.2厚304不锈钢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5、上下柜各内置2层高度可调不锈钢隔板，隔板竖向挂架孔需采用密封措施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6、柜体面层喷涂同墙体颜色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7、箱体后背面衬6mm硅酸钙板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适用编号及尺寸：</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编号：器械柜（QXG）</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尺寸：1200（宽）X1700（高）X400（厚）</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21</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嵌入式药品柜</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1、柜体边框1.5厚304不锈钢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2、平开门片采用1.2厚304不锈钢，中间设双抽屉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3、舟形扣手304不锈钢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4、本体1.2厚304不锈钢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5、上下柜各内置2层高度可调不</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锈钢隔板，隔板竖向挂架孔需采用密封措施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6、柜体面层喷涂同墙体颜色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7、箱体后背面衬6mm硅酸钙板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适用编号及尺寸：</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编号：药品柜YPG</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尺寸：1200（宽）X1700（高）X400（厚）</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22</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嵌入式收纳柜</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1、柜体边框1.5厚304不锈钢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2、平开门片采用1.2厚304不锈钢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3、舟形扣手304不锈钢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4、本体1.2厚304不锈钢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5、上下柜各内置2层高度可调不锈钢隔板，隔板竖向挂架孔需采用密封措施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6、柜体面层喷涂同墙体颜色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7、箱体后背面衬6mm硅酸钙板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适用编号及尺寸：</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编号：收纳柜（SNG）</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尺寸：1200（宽）X1800（高）X400（厚）</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23</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嵌入式导管柜</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1、前面框、移门框、平开门框1.2厚304不锈钢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2、成品导管架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3、平开门玻璃8厚浮法白玻璃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4、接地端子2厚铜板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5、舟形扣手304不锈钢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6、本体1.2厚304不锈钢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7、304不锈钢隔板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适用编号及尺寸：</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编号：导管柜</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尺寸：1200（宽）X1700（高）X400（厚）</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24</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保温柜(恒温培养箱）</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1、医用恒温培养箱</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2、气密封固定安装</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25</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保冷柜（血液储存箱）</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1、医用血液储藏箱</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2、气密封固定安装</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26</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直线型输液导轨</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1、输液吊轨直线</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2、平行式、每套含导轨2根吊勾4个</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27</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cs="宋体"/>
                <w:i w:val="0"/>
                <w:iCs w:val="0"/>
                <w:color w:val="000000"/>
                <w:kern w:val="0"/>
                <w:sz w:val="20"/>
                <w:szCs w:val="20"/>
                <w:u w:val="none"/>
                <w:lang w:val="en-US" w:eastAsia="zh-CN" w:bidi="ar"/>
              </w:rPr>
              <w:t>空气处理机组</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1.名称:循环机组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AHU-4-1，</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2.规格:送风量≥11200m3/h，新风量≥1250m3/h，制冷量≥15KW，制热量≥45KW，余压≥650Pa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3.机械循环四管制</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4.含风机、表冷段、加热段、加湿段、灭菌装置、风机防震器、两级过滤器、软接</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28</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cs="宋体"/>
                <w:i w:val="0"/>
                <w:iCs w:val="0"/>
                <w:color w:val="000000"/>
                <w:kern w:val="0"/>
                <w:sz w:val="20"/>
                <w:szCs w:val="20"/>
                <w:u w:val="none"/>
                <w:lang w:val="en-US" w:eastAsia="zh-CN" w:bidi="ar"/>
              </w:rPr>
              <w:t>空气处理机组</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1.名称:循环机组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AHU-4-2，</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2.规格:送风量≥6700m3/h，新风量≥1400m3/h，制冷量≥9KW，制热量≥30KW，余压≥650Pa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3.机械循环四管制</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4.含风机、表冷段、加热段、加湿段、灭菌装置、风机防震器、两级过滤器、软接</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29</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cs="宋体"/>
                <w:i w:val="0"/>
                <w:iCs w:val="0"/>
                <w:color w:val="000000"/>
                <w:kern w:val="0"/>
                <w:sz w:val="20"/>
                <w:szCs w:val="20"/>
                <w:u w:val="none"/>
                <w:lang w:val="en-US" w:eastAsia="zh-CN" w:bidi="ar"/>
              </w:rPr>
              <w:t>空气处理机组</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1.名称:循环机组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AHU-419，</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2.规格:送风量≥4500m3/h，新风量≥2300m3/h，制冷量≥20.9KW，制热量≥17.1KW，余压≥650Pa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3.机械循环四管制</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4.含风机、表冷段、加热段、加湿段、灭菌装置、风机防震器、两级过滤器、软接</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30</w:t>
            </w:r>
          </w:p>
        </w:tc>
        <w:tc>
          <w:tcPr>
            <w:tcW w:w="145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szCs w:val="21"/>
                <w:vertAlign w:val="baseline"/>
                <w:lang w:val="en-US"/>
              </w:rPr>
            </w:pPr>
            <w:r>
              <w:rPr>
                <w:rFonts w:hint="eastAsia" w:ascii="宋体" w:hAnsi="宋体" w:cs="宋体"/>
                <w:i w:val="0"/>
                <w:iCs w:val="0"/>
                <w:color w:val="000000"/>
                <w:kern w:val="0"/>
                <w:sz w:val="20"/>
                <w:szCs w:val="20"/>
                <w:u w:val="none"/>
                <w:lang w:val="en-US" w:eastAsia="zh-CN" w:bidi="ar"/>
              </w:rPr>
              <w:t>空气处理机组</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1.名称:自吸新风循环机组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AHU-4-3，</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2.规格:风量≥2500m3/h，新风量≥900m3/h，制冷量≥24KW，制热量≥12KW，余压≥750Pa,氟盘管≥10KW</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3.机械循环四管制</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4.含风机、表冷段、氟盘管段、加热段、加湿段、灭菌装置、风机防震器、三级过滤器、软接</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31</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机组自控柜</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1.含系统控制系统</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2.含空调自控电管配线</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3.含柜体及支架</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32</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控制器</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控制面板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1、对机组的启停、温湿度的控制</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2、数码显示</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33</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cs="宋体"/>
                <w:i w:val="0"/>
                <w:iCs w:val="0"/>
                <w:color w:val="000000"/>
                <w:kern w:val="0"/>
                <w:sz w:val="20"/>
                <w:szCs w:val="20"/>
                <w:u w:val="none"/>
                <w:lang w:val="en-US" w:eastAsia="zh-CN" w:bidi="ar"/>
              </w:rPr>
              <w:t>空气处理机组</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1.常年制冷空调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2.规格:制冷量 5HP</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3.环保冷媒</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34</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干蒸汽加湿器</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1.加湿形式：干蒸汽</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2.规格：加湿量≥8kg/h</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35</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干蒸汽加湿器</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1.加湿形式：干蒸汽</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2.规格：加湿量≥12kg/h</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36</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干蒸汽加湿器</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1.加湿形式：干蒸汽</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2.规格：加湿量≥13kg/h</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37</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干蒸汽加湿器</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1.加湿形式：干蒸汽</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2.规格：加湿量≥19.1kg/h</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38</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变频器</w:t>
            </w:r>
          </w:p>
        </w:tc>
        <w:tc>
          <w:tcPr>
            <w:tcW w:w="627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default"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功率：</w:t>
            </w:r>
            <w:r>
              <w:rPr>
                <w:rFonts w:hint="default" w:ascii="Arial" w:hAnsi="Arial" w:eastAsia="宋体" w:cs="Arial"/>
                <w:i w:val="0"/>
                <w:iCs w:val="0"/>
                <w:color w:val="000000"/>
                <w:kern w:val="0"/>
                <w:sz w:val="20"/>
                <w:szCs w:val="20"/>
                <w:u w:val="none"/>
                <w:lang w:val="en-US" w:eastAsia="zh-CN" w:bidi="ar"/>
              </w:rPr>
              <w:t>3KW</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39</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变频器</w:t>
            </w:r>
          </w:p>
        </w:tc>
        <w:tc>
          <w:tcPr>
            <w:tcW w:w="627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default"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功率：</w:t>
            </w:r>
            <w:r>
              <w:rPr>
                <w:rFonts w:hint="default" w:ascii="Arial" w:hAnsi="Arial" w:eastAsia="宋体" w:cs="Arial"/>
                <w:i w:val="0"/>
                <w:iCs w:val="0"/>
                <w:color w:val="000000"/>
                <w:kern w:val="0"/>
                <w:sz w:val="20"/>
                <w:szCs w:val="20"/>
                <w:u w:val="none"/>
                <w:lang w:val="en-US" w:eastAsia="zh-CN" w:bidi="ar"/>
              </w:rPr>
              <w:t>4KW</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40</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变频器</w:t>
            </w:r>
          </w:p>
        </w:tc>
        <w:tc>
          <w:tcPr>
            <w:tcW w:w="627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default"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功率：</w:t>
            </w:r>
            <w:r>
              <w:rPr>
                <w:rFonts w:hint="default" w:ascii="Arial" w:hAnsi="Arial" w:eastAsia="宋体" w:cs="Arial"/>
                <w:i w:val="0"/>
                <w:iCs w:val="0"/>
                <w:color w:val="000000"/>
                <w:kern w:val="0"/>
                <w:sz w:val="20"/>
                <w:szCs w:val="20"/>
                <w:u w:val="none"/>
                <w:lang w:val="en-US" w:eastAsia="zh-CN" w:bidi="ar"/>
              </w:rPr>
              <w:t>7.5KW</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41</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天花板送风装置</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1.使用区域：I级手术室</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2.规格：OPL2.4/2.6</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3.材质：本体冷板喷塑</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4.含平铺高效过滤器</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42</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天花板送风装置</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1.使用区域：II级手术室</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2.规格：OPL1.8/2.6</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3.材质：本体冷板喷塑</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4.含平铺高效过滤器</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43</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天花板送风装置</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1.使用区域：III级手术室</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2.规格：OPL1.4/2.6</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3.材质：本体冷板喷塑</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4.含平铺高效过滤器</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44</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控制器</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嵌壁终端箱</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1、不锈钢制作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2、面层喷涂，颜色同墙体</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3、气体终端开孔</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45</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气体终端</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氧气终端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(1)型号、规格:氧气  双密封、德式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(2)工程内容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1）安装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2）开箱检查、测试、调试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3）联动调试</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4）其他</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个</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46</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气体终端</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压缩空气终端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(1)型号、规格:压缩空气  双密封、德式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(2)工程内容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1）安装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2）开箱检查、测试、调试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3）联动调试</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4）其他</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个</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47</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气体终端</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负压吸引终端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(1)型号、规格:负压吸引  双密封、德式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(2)工程内容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1）安装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2）开箱检查、测试、调试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3）联动调试</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4）其他</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个</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48</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气体终端</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氮气终端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(1)型号、规格:氮气  双密封、德式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(2)工程内容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1）安装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2）开箱检查、测试、调试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3）联动调试</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4）其他</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个</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49</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气体终端</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二氧化碳终端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(1)型号、规格:二氧化碳  双密封、德式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(2)工程内容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1）安装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2）开箱检查、测试、调试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3）联动调试</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4）其他</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个</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50</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气体终端</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麻醉废气排放终端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(1)型号、规格:麻醉废气  双密封、德式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(2)工程内容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1）安装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2）开箱检查、测试、调试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3）联动调试</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4）其他</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个</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51</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DSA设备专用配套电缆</w:t>
            </w:r>
          </w:p>
        </w:tc>
        <w:tc>
          <w:tcPr>
            <w:tcW w:w="627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1）规格：WDZB-YJY 4*150+1*95mm2                                                                                        2)、安装、检查、联动调试</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项</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52</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手术隔离电源一体机</w:t>
            </w:r>
          </w:p>
        </w:tc>
        <w:tc>
          <w:tcPr>
            <w:tcW w:w="6271" w:type="dxa"/>
            <w:vAlign w:val="center"/>
          </w:tcPr>
          <w:p>
            <w:pPr>
              <w:keepNext w:val="0"/>
              <w:keepLines w:val="0"/>
              <w:widowControl/>
              <w:numPr>
                <w:ilvl w:val="0"/>
                <w:numId w:val="13"/>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配电箱系统                              </w:t>
            </w:r>
          </w:p>
          <w:p>
            <w:pPr>
              <w:keepNext w:val="0"/>
              <w:keepLines w:val="0"/>
              <w:widowControl/>
              <w:numPr>
                <w:ilvl w:val="0"/>
                <w:numId w:val="13"/>
              </w:numPr>
              <w:suppressLineNumbers w:val="0"/>
              <w:ind w:left="0" w:leftChars="0" w:firstLine="0"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IT电源系统                            </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 xml:space="preserve">UPS电源系统                                       </w:t>
            </w:r>
          </w:p>
          <w:p>
            <w:pPr>
              <w:keepNext w:val="0"/>
              <w:keepLines w:val="0"/>
              <w:widowControl/>
              <w:numPr>
                <w:ilvl w:val="0"/>
                <w:numId w:val="0"/>
              </w:numPr>
              <w:suppressLineNumbers w:val="0"/>
              <w:ind w:leftChars="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 安装、检查、联动调试</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53</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墙放射防护工程</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1）50x30x1.5镀锌方管龙骨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2）12mm防火石膏板                            </w:t>
            </w:r>
          </w:p>
          <w:p>
            <w:pPr>
              <w:keepNext w:val="0"/>
              <w:keepLines w:val="0"/>
              <w:widowControl/>
              <w:numPr>
                <w:ilvl w:val="0"/>
                <w:numId w:val="14"/>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4mm铅板铆接                                       </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 连接处防护处理</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项</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54</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地放射防护工程</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1、40mm厚4：1硫酸钡水泥防护</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2、20mm厚1：2.5水泥砂浆保护层</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项</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55</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顶放射防护工程</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铅板防护顶面处理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1、50x30高承重方管龙骨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2、3mm铅板铆接</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3、连接处防护处理</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项</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szCs w:val="21"/>
                <w:vertAlign w:val="baseline"/>
                <w:lang w:val="en-US"/>
              </w:rPr>
            </w:pPr>
            <w:r>
              <w:rPr>
                <w:rFonts w:hint="eastAsia" w:ascii="宋体" w:hAnsi="宋体" w:cs="宋体"/>
                <w:i w:val="0"/>
                <w:iCs w:val="0"/>
                <w:color w:val="000000"/>
                <w:kern w:val="0"/>
                <w:sz w:val="20"/>
                <w:szCs w:val="20"/>
                <w:u w:val="none"/>
                <w:lang w:val="en-US" w:eastAsia="zh-CN" w:bidi="ar"/>
              </w:rPr>
              <w:t>56</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其余配套手术室装饰安装部分</w:t>
            </w:r>
          </w:p>
        </w:tc>
        <w:tc>
          <w:tcPr>
            <w:tcW w:w="627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本项目为总价包干“交钥匙”项目。达到采购需求及图纸要求的其他配套的装饰安装部分的所有工作</w:t>
            </w:r>
          </w:p>
        </w:tc>
        <w:tc>
          <w:tcPr>
            <w:tcW w:w="290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项</w:t>
            </w:r>
          </w:p>
        </w:tc>
        <w:tc>
          <w:tcPr>
            <w:tcW w:w="29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57</w:t>
            </w:r>
          </w:p>
        </w:tc>
        <w:tc>
          <w:tcPr>
            <w:tcW w:w="14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其余配套电气部分工作</w:t>
            </w:r>
          </w:p>
        </w:tc>
        <w:tc>
          <w:tcPr>
            <w:tcW w:w="627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本项目为总价包干“交钥匙”项目。达到采购需求及图纸要求的其他配套的电气的所有工作</w:t>
            </w:r>
          </w:p>
        </w:tc>
        <w:tc>
          <w:tcPr>
            <w:tcW w:w="29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29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58</w:t>
            </w:r>
          </w:p>
        </w:tc>
        <w:tc>
          <w:tcPr>
            <w:tcW w:w="14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其余配套暖通部分工作</w:t>
            </w:r>
          </w:p>
        </w:tc>
        <w:tc>
          <w:tcPr>
            <w:tcW w:w="627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本项目为总价包干“交钥匙”项目。达到采购需求及图纸要求的其他配套的暖通部分的所有工作</w:t>
            </w:r>
          </w:p>
        </w:tc>
        <w:tc>
          <w:tcPr>
            <w:tcW w:w="29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29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59</w:t>
            </w:r>
          </w:p>
        </w:tc>
        <w:tc>
          <w:tcPr>
            <w:tcW w:w="14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其余配套医用气体部分工作</w:t>
            </w:r>
          </w:p>
        </w:tc>
        <w:tc>
          <w:tcPr>
            <w:tcW w:w="627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本项目为总价包干“交钥匙”项目。达到采购需求及图纸要求的其他配套的医用气体的所有工作</w:t>
            </w:r>
          </w:p>
        </w:tc>
        <w:tc>
          <w:tcPr>
            <w:tcW w:w="29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29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r>
              <w:rPr>
                <w:rFonts w:hint="eastAsia" w:ascii="宋体" w:hAnsi="宋体" w:cs="宋体"/>
                <w:i w:val="0"/>
                <w:iCs w:val="0"/>
                <w:color w:val="000000"/>
                <w:kern w:val="0"/>
                <w:sz w:val="20"/>
                <w:szCs w:val="20"/>
                <w:u w:val="none"/>
                <w:lang w:val="en-US" w:eastAsia="zh-CN" w:bidi="ar"/>
              </w:rPr>
              <w:t>0</w:t>
            </w:r>
          </w:p>
        </w:tc>
        <w:tc>
          <w:tcPr>
            <w:tcW w:w="14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w:t>
            </w:r>
          </w:p>
        </w:tc>
        <w:tc>
          <w:tcPr>
            <w:tcW w:w="627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本项目为总价包干“交钥匙”项目。达到采购需求及图纸要求的其他所有工作。</w:t>
            </w:r>
          </w:p>
        </w:tc>
        <w:tc>
          <w:tcPr>
            <w:tcW w:w="29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29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bl>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jc w:val="left"/>
        <w:rPr>
          <w:rFonts w:hint="eastAsia"/>
          <w:sz w:val="32"/>
          <w:szCs w:val="40"/>
          <w:lang w:val="en-US" w:eastAsia="zh-CN"/>
        </w:rPr>
      </w:pPr>
      <w:r>
        <w:rPr>
          <w:rFonts w:hint="eastAsia"/>
          <w:sz w:val="32"/>
          <w:szCs w:val="40"/>
          <w:lang w:val="en-US" w:eastAsia="zh-CN"/>
        </w:rPr>
        <w:t>备注：</w:t>
      </w:r>
    </w:p>
    <w:p>
      <w:pPr>
        <w:jc w:val="left"/>
        <w:rPr>
          <w:rFonts w:hint="eastAsia"/>
          <w:sz w:val="32"/>
          <w:szCs w:val="40"/>
          <w:lang w:val="en-US" w:eastAsia="zh-CN"/>
        </w:rPr>
      </w:pPr>
      <w:r>
        <w:rPr>
          <w:rFonts w:hint="eastAsia"/>
          <w:sz w:val="32"/>
          <w:szCs w:val="40"/>
          <w:lang w:val="en-US" w:eastAsia="zh-CN"/>
        </w:rPr>
        <w:t>1、本项目为总价包干“交钥匙”项目，以上所有项目内容均含配套的货物、安装、人工、机械、配送、售后、社保、税金等所有费用。</w:t>
      </w:r>
    </w:p>
    <w:p>
      <w:pPr>
        <w:jc w:val="left"/>
        <w:rPr>
          <w:rFonts w:hint="default"/>
          <w:sz w:val="32"/>
          <w:szCs w:val="40"/>
          <w:lang w:val="en-US" w:eastAsia="zh-CN"/>
        </w:rPr>
      </w:pPr>
      <w:r>
        <w:rPr>
          <w:rFonts w:hint="eastAsia"/>
          <w:sz w:val="32"/>
          <w:szCs w:val="40"/>
          <w:lang w:val="en-US" w:eastAsia="zh-CN"/>
        </w:rPr>
        <w:t>2、为投标人更了解本项目需求，随招标文件一并发布的EXCEL版招标清单，EXCEL招标清单仅为本项目的补充附件，实际报价以上述清单进行报价。</w:t>
      </w:r>
    </w:p>
    <w:p>
      <w:pPr>
        <w:adjustRightInd w:val="0"/>
        <w:snapToGrid w:val="0"/>
        <w:spacing w:line="360" w:lineRule="auto"/>
        <w:jc w:val="center"/>
        <w:rPr>
          <w:rFonts w:hint="eastAsia" w:asciiTheme="minorEastAsia" w:hAnsiTheme="minorEastAsia" w:eastAsiaTheme="minorEastAsia" w:cstheme="minorEastAsia"/>
          <w:b/>
          <w:bCs/>
          <w:szCs w:val="21"/>
        </w:rPr>
      </w:pPr>
    </w:p>
    <w:p>
      <w:pPr>
        <w:adjustRightInd w:val="0"/>
        <w:snapToGrid w:val="0"/>
        <w:spacing w:line="360" w:lineRule="auto"/>
        <w:jc w:val="center"/>
        <w:rPr>
          <w:rFonts w:hint="eastAsia" w:asciiTheme="minorEastAsia" w:hAnsiTheme="minorEastAsia" w:eastAsiaTheme="minorEastAsia" w:cstheme="minorEastAsia"/>
          <w:b/>
          <w:bCs/>
          <w:szCs w:val="21"/>
        </w:rPr>
      </w:pPr>
    </w:p>
    <w:p>
      <w:pPr>
        <w:adjustRightInd w:val="0"/>
        <w:snapToGrid w:val="0"/>
        <w:spacing w:line="360" w:lineRule="auto"/>
        <w:jc w:val="center"/>
        <w:rPr>
          <w:rFonts w:hint="eastAsia" w:asciiTheme="minorEastAsia" w:hAnsiTheme="minorEastAsia" w:eastAsiaTheme="minorEastAsia" w:cstheme="minorEastAsia"/>
          <w:b/>
          <w:bCs/>
          <w:szCs w:val="21"/>
        </w:rPr>
      </w:pPr>
    </w:p>
    <w:p>
      <w:pPr>
        <w:adjustRightInd w:val="0"/>
        <w:snapToGrid w:val="0"/>
        <w:spacing w:line="360" w:lineRule="auto"/>
        <w:jc w:val="center"/>
        <w:rPr>
          <w:rFonts w:hint="eastAsia" w:asciiTheme="minorEastAsia" w:hAnsiTheme="minorEastAsia" w:eastAsiaTheme="minorEastAsia" w:cstheme="minorEastAsia"/>
          <w:b/>
          <w:bCs/>
          <w:szCs w:val="21"/>
        </w:rPr>
      </w:pPr>
    </w:p>
    <w:p>
      <w:pPr>
        <w:adjustRightInd w:val="0"/>
        <w:snapToGrid w:val="0"/>
        <w:spacing w:line="360" w:lineRule="auto"/>
        <w:jc w:val="center"/>
        <w:rPr>
          <w:rFonts w:hint="eastAsia" w:asciiTheme="minorEastAsia" w:hAnsiTheme="minorEastAsia" w:eastAsiaTheme="minorEastAsia" w:cstheme="minorEastAsia"/>
          <w:b/>
          <w:bCs/>
          <w:szCs w:val="21"/>
        </w:rPr>
      </w:pPr>
    </w:p>
    <w:p>
      <w:pPr>
        <w:adjustRightInd w:val="0"/>
        <w:snapToGrid w:val="0"/>
        <w:spacing w:line="360" w:lineRule="auto"/>
        <w:jc w:val="center"/>
        <w:rPr>
          <w:rFonts w:hint="eastAsia" w:asciiTheme="minorEastAsia" w:hAnsiTheme="minorEastAsia" w:eastAsiaTheme="minorEastAsia" w:cstheme="minorEastAsia"/>
          <w:b/>
          <w:bCs/>
          <w:szCs w:val="21"/>
        </w:rPr>
      </w:pPr>
    </w:p>
    <w:p>
      <w:pPr>
        <w:adjustRightInd w:val="0"/>
        <w:snapToGrid w:val="0"/>
        <w:spacing w:line="360" w:lineRule="auto"/>
        <w:jc w:val="center"/>
        <w:rPr>
          <w:rFonts w:hint="eastAsia" w:asciiTheme="minorEastAsia" w:hAnsiTheme="minorEastAsia" w:eastAsiaTheme="minorEastAsia" w:cstheme="minorEastAsia"/>
          <w:b/>
          <w:bCs/>
          <w:szCs w:val="21"/>
        </w:rPr>
        <w:sectPr>
          <w:pgSz w:w="16838" w:h="11906" w:orient="landscape"/>
          <w:pgMar w:top="1418" w:right="1276" w:bottom="1418" w:left="1247" w:header="851" w:footer="992" w:gutter="0"/>
          <w:cols w:space="720" w:num="1"/>
          <w:titlePg/>
          <w:docGrid w:linePitch="312" w:charSpace="0"/>
        </w:sectPr>
      </w:pPr>
    </w:p>
    <w:p>
      <w:pPr>
        <w:adjustRightInd w:val="0"/>
        <w:snapToGrid w:val="0"/>
        <w:spacing w:line="360" w:lineRule="auto"/>
        <w:jc w:val="both"/>
        <w:rPr>
          <w:rFonts w:hint="eastAsia" w:asciiTheme="minorEastAsia" w:hAnsiTheme="minorEastAsia" w:eastAsiaTheme="minorEastAsia" w:cstheme="minorEastAsia"/>
          <w:b/>
          <w:bCs/>
          <w:szCs w:val="21"/>
        </w:rPr>
      </w:pPr>
    </w:p>
    <w:p>
      <w:pPr>
        <w:adjustRightInd w:val="0"/>
        <w:snapToGrid w:val="0"/>
        <w:spacing w:line="360" w:lineRule="auto"/>
        <w:jc w:val="both"/>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szCs w:val="21"/>
          <w:lang w:val="en-US" w:eastAsia="zh-CN"/>
        </w:rPr>
        <w:t>二</w:t>
      </w:r>
      <w:r>
        <w:rPr>
          <w:rFonts w:hint="eastAsia" w:asciiTheme="minorEastAsia" w:hAnsiTheme="minorEastAsia" w:eastAsiaTheme="minorEastAsia" w:cstheme="minorEastAsia"/>
          <w:b/>
          <w:bCs/>
          <w:szCs w:val="21"/>
        </w:rPr>
        <w:t>）整体</w:t>
      </w:r>
    </w:p>
    <w:p>
      <w:pPr>
        <w:adjustRightInd w:val="0"/>
        <w:snapToGrid w:val="0"/>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投标人在进行报价时必须结合施工图、采购文件中的相关条款及清单具体要求进行报价，清单子目中未能对各节点详图进行完全性描述的必须结合施工图详细节点进行报价，否则视为已计入，中标后将不调整；若采购文件中的相关条款与清单描述有冲突，投标人在答疑时提出疑问，未提出的以采购人解释为准。</w:t>
      </w:r>
    </w:p>
    <w:p>
      <w:pPr>
        <w:adjustRightInd w:val="0"/>
        <w:snapToGrid w:val="0"/>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2、清单中以“项”为单位的费用由投标人根据施工组织设计方案，同时结合施工图、采购文件中的相关条款及清单具体要求，综合考虑现场的各种风险因素后自行考虑报价。</w:t>
      </w:r>
    </w:p>
    <w:p>
      <w:pPr>
        <w:adjustRightInd w:val="0"/>
        <w:snapToGrid w:val="0"/>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请投标人充分考虑本工程所有设备单体调试和系统调试完成且经甲方验收后所需的相关调试费用（如水电费等）、满足设备运行环境和储存环境产生的费用（如通风、照明等），并含入投标总价内，由投标人需要在相应的子目中综合考虑费用。</w:t>
      </w:r>
    </w:p>
    <w:p>
      <w:pPr>
        <w:adjustRightInd w:val="0"/>
        <w:snapToGrid w:val="0"/>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本项目所用材料承包人必须按国家有关标准、施工图、技术规范书附件要求采购，采购前应先提交其样品（质量等级、规格、颜色等）经监理工程师、设计师、发包人代表、使用方等确认许可后方可采购。对部分材料的颜色，在实施过程中有可能根据实际效果进行调整，投标人需要在相应的子目中综合考虑费用；其他未尽说明处详见采购文件附件及技术规范书。</w:t>
      </w:r>
    </w:p>
    <w:p>
      <w:pPr>
        <w:adjustRightInd w:val="0"/>
        <w:snapToGrid w:val="0"/>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5、本清单具体要求内未注明的单位均为mm（毫米）。</w:t>
      </w:r>
    </w:p>
    <w:p>
      <w:pPr>
        <w:adjustRightInd w:val="0"/>
        <w:snapToGrid w:val="0"/>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6、施工用水电接口已由采购人提供，接口不足部分及其他的水源、水箱、加压设备由投标人根据施工用水缺口费用自行报价计入清单中。</w:t>
      </w:r>
    </w:p>
    <w:p>
      <w:pPr>
        <w:adjustRightInd w:val="0"/>
        <w:snapToGrid w:val="0"/>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7、施工过程中墙体凿洞、开槽、修复等工作在清单中不再一一说明，相应的费用投标人需要在相应的子目中综合考虑。</w:t>
      </w:r>
    </w:p>
    <w:p>
      <w:pPr>
        <w:adjustRightInd w:val="0"/>
        <w:snapToGrid w:val="0"/>
        <w:spacing w:line="360" w:lineRule="auto"/>
        <w:ind w:firstLine="422" w:firstLineChars="200"/>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8、本次招标提供的招标清单（另附）仅供参考，投标人须按照图纸和招标清单以及本项目技术要求进行深化，自行计算工程量，工程量不得少于采购文件规定的内容，并据此进行报价，</w:t>
      </w:r>
      <w:r>
        <w:rPr>
          <w:rFonts w:hint="eastAsia" w:asciiTheme="minorEastAsia" w:hAnsiTheme="minorEastAsia" w:eastAsiaTheme="minorEastAsia" w:cstheme="minorEastAsia"/>
          <w:b/>
          <w:bCs/>
          <w:szCs w:val="21"/>
          <w:bdr w:val="single" w:color="auto" w:sz="4" w:space="0"/>
          <w:shd w:val="pct10" w:color="auto" w:fill="FFFFFF"/>
        </w:rPr>
        <w:t>总价包干</w:t>
      </w:r>
      <w:r>
        <w:rPr>
          <w:rFonts w:hint="eastAsia" w:asciiTheme="minorEastAsia" w:hAnsiTheme="minorEastAsia" w:eastAsiaTheme="minorEastAsia" w:cstheme="minorEastAsia"/>
          <w:b/>
          <w:bCs/>
          <w:szCs w:val="21"/>
        </w:rPr>
        <w:t>，投标报价即为交钥匙工程项目价格。</w:t>
      </w:r>
    </w:p>
    <w:p>
      <w:pPr>
        <w:adjustRightInd w:val="0"/>
        <w:snapToGrid w:val="0"/>
        <w:spacing w:line="360" w:lineRule="auto"/>
        <w:ind w:firstLine="422" w:firstLineChars="200"/>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若采购人不变更，投标人不得以任何理由要求调整价格。若采购人提出变更，可以按实调整。</w:t>
      </w:r>
    </w:p>
    <w:p>
      <w:pPr>
        <w:adjustRightInd w:val="0"/>
        <w:snapToGrid w:val="0"/>
        <w:spacing w:line="360" w:lineRule="auto"/>
        <w:ind w:firstLine="422" w:firstLineChars="200"/>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若投标的材料设备清单少于采购人提供的清单，则按无效标处理。</w:t>
      </w:r>
    </w:p>
    <w:p>
      <w:pPr>
        <w:adjustRightInd w:val="0"/>
        <w:snapToGrid w:val="0"/>
        <w:spacing w:line="360" w:lineRule="auto"/>
        <w:jc w:val="center"/>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（二）装饰</w:t>
      </w:r>
    </w:p>
    <w:p>
      <w:pPr>
        <w:adjustRightInd w:val="0"/>
        <w:snapToGrid w:val="0"/>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1、本工程中所有建筑混凝土及附属工程混凝土项目，如混凝土找平层、混凝土散水、混凝土坡道等，其模板费用均由投标人综合考虑在相应的清单项目中报价，清单中不再一一列项。</w:t>
      </w:r>
    </w:p>
    <w:p>
      <w:pPr>
        <w:adjustRightInd w:val="0"/>
        <w:snapToGrid w:val="0"/>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2、配电箱、消防箱、水表箱嵌墙相应增加内容计入相应的墙体项目内，各墙体项目不再描述。</w:t>
      </w:r>
    </w:p>
    <w:p>
      <w:pPr>
        <w:adjustRightInd w:val="0"/>
        <w:snapToGrid w:val="0"/>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门窗、幕墙玻璃应符合《建筑玻璃应用技术规程》（JGJ113-2009）和《建筑安全玻璃管理规定》发改运行[2003]2116号及地方主管部门规定，凡公共部分的外门，窗及落面凡低于900的窗，900以下部分玻璃和单块大于1.5平方米的出入口玻璃门均应使用符合GB9962及GB9963标准的防撞击的安全玻璃，如设计另有说明的按设计要求。清单子目不再一一描述，请投标人按照规范在相应子目充分考虑规范报价。</w:t>
      </w:r>
    </w:p>
    <w:p>
      <w:pPr>
        <w:adjustRightInd w:val="0"/>
        <w:snapToGrid w:val="0"/>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4、本工程砂浆采用预拌砂浆，按杭建造价投资办[2011]24号文件进行相应砂浆材料的换算调整。</w:t>
      </w:r>
    </w:p>
    <w:p>
      <w:pPr>
        <w:adjustRightInd w:val="0"/>
        <w:snapToGrid w:val="0"/>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措施项目应包括完成该工程所需的全部措施项目费用，如本招标清单中列不完全而投标人觉得有必要列项的措施项目，请投标人单独列项报价，也可在“其他措施费”中综合考虑。未单独列项报价的，视作已在“其他措施费”中综合考虑。</w:t>
      </w:r>
    </w:p>
    <w:p>
      <w:pPr>
        <w:adjustRightInd w:val="0"/>
        <w:snapToGrid w:val="0"/>
        <w:spacing w:line="360" w:lineRule="auto"/>
        <w:jc w:val="center"/>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（三）安装</w:t>
      </w:r>
    </w:p>
    <w:p>
      <w:pPr>
        <w:adjustRightInd w:val="0"/>
        <w:snapToGrid w:val="0"/>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1、招标清单中涉及到有关标准图集的以标准图做法为准，投标时应包含标准图集做法中所有工作内容。</w:t>
      </w:r>
    </w:p>
    <w:p>
      <w:pPr>
        <w:adjustRightInd w:val="0"/>
        <w:snapToGrid w:val="0"/>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2、招标清单中具体要求描述与图纸不符或不全的部分，投标人应根据《建设工程</w:t>
      </w:r>
      <w:r>
        <w:rPr>
          <w:rFonts w:hint="eastAsia" w:asciiTheme="minorEastAsia" w:hAnsiTheme="minorEastAsia" w:eastAsiaTheme="minorEastAsia" w:cstheme="minorEastAsia"/>
          <w:bCs/>
          <w:szCs w:val="21"/>
          <w:lang w:eastAsia="zh-CN"/>
        </w:rPr>
        <w:t>招标清单</w:t>
      </w:r>
      <w:r>
        <w:rPr>
          <w:rFonts w:hint="eastAsia" w:asciiTheme="minorEastAsia" w:hAnsiTheme="minorEastAsia" w:eastAsiaTheme="minorEastAsia" w:cstheme="minorEastAsia"/>
          <w:bCs/>
          <w:szCs w:val="21"/>
        </w:rPr>
        <w:t>计价规范》中清单项目所包含的工作内容，按图纸要求综合考虑在内。</w:t>
      </w:r>
    </w:p>
    <w:p>
      <w:pPr>
        <w:snapToGrid w:val="0"/>
        <w:spacing w:line="360" w:lineRule="auto"/>
        <w:jc w:val="left"/>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八、其他要求</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1.投标人应根据采购人提供的项目进度款的支付方式，并结合项目进度计划，做好资金筹措工作。对可能发生的资金成本进行详细测算，包含在投标总价中。</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2.所有材料设备必须符合采购人要求，由投标人根据采购文件及施工图的要求明确规格型号和报价。</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3.施工人员（含管理人员）在医院禁烟区域抽烟的一经查实，每人每次罚款500元人民币；不按国家规定垃圾分类进行处理的，一经查实，每次罚款10000元人民币；施工期间施工单位不按安全生产规定进行操作的，引起的自身人身伤害及财物损失及第三者人身伤害和财务损失，由施工单位负全部法律责任进行赔付，建设单位不负任何法律责任。</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4.在实际施工过程中，如出现政府限电、断电、缺电情况，投标人须采取措施自行解决施工用电问题，如自备发电机组等，费用自理。</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5.投标人应自行解决办公、生活等设施，医院内不提供任何生产、生活设施，且工人不得在医院内食宿，并在技术标中提供相关技术方案，相关费用于投标总价内综合考虑。</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6.本工程时间较紧，投标人必须承诺投入的材料、人员、机械满足工程进度需要，相关赶工措施费用包含在投标报价中。若采购人认为现场投入的材料、人员、机械不满足工程进度需要，中标人必须按照采购人的要求补足材料、人员、机械，不得影响本工程工期。中标人增加的赶工措施费用不予增加。</w:t>
      </w:r>
    </w:p>
    <w:p>
      <w:pPr>
        <w:autoSpaceDE w:val="0"/>
        <w:autoSpaceDN w:val="0"/>
        <w:adjustRightInd w:val="0"/>
        <w:spacing w:line="360" w:lineRule="auto"/>
        <w:ind w:firstLine="420" w:firstLineChars="200"/>
        <w:jc w:val="left"/>
        <w:rPr>
          <w:rFonts w:hint="default" w:eastAsiaTheme="minorEastAsia"/>
          <w:lang w:val="en-US" w:eastAsia="zh-CN"/>
        </w:rPr>
      </w:pPr>
      <w:r>
        <w:rPr>
          <w:rFonts w:hint="eastAsia" w:asciiTheme="minorEastAsia" w:hAnsiTheme="minorEastAsia" w:eastAsiaTheme="minorEastAsia" w:cstheme="minorEastAsia"/>
          <w:lang w:val="en-US" w:eastAsia="zh-CN"/>
        </w:rPr>
        <w:t>7.院区手术室一期现有主要设备品牌如下：手术室内电动气密门（洁净走廊侧）采用欧宝MANUSA；保温柜、保冷柜采用松下；开关、插座采用西蒙C50；手术室隔离电源UPS一体机采用诶阔电气；防静电橡胶卷材采用盟多（MONDO）Punti系列；视频监控系统采用大华；医气墙装式快速插座、插头采用德尔格；空气处理机组采用雅士。以上情况供投标人了解。</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.投标人如发现</w:t>
      </w:r>
      <w:r>
        <w:rPr>
          <w:rFonts w:hint="eastAsia" w:asciiTheme="minorEastAsia" w:hAnsiTheme="minorEastAsia" w:eastAsiaTheme="minorEastAsia" w:cstheme="minorEastAsia"/>
          <w:lang w:eastAsia="zh-CN"/>
        </w:rPr>
        <w:t>招标清单</w:t>
      </w:r>
      <w:r>
        <w:rPr>
          <w:rFonts w:hint="eastAsia" w:asciiTheme="minorEastAsia" w:hAnsiTheme="minorEastAsia" w:eastAsiaTheme="minorEastAsia" w:cstheme="minorEastAsia"/>
        </w:rPr>
        <w:t>和图纸存在出入的，请</w:t>
      </w:r>
      <w:r>
        <w:rPr>
          <w:rFonts w:hint="eastAsia" w:asciiTheme="minorEastAsia" w:hAnsiTheme="minorEastAsia" w:eastAsiaTheme="minorEastAsia" w:cstheme="minorEastAsia"/>
          <w:lang w:val="en-US" w:eastAsia="zh-CN"/>
        </w:rPr>
        <w:t>及时</w:t>
      </w:r>
      <w:r>
        <w:rPr>
          <w:rFonts w:hint="eastAsia" w:asciiTheme="minorEastAsia" w:hAnsiTheme="minorEastAsia" w:eastAsiaTheme="minorEastAsia" w:cstheme="minorEastAsia"/>
        </w:rPr>
        <w:t>向采购人或招标代理机构提出。合同签订后即视为中标人已经充分考虑到了本工程的工程量，采购人将不再对</w:t>
      </w:r>
      <w:r>
        <w:rPr>
          <w:rFonts w:hint="eastAsia" w:asciiTheme="minorEastAsia" w:hAnsiTheme="minorEastAsia" w:eastAsiaTheme="minorEastAsia" w:cstheme="minorEastAsia"/>
          <w:lang w:eastAsia="zh-CN"/>
        </w:rPr>
        <w:t>招标清单</w:t>
      </w:r>
      <w:r>
        <w:rPr>
          <w:rFonts w:hint="eastAsia" w:asciiTheme="minorEastAsia" w:hAnsiTheme="minorEastAsia" w:eastAsiaTheme="minorEastAsia" w:cstheme="minorEastAsia"/>
        </w:rPr>
        <w:t xml:space="preserve">以外部分的工作追加资金，投标人应按照合同规定保质保量的完成本项目。 </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.本项目不存在土方外运工作，拆除费与建筑垃圾清运费包干，措施费包干。</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本项目需投标人自行踏勘现场。在本项目期间，作业人员不得无故进入院区其他区域，施工材料、设备、作业人员和拆除垃圾均需及时运出医院。施工现场不提供材料、设备和建筑垃圾堆放场地，必须做到日到日清。</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.投标人承诺服从采购人现场管理人员的管理，避免与患者及其家属产生冲突。</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.投标人需根据本项目的特殊性提供详细和切实可行的施工组织设计。施工现场不提供材料、设备和建筑垃圾堆放场地。</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.工期说明：本项目每日施工时间上午</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:00时-12时，下午13:30时-21:00时，其它时间不允许施工，请投标单位务必充分综合考虑劳动时间。</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.因医院施工场地狭小，现场无法提供临时设施场地，所有临时设施以及工人食宿均由投标单位自行解决，本工程的各投标人应将这一因素考虑到投标报价中，今后不做调整。</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.所有材料入场前应按相应规范进行相应材料报备并提供样品，经设计、监理及甲方确认后方可进场。</w:t>
      </w:r>
    </w:p>
    <w:p>
      <w:pPr>
        <w:pStyle w:val="33"/>
        <w:adjustRightInd w:val="0"/>
        <w:snapToGrid w:val="0"/>
        <w:spacing w:line="360" w:lineRule="auto"/>
        <w:ind w:firstLine="420" w:firstLineChars="200"/>
        <w:rPr>
          <w:rFonts w:hint="eastAsia"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napToGrid w:val="0"/>
          <w:kern w:val="0"/>
          <w:szCs w:val="21"/>
        </w:rPr>
        <w:t>空调系统的压缩机在质保期内因货物本身的质量问题发生故障，则乙方必须无条件免费更换新的，甲方不接受维修。</w:t>
      </w:r>
    </w:p>
    <w:p>
      <w:pPr>
        <w:pStyle w:val="33"/>
        <w:adjustRightInd w:val="0"/>
        <w:snapToGrid w:val="0"/>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kern w:val="0"/>
          <w:szCs w:val="21"/>
        </w:rPr>
        <w:t>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rPr>
        <w:t>.投标人报价中需包含委托第三方出具的检测报告</w:t>
      </w:r>
      <w:r>
        <w:rPr>
          <w:rFonts w:hint="eastAsia" w:asciiTheme="minorEastAsia" w:hAnsiTheme="minorEastAsia" w:eastAsiaTheme="minorEastAsia" w:cstheme="minorEastAsia"/>
          <w:bCs/>
          <w:spacing w:val="-6"/>
          <w:szCs w:val="21"/>
        </w:rPr>
        <w:t>（内容含温度、湿度、洁净度及压差）的费用</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.中标人在中标后提供响应文件纸质版肆份。</w:t>
      </w:r>
    </w:p>
    <w:p>
      <w:pPr>
        <w:spacing w:line="360" w:lineRule="auto"/>
        <w:ind w:firstLine="181" w:firstLineChars="50"/>
        <w:rPr>
          <w:rFonts w:ascii="宋体" w:hAnsi="宋体" w:cs="宋体"/>
          <w:b/>
          <w:sz w:val="36"/>
          <w:szCs w:val="36"/>
        </w:rPr>
      </w:pPr>
    </w:p>
    <w:p>
      <w:pPr>
        <w:pStyle w:val="2"/>
        <w:rPr>
          <w:rFonts w:ascii="宋体" w:hAnsi="宋体" w:cs="宋体"/>
          <w:b/>
          <w:sz w:val="36"/>
          <w:szCs w:val="36"/>
        </w:rPr>
      </w:pPr>
    </w:p>
    <w:p>
      <w:pPr>
        <w:rPr>
          <w:rFonts w:ascii="宋体" w:hAnsi="宋体" w:cs="宋体"/>
          <w:b/>
          <w:sz w:val="36"/>
          <w:szCs w:val="36"/>
        </w:rPr>
      </w:pPr>
    </w:p>
    <w:p>
      <w:pPr>
        <w:pStyle w:val="2"/>
        <w:rPr>
          <w:rFonts w:ascii="宋体" w:hAnsi="宋体" w:cs="宋体"/>
          <w:b/>
          <w:sz w:val="36"/>
          <w:szCs w:val="36"/>
        </w:rPr>
      </w:pPr>
    </w:p>
    <w:p>
      <w:pPr>
        <w:rPr>
          <w:rFonts w:ascii="宋体" w:hAnsi="宋体" w:cs="宋体"/>
          <w:b/>
          <w:sz w:val="36"/>
          <w:szCs w:val="36"/>
        </w:rPr>
      </w:pPr>
    </w:p>
    <w:p>
      <w:pPr>
        <w:pStyle w:val="2"/>
        <w:rPr>
          <w:rFonts w:ascii="宋体" w:hAnsi="宋体" w:cs="宋体"/>
          <w:b/>
          <w:sz w:val="36"/>
          <w:szCs w:val="36"/>
        </w:rPr>
      </w:pPr>
    </w:p>
    <w:p>
      <w:pPr>
        <w:rPr>
          <w:rFonts w:ascii="宋体" w:hAnsi="宋体" w:cs="宋体"/>
          <w:b/>
          <w:sz w:val="36"/>
          <w:szCs w:val="36"/>
        </w:rPr>
      </w:pPr>
    </w:p>
    <w:p>
      <w:pPr>
        <w:pStyle w:val="2"/>
        <w:rPr>
          <w:rFonts w:ascii="宋体" w:hAnsi="宋体" w:cs="宋体"/>
          <w:b/>
          <w:sz w:val="36"/>
          <w:szCs w:val="36"/>
        </w:rPr>
      </w:pPr>
    </w:p>
    <w:p>
      <w:pPr>
        <w:rPr>
          <w:rFonts w:ascii="宋体" w:hAnsi="宋体" w:cs="宋体"/>
          <w:b/>
          <w:sz w:val="36"/>
          <w:szCs w:val="36"/>
        </w:rPr>
      </w:pPr>
    </w:p>
    <w:p>
      <w:pPr>
        <w:pStyle w:val="2"/>
        <w:rPr>
          <w:rFonts w:ascii="宋体" w:hAnsi="宋体" w:cs="宋体"/>
          <w:b/>
          <w:sz w:val="36"/>
          <w:szCs w:val="36"/>
        </w:rPr>
      </w:pPr>
    </w:p>
    <w:p>
      <w:pPr>
        <w:rPr>
          <w:rFonts w:ascii="宋体" w:hAnsi="宋体" w:cs="宋体"/>
          <w:b/>
          <w:sz w:val="36"/>
          <w:szCs w:val="36"/>
        </w:rPr>
      </w:pPr>
    </w:p>
    <w:p>
      <w:pPr>
        <w:pStyle w:val="2"/>
        <w:rPr>
          <w:rFonts w:ascii="宋体" w:hAnsi="宋体" w:cs="宋体"/>
          <w:b/>
          <w:sz w:val="36"/>
          <w:szCs w:val="36"/>
        </w:rPr>
      </w:pPr>
    </w:p>
    <w:p/>
    <w:p/>
    <w:p>
      <w:pPr>
        <w:spacing w:line="360" w:lineRule="auto"/>
        <w:jc w:val="center"/>
        <w:outlineLvl w:val="0"/>
        <w:rPr>
          <w:rFonts w:ascii="宋体" w:hAnsi="宋体" w:cs="宋体"/>
          <w:b/>
          <w:sz w:val="36"/>
          <w:szCs w:val="36"/>
        </w:rPr>
      </w:pPr>
      <w:r>
        <w:rPr>
          <w:rFonts w:hint="eastAsia" w:ascii="宋体" w:hAnsi="宋体" w:cs="宋体"/>
          <w:b/>
          <w:sz w:val="36"/>
          <w:szCs w:val="36"/>
        </w:rPr>
        <w:t xml:space="preserve">第四部分   </w:t>
      </w:r>
      <w:bookmarkStart w:id="40" w:name="_Toc184312115"/>
      <w:bookmarkEnd w:id="40"/>
      <w:bookmarkStart w:id="41" w:name="_Toc184314451"/>
      <w:bookmarkEnd w:id="41"/>
      <w:bookmarkStart w:id="42" w:name="_Toc184312072"/>
      <w:bookmarkEnd w:id="42"/>
      <w:bookmarkStart w:id="43" w:name="_Toc184310296"/>
      <w:bookmarkEnd w:id="43"/>
      <w:bookmarkStart w:id="44" w:name="_Toc184310319"/>
      <w:bookmarkEnd w:id="44"/>
      <w:bookmarkStart w:id="45" w:name="_Toc184308056"/>
      <w:bookmarkEnd w:id="45"/>
      <w:bookmarkStart w:id="46" w:name="_Toc184310303"/>
      <w:bookmarkEnd w:id="46"/>
      <w:bookmarkStart w:id="47" w:name="_Toc184313274"/>
      <w:bookmarkEnd w:id="47"/>
      <w:bookmarkStart w:id="48" w:name="_Toc184314465"/>
      <w:bookmarkEnd w:id="48"/>
      <w:bookmarkStart w:id="49" w:name="_Toc184308071"/>
      <w:bookmarkEnd w:id="49"/>
      <w:bookmarkStart w:id="50" w:name="_Toc184314433"/>
      <w:bookmarkEnd w:id="50"/>
      <w:bookmarkStart w:id="51" w:name="_Toc184313251"/>
      <w:bookmarkEnd w:id="51"/>
      <w:bookmarkStart w:id="52" w:name="_Toc184312073"/>
      <w:bookmarkEnd w:id="52"/>
      <w:bookmarkStart w:id="53" w:name="_Toc184313243"/>
      <w:bookmarkEnd w:id="53"/>
      <w:bookmarkStart w:id="54" w:name="_Toc184313299"/>
      <w:bookmarkEnd w:id="54"/>
      <w:bookmarkStart w:id="55" w:name="_Toc184310329"/>
      <w:bookmarkEnd w:id="55"/>
      <w:bookmarkStart w:id="56" w:name="_Toc184308073"/>
      <w:bookmarkEnd w:id="56"/>
      <w:bookmarkStart w:id="57" w:name="_Toc184310281"/>
      <w:bookmarkEnd w:id="57"/>
      <w:bookmarkStart w:id="58" w:name="_Toc184308072"/>
      <w:bookmarkEnd w:id="58"/>
      <w:bookmarkStart w:id="59" w:name="_Toc184312090"/>
      <w:bookmarkEnd w:id="59"/>
      <w:bookmarkStart w:id="60" w:name="_Toc184312096"/>
      <w:bookmarkEnd w:id="60"/>
      <w:bookmarkStart w:id="61" w:name="_Toc184314423"/>
      <w:bookmarkEnd w:id="61"/>
      <w:bookmarkStart w:id="62" w:name="_Toc184310333"/>
      <w:bookmarkEnd w:id="62"/>
      <w:bookmarkStart w:id="63" w:name="_Toc184308075"/>
      <w:bookmarkEnd w:id="63"/>
      <w:bookmarkStart w:id="64" w:name="_Toc184312087"/>
      <w:bookmarkEnd w:id="64"/>
      <w:bookmarkStart w:id="65" w:name="_Toc184314418"/>
      <w:bookmarkEnd w:id="65"/>
      <w:bookmarkStart w:id="66" w:name="_Toc184313260"/>
      <w:bookmarkEnd w:id="66"/>
      <w:bookmarkStart w:id="67" w:name="_Toc184313288"/>
      <w:bookmarkEnd w:id="67"/>
      <w:bookmarkStart w:id="68" w:name="_Toc184314464"/>
      <w:bookmarkEnd w:id="68"/>
      <w:bookmarkStart w:id="69" w:name="_Toc184312118"/>
      <w:bookmarkEnd w:id="69"/>
      <w:bookmarkStart w:id="70" w:name="_Toc184310306"/>
      <w:bookmarkEnd w:id="70"/>
      <w:bookmarkStart w:id="71" w:name="_Toc184310300"/>
      <w:bookmarkEnd w:id="71"/>
      <w:bookmarkStart w:id="72" w:name="_Toc184308065"/>
      <w:bookmarkEnd w:id="72"/>
      <w:bookmarkStart w:id="73" w:name="_Toc184310288"/>
      <w:bookmarkEnd w:id="73"/>
      <w:bookmarkStart w:id="74" w:name="_Toc184312095"/>
      <w:bookmarkEnd w:id="74"/>
      <w:bookmarkStart w:id="75" w:name="_Toc184312111"/>
      <w:bookmarkEnd w:id="75"/>
      <w:bookmarkStart w:id="76" w:name="_Toc184310293"/>
      <w:bookmarkEnd w:id="76"/>
      <w:bookmarkStart w:id="77" w:name="_Toc184308099"/>
      <w:bookmarkEnd w:id="77"/>
      <w:bookmarkStart w:id="78" w:name="_Toc184314467"/>
      <w:bookmarkEnd w:id="78"/>
      <w:bookmarkStart w:id="79" w:name="_Toc184310302"/>
      <w:bookmarkEnd w:id="79"/>
      <w:bookmarkStart w:id="80" w:name="_Toc184310287"/>
      <w:bookmarkEnd w:id="80"/>
      <w:bookmarkStart w:id="81" w:name="_Toc184314478"/>
      <w:bookmarkEnd w:id="81"/>
      <w:bookmarkStart w:id="82" w:name="_Toc184308048"/>
      <w:bookmarkEnd w:id="82"/>
      <w:bookmarkStart w:id="83" w:name="_Toc184310325"/>
      <w:bookmarkEnd w:id="83"/>
      <w:bookmarkStart w:id="84" w:name="_Toc184310327"/>
      <w:bookmarkEnd w:id="84"/>
      <w:bookmarkStart w:id="85" w:name="_Toc184310310"/>
      <w:bookmarkEnd w:id="85"/>
      <w:bookmarkStart w:id="86" w:name="_Toc184308037"/>
      <w:bookmarkEnd w:id="86"/>
      <w:bookmarkStart w:id="87" w:name="_Toc184313253"/>
      <w:bookmarkEnd w:id="87"/>
      <w:bookmarkStart w:id="88" w:name="_Toc184312069"/>
      <w:bookmarkEnd w:id="88"/>
      <w:bookmarkStart w:id="89" w:name="_Toc184310309"/>
      <w:bookmarkEnd w:id="89"/>
      <w:bookmarkStart w:id="90" w:name="_Toc184308060"/>
      <w:bookmarkEnd w:id="90"/>
      <w:bookmarkStart w:id="91" w:name="_Toc184313244"/>
      <w:bookmarkEnd w:id="91"/>
      <w:bookmarkStart w:id="92" w:name="_Toc184313278"/>
      <w:bookmarkEnd w:id="92"/>
      <w:bookmarkStart w:id="93" w:name="_Toc184312076"/>
      <w:bookmarkEnd w:id="93"/>
      <w:bookmarkStart w:id="94" w:name="_Toc184314441"/>
      <w:bookmarkEnd w:id="94"/>
      <w:bookmarkStart w:id="95" w:name="_Toc184313286"/>
      <w:bookmarkEnd w:id="95"/>
      <w:bookmarkStart w:id="96" w:name="_Toc184313256"/>
      <w:bookmarkEnd w:id="96"/>
      <w:bookmarkStart w:id="97" w:name="_Toc184314414"/>
      <w:bookmarkEnd w:id="97"/>
      <w:bookmarkStart w:id="98" w:name="_Toc184312131"/>
      <w:bookmarkEnd w:id="98"/>
      <w:bookmarkStart w:id="99" w:name="_Toc184310283"/>
      <w:bookmarkEnd w:id="99"/>
      <w:bookmarkStart w:id="100" w:name="_Toc184312099"/>
      <w:bookmarkEnd w:id="100"/>
      <w:bookmarkStart w:id="101" w:name="_Toc184313269"/>
      <w:bookmarkEnd w:id="101"/>
      <w:bookmarkStart w:id="102" w:name="_Toc184312110"/>
      <w:bookmarkEnd w:id="102"/>
      <w:bookmarkStart w:id="103" w:name="_Toc184308047"/>
      <w:bookmarkEnd w:id="103"/>
      <w:bookmarkStart w:id="104" w:name="_Toc184314437"/>
      <w:bookmarkEnd w:id="104"/>
      <w:bookmarkStart w:id="105" w:name="_Toc184310321"/>
      <w:bookmarkEnd w:id="105"/>
      <w:bookmarkStart w:id="106" w:name="_Toc184314469"/>
      <w:bookmarkEnd w:id="106"/>
      <w:bookmarkStart w:id="107" w:name="_Toc184310338"/>
      <w:bookmarkEnd w:id="107"/>
      <w:bookmarkStart w:id="108" w:name="_Toc184314444"/>
      <w:bookmarkEnd w:id="108"/>
      <w:bookmarkStart w:id="109" w:name="_Toc184310320"/>
      <w:bookmarkEnd w:id="109"/>
      <w:bookmarkStart w:id="110" w:name="_Toc184310313"/>
      <w:bookmarkEnd w:id="110"/>
      <w:bookmarkStart w:id="111" w:name="_Toc184308070"/>
      <w:bookmarkEnd w:id="111"/>
      <w:bookmarkStart w:id="112" w:name="_Toc184313271"/>
      <w:bookmarkEnd w:id="112"/>
      <w:bookmarkStart w:id="113" w:name="_Toc184310276"/>
      <w:bookmarkEnd w:id="113"/>
      <w:bookmarkStart w:id="114" w:name="_Toc184313276"/>
      <w:bookmarkEnd w:id="114"/>
      <w:bookmarkStart w:id="115" w:name="_Toc184308082"/>
      <w:bookmarkEnd w:id="115"/>
      <w:bookmarkStart w:id="116" w:name="_Toc184310316"/>
      <w:bookmarkEnd w:id="116"/>
      <w:bookmarkStart w:id="117" w:name="_Toc184313289"/>
      <w:bookmarkEnd w:id="117"/>
      <w:bookmarkStart w:id="118" w:name="_Toc184313297"/>
      <w:bookmarkEnd w:id="118"/>
      <w:bookmarkStart w:id="119" w:name="_Toc184310279"/>
      <w:bookmarkEnd w:id="119"/>
      <w:bookmarkStart w:id="120" w:name="_Toc184313240"/>
      <w:bookmarkEnd w:id="120"/>
      <w:bookmarkStart w:id="121" w:name="_Toc184310334"/>
      <w:bookmarkEnd w:id="121"/>
      <w:bookmarkStart w:id="122" w:name="_Toc184312122"/>
      <w:bookmarkEnd w:id="122"/>
      <w:bookmarkStart w:id="123" w:name="_Toc184314452"/>
      <w:bookmarkEnd w:id="123"/>
      <w:bookmarkStart w:id="124" w:name="_Toc184313290"/>
      <w:bookmarkEnd w:id="124"/>
      <w:bookmarkStart w:id="125" w:name="_Toc184312128"/>
      <w:bookmarkEnd w:id="125"/>
      <w:bookmarkStart w:id="126" w:name="_Toc184310341"/>
      <w:bookmarkEnd w:id="126"/>
      <w:bookmarkStart w:id="127" w:name="_Toc184308080"/>
      <w:bookmarkEnd w:id="127"/>
      <w:bookmarkStart w:id="128" w:name="_Toc184313275"/>
      <w:bookmarkEnd w:id="128"/>
      <w:bookmarkStart w:id="129" w:name="_Toc184310336"/>
      <w:bookmarkEnd w:id="129"/>
      <w:bookmarkStart w:id="130" w:name="_Toc184314427"/>
      <w:bookmarkEnd w:id="130"/>
      <w:bookmarkStart w:id="131" w:name="_Toc184313285"/>
      <w:bookmarkEnd w:id="131"/>
      <w:bookmarkStart w:id="132" w:name="_Toc184313279"/>
      <w:bookmarkEnd w:id="132"/>
      <w:bookmarkStart w:id="133" w:name="_Toc184314429"/>
      <w:bookmarkEnd w:id="133"/>
      <w:bookmarkStart w:id="134" w:name="_Toc184310286"/>
      <w:bookmarkEnd w:id="134"/>
      <w:bookmarkStart w:id="135" w:name="_Toc184308049"/>
      <w:bookmarkEnd w:id="135"/>
      <w:bookmarkStart w:id="136" w:name="_Toc184314413"/>
      <w:bookmarkEnd w:id="136"/>
      <w:bookmarkStart w:id="137" w:name="_Toc184310280"/>
      <w:bookmarkEnd w:id="137"/>
      <w:bookmarkStart w:id="138" w:name="_Toc184312121"/>
      <w:bookmarkEnd w:id="138"/>
      <w:bookmarkStart w:id="139" w:name="_Toc184308036"/>
      <w:bookmarkEnd w:id="139"/>
      <w:bookmarkStart w:id="140" w:name="_Toc184308107"/>
      <w:bookmarkEnd w:id="140"/>
      <w:bookmarkStart w:id="141" w:name="_Toc184308081"/>
      <w:bookmarkEnd w:id="141"/>
      <w:bookmarkStart w:id="142" w:name="_Toc184314476"/>
      <w:bookmarkEnd w:id="142"/>
      <w:bookmarkStart w:id="143" w:name="_Toc184313298"/>
      <w:bookmarkEnd w:id="143"/>
      <w:bookmarkStart w:id="144" w:name="_Toc184312136"/>
      <w:bookmarkEnd w:id="144"/>
      <w:bookmarkStart w:id="145" w:name="_Toc184314479"/>
      <w:bookmarkEnd w:id="145"/>
      <w:bookmarkStart w:id="146" w:name="_Toc184308084"/>
      <w:bookmarkEnd w:id="146"/>
      <w:bookmarkStart w:id="147" w:name="_Toc184312119"/>
      <w:bookmarkEnd w:id="147"/>
      <w:bookmarkStart w:id="148" w:name="_Toc184314425"/>
      <w:bookmarkEnd w:id="148"/>
      <w:bookmarkStart w:id="149" w:name="_Toc184312078"/>
      <w:bookmarkEnd w:id="149"/>
      <w:bookmarkStart w:id="150" w:name="_Toc184312137"/>
      <w:bookmarkEnd w:id="150"/>
      <w:bookmarkStart w:id="151" w:name="_Toc184308091"/>
      <w:bookmarkEnd w:id="151"/>
      <w:bookmarkStart w:id="152" w:name="_Toc184308077"/>
      <w:bookmarkEnd w:id="152"/>
      <w:bookmarkStart w:id="153" w:name="_Toc184310298"/>
      <w:bookmarkEnd w:id="153"/>
      <w:bookmarkStart w:id="154" w:name="_Toc184314436"/>
      <w:bookmarkEnd w:id="154"/>
      <w:bookmarkStart w:id="155" w:name="_Toc184312134"/>
      <w:bookmarkEnd w:id="155"/>
      <w:bookmarkStart w:id="156" w:name="_Toc184308057"/>
      <w:bookmarkEnd w:id="156"/>
      <w:bookmarkStart w:id="157" w:name="_Toc184312135"/>
      <w:bookmarkEnd w:id="157"/>
      <w:bookmarkStart w:id="158" w:name="_Toc184310322"/>
      <w:bookmarkEnd w:id="158"/>
      <w:bookmarkStart w:id="159" w:name="_Toc184314475"/>
      <w:bookmarkEnd w:id="159"/>
      <w:bookmarkStart w:id="160" w:name="_Toc184314468"/>
      <w:bookmarkEnd w:id="160"/>
      <w:bookmarkStart w:id="161" w:name="_Toc184314459"/>
      <w:bookmarkEnd w:id="161"/>
      <w:bookmarkStart w:id="162" w:name="_Toc184310337"/>
      <w:bookmarkEnd w:id="162"/>
      <w:bookmarkStart w:id="163" w:name="_Toc184314419"/>
      <w:bookmarkEnd w:id="163"/>
      <w:bookmarkStart w:id="164" w:name="_Toc184312124"/>
      <w:bookmarkEnd w:id="164"/>
      <w:bookmarkStart w:id="165" w:name="_Toc184308054"/>
      <w:bookmarkEnd w:id="165"/>
      <w:bookmarkStart w:id="166" w:name="_Toc184312125"/>
      <w:bookmarkEnd w:id="166"/>
      <w:bookmarkStart w:id="167" w:name="_Toc184313241"/>
      <w:bookmarkEnd w:id="167"/>
      <w:bookmarkStart w:id="168" w:name="_Toc184313239"/>
      <w:bookmarkEnd w:id="168"/>
      <w:bookmarkStart w:id="169" w:name="_Toc184314466"/>
      <w:bookmarkEnd w:id="169"/>
      <w:bookmarkStart w:id="170" w:name="_Toc184308104"/>
      <w:bookmarkEnd w:id="170"/>
      <w:bookmarkStart w:id="171" w:name="_Toc184310273"/>
      <w:bookmarkEnd w:id="171"/>
      <w:bookmarkStart w:id="172" w:name="_Toc184314439"/>
      <w:bookmarkEnd w:id="172"/>
      <w:bookmarkStart w:id="173" w:name="_Toc184308103"/>
      <w:bookmarkEnd w:id="173"/>
      <w:bookmarkStart w:id="174" w:name="_Toc184314470"/>
      <w:bookmarkEnd w:id="174"/>
      <w:bookmarkStart w:id="175" w:name="_Toc184312083"/>
      <w:bookmarkEnd w:id="175"/>
      <w:bookmarkStart w:id="176" w:name="_Toc184310308"/>
      <w:bookmarkEnd w:id="176"/>
      <w:bookmarkStart w:id="177" w:name="_Toc184312130"/>
      <w:bookmarkEnd w:id="177"/>
      <w:bookmarkStart w:id="178" w:name="_Toc184314481"/>
      <w:bookmarkEnd w:id="178"/>
      <w:bookmarkStart w:id="179" w:name="_Toc184308058"/>
      <w:bookmarkEnd w:id="179"/>
      <w:bookmarkStart w:id="180" w:name="_Toc184312112"/>
      <w:bookmarkEnd w:id="180"/>
      <w:bookmarkStart w:id="181" w:name="_Toc184310294"/>
      <w:bookmarkEnd w:id="181"/>
      <w:bookmarkStart w:id="182" w:name="_Toc184312094"/>
      <w:bookmarkEnd w:id="182"/>
      <w:bookmarkStart w:id="183" w:name="_Toc184312106"/>
      <w:bookmarkEnd w:id="183"/>
      <w:bookmarkStart w:id="184" w:name="_Toc184313293"/>
      <w:bookmarkEnd w:id="184"/>
      <w:bookmarkStart w:id="185" w:name="_Toc184312116"/>
      <w:bookmarkEnd w:id="185"/>
      <w:bookmarkStart w:id="186" w:name="_Toc184313247"/>
      <w:bookmarkEnd w:id="186"/>
      <w:bookmarkStart w:id="187" w:name="_Toc184313308"/>
      <w:bookmarkEnd w:id="187"/>
      <w:bookmarkStart w:id="188" w:name="_Toc184308062"/>
      <w:bookmarkEnd w:id="188"/>
      <w:bookmarkStart w:id="189" w:name="_Toc184314440"/>
      <w:bookmarkEnd w:id="189"/>
      <w:bookmarkStart w:id="190" w:name="_Toc184313277"/>
      <w:bookmarkEnd w:id="190"/>
      <w:bookmarkStart w:id="191" w:name="_Toc184313266"/>
      <w:bookmarkEnd w:id="191"/>
      <w:bookmarkStart w:id="192" w:name="_Toc184314450"/>
      <w:bookmarkEnd w:id="192"/>
      <w:bookmarkStart w:id="193" w:name="_Toc184308074"/>
      <w:bookmarkEnd w:id="193"/>
      <w:bookmarkStart w:id="194" w:name="_Toc184308087"/>
      <w:bookmarkEnd w:id="194"/>
      <w:bookmarkStart w:id="195" w:name="_Toc184312074"/>
      <w:bookmarkEnd w:id="195"/>
      <w:bookmarkStart w:id="196" w:name="_Toc184312138"/>
      <w:bookmarkEnd w:id="196"/>
      <w:bookmarkStart w:id="197" w:name="_Toc184314447"/>
      <w:bookmarkEnd w:id="197"/>
      <w:bookmarkStart w:id="198" w:name="_Toc184313272"/>
      <w:bookmarkEnd w:id="198"/>
      <w:bookmarkStart w:id="199" w:name="_Toc184314457"/>
      <w:bookmarkEnd w:id="199"/>
      <w:bookmarkStart w:id="200" w:name="_Toc184310339"/>
      <w:bookmarkEnd w:id="200"/>
      <w:bookmarkStart w:id="201" w:name="_Toc184313284"/>
      <w:bookmarkEnd w:id="201"/>
      <w:bookmarkStart w:id="202" w:name="_Toc184314431"/>
      <w:bookmarkEnd w:id="202"/>
      <w:bookmarkStart w:id="203" w:name="_Toc184313262"/>
      <w:bookmarkEnd w:id="203"/>
      <w:bookmarkStart w:id="204" w:name="_Toc184313259"/>
      <w:bookmarkEnd w:id="204"/>
      <w:bookmarkStart w:id="205" w:name="_Toc184313254"/>
      <w:bookmarkEnd w:id="205"/>
      <w:bookmarkStart w:id="206" w:name="_Toc184308105"/>
      <w:bookmarkEnd w:id="206"/>
      <w:bookmarkStart w:id="207" w:name="_Toc184314412"/>
      <w:bookmarkEnd w:id="207"/>
      <w:bookmarkStart w:id="208" w:name="_Toc184313261"/>
      <w:bookmarkEnd w:id="208"/>
      <w:bookmarkStart w:id="209" w:name="_Toc184312139"/>
      <w:bookmarkEnd w:id="209"/>
      <w:bookmarkStart w:id="210" w:name="_Toc184310299"/>
      <w:bookmarkEnd w:id="210"/>
      <w:bookmarkStart w:id="211" w:name="_Toc184308094"/>
      <w:bookmarkEnd w:id="211"/>
      <w:bookmarkStart w:id="212" w:name="_Toc184310304"/>
      <w:bookmarkEnd w:id="212"/>
      <w:bookmarkStart w:id="213" w:name="_Toc184308066"/>
      <w:bookmarkEnd w:id="213"/>
      <w:bookmarkStart w:id="214" w:name="_Toc184310314"/>
      <w:bookmarkEnd w:id="214"/>
      <w:bookmarkStart w:id="215" w:name="_Toc184312089"/>
      <w:bookmarkEnd w:id="215"/>
      <w:bookmarkStart w:id="216" w:name="_Toc184312081"/>
      <w:bookmarkEnd w:id="216"/>
      <w:bookmarkStart w:id="217" w:name="_Toc184308078"/>
      <w:bookmarkEnd w:id="217"/>
      <w:bookmarkStart w:id="218" w:name="_Toc184314445"/>
      <w:bookmarkEnd w:id="218"/>
      <w:bookmarkStart w:id="219" w:name="_Toc184312105"/>
      <w:bookmarkEnd w:id="219"/>
      <w:bookmarkStart w:id="220" w:name="_Toc184313255"/>
      <w:bookmarkEnd w:id="220"/>
      <w:bookmarkStart w:id="221" w:name="_Toc184310312"/>
      <w:bookmarkEnd w:id="221"/>
      <w:bookmarkStart w:id="222" w:name="_Toc184314411"/>
      <w:bookmarkEnd w:id="222"/>
      <w:bookmarkStart w:id="223" w:name="_Toc184308092"/>
      <w:bookmarkEnd w:id="223"/>
      <w:bookmarkStart w:id="224" w:name="_Toc184308067"/>
      <w:bookmarkEnd w:id="224"/>
      <w:bookmarkStart w:id="225" w:name="_Toc184308068"/>
      <w:bookmarkEnd w:id="225"/>
      <w:bookmarkStart w:id="226" w:name="_Toc184312114"/>
      <w:bookmarkEnd w:id="226"/>
      <w:bookmarkStart w:id="227" w:name="_Toc184313302"/>
      <w:bookmarkEnd w:id="227"/>
      <w:bookmarkStart w:id="228" w:name="_Toc184313264"/>
      <w:bookmarkEnd w:id="228"/>
      <w:bookmarkStart w:id="229" w:name="_Toc184310275"/>
      <w:bookmarkEnd w:id="229"/>
      <w:bookmarkStart w:id="230" w:name="_Toc184308093"/>
      <w:bookmarkEnd w:id="230"/>
      <w:bookmarkStart w:id="231" w:name="_Toc184312100"/>
      <w:bookmarkEnd w:id="231"/>
      <w:bookmarkStart w:id="232" w:name="_Toc184313242"/>
      <w:bookmarkEnd w:id="232"/>
      <w:bookmarkStart w:id="233" w:name="_Toc184310343"/>
      <w:bookmarkEnd w:id="233"/>
      <w:bookmarkStart w:id="234" w:name="_Toc184308098"/>
      <w:bookmarkEnd w:id="234"/>
      <w:bookmarkStart w:id="235" w:name="_Toc184310332"/>
      <w:bookmarkEnd w:id="235"/>
      <w:bookmarkStart w:id="236" w:name="_Toc184308106"/>
      <w:bookmarkEnd w:id="236"/>
      <w:bookmarkStart w:id="237" w:name="_Toc184312133"/>
      <w:bookmarkEnd w:id="237"/>
      <w:bookmarkStart w:id="238" w:name="_Toc184314472"/>
      <w:bookmarkEnd w:id="238"/>
      <w:bookmarkStart w:id="239" w:name="_Toc184312101"/>
      <w:bookmarkEnd w:id="239"/>
      <w:bookmarkStart w:id="240" w:name="_Toc184312093"/>
      <w:bookmarkEnd w:id="240"/>
      <w:bookmarkStart w:id="241" w:name="_Toc184314449"/>
      <w:bookmarkEnd w:id="241"/>
      <w:bookmarkStart w:id="242" w:name="_Toc184312071"/>
      <w:bookmarkEnd w:id="242"/>
      <w:bookmarkStart w:id="243" w:name="_Toc184314434"/>
      <w:bookmarkEnd w:id="243"/>
      <w:bookmarkStart w:id="244" w:name="_Toc184312092"/>
      <w:bookmarkEnd w:id="244"/>
      <w:bookmarkStart w:id="245" w:name="_Toc184310295"/>
      <w:bookmarkEnd w:id="245"/>
      <w:bookmarkStart w:id="246" w:name="_Toc184310330"/>
      <w:bookmarkEnd w:id="246"/>
      <w:bookmarkStart w:id="247" w:name="_Toc184314482"/>
      <w:bookmarkEnd w:id="247"/>
      <w:bookmarkStart w:id="248" w:name="_Toc184312079"/>
      <w:bookmarkEnd w:id="248"/>
      <w:bookmarkStart w:id="249" w:name="_Toc184313309"/>
      <w:bookmarkEnd w:id="249"/>
      <w:bookmarkStart w:id="250" w:name="_Toc184314426"/>
      <w:bookmarkEnd w:id="250"/>
      <w:bookmarkStart w:id="251" w:name="_Toc184310318"/>
      <w:bookmarkEnd w:id="251"/>
      <w:bookmarkStart w:id="252" w:name="_Toc184314422"/>
      <w:bookmarkEnd w:id="252"/>
      <w:bookmarkStart w:id="253" w:name="_Toc184308089"/>
      <w:bookmarkEnd w:id="253"/>
      <w:bookmarkStart w:id="254" w:name="_Toc184313283"/>
      <w:bookmarkEnd w:id="254"/>
      <w:bookmarkStart w:id="255" w:name="_Toc184314416"/>
      <w:bookmarkEnd w:id="255"/>
      <w:bookmarkStart w:id="256" w:name="_Toc184313250"/>
      <w:bookmarkEnd w:id="256"/>
      <w:bookmarkStart w:id="257" w:name="_Toc184313295"/>
      <w:bookmarkEnd w:id="257"/>
      <w:bookmarkStart w:id="258" w:name="_Toc184308059"/>
      <w:bookmarkEnd w:id="258"/>
      <w:bookmarkStart w:id="259" w:name="_Toc184313301"/>
      <w:bookmarkEnd w:id="259"/>
      <w:bookmarkStart w:id="260" w:name="_Toc184314448"/>
      <w:bookmarkEnd w:id="260"/>
      <w:bookmarkStart w:id="261" w:name="_Toc184314462"/>
      <w:bookmarkEnd w:id="261"/>
      <w:bookmarkStart w:id="262" w:name="_Toc184313258"/>
      <w:bookmarkEnd w:id="262"/>
      <w:bookmarkStart w:id="263" w:name="_Toc184313305"/>
      <w:bookmarkEnd w:id="263"/>
      <w:bookmarkStart w:id="264" w:name="_Toc184312067"/>
      <w:bookmarkEnd w:id="264"/>
      <w:bookmarkStart w:id="265" w:name="_Toc184310344"/>
      <w:bookmarkEnd w:id="265"/>
      <w:bookmarkStart w:id="266" w:name="_Toc184312113"/>
      <w:bookmarkEnd w:id="266"/>
      <w:bookmarkStart w:id="267" w:name="_Toc184314432"/>
      <w:bookmarkEnd w:id="267"/>
      <w:bookmarkStart w:id="268" w:name="_Toc184308069"/>
      <w:bookmarkEnd w:id="268"/>
      <w:bookmarkStart w:id="269" w:name="_Toc184308096"/>
      <w:bookmarkEnd w:id="269"/>
      <w:bookmarkStart w:id="270" w:name="_Toc184310277"/>
      <w:bookmarkEnd w:id="270"/>
      <w:bookmarkStart w:id="271" w:name="_Toc184308052"/>
      <w:bookmarkEnd w:id="271"/>
      <w:bookmarkStart w:id="272" w:name="_Toc184310307"/>
      <w:bookmarkEnd w:id="272"/>
      <w:bookmarkStart w:id="273" w:name="_Toc184308100"/>
      <w:bookmarkEnd w:id="273"/>
      <w:bookmarkStart w:id="274" w:name="_Toc184314410"/>
      <w:bookmarkEnd w:id="274"/>
      <w:bookmarkStart w:id="275" w:name="_Toc184314421"/>
      <w:bookmarkEnd w:id="275"/>
      <w:bookmarkStart w:id="276" w:name="_Toc184314442"/>
      <w:bookmarkEnd w:id="276"/>
      <w:bookmarkStart w:id="277" w:name="_Toc184314471"/>
      <w:bookmarkEnd w:id="277"/>
      <w:bookmarkStart w:id="278" w:name="_Toc184312104"/>
      <w:bookmarkEnd w:id="278"/>
      <w:bookmarkStart w:id="279" w:name="_Toc184313268"/>
      <w:bookmarkEnd w:id="279"/>
      <w:bookmarkStart w:id="280" w:name="_Toc184310324"/>
      <w:bookmarkEnd w:id="280"/>
      <w:bookmarkStart w:id="281" w:name="_Toc184313263"/>
      <w:bookmarkEnd w:id="281"/>
      <w:bookmarkStart w:id="282" w:name="_Toc184310301"/>
      <w:bookmarkEnd w:id="282"/>
      <w:bookmarkStart w:id="283" w:name="_Toc184308042"/>
      <w:bookmarkEnd w:id="283"/>
      <w:bookmarkStart w:id="284" w:name="_Toc184310272"/>
      <w:bookmarkEnd w:id="284"/>
      <w:bookmarkStart w:id="285" w:name="_Toc184314477"/>
      <w:bookmarkEnd w:id="285"/>
      <w:bookmarkStart w:id="286" w:name="_Toc184310315"/>
      <w:bookmarkEnd w:id="286"/>
      <w:bookmarkStart w:id="287" w:name="_Toc184313292"/>
      <w:bookmarkEnd w:id="287"/>
      <w:bookmarkStart w:id="288" w:name="_Toc184310282"/>
      <w:bookmarkEnd w:id="288"/>
      <w:bookmarkStart w:id="289" w:name="_Toc184308041"/>
      <w:bookmarkEnd w:id="289"/>
      <w:bookmarkStart w:id="290" w:name="_Toc184313303"/>
      <w:bookmarkEnd w:id="290"/>
      <w:bookmarkStart w:id="291" w:name="_Toc184313307"/>
      <w:bookmarkEnd w:id="291"/>
      <w:bookmarkStart w:id="292" w:name="_Toc184310328"/>
      <w:bookmarkEnd w:id="292"/>
      <w:bookmarkStart w:id="293" w:name="_Toc184313280"/>
      <w:bookmarkEnd w:id="293"/>
      <w:bookmarkStart w:id="294" w:name="_Toc184313249"/>
      <w:bookmarkEnd w:id="294"/>
      <w:bookmarkStart w:id="295" w:name="_Toc184310290"/>
      <w:bookmarkEnd w:id="295"/>
      <w:bookmarkStart w:id="296" w:name="_Toc184314415"/>
      <w:bookmarkEnd w:id="296"/>
      <w:bookmarkStart w:id="297" w:name="_Toc184312108"/>
      <w:bookmarkEnd w:id="297"/>
      <w:bookmarkStart w:id="298" w:name="_Toc184308063"/>
      <w:bookmarkEnd w:id="298"/>
      <w:bookmarkStart w:id="299" w:name="_Toc184313294"/>
      <w:bookmarkEnd w:id="299"/>
      <w:bookmarkStart w:id="300" w:name="_Toc184314420"/>
      <w:bookmarkEnd w:id="300"/>
      <w:bookmarkStart w:id="301" w:name="_Toc184313265"/>
      <w:bookmarkEnd w:id="301"/>
      <w:bookmarkStart w:id="302" w:name="_Toc184308101"/>
      <w:bookmarkEnd w:id="302"/>
      <w:bookmarkStart w:id="303" w:name="_Toc184308053"/>
      <w:bookmarkEnd w:id="303"/>
      <w:bookmarkStart w:id="304" w:name="_Toc184313282"/>
      <w:bookmarkEnd w:id="304"/>
      <w:bookmarkStart w:id="305" w:name="_Toc184308045"/>
      <w:bookmarkEnd w:id="305"/>
      <w:bookmarkStart w:id="306" w:name="_Toc184310285"/>
      <w:bookmarkEnd w:id="306"/>
      <w:bookmarkStart w:id="307" w:name="_Toc184310289"/>
      <w:bookmarkEnd w:id="307"/>
      <w:bookmarkStart w:id="308" w:name="_Toc184310292"/>
      <w:bookmarkEnd w:id="308"/>
      <w:bookmarkStart w:id="309" w:name="_Toc184313252"/>
      <w:bookmarkEnd w:id="309"/>
      <w:bookmarkStart w:id="310" w:name="_Toc184308076"/>
      <w:bookmarkEnd w:id="310"/>
      <w:bookmarkStart w:id="311" w:name="_Toc184312070"/>
      <w:bookmarkEnd w:id="311"/>
      <w:bookmarkStart w:id="312" w:name="_Toc184310274"/>
      <w:bookmarkEnd w:id="312"/>
      <w:bookmarkStart w:id="313" w:name="_Toc184310340"/>
      <w:bookmarkEnd w:id="313"/>
      <w:bookmarkStart w:id="314" w:name="_Toc184308038"/>
      <w:bookmarkEnd w:id="314"/>
      <w:bookmarkStart w:id="315" w:name="_Toc184314430"/>
      <w:bookmarkEnd w:id="315"/>
      <w:bookmarkStart w:id="316" w:name="_Toc184314473"/>
      <w:bookmarkEnd w:id="316"/>
      <w:bookmarkStart w:id="317" w:name="_Toc184308044"/>
      <w:bookmarkEnd w:id="317"/>
      <w:bookmarkStart w:id="318" w:name="_Toc184312075"/>
      <w:bookmarkEnd w:id="318"/>
      <w:bookmarkStart w:id="319" w:name="_Toc184308079"/>
      <w:bookmarkEnd w:id="319"/>
      <w:bookmarkStart w:id="320" w:name="_Toc184314456"/>
      <w:bookmarkEnd w:id="320"/>
      <w:bookmarkStart w:id="321" w:name="_Toc184310278"/>
      <w:bookmarkEnd w:id="321"/>
      <w:bookmarkStart w:id="322" w:name="_Toc184314480"/>
      <w:bookmarkEnd w:id="322"/>
      <w:bookmarkStart w:id="323" w:name="_Toc184314458"/>
      <w:bookmarkEnd w:id="323"/>
      <w:bookmarkStart w:id="324" w:name="_Toc184314460"/>
      <w:bookmarkEnd w:id="324"/>
      <w:bookmarkStart w:id="325" w:name="_Toc184312091"/>
      <w:bookmarkEnd w:id="325"/>
      <w:bookmarkStart w:id="326" w:name="_Toc184308083"/>
      <w:bookmarkEnd w:id="326"/>
      <w:bookmarkStart w:id="327" w:name="_Toc184314461"/>
      <w:bookmarkEnd w:id="327"/>
      <w:bookmarkStart w:id="328" w:name="_Toc184312107"/>
      <w:bookmarkEnd w:id="328"/>
      <w:bookmarkStart w:id="329" w:name="_Toc184313300"/>
      <w:bookmarkEnd w:id="329"/>
      <w:bookmarkStart w:id="330" w:name="_Toc184308050"/>
      <w:bookmarkEnd w:id="330"/>
      <w:bookmarkStart w:id="331" w:name="_Toc184313291"/>
      <w:bookmarkEnd w:id="331"/>
      <w:bookmarkStart w:id="332" w:name="_Toc184313306"/>
      <w:bookmarkEnd w:id="332"/>
      <w:bookmarkStart w:id="333" w:name="_Toc184314428"/>
      <w:bookmarkEnd w:id="333"/>
      <w:bookmarkStart w:id="334" w:name="_Toc184313267"/>
      <w:bookmarkEnd w:id="334"/>
      <w:bookmarkStart w:id="335" w:name="_Toc184313257"/>
      <w:bookmarkEnd w:id="335"/>
      <w:bookmarkStart w:id="336" w:name="_Toc184308085"/>
      <w:bookmarkEnd w:id="336"/>
      <w:bookmarkStart w:id="337" w:name="_Toc184312088"/>
      <w:bookmarkEnd w:id="337"/>
      <w:bookmarkStart w:id="338" w:name="_Toc184312103"/>
      <w:bookmarkEnd w:id="338"/>
      <w:bookmarkStart w:id="339" w:name="_Toc184310323"/>
      <w:bookmarkEnd w:id="339"/>
      <w:bookmarkStart w:id="340" w:name="_Toc184314474"/>
      <w:bookmarkEnd w:id="340"/>
      <w:bookmarkStart w:id="341" w:name="_Toc184312123"/>
      <w:bookmarkEnd w:id="341"/>
      <w:bookmarkStart w:id="342" w:name="_Toc184312080"/>
      <w:bookmarkEnd w:id="342"/>
      <w:bookmarkStart w:id="343" w:name="_Toc184312077"/>
      <w:bookmarkEnd w:id="343"/>
      <w:bookmarkStart w:id="344" w:name="_Toc184308095"/>
      <w:bookmarkEnd w:id="344"/>
      <w:bookmarkStart w:id="345" w:name="_Toc184310297"/>
      <w:bookmarkEnd w:id="345"/>
      <w:bookmarkStart w:id="346" w:name="_Toc184312117"/>
      <w:bookmarkEnd w:id="346"/>
      <w:bookmarkStart w:id="347" w:name="_Toc184312086"/>
      <w:bookmarkEnd w:id="347"/>
      <w:bookmarkStart w:id="348" w:name="_Toc184308039"/>
      <w:bookmarkEnd w:id="348"/>
      <w:bookmarkStart w:id="349" w:name="_Toc184312126"/>
      <w:bookmarkEnd w:id="349"/>
      <w:bookmarkStart w:id="350" w:name="_Toc184308097"/>
      <w:bookmarkEnd w:id="350"/>
      <w:bookmarkStart w:id="351" w:name="_Toc184313245"/>
      <w:bookmarkEnd w:id="351"/>
      <w:bookmarkStart w:id="352" w:name="_Toc184313296"/>
      <w:bookmarkEnd w:id="352"/>
      <w:bookmarkStart w:id="353" w:name="_Toc184313287"/>
      <w:bookmarkEnd w:id="353"/>
      <w:bookmarkStart w:id="354" w:name="_Toc184308090"/>
      <w:bookmarkEnd w:id="354"/>
      <w:bookmarkStart w:id="355" w:name="_Toc184314417"/>
      <w:bookmarkEnd w:id="355"/>
      <w:bookmarkStart w:id="356" w:name="_Toc184314443"/>
      <w:bookmarkEnd w:id="356"/>
      <w:bookmarkStart w:id="357" w:name="_Toc184313281"/>
      <w:bookmarkEnd w:id="357"/>
      <w:bookmarkStart w:id="358" w:name="_Toc184313304"/>
      <w:bookmarkEnd w:id="358"/>
      <w:bookmarkStart w:id="359" w:name="_Toc184312120"/>
      <w:bookmarkEnd w:id="359"/>
      <w:bookmarkStart w:id="360" w:name="_Toc184308108"/>
      <w:bookmarkEnd w:id="360"/>
      <w:bookmarkStart w:id="361" w:name="_Toc184310284"/>
      <w:bookmarkEnd w:id="361"/>
      <w:bookmarkStart w:id="362" w:name="_Toc184312084"/>
      <w:bookmarkEnd w:id="362"/>
      <w:bookmarkStart w:id="363" w:name="_Toc184310326"/>
      <w:bookmarkEnd w:id="363"/>
      <w:bookmarkStart w:id="364" w:name="_Toc184308088"/>
      <w:bookmarkEnd w:id="364"/>
      <w:bookmarkStart w:id="365" w:name="_Toc184314435"/>
      <w:bookmarkEnd w:id="365"/>
      <w:bookmarkStart w:id="366" w:name="_Toc184308086"/>
      <w:bookmarkEnd w:id="366"/>
      <w:bookmarkStart w:id="367" w:name="_Toc184312102"/>
      <w:bookmarkEnd w:id="367"/>
      <w:bookmarkStart w:id="368" w:name="_Toc184312098"/>
      <w:bookmarkEnd w:id="368"/>
      <w:bookmarkStart w:id="369" w:name="_Toc184310331"/>
      <w:bookmarkEnd w:id="369"/>
      <w:bookmarkStart w:id="370" w:name="_Toc184312085"/>
      <w:bookmarkEnd w:id="370"/>
      <w:bookmarkStart w:id="371" w:name="_Toc184314455"/>
      <w:bookmarkEnd w:id="371"/>
      <w:bookmarkStart w:id="372" w:name="_Toc184312068"/>
      <w:bookmarkEnd w:id="372"/>
      <w:bookmarkStart w:id="373" w:name="_Toc184308043"/>
      <w:bookmarkEnd w:id="373"/>
      <w:bookmarkStart w:id="374" w:name="_Toc184314454"/>
      <w:bookmarkEnd w:id="374"/>
      <w:bookmarkStart w:id="375" w:name="_Toc184312129"/>
      <w:bookmarkEnd w:id="375"/>
      <w:bookmarkStart w:id="376" w:name="_Toc184308102"/>
      <w:bookmarkEnd w:id="376"/>
      <w:bookmarkStart w:id="377" w:name="_Toc184310291"/>
      <w:bookmarkEnd w:id="377"/>
      <w:bookmarkStart w:id="378" w:name="_Toc184313273"/>
      <w:bookmarkEnd w:id="378"/>
      <w:bookmarkStart w:id="379" w:name="_Toc184313238"/>
      <w:bookmarkEnd w:id="379"/>
      <w:bookmarkStart w:id="380" w:name="_Toc184313270"/>
      <w:bookmarkEnd w:id="380"/>
      <w:bookmarkStart w:id="381" w:name="_Toc184312097"/>
      <w:bookmarkEnd w:id="381"/>
      <w:bookmarkStart w:id="382" w:name="_Toc184308064"/>
      <w:bookmarkEnd w:id="382"/>
      <w:bookmarkStart w:id="383" w:name="_Toc184310342"/>
      <w:bookmarkEnd w:id="383"/>
      <w:bookmarkStart w:id="384" w:name="_Toc184310335"/>
      <w:bookmarkEnd w:id="384"/>
      <w:bookmarkStart w:id="385" w:name="_Toc184308061"/>
      <w:bookmarkEnd w:id="385"/>
      <w:bookmarkStart w:id="386" w:name="_Toc184314424"/>
      <w:bookmarkEnd w:id="386"/>
      <w:bookmarkStart w:id="387" w:name="_Toc184313310"/>
      <w:bookmarkEnd w:id="387"/>
      <w:bookmarkStart w:id="388" w:name="_Toc184313246"/>
      <w:bookmarkEnd w:id="388"/>
      <w:bookmarkStart w:id="389" w:name="_Toc184312109"/>
      <w:bookmarkEnd w:id="389"/>
      <w:bookmarkStart w:id="390" w:name="_Toc184314463"/>
      <w:bookmarkEnd w:id="390"/>
      <w:bookmarkStart w:id="391" w:name="_Toc184314446"/>
      <w:bookmarkEnd w:id="391"/>
      <w:bookmarkStart w:id="392" w:name="_Toc184310317"/>
      <w:bookmarkEnd w:id="392"/>
      <w:bookmarkStart w:id="393" w:name="_Toc184308055"/>
      <w:bookmarkEnd w:id="393"/>
      <w:bookmarkStart w:id="394" w:name="_Toc184313248"/>
      <w:bookmarkEnd w:id="394"/>
      <w:bookmarkStart w:id="395" w:name="_Toc184314438"/>
      <w:bookmarkEnd w:id="395"/>
      <w:bookmarkStart w:id="396" w:name="_Toc184308046"/>
      <w:bookmarkEnd w:id="396"/>
      <w:bookmarkStart w:id="397" w:name="_Toc184314453"/>
      <w:bookmarkEnd w:id="397"/>
      <w:bookmarkStart w:id="398" w:name="_Toc184310305"/>
      <w:bookmarkEnd w:id="398"/>
      <w:bookmarkStart w:id="399" w:name="_Toc184310311"/>
      <w:bookmarkEnd w:id="399"/>
      <w:bookmarkStart w:id="400" w:name="_Toc184312132"/>
      <w:bookmarkEnd w:id="400"/>
      <w:bookmarkStart w:id="401" w:name="_Toc184312082"/>
      <w:bookmarkEnd w:id="401"/>
      <w:bookmarkStart w:id="402" w:name="_Toc184312127"/>
      <w:bookmarkEnd w:id="402"/>
      <w:bookmarkStart w:id="403" w:name="_Toc184308040"/>
      <w:bookmarkEnd w:id="403"/>
      <w:bookmarkStart w:id="404" w:name="_Toc184308051"/>
      <w:bookmarkEnd w:id="404"/>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635"/>
        <w:gridCol w:w="675"/>
        <w:gridCol w:w="1185"/>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napToGrid w:val="0"/>
              <w:spacing w:line="360" w:lineRule="auto"/>
              <w:jc w:val="center"/>
              <w:rPr>
                <w:rFonts w:cs="仿宋_GB2312" w:asciiTheme="minorEastAsia" w:hAnsiTheme="minorEastAsia" w:eastAsiaTheme="minorEastAsia"/>
                <w:color w:val="000000" w:themeColor="text1"/>
                <w:sz w:val="21"/>
                <w:szCs w:val="21"/>
                <w14:textFill>
                  <w14:solidFill>
                    <w14:schemeClr w14:val="tx1"/>
                  </w14:solidFill>
                </w14:textFill>
              </w:rPr>
            </w:pPr>
            <w:r>
              <w:rPr>
                <w:rFonts w:hint="eastAsia" w:cs="仿宋_GB2312" w:asciiTheme="minorEastAsia" w:hAnsiTheme="minorEastAsia" w:eastAsiaTheme="minorEastAsia"/>
                <w:color w:val="000000" w:themeColor="text1"/>
                <w:sz w:val="21"/>
                <w:szCs w:val="21"/>
                <w14:textFill>
                  <w14:solidFill>
                    <w14:schemeClr w14:val="tx1"/>
                  </w14:solidFill>
                </w14:textFill>
              </w:rPr>
              <w:t>序号</w:t>
            </w:r>
          </w:p>
        </w:tc>
        <w:tc>
          <w:tcPr>
            <w:tcW w:w="4635" w:type="dxa"/>
            <w:vAlign w:val="center"/>
          </w:tcPr>
          <w:p>
            <w:pPr>
              <w:snapToGrid w:val="0"/>
              <w:spacing w:line="360" w:lineRule="auto"/>
              <w:jc w:val="center"/>
              <w:rPr>
                <w:rFonts w:cs="仿宋_GB2312" w:asciiTheme="minorEastAsia" w:hAnsiTheme="minorEastAsia" w:eastAsiaTheme="minorEastAsia"/>
                <w:color w:val="000000" w:themeColor="text1"/>
                <w:sz w:val="21"/>
                <w:szCs w:val="21"/>
                <w14:textFill>
                  <w14:solidFill>
                    <w14:schemeClr w14:val="tx1"/>
                  </w14:solidFill>
                </w14:textFill>
              </w:rPr>
            </w:pPr>
            <w:r>
              <w:rPr>
                <w:rFonts w:hint="eastAsia" w:cs="仿宋_GB2312" w:asciiTheme="minorEastAsia" w:hAnsiTheme="minorEastAsia" w:eastAsiaTheme="minorEastAsia"/>
                <w:color w:val="000000" w:themeColor="text1"/>
                <w:sz w:val="21"/>
                <w:szCs w:val="21"/>
                <w14:textFill>
                  <w14:solidFill>
                    <w14:schemeClr w14:val="tx1"/>
                  </w14:solidFill>
                </w14:textFill>
              </w:rPr>
              <w:t>评标标准</w:t>
            </w:r>
          </w:p>
        </w:tc>
        <w:tc>
          <w:tcPr>
            <w:tcW w:w="675" w:type="dxa"/>
            <w:vAlign w:val="center"/>
          </w:tcPr>
          <w:p>
            <w:pPr>
              <w:snapToGrid w:val="0"/>
              <w:spacing w:line="360" w:lineRule="auto"/>
              <w:jc w:val="center"/>
              <w:rPr>
                <w:rFonts w:cs="仿宋_GB2312" w:asciiTheme="minorEastAsia" w:hAnsiTheme="minorEastAsia" w:eastAsiaTheme="minorEastAsia"/>
                <w:color w:val="000000" w:themeColor="text1"/>
                <w:sz w:val="21"/>
                <w:szCs w:val="21"/>
                <w14:textFill>
                  <w14:solidFill>
                    <w14:schemeClr w14:val="tx1"/>
                  </w14:solidFill>
                </w14:textFill>
              </w:rPr>
            </w:pPr>
            <w:r>
              <w:rPr>
                <w:rFonts w:hint="eastAsia" w:cs="仿宋_GB2312" w:asciiTheme="minorEastAsia" w:hAnsiTheme="minorEastAsia" w:eastAsiaTheme="minorEastAsia"/>
                <w:color w:val="000000" w:themeColor="text1"/>
                <w:sz w:val="21"/>
                <w:szCs w:val="21"/>
                <w14:textFill>
                  <w14:solidFill>
                    <w14:schemeClr w14:val="tx1"/>
                  </w14:solidFill>
                </w14:textFill>
              </w:rPr>
              <w:t>权重</w:t>
            </w:r>
          </w:p>
        </w:tc>
        <w:tc>
          <w:tcPr>
            <w:tcW w:w="1185" w:type="dxa"/>
            <w:vAlign w:val="center"/>
          </w:tcPr>
          <w:p>
            <w:pPr>
              <w:snapToGrid w:val="0"/>
              <w:spacing w:line="360" w:lineRule="auto"/>
              <w:jc w:val="center"/>
              <w:rPr>
                <w:rFonts w:cs="仿宋_GB2312" w:asciiTheme="minorEastAsia" w:hAnsiTheme="minorEastAsia" w:eastAsiaTheme="minorEastAsia"/>
                <w:bCs/>
                <w:color w:val="000000" w:themeColor="text1"/>
                <w:sz w:val="21"/>
                <w:szCs w:val="21"/>
                <w14:textFill>
                  <w14:solidFill>
                    <w14:schemeClr w14:val="tx1"/>
                  </w14:solidFill>
                </w14:textFill>
              </w:rPr>
            </w:pPr>
            <w:r>
              <w:rPr>
                <w:rFonts w:hint="eastAsia" w:cs="仿宋_GB2312" w:asciiTheme="minorEastAsia" w:hAnsiTheme="minorEastAsia" w:eastAsiaTheme="minorEastAsia"/>
                <w:bCs/>
                <w:color w:val="000000" w:themeColor="text1"/>
                <w:sz w:val="21"/>
                <w:szCs w:val="21"/>
                <w14:textFill>
                  <w14:solidFill>
                    <w14:schemeClr w14:val="tx1"/>
                  </w14:solidFill>
                </w14:textFill>
              </w:rPr>
              <w:t>主观分/客观分属性</w:t>
            </w:r>
          </w:p>
        </w:tc>
        <w:tc>
          <w:tcPr>
            <w:tcW w:w="1352" w:type="dxa"/>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bCs/>
                <w:color w:val="000000" w:themeColor="text1"/>
                <w:sz w:val="20"/>
                <w:szCs w:val="20"/>
                <w14:textFill>
                  <w14:solidFill>
                    <w14:schemeClr w14:val="tx1"/>
                  </w14:solidFill>
                </w14:textFill>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color w:val="000000" w:themeColor="text1"/>
                <w:sz w:val="24"/>
                <w14:textFill>
                  <w14:solidFill>
                    <w14:schemeClr w14:val="tx1"/>
                  </w14:solidFill>
                </w14:textFill>
              </w:rPr>
              <w:t>1</w:t>
            </w:r>
          </w:p>
        </w:tc>
        <w:tc>
          <w:tcPr>
            <w:tcW w:w="4635" w:type="dxa"/>
            <w:vAlign w:val="center"/>
          </w:tcPr>
          <w:p>
            <w:pPr>
              <w:pStyle w:val="25"/>
              <w:spacing w:before="0" w:line="240" w:lineRule="auto"/>
              <w:ind w:left="0" w:leftChars="0" w:firstLine="0" w:firstLineChars="0"/>
              <w:jc w:val="left"/>
              <w:rPr>
                <w:rFonts w:ascii="Times New Roman"/>
                <w:bCs/>
                <w:color w:val="000000" w:themeColor="text1"/>
                <w:spacing w:val="-6"/>
                <w:sz w:val="21"/>
                <w:szCs w:val="21"/>
                <w14:textFill>
                  <w14:solidFill>
                    <w14:schemeClr w14:val="tx1"/>
                  </w14:solidFill>
                </w14:textFill>
              </w:rPr>
            </w:pPr>
            <w:r>
              <w:rPr>
                <w:rFonts w:ascii="Times New Roman"/>
                <w:bCs/>
                <w:color w:val="000000" w:themeColor="text1"/>
                <w:spacing w:val="-6"/>
                <w:sz w:val="21"/>
                <w:szCs w:val="21"/>
                <w14:textFill>
                  <w14:solidFill>
                    <w14:schemeClr w14:val="tx1"/>
                  </w14:solidFill>
                </w14:textFill>
              </w:rPr>
              <w:t>1</w:t>
            </w:r>
            <w:r>
              <w:rPr>
                <w:rFonts w:hint="eastAsia" w:ascii="Times New Roman"/>
                <w:bCs/>
                <w:color w:val="000000" w:themeColor="text1"/>
                <w:spacing w:val="-6"/>
                <w:sz w:val="21"/>
                <w:szCs w:val="21"/>
                <w14:textFill>
                  <w14:solidFill>
                    <w14:schemeClr w14:val="tx1"/>
                  </w14:solidFill>
                </w14:textFill>
              </w:rPr>
              <w:t>、投标人具有</w:t>
            </w:r>
            <w:r>
              <w:rPr>
                <w:rFonts w:ascii="Times New Roman"/>
                <w:bCs/>
                <w:color w:val="000000" w:themeColor="text1"/>
                <w:spacing w:val="-6"/>
                <w:sz w:val="21"/>
                <w:szCs w:val="21"/>
                <w14:textFill>
                  <w14:solidFill>
                    <w14:schemeClr w14:val="tx1"/>
                  </w14:solidFill>
                </w14:textFill>
              </w:rPr>
              <w:t xml:space="preserve"> IS0</w:t>
            </w:r>
            <w:r>
              <w:rPr>
                <w:rFonts w:hint="eastAsia" w:ascii="Times New Roman"/>
                <w:bCs/>
                <w:color w:val="000000" w:themeColor="text1"/>
                <w:spacing w:val="-6"/>
                <w:sz w:val="21"/>
                <w:szCs w:val="21"/>
                <w14:textFill>
                  <w14:solidFill>
                    <w14:schemeClr w14:val="tx1"/>
                  </w14:solidFill>
                </w14:textFill>
              </w:rPr>
              <w:t>质量管理体系认证，满足得</w:t>
            </w:r>
            <w:r>
              <w:rPr>
                <w:rFonts w:ascii="Times New Roman"/>
                <w:bCs/>
                <w:color w:val="000000" w:themeColor="text1"/>
                <w:spacing w:val="-6"/>
                <w:sz w:val="21"/>
                <w:szCs w:val="21"/>
                <w14:textFill>
                  <w14:solidFill>
                    <w14:schemeClr w14:val="tx1"/>
                  </w14:solidFill>
                </w14:textFill>
              </w:rPr>
              <w:t xml:space="preserve"> 1 </w:t>
            </w:r>
            <w:r>
              <w:rPr>
                <w:rFonts w:hint="eastAsia" w:ascii="Times New Roman"/>
                <w:bCs/>
                <w:color w:val="000000" w:themeColor="text1"/>
                <w:spacing w:val="-6"/>
                <w:sz w:val="21"/>
                <w:szCs w:val="21"/>
                <w14:textFill>
                  <w14:solidFill>
                    <w14:schemeClr w14:val="tx1"/>
                  </w14:solidFill>
                </w14:textFill>
              </w:rPr>
              <w:t>分；</w:t>
            </w:r>
          </w:p>
          <w:p>
            <w:pPr>
              <w:pStyle w:val="25"/>
              <w:spacing w:before="0" w:line="240" w:lineRule="auto"/>
              <w:ind w:left="0" w:leftChars="0" w:firstLine="0" w:firstLineChars="0"/>
              <w:jc w:val="left"/>
              <w:rPr>
                <w:rFonts w:ascii="Times New Roman"/>
                <w:bCs/>
                <w:color w:val="000000" w:themeColor="text1"/>
                <w:spacing w:val="-6"/>
                <w:sz w:val="21"/>
                <w:szCs w:val="21"/>
                <w14:textFill>
                  <w14:solidFill>
                    <w14:schemeClr w14:val="tx1"/>
                  </w14:solidFill>
                </w14:textFill>
              </w:rPr>
            </w:pPr>
            <w:r>
              <w:rPr>
                <w:rFonts w:ascii="Times New Roman"/>
                <w:bCs/>
                <w:color w:val="000000" w:themeColor="text1"/>
                <w:spacing w:val="-6"/>
                <w:sz w:val="21"/>
                <w:szCs w:val="21"/>
                <w14:textFill>
                  <w14:solidFill>
                    <w14:schemeClr w14:val="tx1"/>
                  </w14:solidFill>
                </w14:textFill>
              </w:rPr>
              <w:t>2</w:t>
            </w:r>
            <w:r>
              <w:rPr>
                <w:rFonts w:hint="eastAsia" w:ascii="Times New Roman"/>
                <w:bCs/>
                <w:color w:val="000000" w:themeColor="text1"/>
                <w:spacing w:val="-6"/>
                <w:sz w:val="21"/>
                <w:szCs w:val="21"/>
                <w14:textFill>
                  <w14:solidFill>
                    <w14:schemeClr w14:val="tx1"/>
                  </w14:solidFill>
                </w14:textFill>
              </w:rPr>
              <w:t>、投标人具有</w:t>
            </w:r>
            <w:r>
              <w:rPr>
                <w:rFonts w:ascii="Times New Roman"/>
                <w:bCs/>
                <w:color w:val="000000" w:themeColor="text1"/>
                <w:spacing w:val="-6"/>
                <w:sz w:val="21"/>
                <w:szCs w:val="21"/>
                <w14:textFill>
                  <w14:solidFill>
                    <w14:schemeClr w14:val="tx1"/>
                  </w14:solidFill>
                </w14:textFill>
              </w:rPr>
              <w:t xml:space="preserve"> IS0</w:t>
            </w:r>
            <w:r>
              <w:rPr>
                <w:rFonts w:hint="eastAsia" w:ascii="Times New Roman"/>
                <w:bCs/>
                <w:color w:val="000000" w:themeColor="text1"/>
                <w:spacing w:val="-6"/>
                <w:sz w:val="21"/>
                <w:szCs w:val="21"/>
                <w14:textFill>
                  <w14:solidFill>
                    <w14:schemeClr w14:val="tx1"/>
                  </w14:solidFill>
                </w14:textFill>
              </w:rPr>
              <w:t>环境管理体系认证证书，满足得</w:t>
            </w:r>
            <w:r>
              <w:rPr>
                <w:rFonts w:ascii="Times New Roman"/>
                <w:bCs/>
                <w:color w:val="000000" w:themeColor="text1"/>
                <w:spacing w:val="-6"/>
                <w:sz w:val="21"/>
                <w:szCs w:val="21"/>
                <w14:textFill>
                  <w14:solidFill>
                    <w14:schemeClr w14:val="tx1"/>
                  </w14:solidFill>
                </w14:textFill>
              </w:rPr>
              <w:t xml:space="preserve"> 1 </w:t>
            </w:r>
            <w:r>
              <w:rPr>
                <w:rFonts w:hint="eastAsia" w:ascii="Times New Roman"/>
                <w:bCs/>
                <w:color w:val="000000" w:themeColor="text1"/>
                <w:spacing w:val="-6"/>
                <w:sz w:val="21"/>
                <w:szCs w:val="21"/>
                <w14:textFill>
                  <w14:solidFill>
                    <w14:schemeClr w14:val="tx1"/>
                  </w14:solidFill>
                </w14:textFill>
              </w:rPr>
              <w:t>分；</w:t>
            </w:r>
          </w:p>
          <w:p>
            <w:pPr>
              <w:snapToGrid w:val="0"/>
              <w:spacing w:line="360" w:lineRule="auto"/>
              <w:jc w:val="left"/>
              <w:rPr>
                <w:rFonts w:cs="仿宋_GB2312" w:asciiTheme="minorEastAsia" w:hAnsiTheme="minorEastAsia" w:eastAsiaTheme="minorEastAsia"/>
                <w:color w:val="000000" w:themeColor="text1"/>
                <w:sz w:val="24"/>
                <w14:textFill>
                  <w14:solidFill>
                    <w14:schemeClr w14:val="tx1"/>
                  </w14:solidFill>
                </w14:textFill>
              </w:rPr>
            </w:pPr>
            <w:r>
              <w:rPr>
                <w:rFonts w:hint="eastAsia"/>
                <w:bCs/>
                <w:color w:val="000000" w:themeColor="text1"/>
                <w:spacing w:val="-6"/>
                <w:szCs w:val="21"/>
                <w14:textFill>
                  <w14:solidFill>
                    <w14:schemeClr w14:val="tx1"/>
                  </w14:solidFill>
                </w14:textFill>
              </w:rPr>
              <w:t>以提供的资质证明文件、证书复印件为准。</w:t>
            </w:r>
          </w:p>
        </w:tc>
        <w:tc>
          <w:tcPr>
            <w:tcW w:w="675" w:type="dxa"/>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2</w:t>
            </w:r>
          </w:p>
        </w:tc>
        <w:tc>
          <w:tcPr>
            <w:tcW w:w="1185"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bCs/>
                <w:color w:val="000000" w:themeColor="text1"/>
                <w:sz w:val="21"/>
                <w:szCs w:val="21"/>
                <w14:textFill>
                  <w14:solidFill>
                    <w14:schemeClr w14:val="tx1"/>
                  </w14:solidFill>
                </w14:textFill>
              </w:rPr>
              <w:t>客观分</w:t>
            </w:r>
          </w:p>
        </w:tc>
        <w:tc>
          <w:tcPr>
            <w:tcW w:w="1352"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color w:val="000000" w:themeColor="text1"/>
                <w:sz w:val="24"/>
                <w14:textFill>
                  <w14:solidFill>
                    <w14:schemeClr w14:val="tx1"/>
                  </w14:solidFill>
                </w14:textFill>
              </w:rPr>
              <w:t>2</w:t>
            </w:r>
          </w:p>
        </w:tc>
        <w:tc>
          <w:tcPr>
            <w:tcW w:w="4635" w:type="dxa"/>
            <w:vAlign w:val="center"/>
          </w:tcPr>
          <w:p>
            <w:pPr>
              <w:snapToGrid w:val="0"/>
              <w:spacing w:line="360" w:lineRule="auto"/>
              <w:jc w:val="left"/>
              <w:rPr>
                <w:rFonts w:cs="仿宋_GB2312" w:asciiTheme="minorEastAsia" w:hAnsiTheme="minorEastAsia" w:eastAsiaTheme="minorEastAsia"/>
                <w:color w:val="000000" w:themeColor="text1"/>
                <w:sz w:val="24"/>
                <w14:textFill>
                  <w14:solidFill>
                    <w14:schemeClr w14:val="tx1"/>
                  </w14:solidFill>
                </w14:textFill>
              </w:rPr>
            </w:pPr>
            <w:r>
              <w:rPr>
                <w:rFonts w:hint="eastAsia"/>
                <w:bCs/>
                <w:color w:val="000000" w:themeColor="text1"/>
                <w:spacing w:val="-6"/>
                <w:szCs w:val="21"/>
                <w:highlight w:val="none"/>
                <w14:textFill>
                  <w14:solidFill>
                    <w14:schemeClr w14:val="tx1"/>
                  </w14:solidFill>
                </w14:textFill>
              </w:rPr>
              <w:t>供应商</w:t>
            </w:r>
            <w:r>
              <w:rPr>
                <w:bCs/>
                <w:color w:val="000000" w:themeColor="text1"/>
                <w:spacing w:val="-6"/>
                <w:szCs w:val="21"/>
                <w:highlight w:val="none"/>
                <w14:textFill>
                  <w14:solidFill>
                    <w14:schemeClr w14:val="tx1"/>
                  </w14:solidFill>
                </w14:textFill>
              </w:rPr>
              <w:t>20</w:t>
            </w:r>
            <w:r>
              <w:rPr>
                <w:rFonts w:hint="eastAsia"/>
                <w:bCs/>
                <w:color w:val="000000" w:themeColor="text1"/>
                <w:spacing w:val="-6"/>
                <w:szCs w:val="21"/>
                <w:highlight w:val="none"/>
                <w14:textFill>
                  <w14:solidFill>
                    <w14:schemeClr w14:val="tx1"/>
                  </w14:solidFill>
                </w14:textFill>
              </w:rPr>
              <w:t>20年</w:t>
            </w:r>
            <w:r>
              <w:rPr>
                <w:bCs/>
                <w:color w:val="000000" w:themeColor="text1"/>
                <w:spacing w:val="-6"/>
                <w:szCs w:val="21"/>
                <w:highlight w:val="none"/>
                <w14:textFill>
                  <w14:solidFill>
                    <w14:schemeClr w14:val="tx1"/>
                  </w14:solidFill>
                </w14:textFill>
              </w:rPr>
              <w:t>01</w:t>
            </w:r>
            <w:r>
              <w:rPr>
                <w:rFonts w:hint="eastAsia"/>
                <w:bCs/>
                <w:color w:val="000000" w:themeColor="text1"/>
                <w:spacing w:val="-6"/>
                <w:szCs w:val="21"/>
                <w:highlight w:val="none"/>
                <w14:textFill>
                  <w14:solidFill>
                    <w14:schemeClr w14:val="tx1"/>
                  </w14:solidFill>
                </w14:textFill>
              </w:rPr>
              <w:t>月</w:t>
            </w:r>
            <w:r>
              <w:rPr>
                <w:bCs/>
                <w:color w:val="000000" w:themeColor="text1"/>
                <w:spacing w:val="-6"/>
                <w:szCs w:val="21"/>
                <w:highlight w:val="none"/>
                <w14:textFill>
                  <w14:solidFill>
                    <w14:schemeClr w14:val="tx1"/>
                  </w14:solidFill>
                </w14:textFill>
              </w:rPr>
              <w:t>01</w:t>
            </w:r>
            <w:r>
              <w:rPr>
                <w:rFonts w:hint="eastAsia"/>
                <w:bCs/>
                <w:color w:val="000000" w:themeColor="text1"/>
                <w:spacing w:val="-6"/>
                <w:szCs w:val="21"/>
                <w:highlight w:val="none"/>
                <w14:textFill>
                  <w14:solidFill>
                    <w14:schemeClr w14:val="tx1"/>
                  </w14:solidFill>
                </w14:textFill>
              </w:rPr>
              <w:t>日（以合同签订时间为准）以来具有同类手术室业绩或同等洁净度要求的ICU等业绩：每提供一个得</w:t>
            </w:r>
            <w:r>
              <w:rPr>
                <w:bCs/>
                <w:color w:val="000000" w:themeColor="text1"/>
                <w:spacing w:val="-6"/>
                <w:szCs w:val="21"/>
                <w:highlight w:val="none"/>
                <w14:textFill>
                  <w14:solidFill>
                    <w14:schemeClr w14:val="tx1"/>
                  </w14:solidFill>
                </w14:textFill>
              </w:rPr>
              <w:t>1</w:t>
            </w:r>
            <w:r>
              <w:rPr>
                <w:rFonts w:hint="eastAsia"/>
                <w:bCs/>
                <w:color w:val="000000" w:themeColor="text1"/>
                <w:spacing w:val="-6"/>
                <w:szCs w:val="21"/>
                <w:highlight w:val="none"/>
                <w14:textFill>
                  <w14:solidFill>
                    <w14:schemeClr w14:val="tx1"/>
                  </w14:solidFill>
                </w14:textFill>
              </w:rPr>
              <w:t>分，最多得3分。（</w:t>
            </w:r>
            <w:r>
              <w:rPr>
                <w:rFonts w:hint="eastAsia"/>
                <w:bCs/>
                <w:color w:val="000000" w:themeColor="text1"/>
                <w:spacing w:val="-6"/>
                <w:szCs w:val="21"/>
                <w14:textFill>
                  <w14:solidFill>
                    <w14:schemeClr w14:val="tx1"/>
                  </w14:solidFill>
                </w14:textFill>
              </w:rPr>
              <w:t>有效证明材料为：中标通知书、合同复印件、竣工验收报告及检测合格的第三方检测报告（内容含温度、湿度、洁净度及压差）复印件加盖公章，证明材料必须齐全，没有或缺少任何</w:t>
            </w:r>
            <w:r>
              <w:rPr>
                <w:bCs/>
                <w:color w:val="000000" w:themeColor="text1"/>
                <w:spacing w:val="-6"/>
                <w:szCs w:val="21"/>
                <w14:textFill>
                  <w14:solidFill>
                    <w14:schemeClr w14:val="tx1"/>
                  </w14:solidFill>
                </w14:textFill>
              </w:rPr>
              <w:t>1</w:t>
            </w:r>
            <w:r>
              <w:rPr>
                <w:rFonts w:hint="eastAsia"/>
                <w:bCs/>
                <w:color w:val="000000" w:themeColor="text1"/>
                <w:spacing w:val="-6"/>
                <w:szCs w:val="21"/>
                <w14:textFill>
                  <w14:solidFill>
                    <w14:schemeClr w14:val="tx1"/>
                  </w14:solidFill>
                </w14:textFill>
              </w:rPr>
              <w:t>个均不得分）</w:t>
            </w:r>
          </w:p>
        </w:tc>
        <w:tc>
          <w:tcPr>
            <w:tcW w:w="675" w:type="dxa"/>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3</w:t>
            </w:r>
          </w:p>
        </w:tc>
        <w:tc>
          <w:tcPr>
            <w:tcW w:w="1185"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bCs/>
                <w:color w:val="000000" w:themeColor="text1"/>
                <w:sz w:val="21"/>
                <w:szCs w:val="21"/>
                <w14:textFill>
                  <w14:solidFill>
                    <w14:schemeClr w14:val="tx1"/>
                  </w14:solidFill>
                </w14:textFill>
              </w:rPr>
              <w:t>客观分</w:t>
            </w:r>
          </w:p>
        </w:tc>
        <w:tc>
          <w:tcPr>
            <w:tcW w:w="1352"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color w:val="000000" w:themeColor="text1"/>
                <w:sz w:val="24"/>
                <w14:textFill>
                  <w14:solidFill>
                    <w14:schemeClr w14:val="tx1"/>
                  </w14:solidFill>
                </w14:textFill>
              </w:rPr>
              <w:t>3</w:t>
            </w:r>
          </w:p>
        </w:tc>
        <w:tc>
          <w:tcPr>
            <w:tcW w:w="4635" w:type="dxa"/>
            <w:vAlign w:val="center"/>
          </w:tcPr>
          <w:p>
            <w:pPr>
              <w:pStyle w:val="25"/>
              <w:spacing w:before="0" w:line="240" w:lineRule="auto"/>
              <w:ind w:left="0" w:leftChars="0" w:firstLine="0" w:firstLineChars="0"/>
              <w:jc w:val="left"/>
              <w:rPr>
                <w:rFonts w:ascii="Times New Roman"/>
                <w:bCs/>
                <w:color w:val="000000" w:themeColor="text1"/>
                <w:spacing w:val="-6"/>
                <w:sz w:val="21"/>
                <w:szCs w:val="21"/>
                <w14:textFill>
                  <w14:solidFill>
                    <w14:schemeClr w14:val="tx1"/>
                  </w14:solidFill>
                </w14:textFill>
              </w:rPr>
            </w:pPr>
            <w:r>
              <w:rPr>
                <w:rFonts w:hint="eastAsia" w:ascii="Times New Roman"/>
                <w:bCs/>
                <w:color w:val="000000" w:themeColor="text1"/>
                <w:spacing w:val="-6"/>
                <w:sz w:val="21"/>
                <w:szCs w:val="21"/>
                <w14:textFill>
                  <w14:solidFill>
                    <w14:schemeClr w14:val="tx1"/>
                  </w14:solidFill>
                </w14:textFill>
              </w:rPr>
              <w:t>拟派项目负责人：</w:t>
            </w:r>
          </w:p>
          <w:p>
            <w:pPr>
              <w:snapToGrid w:val="0"/>
              <w:spacing w:line="360" w:lineRule="auto"/>
              <w:jc w:val="left"/>
              <w:rPr>
                <w:rFonts w:cs="仿宋_GB2312" w:asciiTheme="minorEastAsia" w:hAnsiTheme="minorEastAsia" w:eastAsiaTheme="minorEastAsia"/>
                <w:color w:val="000000" w:themeColor="text1"/>
                <w:sz w:val="24"/>
                <w14:textFill>
                  <w14:solidFill>
                    <w14:schemeClr w14:val="tx1"/>
                  </w14:solidFill>
                </w14:textFill>
              </w:rPr>
            </w:pPr>
            <w:r>
              <w:rPr>
                <w:bCs/>
                <w:color w:val="000000" w:themeColor="text1"/>
                <w:spacing w:val="-6"/>
                <w:szCs w:val="21"/>
                <w14:textFill>
                  <w14:solidFill>
                    <w14:schemeClr w14:val="tx1"/>
                  </w14:solidFill>
                </w14:textFill>
              </w:rPr>
              <w:t>1</w:t>
            </w:r>
            <w:r>
              <w:rPr>
                <w:rFonts w:hint="eastAsia"/>
                <w:bCs/>
                <w:color w:val="000000" w:themeColor="text1"/>
                <w:spacing w:val="-6"/>
                <w:szCs w:val="21"/>
                <w14:textFill>
                  <w14:solidFill>
                    <w14:schemeClr w14:val="tx1"/>
                  </w14:solidFill>
                </w14:textFill>
              </w:rPr>
              <w:t>、具有高级职称的得</w:t>
            </w:r>
            <w:r>
              <w:rPr>
                <w:bCs/>
                <w:color w:val="000000" w:themeColor="text1"/>
                <w:spacing w:val="-6"/>
                <w:szCs w:val="21"/>
                <w14:textFill>
                  <w14:solidFill>
                    <w14:schemeClr w14:val="tx1"/>
                  </w14:solidFill>
                </w14:textFill>
              </w:rPr>
              <w:t>1</w:t>
            </w:r>
            <w:r>
              <w:rPr>
                <w:rFonts w:hint="eastAsia"/>
                <w:bCs/>
                <w:color w:val="000000" w:themeColor="text1"/>
                <w:spacing w:val="-6"/>
                <w:szCs w:val="21"/>
                <w14:textFill>
                  <w14:solidFill>
                    <w14:schemeClr w14:val="tx1"/>
                  </w14:solidFill>
                </w14:textFill>
              </w:rPr>
              <w:t>分，中级职称得</w:t>
            </w:r>
            <w:r>
              <w:rPr>
                <w:bCs/>
                <w:color w:val="000000" w:themeColor="text1"/>
                <w:spacing w:val="-6"/>
                <w:szCs w:val="21"/>
                <w14:textFill>
                  <w14:solidFill>
                    <w14:schemeClr w14:val="tx1"/>
                  </w14:solidFill>
                </w14:textFill>
              </w:rPr>
              <w:t>0.5</w:t>
            </w:r>
            <w:r>
              <w:rPr>
                <w:rFonts w:hint="eastAsia"/>
                <w:bCs/>
                <w:color w:val="000000" w:themeColor="text1"/>
                <w:spacing w:val="-6"/>
                <w:szCs w:val="21"/>
                <w14:textFill>
                  <w14:solidFill>
                    <w14:schemeClr w14:val="tx1"/>
                  </w14:solidFill>
                </w14:textFill>
              </w:rPr>
              <w:t>分，其余不得分，最高得</w:t>
            </w:r>
            <w:r>
              <w:rPr>
                <w:bCs/>
                <w:color w:val="000000" w:themeColor="text1"/>
                <w:spacing w:val="-6"/>
                <w:szCs w:val="21"/>
                <w14:textFill>
                  <w14:solidFill>
                    <w14:schemeClr w14:val="tx1"/>
                  </w14:solidFill>
                </w14:textFill>
              </w:rPr>
              <w:t>1</w:t>
            </w:r>
            <w:r>
              <w:rPr>
                <w:rFonts w:hint="eastAsia"/>
                <w:bCs/>
                <w:color w:val="000000" w:themeColor="text1"/>
                <w:spacing w:val="-6"/>
                <w:szCs w:val="21"/>
                <w14:textFill>
                  <w14:solidFill>
                    <w14:schemeClr w14:val="tx1"/>
                  </w14:solidFill>
                </w14:textFill>
              </w:rPr>
              <w:t>分。（有效证明材料为：职称证复印件加盖公章及开标月当月或上月社保缴纳材料，缴纳单位为投标单位，否则不得分）</w:t>
            </w:r>
          </w:p>
        </w:tc>
        <w:tc>
          <w:tcPr>
            <w:tcW w:w="675" w:type="dxa"/>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w:t>
            </w:r>
          </w:p>
        </w:tc>
        <w:tc>
          <w:tcPr>
            <w:tcW w:w="1185"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bCs/>
                <w:color w:val="000000" w:themeColor="text1"/>
                <w:sz w:val="21"/>
                <w:szCs w:val="21"/>
                <w14:textFill>
                  <w14:solidFill>
                    <w14:schemeClr w14:val="tx1"/>
                  </w14:solidFill>
                </w14:textFill>
              </w:rPr>
              <w:t>客观分</w:t>
            </w:r>
          </w:p>
        </w:tc>
        <w:tc>
          <w:tcPr>
            <w:tcW w:w="1352"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color w:val="000000" w:themeColor="text1"/>
                <w:sz w:val="24"/>
                <w14:textFill>
                  <w14:solidFill>
                    <w14:schemeClr w14:val="tx1"/>
                  </w14:solidFill>
                </w14:textFill>
              </w:rPr>
              <w:t>4</w:t>
            </w:r>
          </w:p>
        </w:tc>
        <w:tc>
          <w:tcPr>
            <w:tcW w:w="4635" w:type="dxa"/>
            <w:vAlign w:val="center"/>
          </w:tcPr>
          <w:p>
            <w:pPr>
              <w:snapToGrid w:val="0"/>
              <w:spacing w:line="360" w:lineRule="auto"/>
              <w:jc w:val="left"/>
              <w:rPr>
                <w:rFonts w:cs="仿宋_GB2312" w:asciiTheme="minorEastAsia" w:hAnsiTheme="minorEastAsia" w:eastAsiaTheme="minorEastAsia"/>
                <w:color w:val="000000" w:themeColor="text1"/>
                <w:sz w:val="24"/>
                <w14:textFill>
                  <w14:solidFill>
                    <w14:schemeClr w14:val="tx1"/>
                  </w14:solidFill>
                </w14:textFill>
              </w:rPr>
            </w:pPr>
            <w:r>
              <w:rPr>
                <w:rFonts w:hint="eastAsia"/>
                <w:b/>
                <w:bCs/>
                <w:color w:val="000000" w:themeColor="text1"/>
                <w:szCs w:val="21"/>
                <w14:textFill>
                  <w14:solidFill>
                    <w14:schemeClr w14:val="tx1"/>
                  </w14:solidFill>
                </w14:textFill>
              </w:rPr>
              <w:t>产品配置及技术参数：</w:t>
            </w:r>
            <w:r>
              <w:rPr>
                <w:rFonts w:hint="eastAsia"/>
                <w:color w:val="000000" w:themeColor="text1"/>
                <w:szCs w:val="21"/>
                <w14:textFill>
                  <w14:solidFill>
                    <w14:schemeClr w14:val="tx1"/>
                  </w14:solidFill>
                </w14:textFill>
              </w:rPr>
              <w:t>完全满足采购文件技术指标的计</w:t>
            </w:r>
            <w:r>
              <w:rPr>
                <w:rFonts w:hint="eastAsia"/>
                <w:color w:val="000000" w:themeColor="text1"/>
                <w:szCs w:val="21"/>
                <w:lang w:val="en-US" w:eastAsia="zh-CN"/>
                <w14:textFill>
                  <w14:solidFill>
                    <w14:schemeClr w14:val="tx1"/>
                  </w14:solidFill>
                </w14:textFill>
              </w:rPr>
              <w:t>5</w:t>
            </w:r>
            <w:r>
              <w:rPr>
                <w:rFonts w:hint="eastAsia"/>
                <w:color w:val="000000" w:themeColor="text1"/>
                <w:szCs w:val="21"/>
                <w14:textFill>
                  <w14:solidFill>
                    <w14:schemeClr w14:val="tx1"/>
                  </w14:solidFill>
                </w14:textFill>
              </w:rPr>
              <w:t>分，每负偏离一项扣</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分，如应答时缺项，则视同负偏离处理，扣完为止。</w:t>
            </w:r>
          </w:p>
        </w:tc>
        <w:tc>
          <w:tcPr>
            <w:tcW w:w="675" w:type="dxa"/>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5</w:t>
            </w:r>
          </w:p>
        </w:tc>
        <w:tc>
          <w:tcPr>
            <w:tcW w:w="1185"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bCs/>
                <w:color w:val="000000" w:themeColor="text1"/>
                <w:sz w:val="21"/>
                <w:szCs w:val="21"/>
                <w14:textFill>
                  <w14:solidFill>
                    <w14:schemeClr w14:val="tx1"/>
                  </w14:solidFill>
                </w14:textFill>
              </w:rPr>
              <w:t>主观分</w:t>
            </w:r>
          </w:p>
        </w:tc>
        <w:tc>
          <w:tcPr>
            <w:tcW w:w="1352"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5</w:t>
            </w:r>
          </w:p>
        </w:tc>
        <w:tc>
          <w:tcPr>
            <w:tcW w:w="4635" w:type="dxa"/>
            <w:vAlign w:val="center"/>
          </w:tcPr>
          <w:p>
            <w:pPr>
              <w:jc w:val="left"/>
              <w:rPr>
                <w:rFonts w:hint="eastAsia"/>
                <w:bCs/>
                <w:color w:val="000000" w:themeColor="text1"/>
                <w:spacing w:val="-6"/>
                <w:szCs w:val="21"/>
                <w14:textFill>
                  <w14:solidFill>
                    <w14:schemeClr w14:val="tx1"/>
                  </w14:solidFill>
                </w14:textFill>
              </w:rPr>
            </w:pPr>
            <w:r>
              <w:rPr>
                <w:rFonts w:hint="eastAsia"/>
                <w:bCs/>
                <w:color w:val="000000" w:themeColor="text1"/>
                <w:spacing w:val="-6"/>
                <w:szCs w:val="21"/>
                <w14:textFill>
                  <w14:solidFill>
                    <w14:schemeClr w14:val="tx1"/>
                  </w14:solidFill>
                </w14:textFill>
              </w:rPr>
              <w:t>技术方案：根据其提供方案的完整性、整体匹配性、协同性以及能够满足项目需求的程度进行</w:t>
            </w:r>
            <w:r>
              <w:rPr>
                <w:rFonts w:hint="eastAsia"/>
                <w:color w:val="000000" w:themeColor="text1"/>
                <w:szCs w:val="21"/>
                <w14:textFill>
                  <w14:solidFill>
                    <w14:schemeClr w14:val="tx1"/>
                  </w14:solidFill>
                </w14:textFill>
              </w:rPr>
              <w:t>评分</w:t>
            </w:r>
            <w:r>
              <w:rPr>
                <w:rFonts w:hint="eastAsia"/>
                <w:bCs/>
                <w:color w:val="000000" w:themeColor="text1"/>
                <w:spacing w:val="-6"/>
                <w:szCs w:val="21"/>
                <w14:textFill>
                  <w14:solidFill>
                    <w14:schemeClr w14:val="tx1"/>
                  </w14:solidFill>
                </w14:textFill>
              </w:rPr>
              <w:t>0-</w:t>
            </w:r>
            <w:r>
              <w:rPr>
                <w:rFonts w:hint="eastAsia"/>
                <w:bCs/>
                <w:color w:val="000000" w:themeColor="text1"/>
                <w:spacing w:val="-6"/>
                <w:szCs w:val="21"/>
                <w:lang w:val="en-US" w:eastAsia="zh-CN"/>
                <w14:textFill>
                  <w14:solidFill>
                    <w14:schemeClr w14:val="tx1"/>
                  </w14:solidFill>
                </w14:textFill>
              </w:rPr>
              <w:t>5</w:t>
            </w:r>
            <w:r>
              <w:rPr>
                <w:rFonts w:hint="eastAsia"/>
                <w:bCs/>
                <w:color w:val="000000" w:themeColor="text1"/>
                <w:spacing w:val="-6"/>
                <w:szCs w:val="21"/>
                <w14:textFill>
                  <w14:solidFill>
                    <w14:schemeClr w14:val="tx1"/>
                  </w14:solidFill>
                </w14:textFill>
              </w:rPr>
              <w:t>分。</w:t>
            </w:r>
          </w:p>
          <w:p>
            <w:pPr>
              <w:jc w:val="left"/>
              <w:rPr>
                <w:rFonts w:hint="eastAsia"/>
                <w:bCs/>
                <w:color w:val="000000" w:themeColor="text1"/>
                <w:spacing w:val="-6"/>
                <w:szCs w:val="21"/>
                <w14:textFill>
                  <w14:solidFill>
                    <w14:schemeClr w14:val="tx1"/>
                  </w14:solidFill>
                </w14:textFill>
              </w:rPr>
            </w:pPr>
            <w:r>
              <w:rPr>
                <w:rFonts w:hint="eastAsia"/>
                <w:bCs/>
                <w:color w:val="000000" w:themeColor="text1"/>
                <w:spacing w:val="-6"/>
                <w:szCs w:val="21"/>
                <w14:textFill>
                  <w14:solidFill>
                    <w14:schemeClr w14:val="tx1"/>
                  </w14:solidFill>
                </w14:textFill>
              </w:rPr>
              <w:t>技术方案完整，针对性强，匹配本项目及业主实际采购需求的，完全满足或优于本项目采购要求的得</w:t>
            </w:r>
            <w:r>
              <w:rPr>
                <w:rFonts w:hint="eastAsia"/>
                <w:bCs/>
                <w:color w:val="000000" w:themeColor="text1"/>
                <w:spacing w:val="-6"/>
                <w:szCs w:val="21"/>
                <w:lang w:val="en-US" w:eastAsia="zh-CN"/>
                <w14:textFill>
                  <w14:solidFill>
                    <w14:schemeClr w14:val="tx1"/>
                  </w14:solidFill>
                </w14:textFill>
              </w:rPr>
              <w:t>5</w:t>
            </w:r>
            <w:r>
              <w:rPr>
                <w:rFonts w:hint="eastAsia"/>
                <w:bCs/>
                <w:color w:val="000000" w:themeColor="text1"/>
                <w:spacing w:val="-6"/>
                <w:szCs w:val="21"/>
                <w14:textFill>
                  <w14:solidFill>
                    <w14:schemeClr w14:val="tx1"/>
                  </w14:solidFill>
                </w14:textFill>
              </w:rPr>
              <w:t>分；</w:t>
            </w:r>
          </w:p>
          <w:p>
            <w:pPr>
              <w:jc w:val="left"/>
              <w:rPr>
                <w:rFonts w:hint="eastAsia"/>
                <w:bCs/>
                <w:color w:val="000000" w:themeColor="text1"/>
                <w:spacing w:val="-6"/>
                <w:szCs w:val="21"/>
                <w14:textFill>
                  <w14:solidFill>
                    <w14:schemeClr w14:val="tx1"/>
                  </w14:solidFill>
                </w14:textFill>
              </w:rPr>
            </w:pPr>
            <w:r>
              <w:rPr>
                <w:rFonts w:hint="eastAsia"/>
                <w:bCs/>
                <w:color w:val="000000" w:themeColor="text1"/>
                <w:spacing w:val="-6"/>
                <w:szCs w:val="21"/>
                <w14:textFill>
                  <w14:solidFill>
                    <w14:schemeClr w14:val="tx1"/>
                  </w14:solidFill>
                </w14:textFill>
              </w:rPr>
              <w:t>整体方案描述相对一般的，有一定针对性，基本满足本项目采购要求的得4分；</w:t>
            </w:r>
          </w:p>
          <w:p>
            <w:pPr>
              <w:jc w:val="left"/>
              <w:rPr>
                <w:rFonts w:hint="eastAsia"/>
                <w:bCs/>
                <w:color w:val="000000" w:themeColor="text1"/>
                <w:spacing w:val="-6"/>
                <w:szCs w:val="21"/>
                <w14:textFill>
                  <w14:solidFill>
                    <w14:schemeClr w14:val="tx1"/>
                  </w14:solidFill>
                </w14:textFill>
              </w:rPr>
            </w:pPr>
            <w:r>
              <w:rPr>
                <w:rFonts w:hint="eastAsia"/>
                <w:bCs/>
                <w:color w:val="000000" w:themeColor="text1"/>
                <w:spacing w:val="-6"/>
                <w:szCs w:val="21"/>
                <w14:textFill>
                  <w14:solidFill>
                    <w14:schemeClr w14:val="tx1"/>
                  </w14:solidFill>
                </w14:textFill>
              </w:rPr>
              <w:t>整体方案较差，无针对性，方案内容无突出及亮点，无法完全满足本项目采购要求的得3分；</w:t>
            </w:r>
          </w:p>
          <w:p>
            <w:pPr>
              <w:jc w:val="left"/>
              <w:rPr>
                <w:rFonts w:hint="eastAsia" w:eastAsia="宋体"/>
                <w:bCs/>
                <w:color w:val="000000" w:themeColor="text1"/>
                <w:spacing w:val="-6"/>
                <w:szCs w:val="21"/>
                <w:lang w:eastAsia="zh-CN"/>
                <w14:textFill>
                  <w14:solidFill>
                    <w14:schemeClr w14:val="tx1"/>
                  </w14:solidFill>
                </w14:textFill>
              </w:rPr>
            </w:pPr>
            <w:r>
              <w:rPr>
                <w:rFonts w:hint="eastAsia"/>
                <w:bCs/>
                <w:color w:val="000000" w:themeColor="text1"/>
                <w:spacing w:val="-6"/>
                <w:szCs w:val="21"/>
                <w14:textFill>
                  <w14:solidFill>
                    <w14:schemeClr w14:val="tx1"/>
                  </w14:solidFill>
                </w14:textFill>
              </w:rPr>
              <w:t>方案差，内容空洞，不适应本项目采购要求，完全无法满足本项目采购要求的得1分;</w:t>
            </w:r>
          </w:p>
          <w:p>
            <w:pPr>
              <w:snapToGrid w:val="0"/>
              <w:spacing w:line="360" w:lineRule="auto"/>
              <w:jc w:val="left"/>
              <w:rPr>
                <w:rFonts w:cs="仿宋_GB2312" w:asciiTheme="minorEastAsia" w:hAnsiTheme="minorEastAsia" w:eastAsiaTheme="minorEastAsia"/>
                <w:color w:val="000000" w:themeColor="text1"/>
                <w:sz w:val="24"/>
                <w14:textFill>
                  <w14:solidFill>
                    <w14:schemeClr w14:val="tx1"/>
                  </w14:solidFill>
                </w14:textFill>
              </w:rPr>
            </w:pPr>
            <w:r>
              <w:rPr>
                <w:rFonts w:hint="eastAsia"/>
                <w:bCs/>
                <w:color w:val="000000" w:themeColor="text1"/>
                <w:spacing w:val="-6"/>
                <w:szCs w:val="21"/>
                <w14:textFill>
                  <w14:solidFill>
                    <w14:schemeClr w14:val="tx1"/>
                  </w14:solidFill>
                </w14:textFill>
              </w:rPr>
              <w:t>未提供不得分。</w:t>
            </w:r>
          </w:p>
        </w:tc>
        <w:tc>
          <w:tcPr>
            <w:tcW w:w="675" w:type="dxa"/>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5</w:t>
            </w:r>
          </w:p>
        </w:tc>
        <w:tc>
          <w:tcPr>
            <w:tcW w:w="1185"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bCs/>
                <w:color w:val="000000" w:themeColor="text1"/>
                <w:sz w:val="21"/>
                <w:szCs w:val="21"/>
                <w14:textFill>
                  <w14:solidFill>
                    <w14:schemeClr w14:val="tx1"/>
                  </w14:solidFill>
                </w14:textFill>
              </w:rPr>
              <w:t>主观分</w:t>
            </w:r>
          </w:p>
        </w:tc>
        <w:tc>
          <w:tcPr>
            <w:tcW w:w="1352"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6</w:t>
            </w:r>
          </w:p>
        </w:tc>
        <w:tc>
          <w:tcPr>
            <w:tcW w:w="4635" w:type="dxa"/>
            <w:vAlign w:val="center"/>
          </w:tcPr>
          <w:p>
            <w:pPr>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根据其工程进度计划与措施；安全、文明、质量施工保证措施等进行评分。</w:t>
            </w:r>
          </w:p>
          <w:p>
            <w:pPr>
              <w:jc w:val="left"/>
              <w:rPr>
                <w:rFonts w:hint="eastAsia"/>
                <w:bCs/>
                <w:color w:val="000000" w:themeColor="text1"/>
                <w:spacing w:val="-6"/>
                <w:szCs w:val="21"/>
                <w14:textFill>
                  <w14:solidFill>
                    <w14:schemeClr w14:val="tx1"/>
                  </w14:solidFill>
                </w14:textFill>
              </w:rPr>
            </w:pPr>
            <w:r>
              <w:rPr>
                <w:rFonts w:hint="eastAsia"/>
                <w:color w:val="000000" w:themeColor="text1"/>
                <w:szCs w:val="21"/>
                <w14:textFill>
                  <w14:solidFill>
                    <w14:schemeClr w14:val="tx1"/>
                  </w14:solidFill>
                </w14:textFill>
              </w:rPr>
              <w:t>整体</w:t>
            </w:r>
            <w:r>
              <w:rPr>
                <w:rFonts w:hint="eastAsia"/>
                <w:bCs/>
                <w:color w:val="000000" w:themeColor="text1"/>
                <w:spacing w:val="-6"/>
                <w:szCs w:val="21"/>
                <w14:textFill>
                  <w14:solidFill>
                    <w14:schemeClr w14:val="tx1"/>
                  </w14:solidFill>
                </w14:textFill>
              </w:rPr>
              <w:t>方案完整，针对性强，各项工期、质量等措施匹配本项目及业主实际采购需求的，完全满足或优于本项目采购要求的得5分；</w:t>
            </w:r>
          </w:p>
          <w:p>
            <w:pPr>
              <w:jc w:val="left"/>
              <w:rPr>
                <w:rFonts w:hint="eastAsia"/>
                <w:bCs/>
                <w:color w:val="000000" w:themeColor="text1"/>
                <w:spacing w:val="-6"/>
                <w:szCs w:val="21"/>
                <w14:textFill>
                  <w14:solidFill>
                    <w14:schemeClr w14:val="tx1"/>
                  </w14:solidFill>
                </w14:textFill>
              </w:rPr>
            </w:pPr>
            <w:r>
              <w:rPr>
                <w:rFonts w:hint="eastAsia"/>
                <w:bCs/>
                <w:color w:val="000000" w:themeColor="text1"/>
                <w:spacing w:val="-6"/>
                <w:szCs w:val="21"/>
                <w14:textFill>
                  <w14:solidFill>
                    <w14:schemeClr w14:val="tx1"/>
                  </w14:solidFill>
                </w14:textFill>
              </w:rPr>
              <w:t>整体方案描述相对一般的，有一定针对性，基本满足本项目采购要求的得4分；</w:t>
            </w:r>
          </w:p>
          <w:p>
            <w:pPr>
              <w:jc w:val="left"/>
              <w:rPr>
                <w:rFonts w:hint="eastAsia"/>
                <w:bCs/>
                <w:color w:val="000000" w:themeColor="text1"/>
                <w:spacing w:val="-6"/>
                <w:szCs w:val="21"/>
                <w14:textFill>
                  <w14:solidFill>
                    <w14:schemeClr w14:val="tx1"/>
                  </w14:solidFill>
                </w14:textFill>
              </w:rPr>
            </w:pPr>
            <w:r>
              <w:rPr>
                <w:rFonts w:hint="eastAsia"/>
                <w:bCs/>
                <w:color w:val="000000" w:themeColor="text1"/>
                <w:spacing w:val="-6"/>
                <w:szCs w:val="21"/>
                <w14:textFill>
                  <w14:solidFill>
                    <w14:schemeClr w14:val="tx1"/>
                  </w14:solidFill>
                </w14:textFill>
              </w:rPr>
              <w:t>整体方案较差，无针对性，方案内容无突出及亮点，无法完全满足本项目采购要求的得3分；</w:t>
            </w:r>
          </w:p>
          <w:p>
            <w:pPr>
              <w:jc w:val="left"/>
              <w:rPr>
                <w:rFonts w:hint="eastAsia" w:eastAsia="宋体"/>
                <w:bCs/>
                <w:color w:val="000000" w:themeColor="text1"/>
                <w:spacing w:val="-6"/>
                <w:szCs w:val="21"/>
                <w:lang w:eastAsia="zh-CN"/>
                <w14:textFill>
                  <w14:solidFill>
                    <w14:schemeClr w14:val="tx1"/>
                  </w14:solidFill>
                </w14:textFill>
              </w:rPr>
            </w:pPr>
            <w:r>
              <w:rPr>
                <w:rFonts w:hint="eastAsia"/>
                <w:bCs/>
                <w:color w:val="000000" w:themeColor="text1"/>
                <w:spacing w:val="-6"/>
                <w:szCs w:val="21"/>
                <w14:textFill>
                  <w14:solidFill>
                    <w14:schemeClr w14:val="tx1"/>
                  </w14:solidFill>
                </w14:textFill>
              </w:rPr>
              <w:t>方案差，内容空洞，不适应本项目采购要求，完全无法满足本项目采购要求的得1分;</w:t>
            </w:r>
          </w:p>
          <w:p>
            <w:pPr>
              <w:snapToGrid w:val="0"/>
              <w:spacing w:line="360" w:lineRule="auto"/>
              <w:jc w:val="left"/>
              <w:rPr>
                <w:rFonts w:cs="仿宋_GB2312" w:asciiTheme="minorEastAsia" w:hAnsiTheme="minorEastAsia" w:eastAsiaTheme="minorEastAsia"/>
                <w:color w:val="000000" w:themeColor="text1"/>
                <w:sz w:val="24"/>
                <w14:textFill>
                  <w14:solidFill>
                    <w14:schemeClr w14:val="tx1"/>
                  </w14:solidFill>
                </w14:textFill>
              </w:rPr>
            </w:pPr>
            <w:r>
              <w:rPr>
                <w:rFonts w:hint="eastAsia"/>
                <w:bCs/>
                <w:color w:val="000000" w:themeColor="text1"/>
                <w:spacing w:val="-6"/>
                <w:szCs w:val="21"/>
                <w14:textFill>
                  <w14:solidFill>
                    <w14:schemeClr w14:val="tx1"/>
                  </w14:solidFill>
                </w14:textFill>
              </w:rPr>
              <w:t>未提供不得分。</w:t>
            </w:r>
          </w:p>
        </w:tc>
        <w:tc>
          <w:tcPr>
            <w:tcW w:w="675" w:type="dxa"/>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5</w:t>
            </w:r>
          </w:p>
        </w:tc>
        <w:tc>
          <w:tcPr>
            <w:tcW w:w="1185"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bCs/>
                <w:color w:val="000000" w:themeColor="text1"/>
                <w:sz w:val="21"/>
                <w:szCs w:val="21"/>
                <w14:textFill>
                  <w14:solidFill>
                    <w14:schemeClr w14:val="tx1"/>
                  </w14:solidFill>
                </w14:textFill>
              </w:rPr>
              <w:t>主观分</w:t>
            </w:r>
          </w:p>
        </w:tc>
        <w:tc>
          <w:tcPr>
            <w:tcW w:w="1352"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7</w:t>
            </w:r>
          </w:p>
        </w:tc>
        <w:tc>
          <w:tcPr>
            <w:tcW w:w="4635" w:type="dxa"/>
            <w:vAlign w:val="center"/>
          </w:tcPr>
          <w:p>
            <w:pPr>
              <w:jc w:val="left"/>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针对</w:t>
            </w:r>
            <w:r>
              <w:rPr>
                <w:rFonts w:hint="eastAsia"/>
                <w:color w:val="000000" w:themeColor="text1"/>
                <w:szCs w:val="21"/>
                <w14:textFill>
                  <w14:solidFill>
                    <w14:schemeClr w14:val="tx1"/>
                  </w14:solidFill>
                </w14:textFill>
              </w:rPr>
              <w:t>手术室</w:t>
            </w:r>
            <w:r>
              <w:rPr>
                <w:rFonts w:hint="eastAsia"/>
                <w:color w:val="000000" w:themeColor="text1"/>
                <w:szCs w:val="21"/>
                <w:lang w:val="en-US" w:eastAsia="zh-CN"/>
                <w14:textFill>
                  <w14:solidFill>
                    <w14:schemeClr w14:val="tx1"/>
                  </w14:solidFill>
                </w14:textFill>
              </w:rPr>
              <w:t>整体</w:t>
            </w:r>
            <w:r>
              <w:rPr>
                <w:rFonts w:hint="eastAsia"/>
                <w:color w:val="000000" w:themeColor="text1"/>
                <w:szCs w:val="21"/>
                <w14:textFill>
                  <w14:solidFill>
                    <w14:schemeClr w14:val="tx1"/>
                  </w14:solidFill>
                </w14:textFill>
              </w:rPr>
              <w:t>方案</w:t>
            </w:r>
            <w:r>
              <w:rPr>
                <w:rFonts w:hint="eastAsia"/>
                <w:color w:val="000000" w:themeColor="text1"/>
                <w:szCs w:val="21"/>
                <w:lang w:val="en-US" w:eastAsia="zh-CN"/>
                <w14:textFill>
                  <w14:solidFill>
                    <w14:schemeClr w14:val="tx1"/>
                  </w14:solidFill>
                </w14:textFill>
              </w:rPr>
              <w:t>的完整性、针对性,。</w:t>
            </w:r>
          </w:p>
          <w:p>
            <w:pPr>
              <w:jc w:val="left"/>
              <w:rPr>
                <w:rFonts w:hint="eastAsia"/>
                <w:bCs/>
                <w:color w:val="000000" w:themeColor="text1"/>
                <w:spacing w:val="-6"/>
                <w:szCs w:val="21"/>
                <w14:textFill>
                  <w14:solidFill>
                    <w14:schemeClr w14:val="tx1"/>
                  </w14:solidFill>
                </w14:textFill>
              </w:rPr>
            </w:pPr>
            <w:r>
              <w:rPr>
                <w:rFonts w:hint="eastAsia"/>
                <w:color w:val="000000" w:themeColor="text1"/>
                <w:szCs w:val="21"/>
                <w14:textFill>
                  <w14:solidFill>
                    <w14:schemeClr w14:val="tx1"/>
                  </w14:solidFill>
                </w14:textFill>
              </w:rPr>
              <w:t>整体</w:t>
            </w:r>
            <w:r>
              <w:rPr>
                <w:rFonts w:hint="eastAsia"/>
                <w:bCs/>
                <w:color w:val="000000" w:themeColor="text1"/>
                <w:spacing w:val="-6"/>
                <w:szCs w:val="21"/>
                <w14:textFill>
                  <w14:solidFill>
                    <w14:schemeClr w14:val="tx1"/>
                  </w14:solidFill>
                </w14:textFill>
              </w:rPr>
              <w:t>方案完整，针对性强，完全满足或优于本项目采购要求的得</w:t>
            </w:r>
            <w:r>
              <w:rPr>
                <w:rFonts w:hint="eastAsia"/>
                <w:bCs/>
                <w:color w:val="000000" w:themeColor="text1"/>
                <w:spacing w:val="-6"/>
                <w:szCs w:val="21"/>
                <w:lang w:val="en-US" w:eastAsia="zh-CN"/>
                <w14:textFill>
                  <w14:solidFill>
                    <w14:schemeClr w14:val="tx1"/>
                  </w14:solidFill>
                </w14:textFill>
              </w:rPr>
              <w:t>5</w:t>
            </w:r>
            <w:r>
              <w:rPr>
                <w:rFonts w:hint="eastAsia"/>
                <w:bCs/>
                <w:color w:val="000000" w:themeColor="text1"/>
                <w:spacing w:val="-6"/>
                <w:szCs w:val="21"/>
                <w14:textFill>
                  <w14:solidFill>
                    <w14:schemeClr w14:val="tx1"/>
                  </w14:solidFill>
                </w14:textFill>
              </w:rPr>
              <w:t>分；</w:t>
            </w:r>
          </w:p>
          <w:p>
            <w:pPr>
              <w:jc w:val="left"/>
              <w:rPr>
                <w:rFonts w:hint="eastAsia"/>
                <w:bCs/>
                <w:color w:val="000000" w:themeColor="text1"/>
                <w:spacing w:val="-6"/>
                <w:szCs w:val="21"/>
                <w14:textFill>
                  <w14:solidFill>
                    <w14:schemeClr w14:val="tx1"/>
                  </w14:solidFill>
                </w14:textFill>
              </w:rPr>
            </w:pPr>
            <w:r>
              <w:rPr>
                <w:rFonts w:hint="eastAsia"/>
                <w:bCs/>
                <w:color w:val="000000" w:themeColor="text1"/>
                <w:spacing w:val="-6"/>
                <w:szCs w:val="21"/>
                <w14:textFill>
                  <w14:solidFill>
                    <w14:schemeClr w14:val="tx1"/>
                  </w14:solidFill>
                </w14:textFill>
              </w:rPr>
              <w:t>整体方案描述相对一般的，有一定针对性，基本满足本项目采购要求的得4分；</w:t>
            </w:r>
          </w:p>
          <w:p>
            <w:pPr>
              <w:pStyle w:val="2"/>
              <w:rPr>
                <w:rFonts w:hint="default" w:eastAsia="宋体"/>
                <w:color w:val="000000" w:themeColor="text1"/>
                <w:lang w:val="en-US" w:eastAsia="zh-CN"/>
                <w14:textFill>
                  <w14:solidFill>
                    <w14:schemeClr w14:val="tx1"/>
                  </w14:solidFill>
                </w14:textFill>
              </w:rPr>
            </w:pPr>
            <w:r>
              <w:rPr>
                <w:rFonts w:hint="eastAsia"/>
                <w:bCs/>
                <w:color w:val="000000" w:themeColor="text1"/>
                <w:spacing w:val="-6"/>
                <w:szCs w:val="21"/>
                <w14:textFill>
                  <w14:solidFill>
                    <w14:schemeClr w14:val="tx1"/>
                  </w14:solidFill>
                </w14:textFill>
              </w:rPr>
              <w:t>整体方案描述</w:t>
            </w:r>
            <w:r>
              <w:rPr>
                <w:rFonts w:hint="eastAsia"/>
                <w:bCs/>
                <w:color w:val="000000" w:themeColor="text1"/>
                <w:spacing w:val="-6"/>
                <w:szCs w:val="21"/>
                <w:lang w:val="en-US" w:eastAsia="zh-CN"/>
                <w14:textFill>
                  <w14:solidFill>
                    <w14:schemeClr w14:val="tx1"/>
                  </w14:solidFill>
                </w14:textFill>
              </w:rPr>
              <w:t>较差，针对性一般，</w:t>
            </w:r>
            <w:r>
              <w:rPr>
                <w:rFonts w:hint="eastAsia"/>
                <w:bCs/>
                <w:color w:val="000000" w:themeColor="text1"/>
                <w:spacing w:val="-6"/>
                <w:szCs w:val="21"/>
                <w14:textFill>
                  <w14:solidFill>
                    <w14:schemeClr w14:val="tx1"/>
                  </w14:solidFill>
                </w14:textFill>
              </w:rPr>
              <w:t>无法</w:t>
            </w:r>
            <w:r>
              <w:rPr>
                <w:rFonts w:hint="eastAsia"/>
                <w:bCs/>
                <w:color w:val="000000" w:themeColor="text1"/>
                <w:spacing w:val="-6"/>
                <w:szCs w:val="21"/>
                <w:lang w:val="en-US" w:eastAsia="zh-CN"/>
                <w14:textFill>
                  <w14:solidFill>
                    <w14:schemeClr w14:val="tx1"/>
                  </w14:solidFill>
                </w14:textFill>
              </w:rPr>
              <w:t>完全</w:t>
            </w:r>
            <w:r>
              <w:rPr>
                <w:rFonts w:hint="eastAsia"/>
                <w:bCs/>
                <w:color w:val="000000" w:themeColor="text1"/>
                <w:spacing w:val="-6"/>
                <w:szCs w:val="21"/>
                <w14:textFill>
                  <w14:solidFill>
                    <w14:schemeClr w14:val="tx1"/>
                  </w14:solidFill>
                </w14:textFill>
              </w:rPr>
              <w:t>满足本项目采购要求</w:t>
            </w:r>
            <w:r>
              <w:rPr>
                <w:rFonts w:hint="eastAsia"/>
                <w:bCs/>
                <w:color w:val="000000" w:themeColor="text1"/>
                <w:spacing w:val="-6"/>
                <w:szCs w:val="21"/>
                <w:lang w:val="en-US" w:eastAsia="zh-CN"/>
                <w14:textFill>
                  <w14:solidFill>
                    <w14:schemeClr w14:val="tx1"/>
                  </w14:solidFill>
                </w14:textFill>
              </w:rPr>
              <w:t>的得3分；</w:t>
            </w:r>
          </w:p>
          <w:p>
            <w:pPr>
              <w:jc w:val="left"/>
              <w:rPr>
                <w:rFonts w:hint="eastAsia" w:eastAsia="宋体"/>
                <w:bCs/>
                <w:color w:val="000000" w:themeColor="text1"/>
                <w:spacing w:val="-6"/>
                <w:szCs w:val="21"/>
                <w:lang w:eastAsia="zh-CN"/>
                <w14:textFill>
                  <w14:solidFill>
                    <w14:schemeClr w14:val="tx1"/>
                  </w14:solidFill>
                </w14:textFill>
              </w:rPr>
            </w:pPr>
            <w:r>
              <w:rPr>
                <w:rFonts w:hint="eastAsia"/>
                <w:bCs/>
                <w:color w:val="000000" w:themeColor="text1"/>
                <w:spacing w:val="-6"/>
                <w:szCs w:val="21"/>
                <w14:textFill>
                  <w14:solidFill>
                    <w14:schemeClr w14:val="tx1"/>
                  </w14:solidFill>
                </w14:textFill>
              </w:rPr>
              <w:t>整体方案较差，无针对性，方案内容无突出及亮点，无法满足本项目采购要求的得1分；</w:t>
            </w:r>
          </w:p>
          <w:p>
            <w:pPr>
              <w:snapToGrid w:val="0"/>
              <w:spacing w:line="360" w:lineRule="auto"/>
              <w:jc w:val="left"/>
              <w:rPr>
                <w:rFonts w:cs="仿宋_GB2312" w:asciiTheme="minorEastAsia" w:hAnsiTheme="minorEastAsia" w:eastAsiaTheme="minorEastAsia"/>
                <w:color w:val="000000" w:themeColor="text1"/>
                <w:sz w:val="24"/>
                <w14:textFill>
                  <w14:solidFill>
                    <w14:schemeClr w14:val="tx1"/>
                  </w14:solidFill>
                </w14:textFill>
              </w:rPr>
            </w:pPr>
            <w:r>
              <w:rPr>
                <w:rFonts w:hint="eastAsia"/>
                <w:bCs/>
                <w:color w:val="000000" w:themeColor="text1"/>
                <w:spacing w:val="-6"/>
                <w:szCs w:val="21"/>
                <w14:textFill>
                  <w14:solidFill>
                    <w14:schemeClr w14:val="tx1"/>
                  </w14:solidFill>
                </w14:textFill>
              </w:rPr>
              <w:t>未提供不得分。</w:t>
            </w:r>
          </w:p>
        </w:tc>
        <w:tc>
          <w:tcPr>
            <w:tcW w:w="675" w:type="dxa"/>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5</w:t>
            </w:r>
          </w:p>
        </w:tc>
        <w:tc>
          <w:tcPr>
            <w:tcW w:w="1185"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bCs/>
                <w:color w:val="000000" w:themeColor="text1"/>
                <w:sz w:val="21"/>
                <w:szCs w:val="21"/>
                <w14:textFill>
                  <w14:solidFill>
                    <w14:schemeClr w14:val="tx1"/>
                  </w14:solidFill>
                </w14:textFill>
              </w:rPr>
              <w:t>主观分</w:t>
            </w:r>
          </w:p>
        </w:tc>
        <w:tc>
          <w:tcPr>
            <w:tcW w:w="1352"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8</w:t>
            </w:r>
          </w:p>
        </w:tc>
        <w:tc>
          <w:tcPr>
            <w:tcW w:w="4635" w:type="dxa"/>
            <w:vAlign w:val="center"/>
          </w:tcPr>
          <w:p>
            <w:pPr>
              <w:snapToGrid w:val="0"/>
              <w:spacing w:line="360" w:lineRule="auto"/>
              <w:jc w:val="left"/>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整体项目所要求的各项采购需求</w:t>
            </w:r>
            <w:r>
              <w:rPr>
                <w:rFonts w:hint="eastAsia"/>
                <w:color w:val="000000" w:themeColor="text1"/>
                <w:szCs w:val="21"/>
                <w14:textFill>
                  <w14:solidFill>
                    <w14:schemeClr w14:val="tx1"/>
                  </w14:solidFill>
                </w14:textFill>
              </w:rPr>
              <w:t>技术指标</w:t>
            </w:r>
            <w:r>
              <w:rPr>
                <w:rFonts w:hint="eastAsia"/>
                <w:color w:val="000000" w:themeColor="text1"/>
                <w:szCs w:val="21"/>
                <w:lang w:val="en-US" w:eastAsia="zh-CN"/>
                <w14:textFill>
                  <w14:solidFill>
                    <w14:schemeClr w14:val="tx1"/>
                  </w14:solidFill>
                </w14:textFill>
              </w:rPr>
              <w:t>的保证</w:t>
            </w:r>
            <w:r>
              <w:rPr>
                <w:rFonts w:hint="eastAsia"/>
                <w:color w:val="000000" w:themeColor="text1"/>
                <w:szCs w:val="21"/>
                <w14:textFill>
                  <w14:solidFill>
                    <w14:schemeClr w14:val="tx1"/>
                  </w14:solidFill>
                </w14:textFill>
              </w:rPr>
              <w:t>措施。</w:t>
            </w:r>
          </w:p>
          <w:p>
            <w:pPr>
              <w:snapToGrid w:val="0"/>
              <w:spacing w:line="360" w:lineRule="auto"/>
              <w:jc w:val="left"/>
              <w:rPr>
                <w:rFonts w:hint="eastAsia"/>
                <w:bCs/>
                <w:color w:val="000000" w:themeColor="text1"/>
                <w:spacing w:val="-6"/>
                <w:szCs w:val="21"/>
                <w:lang w:val="en-US" w:eastAsia="zh-CN"/>
                <w14:textFill>
                  <w14:solidFill>
                    <w14:schemeClr w14:val="tx1"/>
                  </w14:solidFill>
                </w14:textFill>
              </w:rPr>
            </w:pPr>
            <w:r>
              <w:rPr>
                <w:rFonts w:hint="eastAsia"/>
                <w:bCs/>
                <w:color w:val="000000" w:themeColor="text1"/>
                <w:spacing w:val="-6"/>
                <w:szCs w:val="21"/>
                <w14:textFill>
                  <w14:solidFill>
                    <w14:schemeClr w14:val="tx1"/>
                  </w14:solidFill>
                </w14:textFill>
              </w:rPr>
              <w:t>各项措施匹配本项目及业主实际采购需求的，完全满足或优于本项目采购要求</w:t>
            </w:r>
            <w:r>
              <w:rPr>
                <w:rFonts w:hint="eastAsia"/>
                <w:bCs/>
                <w:color w:val="000000" w:themeColor="text1"/>
                <w:spacing w:val="-6"/>
                <w:szCs w:val="21"/>
                <w:lang w:val="en-US" w:eastAsia="zh-CN"/>
                <w14:textFill>
                  <w14:solidFill>
                    <w14:schemeClr w14:val="tx1"/>
                  </w14:solidFill>
                </w14:textFill>
              </w:rPr>
              <w:t>的得5分。</w:t>
            </w:r>
          </w:p>
          <w:p>
            <w:pPr>
              <w:snapToGrid w:val="0"/>
              <w:spacing w:line="360" w:lineRule="auto"/>
              <w:jc w:val="left"/>
              <w:rPr>
                <w:rFonts w:hint="eastAsia"/>
                <w:bCs/>
                <w:color w:val="000000" w:themeColor="text1"/>
                <w:spacing w:val="-6"/>
                <w:szCs w:val="21"/>
                <w:lang w:val="en-US" w:eastAsia="zh-CN"/>
                <w14:textFill>
                  <w14:solidFill>
                    <w14:schemeClr w14:val="tx1"/>
                  </w14:solidFill>
                </w14:textFill>
              </w:rPr>
            </w:pPr>
            <w:r>
              <w:rPr>
                <w:rFonts w:hint="eastAsia"/>
                <w:bCs/>
                <w:color w:val="000000" w:themeColor="text1"/>
                <w:spacing w:val="-6"/>
                <w:szCs w:val="21"/>
                <w14:textFill>
                  <w14:solidFill>
                    <w14:schemeClr w14:val="tx1"/>
                  </w14:solidFill>
                </w14:textFill>
              </w:rPr>
              <w:t>各项措施</w:t>
            </w:r>
            <w:r>
              <w:rPr>
                <w:rFonts w:hint="eastAsia"/>
                <w:bCs/>
                <w:color w:val="000000" w:themeColor="text1"/>
                <w:spacing w:val="-6"/>
                <w:szCs w:val="21"/>
                <w:lang w:val="en-US" w:eastAsia="zh-CN"/>
                <w14:textFill>
                  <w14:solidFill>
                    <w14:schemeClr w14:val="tx1"/>
                  </w14:solidFill>
                </w14:textFill>
              </w:rPr>
              <w:t>基本</w:t>
            </w:r>
            <w:r>
              <w:rPr>
                <w:rFonts w:hint="eastAsia"/>
                <w:bCs/>
                <w:color w:val="000000" w:themeColor="text1"/>
                <w:spacing w:val="-6"/>
                <w:szCs w:val="21"/>
                <w14:textFill>
                  <w14:solidFill>
                    <w14:schemeClr w14:val="tx1"/>
                  </w14:solidFill>
                </w14:textFill>
              </w:rPr>
              <w:t>匹配本项目及业主实际采购需求的</w:t>
            </w:r>
            <w:r>
              <w:rPr>
                <w:rFonts w:hint="eastAsia"/>
                <w:bCs/>
                <w:color w:val="000000" w:themeColor="text1"/>
                <w:spacing w:val="-6"/>
                <w:szCs w:val="21"/>
                <w:lang w:eastAsia="zh-CN"/>
                <w14:textFill>
                  <w14:solidFill>
                    <w14:schemeClr w14:val="tx1"/>
                  </w14:solidFill>
                </w14:textFill>
              </w:rPr>
              <w:t>，</w:t>
            </w:r>
            <w:r>
              <w:rPr>
                <w:rFonts w:hint="eastAsia"/>
                <w:bCs/>
                <w:color w:val="000000" w:themeColor="text1"/>
                <w:spacing w:val="-6"/>
                <w:szCs w:val="21"/>
                <w:lang w:val="en-US" w:eastAsia="zh-CN"/>
                <w14:textFill>
                  <w14:solidFill>
                    <w14:schemeClr w14:val="tx1"/>
                  </w14:solidFill>
                </w14:textFill>
              </w:rPr>
              <w:t>能够基本满足</w:t>
            </w:r>
            <w:r>
              <w:rPr>
                <w:rFonts w:hint="eastAsia"/>
                <w:bCs/>
                <w:color w:val="000000" w:themeColor="text1"/>
                <w:spacing w:val="-6"/>
                <w:szCs w:val="21"/>
                <w14:textFill>
                  <w14:solidFill>
                    <w14:schemeClr w14:val="tx1"/>
                  </w14:solidFill>
                </w14:textFill>
              </w:rPr>
              <w:t>本项目采购要求</w:t>
            </w:r>
            <w:r>
              <w:rPr>
                <w:rFonts w:hint="eastAsia"/>
                <w:bCs/>
                <w:color w:val="000000" w:themeColor="text1"/>
                <w:spacing w:val="-6"/>
                <w:szCs w:val="21"/>
                <w:lang w:val="en-US" w:eastAsia="zh-CN"/>
                <w14:textFill>
                  <w14:solidFill>
                    <w14:schemeClr w14:val="tx1"/>
                  </w14:solidFill>
                </w14:textFill>
              </w:rPr>
              <w:t>的得4分。</w:t>
            </w:r>
          </w:p>
          <w:p>
            <w:pPr>
              <w:snapToGrid w:val="0"/>
              <w:spacing w:line="360" w:lineRule="auto"/>
              <w:jc w:val="left"/>
              <w:rPr>
                <w:rFonts w:hint="eastAsia"/>
                <w:bCs/>
                <w:color w:val="000000" w:themeColor="text1"/>
                <w:spacing w:val="-6"/>
                <w:szCs w:val="21"/>
                <w:lang w:val="en-US" w:eastAsia="zh-CN"/>
                <w14:textFill>
                  <w14:solidFill>
                    <w14:schemeClr w14:val="tx1"/>
                  </w14:solidFill>
                </w14:textFill>
              </w:rPr>
            </w:pPr>
            <w:r>
              <w:rPr>
                <w:rFonts w:hint="eastAsia"/>
                <w:bCs/>
                <w:color w:val="000000" w:themeColor="text1"/>
                <w:spacing w:val="-6"/>
                <w:szCs w:val="21"/>
                <w14:textFill>
                  <w14:solidFill>
                    <w14:schemeClr w14:val="tx1"/>
                  </w14:solidFill>
                </w14:textFill>
              </w:rPr>
              <w:t>各项措施</w:t>
            </w:r>
            <w:r>
              <w:rPr>
                <w:rFonts w:hint="eastAsia"/>
                <w:bCs/>
                <w:color w:val="000000" w:themeColor="text1"/>
                <w:spacing w:val="-6"/>
                <w:szCs w:val="21"/>
                <w:lang w:val="en-US" w:eastAsia="zh-CN"/>
                <w14:textFill>
                  <w14:solidFill>
                    <w14:schemeClr w14:val="tx1"/>
                  </w14:solidFill>
                </w14:textFill>
              </w:rPr>
              <w:t>未对</w:t>
            </w:r>
            <w:r>
              <w:rPr>
                <w:rFonts w:hint="eastAsia"/>
                <w:bCs/>
                <w:color w:val="000000" w:themeColor="text1"/>
                <w:spacing w:val="-6"/>
                <w:szCs w:val="21"/>
                <w14:textFill>
                  <w14:solidFill>
                    <w14:schemeClr w14:val="tx1"/>
                  </w14:solidFill>
                </w14:textFill>
              </w:rPr>
              <w:t>本项目及业主实际采购需求</w:t>
            </w:r>
            <w:r>
              <w:rPr>
                <w:rFonts w:hint="eastAsia"/>
                <w:bCs/>
                <w:color w:val="000000" w:themeColor="text1"/>
                <w:spacing w:val="-6"/>
                <w:szCs w:val="21"/>
                <w:lang w:val="en-US" w:eastAsia="zh-CN"/>
                <w14:textFill>
                  <w14:solidFill>
                    <w14:schemeClr w14:val="tx1"/>
                  </w14:solidFill>
                </w14:textFill>
              </w:rPr>
              <w:t>进行针对描述的</w:t>
            </w:r>
            <w:r>
              <w:rPr>
                <w:rFonts w:hint="eastAsia"/>
                <w:bCs/>
                <w:color w:val="000000" w:themeColor="text1"/>
                <w:spacing w:val="-6"/>
                <w:szCs w:val="21"/>
                <w:lang w:eastAsia="zh-CN"/>
                <w14:textFill>
                  <w14:solidFill>
                    <w14:schemeClr w14:val="tx1"/>
                  </w14:solidFill>
                </w14:textFill>
              </w:rPr>
              <w:t>，</w:t>
            </w:r>
            <w:r>
              <w:rPr>
                <w:rFonts w:hint="eastAsia"/>
                <w:bCs/>
                <w:color w:val="000000" w:themeColor="text1"/>
                <w:spacing w:val="-6"/>
                <w:szCs w:val="21"/>
                <w:lang w:val="en-US" w:eastAsia="zh-CN"/>
                <w14:textFill>
                  <w14:solidFill>
                    <w14:schemeClr w14:val="tx1"/>
                  </w14:solidFill>
                </w14:textFill>
              </w:rPr>
              <w:t>无法完全满足</w:t>
            </w:r>
            <w:r>
              <w:rPr>
                <w:rFonts w:hint="eastAsia"/>
                <w:bCs/>
                <w:color w:val="000000" w:themeColor="text1"/>
                <w:spacing w:val="-6"/>
                <w:szCs w:val="21"/>
                <w14:textFill>
                  <w14:solidFill>
                    <w14:schemeClr w14:val="tx1"/>
                  </w14:solidFill>
                </w14:textFill>
              </w:rPr>
              <w:t>本项目采购要求</w:t>
            </w:r>
            <w:r>
              <w:rPr>
                <w:rFonts w:hint="eastAsia"/>
                <w:bCs/>
                <w:color w:val="000000" w:themeColor="text1"/>
                <w:spacing w:val="-6"/>
                <w:szCs w:val="21"/>
                <w:lang w:val="en-US" w:eastAsia="zh-CN"/>
                <w14:textFill>
                  <w14:solidFill>
                    <w14:schemeClr w14:val="tx1"/>
                  </w14:solidFill>
                </w14:textFill>
              </w:rPr>
              <w:t>的得3分。</w:t>
            </w:r>
          </w:p>
          <w:p>
            <w:pPr>
              <w:snapToGrid w:val="0"/>
              <w:spacing w:line="360" w:lineRule="auto"/>
              <w:jc w:val="left"/>
              <w:rPr>
                <w:rFonts w:hint="default" w:eastAsia="宋体" w:cs="仿宋_GB2312" w:asciiTheme="minorEastAsia" w:hAnsiTheme="minorEastAsia"/>
                <w:color w:val="000000" w:themeColor="text1"/>
                <w:sz w:val="24"/>
                <w:lang w:val="en-US" w:eastAsia="zh-CN"/>
                <w14:textFill>
                  <w14:solidFill>
                    <w14:schemeClr w14:val="tx1"/>
                  </w14:solidFill>
                </w14:textFill>
              </w:rPr>
            </w:pPr>
            <w:r>
              <w:rPr>
                <w:rFonts w:hint="eastAsia"/>
                <w:bCs/>
                <w:color w:val="000000" w:themeColor="text1"/>
                <w:spacing w:val="-6"/>
                <w:szCs w:val="21"/>
                <w14:textFill>
                  <w14:solidFill>
                    <w14:schemeClr w14:val="tx1"/>
                  </w14:solidFill>
                </w14:textFill>
              </w:rPr>
              <w:t>各项措施</w:t>
            </w:r>
            <w:r>
              <w:rPr>
                <w:rFonts w:hint="eastAsia"/>
                <w:bCs/>
                <w:color w:val="000000" w:themeColor="text1"/>
                <w:spacing w:val="-6"/>
                <w:szCs w:val="21"/>
                <w:lang w:val="en-US" w:eastAsia="zh-CN"/>
                <w14:textFill>
                  <w14:solidFill>
                    <w14:schemeClr w14:val="tx1"/>
                  </w14:solidFill>
                </w14:textFill>
              </w:rPr>
              <w:t>差，未体现任何针对性，无法满足</w:t>
            </w:r>
            <w:r>
              <w:rPr>
                <w:rFonts w:hint="eastAsia"/>
                <w:bCs/>
                <w:color w:val="000000" w:themeColor="text1"/>
                <w:spacing w:val="-6"/>
                <w:szCs w:val="21"/>
                <w14:textFill>
                  <w14:solidFill>
                    <w14:schemeClr w14:val="tx1"/>
                  </w14:solidFill>
                </w14:textFill>
              </w:rPr>
              <w:t>本项目采购要求</w:t>
            </w:r>
            <w:r>
              <w:rPr>
                <w:rFonts w:hint="eastAsia"/>
                <w:bCs/>
                <w:color w:val="000000" w:themeColor="text1"/>
                <w:spacing w:val="-6"/>
                <w:szCs w:val="21"/>
                <w:lang w:val="en-US" w:eastAsia="zh-CN"/>
                <w14:textFill>
                  <w14:solidFill>
                    <w14:schemeClr w14:val="tx1"/>
                  </w14:solidFill>
                </w14:textFill>
              </w:rPr>
              <w:t>的得1分。</w:t>
            </w:r>
          </w:p>
        </w:tc>
        <w:tc>
          <w:tcPr>
            <w:tcW w:w="675" w:type="dxa"/>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5</w:t>
            </w:r>
          </w:p>
        </w:tc>
        <w:tc>
          <w:tcPr>
            <w:tcW w:w="1185"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bCs/>
                <w:color w:val="000000" w:themeColor="text1"/>
                <w:sz w:val="21"/>
                <w:szCs w:val="21"/>
                <w14:textFill>
                  <w14:solidFill>
                    <w14:schemeClr w14:val="tx1"/>
                  </w14:solidFill>
                </w14:textFill>
              </w:rPr>
              <w:t>主观分</w:t>
            </w:r>
          </w:p>
        </w:tc>
        <w:tc>
          <w:tcPr>
            <w:tcW w:w="1352"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9</w:t>
            </w:r>
          </w:p>
        </w:tc>
        <w:tc>
          <w:tcPr>
            <w:tcW w:w="4635" w:type="dxa"/>
            <w:vAlign w:val="center"/>
          </w:tcPr>
          <w:p>
            <w:pPr>
              <w:snapToGrid w:val="0"/>
              <w:spacing w:line="360" w:lineRule="auto"/>
              <w:jc w:val="left"/>
              <w:rPr>
                <w:rFonts w:cs="仿宋_GB2312" w:asciiTheme="minorEastAsia" w:hAnsiTheme="minorEastAsia" w:eastAsiaTheme="minorEastAsia"/>
                <w:color w:val="000000" w:themeColor="text1"/>
                <w:sz w:val="24"/>
                <w14:textFill>
                  <w14:solidFill>
                    <w14:schemeClr w14:val="tx1"/>
                  </w14:solidFill>
                </w14:textFill>
              </w:rPr>
            </w:pPr>
            <w:r>
              <w:rPr>
                <w:rFonts w:hint="eastAsia"/>
                <w:b/>
                <w:bCs/>
                <w:color w:val="000000" w:themeColor="text1"/>
                <w:szCs w:val="21"/>
                <w14:textFill>
                  <w14:solidFill>
                    <w14:schemeClr w14:val="tx1"/>
                  </w14:solidFill>
                </w14:textFill>
              </w:rPr>
              <w:t>知识产权：</w:t>
            </w:r>
            <w:r>
              <w:rPr>
                <w:rFonts w:hint="eastAsia"/>
                <w:color w:val="000000" w:themeColor="text1"/>
                <w:szCs w:val="21"/>
                <w14:textFill>
                  <w14:solidFill>
                    <w14:schemeClr w14:val="tx1"/>
                  </w14:solidFill>
                </w14:textFill>
              </w:rPr>
              <w:t>投标人或所投产品厂商具有国家专利证书的，提供一项得</w:t>
            </w:r>
            <w:r>
              <w:rPr>
                <w:color w:val="000000" w:themeColor="text1"/>
                <w:szCs w:val="21"/>
                <w14:textFill>
                  <w14:solidFill>
                    <w14:schemeClr w14:val="tx1"/>
                  </w14:solidFill>
                </w14:textFill>
              </w:rPr>
              <w:t>0.5</w:t>
            </w:r>
            <w:r>
              <w:rPr>
                <w:rFonts w:hint="eastAsia"/>
                <w:color w:val="000000" w:themeColor="text1"/>
                <w:szCs w:val="21"/>
                <w14:textFill>
                  <w14:solidFill>
                    <w14:schemeClr w14:val="tx1"/>
                  </w14:solidFill>
                </w14:textFill>
              </w:rPr>
              <w:t>分，最多得</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分。（</w:t>
            </w:r>
            <w:r>
              <w:rPr>
                <w:rFonts w:hint="eastAsia"/>
                <w:b/>
                <w:bCs/>
                <w:color w:val="000000" w:themeColor="text1"/>
                <w:szCs w:val="21"/>
                <w14:textFill>
                  <w14:solidFill>
                    <w14:schemeClr w14:val="tx1"/>
                  </w14:solidFill>
                </w14:textFill>
              </w:rPr>
              <w:t>须提供相应证书复印件，未提供不得分</w:t>
            </w:r>
            <w:r>
              <w:rPr>
                <w:rFonts w:hint="eastAsia"/>
                <w:color w:val="000000" w:themeColor="text1"/>
                <w:szCs w:val="21"/>
                <w14:textFill>
                  <w14:solidFill>
                    <w14:schemeClr w14:val="tx1"/>
                  </w14:solidFill>
                </w14:textFill>
              </w:rPr>
              <w:t>）。</w:t>
            </w:r>
          </w:p>
        </w:tc>
        <w:tc>
          <w:tcPr>
            <w:tcW w:w="675" w:type="dxa"/>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2</w:t>
            </w:r>
          </w:p>
        </w:tc>
        <w:tc>
          <w:tcPr>
            <w:tcW w:w="1185"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bCs/>
                <w:color w:val="000000" w:themeColor="text1"/>
                <w:sz w:val="21"/>
                <w:szCs w:val="21"/>
                <w14:textFill>
                  <w14:solidFill>
                    <w14:schemeClr w14:val="tx1"/>
                  </w14:solidFill>
                </w14:textFill>
              </w:rPr>
              <w:t>客观分</w:t>
            </w:r>
          </w:p>
        </w:tc>
        <w:tc>
          <w:tcPr>
            <w:tcW w:w="1352"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10</w:t>
            </w:r>
          </w:p>
        </w:tc>
        <w:tc>
          <w:tcPr>
            <w:tcW w:w="4635" w:type="dxa"/>
            <w:vAlign w:val="center"/>
          </w:tcPr>
          <w:p>
            <w:pPr>
              <w:adjustRightInd w:val="0"/>
              <w:snapToGrid w:val="0"/>
              <w:jc w:val="left"/>
              <w:rPr>
                <w:rFonts w:hint="eastAsia" w:eastAsia="宋体"/>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装修装饰材料和设备的质量档次、性能、先进性、稳定性和耐用性，确保建成后医疗环境的绿色、环保、品质，根据能够满足项目需求的程度进行评分。</w:t>
            </w:r>
          </w:p>
          <w:p>
            <w:pPr>
              <w:adjustRightInd w:val="0"/>
              <w:snapToGrid w:val="0"/>
              <w:jc w:val="left"/>
              <w:rPr>
                <w:rFonts w:hint="eastAsia" w:eastAsia="宋体"/>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材料和设备质量档次、各项性能满足或优于采购要求，建成后完全满足采购人医疗环境品质要求的得</w:t>
            </w:r>
            <w:r>
              <w:rPr>
                <w:rFonts w:hint="eastAsia"/>
                <w:color w:val="000000" w:themeColor="text1"/>
                <w:szCs w:val="21"/>
                <w:lang w:val="en-US" w:eastAsia="zh-CN"/>
                <w14:textFill>
                  <w14:solidFill>
                    <w14:schemeClr w14:val="tx1"/>
                  </w14:solidFill>
                </w14:textFill>
              </w:rPr>
              <w:t>5</w:t>
            </w:r>
            <w:r>
              <w:rPr>
                <w:rFonts w:hint="eastAsia"/>
                <w:color w:val="000000" w:themeColor="text1"/>
                <w:szCs w:val="21"/>
                <w14:textFill>
                  <w14:solidFill>
                    <w14:schemeClr w14:val="tx1"/>
                  </w14:solidFill>
                </w14:textFill>
              </w:rPr>
              <w:t>分；</w:t>
            </w:r>
          </w:p>
          <w:p>
            <w:pPr>
              <w:adjustRightInd w:val="0"/>
              <w:snapToGrid w:val="0"/>
              <w:jc w:val="left"/>
              <w:rPr>
                <w:rFonts w:hint="eastAsia" w:eastAsia="宋体"/>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材料和设备质量、性能大部分满足采购要求，建成后基本满足采购人医疗环境品质要求的得3分；</w:t>
            </w:r>
          </w:p>
          <w:p>
            <w:pPr>
              <w:adjustRightInd w:val="0"/>
              <w:snapToGrid w:val="0"/>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材料和设备质量、性能无法完全满足采购人要求的得1分；</w:t>
            </w:r>
          </w:p>
          <w:p>
            <w:pPr>
              <w:snapToGrid w:val="0"/>
              <w:spacing w:line="360" w:lineRule="auto"/>
              <w:jc w:val="left"/>
              <w:rPr>
                <w:rFonts w:cs="仿宋_GB2312" w:asciiTheme="minorEastAsia" w:hAnsiTheme="minorEastAsia" w:eastAsiaTheme="minorEastAsia"/>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未提供的不得分。</w:t>
            </w:r>
          </w:p>
        </w:tc>
        <w:tc>
          <w:tcPr>
            <w:tcW w:w="675" w:type="dxa"/>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5</w:t>
            </w:r>
          </w:p>
        </w:tc>
        <w:tc>
          <w:tcPr>
            <w:tcW w:w="1185"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bCs/>
                <w:color w:val="000000" w:themeColor="text1"/>
                <w:sz w:val="21"/>
                <w:szCs w:val="21"/>
                <w14:textFill>
                  <w14:solidFill>
                    <w14:schemeClr w14:val="tx1"/>
                  </w14:solidFill>
                </w14:textFill>
              </w:rPr>
              <w:t>主观分</w:t>
            </w:r>
          </w:p>
        </w:tc>
        <w:tc>
          <w:tcPr>
            <w:tcW w:w="1352"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11</w:t>
            </w:r>
          </w:p>
        </w:tc>
        <w:tc>
          <w:tcPr>
            <w:tcW w:w="4635" w:type="dxa"/>
            <w:vAlign w:val="center"/>
          </w:tcPr>
          <w:p>
            <w:pPr>
              <w:adjustRightInd w:val="0"/>
              <w:snapToGrid w:val="0"/>
              <w:jc w:val="left"/>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空气处理机组、加湿器、排风机等净化空调设备和材料的质量档次、性能、先进性、稳定性、耐用性。</w:t>
            </w:r>
          </w:p>
          <w:p>
            <w:pPr>
              <w:adjustRightInd w:val="0"/>
              <w:snapToGrid w:val="0"/>
              <w:jc w:val="left"/>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14:textFill>
                  <w14:solidFill>
                    <w14:schemeClr w14:val="tx1"/>
                  </w14:solidFill>
                </w14:textFill>
              </w:rPr>
              <w:t>材料和设备质量档次、各项性能满足或优于采购要求，建成后完全满足采购人医疗要求的得</w:t>
            </w:r>
            <w:r>
              <w:rPr>
                <w:rFonts w:hint="eastAsia"/>
                <w:color w:val="000000" w:themeColor="text1"/>
                <w:szCs w:val="21"/>
                <w:highlight w:val="none"/>
                <w:lang w:val="en-US" w:eastAsia="zh-CN"/>
                <w14:textFill>
                  <w14:solidFill>
                    <w14:schemeClr w14:val="tx1"/>
                  </w14:solidFill>
                </w14:textFill>
              </w:rPr>
              <w:t>5</w:t>
            </w:r>
            <w:r>
              <w:rPr>
                <w:rFonts w:hint="eastAsia"/>
                <w:color w:val="000000" w:themeColor="text1"/>
                <w:szCs w:val="21"/>
                <w:highlight w:val="none"/>
                <w14:textFill>
                  <w14:solidFill>
                    <w14:schemeClr w14:val="tx1"/>
                  </w14:solidFill>
                </w14:textFill>
              </w:rPr>
              <w:t>分；</w:t>
            </w:r>
          </w:p>
          <w:p>
            <w:pPr>
              <w:adjustRightInd w:val="0"/>
              <w:snapToGrid w:val="0"/>
              <w:jc w:val="left"/>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14:textFill>
                  <w14:solidFill>
                    <w14:schemeClr w14:val="tx1"/>
                  </w14:solidFill>
                </w14:textFill>
              </w:rPr>
              <w:t>材料和设备质量、性能大部分满足采购要求，建成后基本满足采购人医疗要求的得</w:t>
            </w:r>
            <w:r>
              <w:rPr>
                <w:rFonts w:hint="eastAsia"/>
                <w:color w:val="000000" w:themeColor="text1"/>
                <w:szCs w:val="21"/>
                <w:highlight w:val="none"/>
                <w:lang w:val="en-US" w:eastAsia="zh-CN"/>
                <w14:textFill>
                  <w14:solidFill>
                    <w14:schemeClr w14:val="tx1"/>
                  </w14:solidFill>
                </w14:textFill>
              </w:rPr>
              <w:t>3</w:t>
            </w:r>
            <w:r>
              <w:rPr>
                <w:rFonts w:hint="eastAsia"/>
                <w:color w:val="000000" w:themeColor="text1"/>
                <w:szCs w:val="21"/>
                <w:highlight w:val="none"/>
                <w14:textFill>
                  <w14:solidFill>
                    <w14:schemeClr w14:val="tx1"/>
                  </w14:solidFill>
                </w14:textFill>
              </w:rPr>
              <w:t>分；</w:t>
            </w:r>
          </w:p>
          <w:p>
            <w:pPr>
              <w:adjustRightInd w:val="0"/>
              <w:snapToGrid w:val="0"/>
              <w:jc w:val="left"/>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材料和设备质量、性能无法完全满足采购人要求的得1分；</w:t>
            </w:r>
          </w:p>
          <w:p>
            <w:pPr>
              <w:snapToGrid w:val="0"/>
              <w:spacing w:line="360" w:lineRule="auto"/>
              <w:jc w:val="left"/>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未提供的不得分。</w:t>
            </w:r>
          </w:p>
        </w:tc>
        <w:tc>
          <w:tcPr>
            <w:tcW w:w="675" w:type="dxa"/>
            <w:vAlign w:val="center"/>
          </w:tcPr>
          <w:p>
            <w:pPr>
              <w:snapToGrid w:val="0"/>
              <w:spacing w:line="360" w:lineRule="auto"/>
              <w:jc w:val="center"/>
              <w:rPr>
                <w:rFonts w:hint="eastAsia" w:cs="仿宋_GB2312"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highlight w:val="none"/>
                <w:lang w:val="en-US" w:eastAsia="zh-CN"/>
                <w14:textFill>
                  <w14:solidFill>
                    <w14:schemeClr w14:val="tx1"/>
                  </w14:solidFill>
                </w14:textFill>
              </w:rPr>
              <w:t>5</w:t>
            </w:r>
          </w:p>
        </w:tc>
        <w:tc>
          <w:tcPr>
            <w:tcW w:w="1185" w:type="dxa"/>
            <w:vAlign w:val="center"/>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cs="仿宋_GB2312" w:asciiTheme="minorEastAsia" w:hAnsiTheme="minorEastAsia" w:eastAsiaTheme="minorEastAsia"/>
                <w:bCs/>
                <w:color w:val="000000" w:themeColor="text1"/>
                <w:sz w:val="21"/>
                <w:szCs w:val="21"/>
                <w:highlight w:val="none"/>
                <w14:textFill>
                  <w14:solidFill>
                    <w14:schemeClr w14:val="tx1"/>
                  </w14:solidFill>
                </w14:textFill>
              </w:rPr>
              <w:t>主观分</w:t>
            </w:r>
          </w:p>
        </w:tc>
        <w:tc>
          <w:tcPr>
            <w:tcW w:w="1352"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12</w:t>
            </w:r>
          </w:p>
        </w:tc>
        <w:tc>
          <w:tcPr>
            <w:tcW w:w="4635" w:type="dxa"/>
            <w:vAlign w:val="center"/>
          </w:tcPr>
          <w:p>
            <w:pPr>
              <w:snapToGrid w:val="0"/>
              <w:spacing w:line="360" w:lineRule="auto"/>
              <w:jc w:val="left"/>
              <w:rPr>
                <w:rFonts w:hint="default"/>
                <w:lang w:val="en-US" w:eastAsia="zh-CN"/>
              </w:rPr>
            </w:pPr>
            <w:r>
              <w:rPr>
                <w:rFonts w:hint="eastAsia"/>
              </w:rPr>
              <w:t>净化空调设备的能耗、噪音高低进行评分，需提供净化空调设备生产厂家的产品彩页进行证明</w:t>
            </w:r>
            <w:r>
              <w:rPr>
                <w:rFonts w:hint="eastAsia"/>
                <w:lang w:eastAsia="zh-CN"/>
              </w:rPr>
              <w:t>。</w:t>
            </w:r>
          </w:p>
        </w:tc>
        <w:tc>
          <w:tcPr>
            <w:tcW w:w="675" w:type="dxa"/>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3</w:t>
            </w:r>
          </w:p>
        </w:tc>
        <w:tc>
          <w:tcPr>
            <w:tcW w:w="1185"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bCs/>
                <w:color w:val="000000" w:themeColor="text1"/>
                <w:sz w:val="21"/>
                <w:szCs w:val="21"/>
                <w14:textFill>
                  <w14:solidFill>
                    <w14:schemeClr w14:val="tx1"/>
                  </w14:solidFill>
                </w14:textFill>
              </w:rPr>
              <w:t>主观分</w:t>
            </w:r>
          </w:p>
        </w:tc>
        <w:tc>
          <w:tcPr>
            <w:tcW w:w="1352"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13</w:t>
            </w:r>
          </w:p>
        </w:tc>
        <w:tc>
          <w:tcPr>
            <w:tcW w:w="4635" w:type="dxa"/>
            <w:vAlign w:val="center"/>
          </w:tcPr>
          <w:p>
            <w:pPr>
              <w:adjustRightInd w:val="0"/>
              <w:snapToGrid w:val="0"/>
              <w:jc w:val="left"/>
              <w:rPr>
                <w:rFonts w:hint="eastAsia" w:eastAsia="宋体"/>
                <w:color w:val="000000" w:themeColor="text1"/>
                <w:szCs w:val="21"/>
                <w:highlight w:val="none"/>
                <w:lang w:eastAsia="zh-CN"/>
                <w14:textFill>
                  <w14:solidFill>
                    <w14:schemeClr w14:val="tx1"/>
                  </w14:solidFill>
                </w14:textFill>
              </w:rPr>
            </w:pPr>
            <w:r>
              <w:rPr>
                <w:color w:val="000000" w:themeColor="text1"/>
                <w:szCs w:val="21"/>
                <w:highlight w:val="none"/>
                <w14:textFill>
                  <w14:solidFill>
                    <w14:schemeClr w14:val="tx1"/>
                  </w14:solidFill>
                </w14:textFill>
              </w:rPr>
              <w:t>UPS</w:t>
            </w:r>
            <w:r>
              <w:rPr>
                <w:rFonts w:hint="eastAsia"/>
                <w:color w:val="000000" w:themeColor="text1"/>
                <w:szCs w:val="21"/>
                <w:highlight w:val="none"/>
                <w14:textFill>
                  <w14:solidFill>
                    <w14:schemeClr w14:val="tx1"/>
                  </w14:solidFill>
                </w14:textFill>
              </w:rPr>
              <w:t>、医疗</w:t>
            </w:r>
            <w:r>
              <w:rPr>
                <w:color w:val="000000" w:themeColor="text1"/>
                <w:szCs w:val="21"/>
                <w:highlight w:val="none"/>
                <w14:textFill>
                  <w14:solidFill>
                    <w14:schemeClr w14:val="tx1"/>
                  </w14:solidFill>
                </w14:textFill>
              </w:rPr>
              <w:t>IT</w:t>
            </w:r>
            <w:r>
              <w:rPr>
                <w:rFonts w:hint="eastAsia"/>
                <w:color w:val="000000" w:themeColor="text1"/>
                <w:szCs w:val="21"/>
                <w:highlight w:val="none"/>
                <w14:textFill>
                  <w14:solidFill>
                    <w14:schemeClr w14:val="tx1"/>
                  </w14:solidFill>
                </w14:textFill>
              </w:rPr>
              <w:t>系统等电气及其自动控制设备和材料的质量档次、</w:t>
            </w:r>
            <w:r>
              <w:rPr>
                <w:rFonts w:hint="eastAsia"/>
                <w:color w:val="000000" w:themeColor="text1"/>
                <w:szCs w:val="21"/>
                <w:highlight w:val="none"/>
                <w:lang w:eastAsia="zh-CN"/>
                <w14:textFill>
                  <w14:solidFill>
                    <w14:schemeClr w14:val="tx1"/>
                  </w14:solidFill>
                </w14:textFill>
              </w:rPr>
              <w:t>品牌适宜性</w:t>
            </w:r>
            <w:r>
              <w:rPr>
                <w:rFonts w:hint="eastAsia"/>
                <w:color w:val="000000" w:themeColor="text1"/>
                <w:szCs w:val="21"/>
                <w:highlight w:val="none"/>
                <w14:textFill>
                  <w14:solidFill>
                    <w14:schemeClr w14:val="tx1"/>
                  </w14:solidFill>
                </w14:textFill>
              </w:rPr>
              <w:t>、性能、先进性、稳定性、耐用性和设备参数的满足性。</w:t>
            </w:r>
          </w:p>
          <w:p>
            <w:pPr>
              <w:adjustRightInd w:val="0"/>
              <w:snapToGrid w:val="0"/>
              <w:jc w:val="left"/>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14:textFill>
                  <w14:solidFill>
                    <w14:schemeClr w14:val="tx1"/>
                  </w14:solidFill>
                </w14:textFill>
              </w:rPr>
              <w:t>材料和设备质量档次、各项性能满足或优于采购要求，建成后完全满足采购人医疗要求的得</w:t>
            </w:r>
            <w:r>
              <w:rPr>
                <w:rFonts w:hint="eastAsia"/>
                <w:color w:val="000000" w:themeColor="text1"/>
                <w:szCs w:val="21"/>
                <w:highlight w:val="none"/>
                <w:lang w:val="en-US" w:eastAsia="zh-CN"/>
                <w14:textFill>
                  <w14:solidFill>
                    <w14:schemeClr w14:val="tx1"/>
                  </w14:solidFill>
                </w14:textFill>
              </w:rPr>
              <w:t>4</w:t>
            </w:r>
            <w:r>
              <w:rPr>
                <w:rFonts w:hint="eastAsia"/>
                <w:color w:val="000000" w:themeColor="text1"/>
                <w:szCs w:val="21"/>
                <w:highlight w:val="none"/>
                <w14:textFill>
                  <w14:solidFill>
                    <w14:schemeClr w14:val="tx1"/>
                  </w14:solidFill>
                </w14:textFill>
              </w:rPr>
              <w:t>分；</w:t>
            </w:r>
          </w:p>
          <w:p>
            <w:pPr>
              <w:adjustRightInd w:val="0"/>
              <w:snapToGrid w:val="0"/>
              <w:jc w:val="left"/>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14:textFill>
                  <w14:solidFill>
                    <w14:schemeClr w14:val="tx1"/>
                  </w14:solidFill>
                </w14:textFill>
              </w:rPr>
              <w:t>材料和设备质量、性能大部分满足采购要求，建成后基本满足采购人医疗要求的得</w:t>
            </w:r>
            <w:r>
              <w:rPr>
                <w:rFonts w:hint="eastAsia"/>
                <w:color w:val="000000" w:themeColor="text1"/>
                <w:szCs w:val="21"/>
                <w:highlight w:val="none"/>
                <w:lang w:val="en-US" w:eastAsia="zh-CN"/>
                <w14:textFill>
                  <w14:solidFill>
                    <w14:schemeClr w14:val="tx1"/>
                  </w14:solidFill>
                </w14:textFill>
              </w:rPr>
              <w:t>3</w:t>
            </w:r>
            <w:r>
              <w:rPr>
                <w:rFonts w:hint="eastAsia"/>
                <w:color w:val="000000" w:themeColor="text1"/>
                <w:szCs w:val="21"/>
                <w:highlight w:val="none"/>
                <w14:textFill>
                  <w14:solidFill>
                    <w14:schemeClr w14:val="tx1"/>
                  </w14:solidFill>
                </w14:textFill>
              </w:rPr>
              <w:t>分；</w:t>
            </w:r>
          </w:p>
          <w:p>
            <w:pPr>
              <w:adjustRightInd w:val="0"/>
              <w:snapToGrid w:val="0"/>
              <w:jc w:val="left"/>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材料和设备质量、性能无法完全满足采购人要求的得1分；</w:t>
            </w:r>
          </w:p>
          <w:p>
            <w:pPr>
              <w:snapToGrid w:val="0"/>
              <w:spacing w:line="360" w:lineRule="auto"/>
              <w:jc w:val="left"/>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未提供的不得分。</w:t>
            </w:r>
          </w:p>
        </w:tc>
        <w:tc>
          <w:tcPr>
            <w:tcW w:w="675" w:type="dxa"/>
            <w:vAlign w:val="center"/>
          </w:tcPr>
          <w:p>
            <w:pPr>
              <w:snapToGrid w:val="0"/>
              <w:spacing w:line="360" w:lineRule="auto"/>
              <w:jc w:val="center"/>
              <w:rPr>
                <w:rFonts w:hint="eastAsia" w:cs="仿宋_GB2312"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highlight w:val="none"/>
                <w:lang w:val="en-US" w:eastAsia="zh-CN"/>
                <w14:textFill>
                  <w14:solidFill>
                    <w14:schemeClr w14:val="tx1"/>
                  </w14:solidFill>
                </w14:textFill>
              </w:rPr>
              <w:t>4</w:t>
            </w:r>
          </w:p>
        </w:tc>
        <w:tc>
          <w:tcPr>
            <w:tcW w:w="1185" w:type="dxa"/>
            <w:vAlign w:val="center"/>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cs="仿宋_GB2312" w:asciiTheme="minorEastAsia" w:hAnsiTheme="minorEastAsia" w:eastAsiaTheme="minorEastAsia"/>
                <w:bCs/>
                <w:color w:val="000000" w:themeColor="text1"/>
                <w:sz w:val="21"/>
                <w:szCs w:val="21"/>
                <w:highlight w:val="none"/>
                <w14:textFill>
                  <w14:solidFill>
                    <w14:schemeClr w14:val="tx1"/>
                  </w14:solidFill>
                </w14:textFill>
              </w:rPr>
              <w:t>主观分</w:t>
            </w:r>
          </w:p>
        </w:tc>
        <w:tc>
          <w:tcPr>
            <w:tcW w:w="1352" w:type="dxa"/>
            <w:vAlign w:val="center"/>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14</w:t>
            </w:r>
          </w:p>
        </w:tc>
        <w:tc>
          <w:tcPr>
            <w:tcW w:w="4635" w:type="dxa"/>
            <w:vAlign w:val="center"/>
          </w:tcPr>
          <w:p>
            <w:pPr>
              <w:adjustRightInd w:val="0"/>
              <w:snapToGrid w:val="0"/>
              <w:jc w:val="left"/>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14:textFill>
                  <w14:solidFill>
                    <w14:schemeClr w14:val="tx1"/>
                  </w14:solidFill>
                </w14:textFill>
              </w:rPr>
              <w:t>多功能控制箱、自动门、净化灯等室内器械设备的质量档次、</w:t>
            </w:r>
            <w:r>
              <w:rPr>
                <w:rFonts w:hint="eastAsia"/>
                <w:color w:val="000000" w:themeColor="text1"/>
                <w:szCs w:val="21"/>
                <w:highlight w:val="none"/>
                <w:lang w:eastAsia="zh-CN"/>
                <w14:textFill>
                  <w14:solidFill>
                    <w14:schemeClr w14:val="tx1"/>
                  </w14:solidFill>
                </w14:textFill>
              </w:rPr>
              <w:t>品牌适宜性</w:t>
            </w:r>
            <w:r>
              <w:rPr>
                <w:rFonts w:hint="eastAsia"/>
                <w:color w:val="000000" w:themeColor="text1"/>
                <w:szCs w:val="21"/>
                <w:highlight w:val="none"/>
                <w14:textFill>
                  <w14:solidFill>
                    <w14:schemeClr w14:val="tx1"/>
                  </w14:solidFill>
                </w14:textFill>
              </w:rPr>
              <w:t>、先进性、稳定性、耐用性，根据能够满足项目需求的程度进行综合打分。</w:t>
            </w:r>
          </w:p>
          <w:p>
            <w:pPr>
              <w:adjustRightInd w:val="0"/>
              <w:snapToGrid w:val="0"/>
              <w:jc w:val="left"/>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14:textFill>
                  <w14:solidFill>
                    <w14:schemeClr w14:val="tx1"/>
                  </w14:solidFill>
                </w14:textFill>
              </w:rPr>
              <w:t>材料和设备质量档次、各项性能满足或优于采购要求，建成后完全满足采购人医疗要求的得</w:t>
            </w:r>
            <w:r>
              <w:rPr>
                <w:rFonts w:hint="eastAsia"/>
                <w:color w:val="000000" w:themeColor="text1"/>
                <w:szCs w:val="21"/>
                <w:highlight w:val="none"/>
                <w:lang w:val="en-US" w:eastAsia="zh-CN"/>
                <w14:textFill>
                  <w14:solidFill>
                    <w14:schemeClr w14:val="tx1"/>
                  </w14:solidFill>
                </w14:textFill>
              </w:rPr>
              <w:t>5</w:t>
            </w:r>
            <w:r>
              <w:rPr>
                <w:rFonts w:hint="eastAsia"/>
                <w:color w:val="000000" w:themeColor="text1"/>
                <w:szCs w:val="21"/>
                <w:highlight w:val="none"/>
                <w14:textFill>
                  <w14:solidFill>
                    <w14:schemeClr w14:val="tx1"/>
                  </w14:solidFill>
                </w14:textFill>
              </w:rPr>
              <w:t>分；</w:t>
            </w:r>
          </w:p>
          <w:p>
            <w:pPr>
              <w:adjustRightInd w:val="0"/>
              <w:snapToGrid w:val="0"/>
              <w:jc w:val="left"/>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14:textFill>
                  <w14:solidFill>
                    <w14:schemeClr w14:val="tx1"/>
                  </w14:solidFill>
                </w14:textFill>
              </w:rPr>
              <w:t>材料和设备质量、性能大部分满足采购要求，建成后基本满足采购人医疗要求的得</w:t>
            </w:r>
            <w:r>
              <w:rPr>
                <w:rFonts w:hint="eastAsia"/>
                <w:color w:val="000000" w:themeColor="text1"/>
                <w:szCs w:val="21"/>
                <w:highlight w:val="none"/>
                <w:lang w:val="en-US" w:eastAsia="zh-CN"/>
                <w14:textFill>
                  <w14:solidFill>
                    <w14:schemeClr w14:val="tx1"/>
                  </w14:solidFill>
                </w14:textFill>
              </w:rPr>
              <w:t>3</w:t>
            </w:r>
            <w:r>
              <w:rPr>
                <w:rFonts w:hint="eastAsia"/>
                <w:color w:val="000000" w:themeColor="text1"/>
                <w:szCs w:val="21"/>
                <w:highlight w:val="none"/>
                <w14:textFill>
                  <w14:solidFill>
                    <w14:schemeClr w14:val="tx1"/>
                  </w14:solidFill>
                </w14:textFill>
              </w:rPr>
              <w:t>分；</w:t>
            </w:r>
          </w:p>
          <w:p>
            <w:pPr>
              <w:adjustRightInd w:val="0"/>
              <w:snapToGrid w:val="0"/>
              <w:jc w:val="left"/>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材料和设备质量、性能无法完全满足采购人要求的得1分；</w:t>
            </w:r>
          </w:p>
          <w:p>
            <w:pPr>
              <w:snapToGrid w:val="0"/>
              <w:spacing w:line="360" w:lineRule="auto"/>
              <w:jc w:val="left"/>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未提供的不得分。</w:t>
            </w:r>
          </w:p>
        </w:tc>
        <w:tc>
          <w:tcPr>
            <w:tcW w:w="675" w:type="dxa"/>
            <w:vAlign w:val="center"/>
          </w:tcPr>
          <w:p>
            <w:pPr>
              <w:snapToGrid w:val="0"/>
              <w:spacing w:line="360" w:lineRule="auto"/>
              <w:jc w:val="center"/>
              <w:rPr>
                <w:rFonts w:hint="eastAsia" w:cs="仿宋_GB2312"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highlight w:val="none"/>
                <w:lang w:val="en-US" w:eastAsia="zh-CN"/>
                <w14:textFill>
                  <w14:solidFill>
                    <w14:schemeClr w14:val="tx1"/>
                  </w14:solidFill>
                </w14:textFill>
              </w:rPr>
              <w:t>5</w:t>
            </w:r>
          </w:p>
        </w:tc>
        <w:tc>
          <w:tcPr>
            <w:tcW w:w="1185" w:type="dxa"/>
            <w:vAlign w:val="center"/>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cs="仿宋_GB2312" w:asciiTheme="minorEastAsia" w:hAnsiTheme="minorEastAsia" w:eastAsiaTheme="minorEastAsia"/>
                <w:bCs/>
                <w:color w:val="000000" w:themeColor="text1"/>
                <w:sz w:val="21"/>
                <w:szCs w:val="21"/>
                <w:highlight w:val="none"/>
                <w14:textFill>
                  <w14:solidFill>
                    <w14:schemeClr w14:val="tx1"/>
                  </w14:solidFill>
                </w14:textFill>
              </w:rPr>
              <w:t>主观分</w:t>
            </w:r>
          </w:p>
        </w:tc>
        <w:tc>
          <w:tcPr>
            <w:tcW w:w="1352" w:type="dxa"/>
            <w:vAlign w:val="center"/>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15</w:t>
            </w:r>
          </w:p>
        </w:tc>
        <w:tc>
          <w:tcPr>
            <w:tcW w:w="4635" w:type="dxa"/>
            <w:vAlign w:val="center"/>
          </w:tcPr>
          <w:p>
            <w:pPr>
              <w:adjustRightInd w:val="0"/>
              <w:snapToGrid w:val="0"/>
              <w:jc w:val="left"/>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医用气体</w:t>
            </w:r>
            <w:r>
              <w:rPr>
                <w:rFonts w:hint="eastAsia"/>
                <w:color w:val="000000" w:themeColor="text1"/>
                <w:szCs w:val="21"/>
                <w:highlight w:val="none"/>
                <w14:textFill>
                  <w14:solidFill>
                    <w14:schemeClr w14:val="tx1"/>
                  </w14:solidFill>
                </w14:textFill>
              </w:rPr>
              <w:t>系统设备和材料等的质量档次、性能、先进性、稳定性、耐用性和兼容性，根据能够满足项目需求的程度进行综合打分。</w:t>
            </w:r>
          </w:p>
          <w:p>
            <w:pPr>
              <w:adjustRightInd w:val="0"/>
              <w:snapToGrid w:val="0"/>
              <w:jc w:val="left"/>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14:textFill>
                  <w14:solidFill>
                    <w14:schemeClr w14:val="tx1"/>
                  </w14:solidFill>
                </w14:textFill>
              </w:rPr>
              <w:t>材料和设备质量档次、各项性能满足或优于采购要求，建成后完全满足采购人医疗要求的得3分；</w:t>
            </w:r>
          </w:p>
          <w:p>
            <w:pPr>
              <w:adjustRightInd w:val="0"/>
              <w:snapToGrid w:val="0"/>
              <w:jc w:val="left"/>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14:textFill>
                  <w14:solidFill>
                    <w14:schemeClr w14:val="tx1"/>
                  </w14:solidFill>
                </w14:textFill>
              </w:rPr>
              <w:t>材料和设备质量、性能大部分满足采购要求，建成后基本满足采购人医疗要求的得2分；</w:t>
            </w:r>
          </w:p>
          <w:p>
            <w:pPr>
              <w:adjustRightInd w:val="0"/>
              <w:snapToGrid w:val="0"/>
              <w:jc w:val="left"/>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材料和设备质量、性能无法完全满足采购人要求的得1分；</w:t>
            </w:r>
          </w:p>
          <w:p>
            <w:pPr>
              <w:snapToGrid w:val="0"/>
              <w:spacing w:line="360" w:lineRule="auto"/>
              <w:jc w:val="left"/>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未提供的不得分。</w:t>
            </w:r>
          </w:p>
        </w:tc>
        <w:tc>
          <w:tcPr>
            <w:tcW w:w="675" w:type="dxa"/>
            <w:vAlign w:val="center"/>
          </w:tcPr>
          <w:p>
            <w:pPr>
              <w:snapToGrid w:val="0"/>
              <w:spacing w:line="360" w:lineRule="auto"/>
              <w:jc w:val="center"/>
              <w:rPr>
                <w:rFonts w:hint="eastAsia" w:cs="仿宋_GB2312"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highlight w:val="none"/>
                <w:lang w:val="en-US" w:eastAsia="zh-CN"/>
                <w14:textFill>
                  <w14:solidFill>
                    <w14:schemeClr w14:val="tx1"/>
                  </w14:solidFill>
                </w14:textFill>
              </w:rPr>
              <w:t>3</w:t>
            </w:r>
          </w:p>
        </w:tc>
        <w:tc>
          <w:tcPr>
            <w:tcW w:w="1185" w:type="dxa"/>
            <w:vAlign w:val="center"/>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cs="仿宋_GB2312" w:asciiTheme="minorEastAsia" w:hAnsiTheme="minorEastAsia" w:eastAsiaTheme="minorEastAsia"/>
                <w:bCs/>
                <w:color w:val="000000" w:themeColor="text1"/>
                <w:sz w:val="21"/>
                <w:szCs w:val="21"/>
                <w:highlight w:val="none"/>
                <w14:textFill>
                  <w14:solidFill>
                    <w14:schemeClr w14:val="tx1"/>
                  </w14:solidFill>
                </w14:textFill>
              </w:rPr>
              <w:t>主观分</w:t>
            </w:r>
          </w:p>
        </w:tc>
        <w:tc>
          <w:tcPr>
            <w:tcW w:w="1352"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16</w:t>
            </w:r>
          </w:p>
        </w:tc>
        <w:tc>
          <w:tcPr>
            <w:tcW w:w="4635" w:type="dxa"/>
            <w:vAlign w:val="center"/>
          </w:tcPr>
          <w:p>
            <w:pPr>
              <w:adjustRightInd w:val="0"/>
              <w:snapToGrid w:val="0"/>
              <w:jc w:val="left"/>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弱电</w:t>
            </w:r>
            <w:r>
              <w:rPr>
                <w:rFonts w:hint="eastAsia"/>
                <w:color w:val="000000" w:themeColor="text1"/>
                <w:szCs w:val="21"/>
                <w:highlight w:val="none"/>
                <w14:textFill>
                  <w14:solidFill>
                    <w14:schemeClr w14:val="tx1"/>
                  </w14:solidFill>
                </w14:textFill>
              </w:rPr>
              <w:t>系统设备的质量档次、性能、先进性、稳定性、耐用性和兼容性，根据能够满足项目需求的程度进行综合打分。</w:t>
            </w:r>
          </w:p>
          <w:p>
            <w:pPr>
              <w:adjustRightInd w:val="0"/>
              <w:snapToGrid w:val="0"/>
              <w:jc w:val="left"/>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14:textFill>
                  <w14:solidFill>
                    <w14:schemeClr w14:val="tx1"/>
                  </w14:solidFill>
                </w14:textFill>
              </w:rPr>
              <w:t>材料和设备质量档次、各项性能满足或优于采购要求，建成后完全满足采购人医疗要求</w:t>
            </w:r>
            <w:r>
              <w:rPr>
                <w:rFonts w:hint="eastAsia"/>
                <w:color w:val="000000" w:themeColor="text1"/>
                <w:szCs w:val="21"/>
                <w:highlight w:val="none"/>
                <w:lang w:eastAsia="zh-CN"/>
                <w14:textFill>
                  <w14:solidFill>
                    <w14:schemeClr w14:val="tx1"/>
                  </w14:solidFill>
                </w14:textFill>
              </w:rPr>
              <w:t>、可兼容原有系统</w:t>
            </w:r>
            <w:r>
              <w:rPr>
                <w:rFonts w:hint="eastAsia"/>
                <w:color w:val="000000" w:themeColor="text1"/>
                <w:szCs w:val="21"/>
                <w:highlight w:val="none"/>
                <w14:textFill>
                  <w14:solidFill>
                    <w14:schemeClr w14:val="tx1"/>
                  </w14:solidFill>
                </w14:textFill>
              </w:rPr>
              <w:t>的得3分；</w:t>
            </w:r>
          </w:p>
          <w:p>
            <w:pPr>
              <w:adjustRightInd w:val="0"/>
              <w:snapToGrid w:val="0"/>
              <w:jc w:val="left"/>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14:textFill>
                  <w14:solidFill>
                    <w14:schemeClr w14:val="tx1"/>
                  </w14:solidFill>
                </w14:textFill>
              </w:rPr>
              <w:t>材料和设备质量、性能大部分满足采购要求，建成后基本满足采购人医疗要求的得2分；</w:t>
            </w:r>
          </w:p>
          <w:p>
            <w:pPr>
              <w:adjustRightInd w:val="0"/>
              <w:snapToGrid w:val="0"/>
              <w:jc w:val="left"/>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材料和设备质量、性能无法完全满足采购人要求的得1分；</w:t>
            </w:r>
          </w:p>
          <w:p>
            <w:pPr>
              <w:snapToGrid w:val="0"/>
              <w:spacing w:line="360" w:lineRule="auto"/>
              <w:jc w:val="left"/>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未提供的不得分。</w:t>
            </w:r>
          </w:p>
        </w:tc>
        <w:tc>
          <w:tcPr>
            <w:tcW w:w="675" w:type="dxa"/>
            <w:vAlign w:val="center"/>
          </w:tcPr>
          <w:p>
            <w:pPr>
              <w:snapToGrid w:val="0"/>
              <w:spacing w:line="360" w:lineRule="auto"/>
              <w:jc w:val="center"/>
              <w:rPr>
                <w:rFonts w:hint="default" w:cs="仿宋_GB2312"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highlight w:val="none"/>
                <w:lang w:val="en-US" w:eastAsia="zh-CN"/>
                <w14:textFill>
                  <w14:solidFill>
                    <w14:schemeClr w14:val="tx1"/>
                  </w14:solidFill>
                </w14:textFill>
              </w:rPr>
              <w:t>3</w:t>
            </w:r>
          </w:p>
        </w:tc>
        <w:tc>
          <w:tcPr>
            <w:tcW w:w="1185" w:type="dxa"/>
            <w:vAlign w:val="center"/>
          </w:tcPr>
          <w:p>
            <w:pPr>
              <w:snapToGrid w:val="0"/>
              <w:spacing w:line="360" w:lineRule="auto"/>
              <w:jc w:val="center"/>
              <w:rPr>
                <w:rFonts w:hint="eastAsia" w:cs="仿宋_GB2312" w:asciiTheme="minorEastAsia" w:hAnsiTheme="minorEastAsia" w:eastAsiaTheme="minorEastAsia"/>
                <w:bCs/>
                <w:color w:val="000000" w:themeColor="text1"/>
                <w:sz w:val="21"/>
                <w:szCs w:val="21"/>
                <w:highlight w:val="none"/>
                <w14:textFill>
                  <w14:solidFill>
                    <w14:schemeClr w14:val="tx1"/>
                  </w14:solidFill>
                </w14:textFill>
              </w:rPr>
            </w:pPr>
            <w:r>
              <w:rPr>
                <w:rFonts w:hint="eastAsia" w:cs="仿宋_GB2312" w:asciiTheme="minorEastAsia" w:hAnsiTheme="minorEastAsia" w:eastAsiaTheme="minorEastAsia"/>
                <w:bCs/>
                <w:color w:val="000000" w:themeColor="text1"/>
                <w:sz w:val="21"/>
                <w:szCs w:val="21"/>
                <w:highlight w:val="none"/>
                <w14:textFill>
                  <w14:solidFill>
                    <w14:schemeClr w14:val="tx1"/>
                  </w14:solidFill>
                </w14:textFill>
              </w:rPr>
              <w:t>主观分</w:t>
            </w:r>
          </w:p>
        </w:tc>
        <w:tc>
          <w:tcPr>
            <w:tcW w:w="1352"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17</w:t>
            </w:r>
          </w:p>
        </w:tc>
        <w:tc>
          <w:tcPr>
            <w:tcW w:w="4635" w:type="dxa"/>
            <w:vAlign w:val="center"/>
          </w:tcPr>
          <w:p>
            <w:pPr>
              <w:adjustRightInd w:val="0"/>
              <w:snapToGrid w:val="0"/>
              <w:jc w:val="left"/>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技术培训：提供完整的技术培训计划，按照培训内容、培训时长、培训安排的优劣程度进行打分0-</w:t>
            </w:r>
            <w:r>
              <w:rPr>
                <w:rFonts w:hint="eastAsia"/>
                <w:color w:val="000000" w:themeColor="text1"/>
                <w:szCs w:val="21"/>
                <w:highlight w:val="none"/>
                <w:lang w:val="en-US" w:eastAsia="zh-CN"/>
                <w14:textFill>
                  <w14:solidFill>
                    <w14:schemeClr w14:val="tx1"/>
                  </w14:solidFill>
                </w14:textFill>
              </w:rPr>
              <w:t>3</w:t>
            </w:r>
            <w:r>
              <w:rPr>
                <w:rFonts w:hint="eastAsia"/>
                <w:color w:val="000000" w:themeColor="text1"/>
                <w:szCs w:val="21"/>
                <w:highlight w:val="none"/>
                <w14:textFill>
                  <w14:solidFill>
                    <w14:schemeClr w14:val="tx1"/>
                  </w14:solidFill>
                </w14:textFill>
              </w:rPr>
              <w:t>分。</w:t>
            </w:r>
          </w:p>
          <w:p>
            <w:pPr>
              <w:adjustRightInd w:val="0"/>
              <w:snapToGrid w:val="0"/>
              <w:jc w:val="left"/>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计划成熟，安排完善，培训内容满足后续实际使用要求，整体满足采购人要求的得</w:t>
            </w:r>
            <w:r>
              <w:rPr>
                <w:rFonts w:hint="eastAsia"/>
                <w:color w:val="000000" w:themeColor="text1"/>
                <w:szCs w:val="21"/>
                <w:highlight w:val="none"/>
                <w:lang w:val="en-US" w:eastAsia="zh-CN"/>
                <w14:textFill>
                  <w14:solidFill>
                    <w14:schemeClr w14:val="tx1"/>
                  </w14:solidFill>
                </w14:textFill>
              </w:rPr>
              <w:t>3</w:t>
            </w:r>
            <w:r>
              <w:rPr>
                <w:rFonts w:hint="eastAsia"/>
                <w:color w:val="000000" w:themeColor="text1"/>
                <w:szCs w:val="21"/>
                <w:highlight w:val="none"/>
                <w14:textFill>
                  <w14:solidFill>
                    <w14:schemeClr w14:val="tx1"/>
                  </w14:solidFill>
                </w14:textFill>
              </w:rPr>
              <w:t>分；</w:t>
            </w:r>
          </w:p>
          <w:p>
            <w:pPr>
              <w:adjustRightInd w:val="0"/>
              <w:snapToGrid w:val="0"/>
              <w:jc w:val="left"/>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培训内容充实、安排较为完善、基本满足采购人要求得</w:t>
            </w:r>
            <w:r>
              <w:rPr>
                <w:rFonts w:hint="eastAsia"/>
                <w:color w:val="000000" w:themeColor="text1"/>
                <w:szCs w:val="21"/>
                <w:highlight w:val="none"/>
                <w:lang w:val="en-US" w:eastAsia="zh-CN"/>
                <w14:textFill>
                  <w14:solidFill>
                    <w14:schemeClr w14:val="tx1"/>
                  </w14:solidFill>
                </w14:textFill>
              </w:rPr>
              <w:t>2</w:t>
            </w:r>
            <w:r>
              <w:rPr>
                <w:rFonts w:hint="eastAsia"/>
                <w:color w:val="000000" w:themeColor="text1"/>
                <w:szCs w:val="21"/>
                <w:highlight w:val="none"/>
                <w14:textFill>
                  <w14:solidFill>
                    <w14:schemeClr w14:val="tx1"/>
                  </w14:solidFill>
                </w14:textFill>
              </w:rPr>
              <w:t>分；</w:t>
            </w:r>
          </w:p>
          <w:p>
            <w:pPr>
              <w:adjustRightInd w:val="0"/>
              <w:snapToGrid w:val="0"/>
              <w:jc w:val="left"/>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培训内容少、整体安排较差的，无法满足采购人要求的得1分；</w:t>
            </w:r>
          </w:p>
          <w:p>
            <w:pPr>
              <w:snapToGrid w:val="0"/>
              <w:spacing w:line="360" w:lineRule="auto"/>
              <w:jc w:val="left"/>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未提供得0分。</w:t>
            </w:r>
          </w:p>
        </w:tc>
        <w:tc>
          <w:tcPr>
            <w:tcW w:w="675" w:type="dxa"/>
            <w:vAlign w:val="center"/>
          </w:tcPr>
          <w:p>
            <w:pPr>
              <w:snapToGrid w:val="0"/>
              <w:spacing w:line="360" w:lineRule="auto"/>
              <w:jc w:val="center"/>
              <w:rPr>
                <w:rFonts w:hint="eastAsia" w:cs="仿宋_GB2312"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highlight w:val="none"/>
                <w:lang w:val="en-US" w:eastAsia="zh-CN"/>
                <w14:textFill>
                  <w14:solidFill>
                    <w14:schemeClr w14:val="tx1"/>
                  </w14:solidFill>
                </w14:textFill>
              </w:rPr>
              <w:t>3</w:t>
            </w:r>
          </w:p>
        </w:tc>
        <w:tc>
          <w:tcPr>
            <w:tcW w:w="1185" w:type="dxa"/>
            <w:vAlign w:val="center"/>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cs="仿宋_GB2312" w:asciiTheme="minorEastAsia" w:hAnsiTheme="minorEastAsia" w:eastAsiaTheme="minorEastAsia"/>
                <w:bCs/>
                <w:color w:val="000000" w:themeColor="text1"/>
                <w:sz w:val="21"/>
                <w:szCs w:val="21"/>
                <w:highlight w:val="none"/>
                <w14:textFill>
                  <w14:solidFill>
                    <w14:schemeClr w14:val="tx1"/>
                  </w14:solidFill>
                </w14:textFill>
              </w:rPr>
              <w:t>主观分</w:t>
            </w:r>
          </w:p>
        </w:tc>
        <w:tc>
          <w:tcPr>
            <w:tcW w:w="1352"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18</w:t>
            </w:r>
          </w:p>
        </w:tc>
        <w:tc>
          <w:tcPr>
            <w:tcW w:w="4635" w:type="dxa"/>
            <w:vAlign w:val="center"/>
          </w:tcPr>
          <w:p>
            <w:pPr>
              <w:adjustRightInd w:val="0"/>
              <w:snapToGrid w:val="0"/>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售后服务：投标人须提供项目维护计划，按照项目维护计划的优劣程度进行打分0-5分。</w:t>
            </w:r>
          </w:p>
          <w:p>
            <w:pPr>
              <w:adjustRightInd w:val="0"/>
              <w:snapToGrid w:val="0"/>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售后力量充足，有完善的售后方案，应急维修响应及时，处理时间短，部分设备可提供临时更换或备用，服务完毕后对采购人有详细反馈的，整体满足采购人要求的得5分；</w:t>
            </w:r>
          </w:p>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有一定售后服务力量，响应及时，基本满足采购人要求得4分；</w:t>
            </w:r>
          </w:p>
          <w:p>
            <w:pPr>
              <w:adjustRightInd w:val="0"/>
              <w:snapToGrid w:val="0"/>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售后服务力量相对较为薄弱，响应时间一般，无法完全满足采购人要求的得3分；</w:t>
            </w:r>
          </w:p>
          <w:p>
            <w:pPr>
              <w:adjustRightInd w:val="0"/>
              <w:snapToGrid w:val="0"/>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售后服务差的，无法满足采购人要求的得1分；</w:t>
            </w:r>
          </w:p>
          <w:p>
            <w:pPr>
              <w:snapToGrid w:val="0"/>
              <w:spacing w:line="360" w:lineRule="auto"/>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未提供得0分。</w:t>
            </w:r>
          </w:p>
        </w:tc>
        <w:tc>
          <w:tcPr>
            <w:tcW w:w="675" w:type="dxa"/>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5</w:t>
            </w:r>
          </w:p>
        </w:tc>
        <w:tc>
          <w:tcPr>
            <w:tcW w:w="1185"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bCs/>
                <w:color w:val="000000" w:themeColor="text1"/>
                <w:sz w:val="21"/>
                <w:szCs w:val="21"/>
                <w14:textFill>
                  <w14:solidFill>
                    <w14:schemeClr w14:val="tx1"/>
                  </w14:solidFill>
                </w14:textFill>
              </w:rPr>
              <w:t>主观分</w:t>
            </w:r>
          </w:p>
        </w:tc>
        <w:tc>
          <w:tcPr>
            <w:tcW w:w="1352"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19</w:t>
            </w:r>
          </w:p>
        </w:tc>
        <w:tc>
          <w:tcPr>
            <w:tcW w:w="4635" w:type="dxa"/>
            <w:vAlign w:val="center"/>
          </w:tcPr>
          <w:p>
            <w:pPr>
              <w:snapToGrid w:val="0"/>
              <w:spacing w:line="360" w:lineRule="auto"/>
              <w:jc w:val="left"/>
              <w:rPr>
                <w:rFonts w:hint="eastAsia"/>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政府采购节能产品、环境标志产品：</w:t>
            </w:r>
            <w:r>
              <w:rPr>
                <w:rFonts w:hint="eastAsia"/>
                <w:color w:val="000000" w:themeColor="text1"/>
                <w:szCs w:val="21"/>
                <w14:textFill>
                  <w14:solidFill>
                    <w14:schemeClr w14:val="tx1"/>
                  </w14:solidFill>
                </w14:textFill>
              </w:rPr>
              <w:t>所投材料含列入政府采购节能产品、环境标志产品品目清单范围的，节能产品得</w:t>
            </w:r>
            <w:r>
              <w:rPr>
                <w:color w:val="000000" w:themeColor="text1"/>
                <w:szCs w:val="21"/>
                <w14:textFill>
                  <w14:solidFill>
                    <w14:schemeClr w14:val="tx1"/>
                  </w14:solidFill>
                </w14:textFill>
              </w:rPr>
              <w:t>0.5</w:t>
            </w:r>
            <w:r>
              <w:rPr>
                <w:rFonts w:hint="eastAsia"/>
                <w:color w:val="000000" w:themeColor="text1"/>
                <w:szCs w:val="21"/>
                <w14:textFill>
                  <w14:solidFill>
                    <w14:schemeClr w14:val="tx1"/>
                  </w14:solidFill>
                </w14:textFill>
              </w:rPr>
              <w:t>分，环境标志产品得</w:t>
            </w:r>
            <w:r>
              <w:rPr>
                <w:color w:val="000000" w:themeColor="text1"/>
                <w:szCs w:val="21"/>
                <w14:textFill>
                  <w14:solidFill>
                    <w14:schemeClr w14:val="tx1"/>
                  </w14:solidFill>
                </w14:textFill>
              </w:rPr>
              <w:t>0.5</w:t>
            </w:r>
            <w:r>
              <w:rPr>
                <w:rFonts w:hint="eastAsia"/>
                <w:color w:val="000000" w:themeColor="text1"/>
                <w:szCs w:val="21"/>
                <w14:textFill>
                  <w14:solidFill>
                    <w14:schemeClr w14:val="tx1"/>
                  </w14:solidFill>
                </w14:textFill>
              </w:rPr>
              <w:t>分。（根据最新政府采购节能产品、环境标志产品品目清单，信息查看中国政府采购网</w:t>
            </w:r>
            <w:r>
              <w:rPr>
                <w:color w:val="000000" w:themeColor="text1"/>
                <w:szCs w:val="21"/>
                <w14:textFill>
                  <w14:solidFill>
                    <w14:schemeClr w14:val="tx1"/>
                  </w14:solidFill>
                </w14:textFill>
              </w:rPr>
              <w:t>http</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//www.ccgp.gov.cn</w:t>
            </w:r>
            <w:r>
              <w:rPr>
                <w:rFonts w:hint="eastAsia"/>
                <w:color w:val="000000" w:themeColor="text1"/>
                <w:szCs w:val="21"/>
                <w14:textFill>
                  <w14:solidFill>
                    <w14:schemeClr w14:val="tx1"/>
                  </w14:solidFill>
                </w14:textFill>
              </w:rPr>
              <w:t>进行评分，供应商应在响应文件中提供相关依据国家确定的认证机构出具的、处于有效期之内的节能产品、环境标志产品认证证书证明材料，否则不得分）</w:t>
            </w:r>
          </w:p>
        </w:tc>
        <w:tc>
          <w:tcPr>
            <w:tcW w:w="675" w:type="dxa"/>
            <w:vAlign w:val="center"/>
          </w:tcPr>
          <w:p>
            <w:pPr>
              <w:snapToGrid w:val="0"/>
              <w:spacing w:line="360" w:lineRule="auto"/>
              <w:jc w:val="center"/>
              <w:rPr>
                <w:rFonts w:hint="eastAsia"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1</w:t>
            </w:r>
          </w:p>
        </w:tc>
        <w:tc>
          <w:tcPr>
            <w:tcW w:w="1185"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bCs/>
                <w:color w:val="000000" w:themeColor="text1"/>
                <w:sz w:val="21"/>
                <w:szCs w:val="21"/>
                <w14:textFill>
                  <w14:solidFill>
                    <w14:schemeClr w14:val="tx1"/>
                  </w14:solidFill>
                </w14:textFill>
              </w:rPr>
              <w:t>客观分</w:t>
            </w:r>
          </w:p>
        </w:tc>
        <w:tc>
          <w:tcPr>
            <w:tcW w:w="1352" w:type="dxa"/>
            <w:vAlign w:val="center"/>
          </w:tcPr>
          <w:p>
            <w:pPr>
              <w:snapToGrid w:val="0"/>
              <w:spacing w:line="360" w:lineRule="auto"/>
              <w:jc w:val="center"/>
              <w:rPr>
                <w:rFonts w:cs="仿宋_GB2312" w:asciiTheme="minorEastAsia" w:hAnsiTheme="minorEastAsia" w:eastAsia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napToGrid w:val="0"/>
              <w:spacing w:line="360" w:lineRule="auto"/>
              <w:jc w:val="center"/>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20</w:t>
            </w:r>
          </w:p>
        </w:tc>
        <w:tc>
          <w:tcPr>
            <w:tcW w:w="4635" w:type="dxa"/>
          </w:tcPr>
          <w:p>
            <w:pPr>
              <w:spacing w:line="360" w:lineRule="auto"/>
              <w:outlineLvl w:val="0"/>
              <w:rPr>
                <w:rFonts w:cs="仿宋_GB2312" w:asciiTheme="minorEastAsia" w:hAnsiTheme="minorEastAsia" w:eastAsiaTheme="minorEastAsia"/>
                <w:color w:val="000000" w:themeColor="text1"/>
                <w:sz w:val="22"/>
                <w:szCs w:val="22"/>
                <w14:textFill>
                  <w14:solidFill>
                    <w14:schemeClr w14:val="tx1"/>
                  </w14:solidFill>
                </w14:textFill>
              </w:rPr>
            </w:pPr>
            <w:r>
              <w:rPr>
                <w:rFonts w:hint="eastAsia" w:cs="仿宋_GB2312" w:asciiTheme="minorEastAsia" w:hAnsiTheme="minorEastAsia" w:eastAsiaTheme="minorEastAsia"/>
                <w:color w:val="000000" w:themeColor="text1"/>
                <w:sz w:val="22"/>
                <w:szCs w:val="22"/>
                <w14:textFill>
                  <w14:solidFill>
                    <w14:schemeClr w14:val="tx1"/>
                  </w14:solidFill>
                </w14:textFill>
              </w:rPr>
              <w:t>有效投标报价的最低价作为评标基准价，其最低报价为满分；按［投标报价得分</w:t>
            </w:r>
            <w:r>
              <w:rPr>
                <w:rFonts w:cs="仿宋_GB2312" w:asciiTheme="minorEastAsia" w:hAnsiTheme="minorEastAsia" w:eastAsiaTheme="minorEastAsia"/>
                <w:color w:val="000000" w:themeColor="text1"/>
                <w:sz w:val="22"/>
                <w:szCs w:val="22"/>
                <w14:textFill>
                  <w14:solidFill>
                    <w14:schemeClr w14:val="tx1"/>
                  </w14:solidFill>
                </w14:textFill>
              </w:rPr>
              <w:t>=（评标基准价/投标报价）*</w:t>
            </w:r>
            <w:r>
              <w:rPr>
                <w:rFonts w:hint="eastAsia" w:cs="仿宋_GB2312" w:asciiTheme="minorEastAsia" w:hAnsiTheme="minorEastAsia" w:eastAsiaTheme="minorEastAsia"/>
                <w:color w:val="000000" w:themeColor="text1"/>
                <w:sz w:val="22"/>
                <w:szCs w:val="22"/>
                <w14:textFill>
                  <w14:solidFill>
                    <w14:schemeClr w14:val="tx1"/>
                  </w14:solidFill>
                </w14:textFill>
              </w:rPr>
              <w:t>权重</w:t>
            </w:r>
            <w:r>
              <w:rPr>
                <w:rFonts w:cs="仿宋_GB2312" w:asciiTheme="minorEastAsia" w:hAnsiTheme="minorEastAsia" w:eastAsiaTheme="minorEastAsia"/>
                <w:color w:val="000000" w:themeColor="text1"/>
                <w:sz w:val="22"/>
                <w:szCs w:val="22"/>
                <w14:textFill>
                  <w14:solidFill>
                    <w14:schemeClr w14:val="tx1"/>
                  </w14:solidFill>
                </w14:textFill>
              </w:rPr>
              <w:t>］的计算公式计算。</w:t>
            </w:r>
          </w:p>
          <w:p>
            <w:pPr>
              <w:widowControl/>
              <w:shd w:val="clear" w:color="auto" w:fill="FFFFFF"/>
              <w:adjustRightInd/>
              <w:spacing w:after="225" w:line="315" w:lineRule="atLeast"/>
              <w:ind w:firstLine="420"/>
              <w:jc w:val="left"/>
              <w:rPr>
                <w:rFonts w:asciiTheme="minorEastAsia" w:hAnsiTheme="minorEastAsia" w:eastAsiaTheme="minorEastAsia"/>
                <w:color w:val="000000" w:themeColor="text1"/>
                <w:sz w:val="24"/>
                <w14:textFill>
                  <w14:solidFill>
                    <w14:schemeClr w14:val="tx1"/>
                  </w14:solidFill>
                </w14:textFill>
              </w:rPr>
            </w:pPr>
            <w:r>
              <w:rPr>
                <w:rFonts w:cs="仿宋_GB2312" w:asciiTheme="minorEastAsia" w:hAnsiTheme="minorEastAsia" w:eastAsiaTheme="minorEastAsia"/>
                <w:color w:val="000000" w:themeColor="text1"/>
                <w:sz w:val="22"/>
                <w:szCs w:val="22"/>
                <w14:textFill>
                  <w14:solidFill>
                    <w14:schemeClr w14:val="tx1"/>
                  </w14:solidFill>
                </w14:textFill>
              </w:rPr>
              <w:t>评标过程中，不得去掉报价中的最高报价和最低报价。</w:t>
            </w:r>
          </w:p>
        </w:tc>
        <w:tc>
          <w:tcPr>
            <w:tcW w:w="675" w:type="dxa"/>
            <w:vAlign w:val="center"/>
          </w:tcPr>
          <w:p>
            <w:pPr>
              <w:spacing w:line="360" w:lineRule="auto"/>
              <w:jc w:val="center"/>
              <w:outlineLvl w:val="0"/>
              <w:rPr>
                <w:rFonts w:hint="default" w:cs="仿宋_GB2312" w:asciiTheme="minorEastAsia" w:hAnsiTheme="minorEastAsia" w:eastAsiaTheme="minorEastAsia"/>
                <w:color w:val="000000" w:themeColor="text1"/>
                <w:sz w:val="24"/>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lang w:val="en-US" w:eastAsia="zh-CN"/>
                <w14:textFill>
                  <w14:solidFill>
                    <w14:schemeClr w14:val="tx1"/>
                  </w14:solidFill>
                </w14:textFill>
              </w:rPr>
              <w:t>30</w:t>
            </w:r>
          </w:p>
        </w:tc>
        <w:tc>
          <w:tcPr>
            <w:tcW w:w="1185" w:type="dxa"/>
            <w:vAlign w:val="center"/>
          </w:tcPr>
          <w:p>
            <w:pPr>
              <w:spacing w:line="360" w:lineRule="auto"/>
              <w:jc w:val="center"/>
              <w:outlineLvl w:val="0"/>
              <w:rPr>
                <w:rFonts w:cs="仿宋_GB2312" w:asciiTheme="minorEastAsia" w:hAnsiTheme="minorEastAsia" w:eastAsiaTheme="minorEastAsia"/>
                <w:color w:val="000000" w:themeColor="text1"/>
                <w:sz w:val="24"/>
                <w14:textFill>
                  <w14:solidFill>
                    <w14:schemeClr w14:val="tx1"/>
                  </w14:solidFill>
                </w14:textFill>
              </w:rPr>
            </w:pPr>
            <w:r>
              <w:rPr>
                <w:rFonts w:hint="eastAsia" w:cs="仿宋_GB2312" w:asciiTheme="minorEastAsia" w:hAnsiTheme="minorEastAsia" w:eastAsiaTheme="minorEastAsia"/>
                <w:bCs/>
                <w:color w:val="000000" w:themeColor="text1"/>
                <w:sz w:val="21"/>
                <w:szCs w:val="21"/>
                <w14:textFill>
                  <w14:solidFill>
                    <w14:schemeClr w14:val="tx1"/>
                  </w14:solidFill>
                </w14:textFill>
              </w:rPr>
              <w:t>客观分</w:t>
            </w:r>
          </w:p>
        </w:tc>
        <w:tc>
          <w:tcPr>
            <w:tcW w:w="1352" w:type="dxa"/>
            <w:vAlign w:val="center"/>
          </w:tcPr>
          <w:p>
            <w:pPr>
              <w:spacing w:line="360" w:lineRule="auto"/>
              <w:jc w:val="center"/>
              <w:outlineLvl w:val="0"/>
              <w:rPr>
                <w:rFonts w:cs="仿宋_GB2312" w:asciiTheme="minorEastAsia" w:hAnsiTheme="minorEastAsia" w:eastAsiaTheme="minorEastAsia"/>
                <w:color w:val="000000" w:themeColor="text1"/>
                <w:sz w:val="24"/>
                <w14:textFill>
                  <w14:solidFill>
                    <w14:schemeClr w14:val="tx1"/>
                  </w14:solidFill>
                </w14:textFill>
              </w:rPr>
            </w:pPr>
            <w:r>
              <w:rPr>
                <w:rFonts w:cs="仿宋_GB2312" w:asciiTheme="minorEastAsia" w:hAnsiTheme="minorEastAsia" w:eastAsiaTheme="minorEastAsia"/>
                <w:color w:val="000000" w:themeColor="text1"/>
                <w:sz w:val="24"/>
                <w14:textFill>
                  <w14:solidFill>
                    <w14:schemeClr w14:val="tx1"/>
                  </w14:solidFill>
                </w14:textFill>
              </w:rPr>
              <w:t>/</w:t>
            </w: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3.4.5对于未预留份额专门面向中小企业的政府采购货物项目，以及预留份额政府采购货物项目中的非预留部分标项，对小型和微型企业的投标报价给予10%-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4"/>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5"/>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hint="eastAsia" w:cs="宋体"/>
        </w:rPr>
        <w:t>5.1符合专业条件的供应商或者对招标文件作实质响应的供应商不足3家的；</w:t>
      </w:r>
    </w:p>
    <w:p>
      <w:pPr>
        <w:pStyle w:val="25"/>
        <w:snapToGrid w:val="0"/>
        <w:spacing w:line="360" w:lineRule="auto"/>
        <w:rPr>
          <w:rFonts w:cs="宋体"/>
        </w:rPr>
      </w:pPr>
      <w:r>
        <w:rPr>
          <w:rFonts w:hint="eastAsia" w:cs="宋体"/>
        </w:rPr>
        <w:t>5.2出现影响采购公正的违法、违规行为的；</w:t>
      </w:r>
    </w:p>
    <w:p>
      <w:pPr>
        <w:pStyle w:val="25"/>
        <w:snapToGrid w:val="0"/>
        <w:spacing w:line="360" w:lineRule="auto"/>
        <w:rPr>
          <w:rFonts w:cs="宋体"/>
        </w:rPr>
      </w:pPr>
      <w:r>
        <w:rPr>
          <w:rFonts w:hint="eastAsia" w:cs="宋体"/>
        </w:rPr>
        <w:t>5.3投标人的报价均超过了采购预算，采购人不能支付的；</w:t>
      </w:r>
    </w:p>
    <w:p>
      <w:pPr>
        <w:pStyle w:val="25"/>
        <w:snapToGrid w:val="0"/>
        <w:spacing w:line="360" w:lineRule="auto"/>
        <w:rPr>
          <w:rFonts w:cs="宋体"/>
        </w:rPr>
      </w:pPr>
      <w:r>
        <w:rPr>
          <w:rFonts w:hint="eastAsia" w:cs="宋体"/>
        </w:rPr>
        <w:t>5.4因重大变故，采购任务取消的。</w:t>
      </w:r>
    </w:p>
    <w:p>
      <w:pPr>
        <w:pStyle w:val="25"/>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25"/>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5"/>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5"/>
        <w:snapToGrid w:val="0"/>
        <w:spacing w:line="360" w:lineRule="auto"/>
        <w:rPr>
          <w:rFonts w:cs="宋体"/>
        </w:rPr>
      </w:pPr>
      <w:r>
        <w:rPr>
          <w:rFonts w:hint="eastAsia" w:cs="宋体"/>
        </w:rPr>
        <w:t>7.1未确定中标供应商的，终止本次政府采购活动，重新开展政府采购活动。</w:t>
      </w:r>
    </w:p>
    <w:p>
      <w:pPr>
        <w:pStyle w:val="25"/>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7.4政府采购合同已经履行，给采购人、供应商造成损失的，由责任人承担赔偿责任。</w:t>
      </w:r>
    </w:p>
    <w:p>
      <w:pPr>
        <w:pStyle w:val="25"/>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rPr>
      </w:pPr>
    </w:p>
    <w:bookmarkEnd w:id="31"/>
    <w:p>
      <w:pPr>
        <w:spacing w:line="360" w:lineRule="auto"/>
        <w:ind w:left="720" w:leftChars="343" w:firstLine="1084" w:firstLineChars="300"/>
        <w:outlineLvl w:val="0"/>
        <w:rPr>
          <w:rFonts w:ascii="宋体" w:hAnsi="宋体" w:cs="宋体"/>
          <w:b/>
          <w:sz w:val="36"/>
          <w:szCs w:val="36"/>
        </w:rPr>
      </w:pPr>
      <w:bookmarkStart w:id="405" w:name="第五部分"/>
      <w:bookmarkStart w:id="406" w:name="_Toc86217003"/>
    </w:p>
    <w:p>
      <w:pPr>
        <w:spacing w:line="360" w:lineRule="auto"/>
        <w:ind w:left="720" w:leftChars="343" w:firstLine="1084" w:firstLineChars="300"/>
        <w:outlineLvl w:val="0"/>
        <w:rPr>
          <w:rFonts w:hint="eastAsia" w:ascii="宋体" w:hAnsi="宋体" w:cs="宋体"/>
          <w:b/>
          <w:sz w:val="36"/>
          <w:szCs w:val="36"/>
        </w:rPr>
      </w:pPr>
      <w:r>
        <w:rPr>
          <w:rFonts w:hint="eastAsia" w:ascii="宋体" w:hAnsi="宋体" w:cs="宋体"/>
          <w:b/>
          <w:sz w:val="36"/>
          <w:szCs w:val="36"/>
        </w:rPr>
        <w:t xml:space="preserve">    </w:t>
      </w:r>
    </w:p>
    <w:p>
      <w:pPr>
        <w:pStyle w:val="2"/>
        <w:rPr>
          <w:rFonts w:hint="eastAsia" w:ascii="宋体" w:hAnsi="宋体" w:cs="宋体"/>
          <w:b/>
          <w:sz w:val="36"/>
          <w:szCs w:val="36"/>
        </w:rPr>
      </w:pPr>
    </w:p>
    <w:p/>
    <w:p>
      <w:pPr>
        <w:spacing w:line="360" w:lineRule="auto"/>
        <w:ind w:left="720" w:leftChars="343" w:firstLine="1084" w:firstLineChars="300"/>
        <w:outlineLvl w:val="0"/>
        <w:rPr>
          <w:rFonts w:ascii="宋体" w:hAnsi="宋体" w:cs="宋体"/>
          <w:b/>
          <w:sz w:val="36"/>
          <w:szCs w:val="36"/>
        </w:rPr>
      </w:pPr>
    </w:p>
    <w:p>
      <w:pPr>
        <w:pStyle w:val="2"/>
        <w:rPr>
          <w:rFonts w:ascii="宋体" w:hAnsi="宋体" w:cs="宋体"/>
          <w:b/>
          <w:sz w:val="36"/>
          <w:szCs w:val="36"/>
        </w:rPr>
      </w:pPr>
    </w:p>
    <w:p>
      <w:pPr>
        <w:rPr>
          <w:rFonts w:ascii="宋体" w:hAnsi="宋体" w:cs="宋体"/>
          <w:b/>
          <w:sz w:val="36"/>
          <w:szCs w:val="36"/>
        </w:rPr>
      </w:pPr>
    </w:p>
    <w:p>
      <w:pPr>
        <w:pStyle w:val="2"/>
        <w:rPr>
          <w:rFonts w:ascii="宋体" w:hAnsi="宋体" w:cs="宋体"/>
          <w:b/>
          <w:sz w:val="36"/>
          <w:szCs w:val="36"/>
        </w:rPr>
      </w:pPr>
    </w:p>
    <w:p>
      <w:pPr>
        <w:rPr>
          <w:rFonts w:ascii="宋体" w:hAnsi="宋体" w:cs="宋体"/>
          <w:b/>
          <w:sz w:val="36"/>
          <w:szCs w:val="36"/>
        </w:rPr>
      </w:pPr>
    </w:p>
    <w:p>
      <w:pPr>
        <w:pStyle w:val="2"/>
      </w:pPr>
    </w:p>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both"/>
        <w:rPr>
          <w:rFonts w:ascii="宋体" w:hAnsi="宋体" w:cs="宋体"/>
          <w:b/>
          <w:sz w:val="28"/>
          <w:szCs w:val="28"/>
        </w:rPr>
      </w:pPr>
    </w:p>
    <w:p>
      <w:pPr>
        <w:pStyle w:val="33"/>
        <w:snapToGrid w:val="0"/>
        <w:spacing w:before="120" w:after="120" w:line="300" w:lineRule="exact"/>
        <w:jc w:val="both"/>
        <w:rPr>
          <w:rFonts w:hAnsi="宋体"/>
        </w:rPr>
      </w:pPr>
    </w:p>
    <w:p>
      <w:pPr>
        <w:spacing w:line="360" w:lineRule="auto"/>
        <w:jc w:val="center"/>
        <w:rPr>
          <w:rFonts w:ascii="宋体" w:hAnsi="宋体"/>
          <w:b/>
          <w:sz w:val="28"/>
        </w:rPr>
      </w:pPr>
      <w:r>
        <w:rPr>
          <w:rFonts w:hint="eastAsia" w:ascii="宋体" w:hAnsi="宋体"/>
          <w:b/>
          <w:sz w:val="28"/>
        </w:rPr>
        <w:t>杭州市丁桥医院手术室二期防护及净化系统</w:t>
      </w:r>
    </w:p>
    <w:p>
      <w:pPr>
        <w:spacing w:line="360" w:lineRule="auto"/>
        <w:jc w:val="center"/>
        <w:rPr>
          <w:rFonts w:hint="eastAsia" w:ascii="宋体" w:hAnsi="宋体"/>
          <w:b/>
          <w:sz w:val="28"/>
        </w:rPr>
      </w:pPr>
      <w:r>
        <w:rPr>
          <w:rFonts w:hint="eastAsia" w:ascii="宋体" w:hAnsi="宋体"/>
          <w:b/>
          <w:sz w:val="28"/>
        </w:rPr>
        <w:t>采购合同</w:t>
      </w:r>
    </w:p>
    <w:p>
      <w:pPr>
        <w:spacing w:line="360" w:lineRule="auto"/>
        <w:rPr>
          <w:rFonts w:hint="eastAsia" w:ascii="宋体" w:hAnsi="宋体"/>
          <w:sz w:val="24"/>
        </w:rPr>
      </w:pPr>
      <w:r>
        <w:rPr>
          <w:rFonts w:hint="eastAsia" w:ascii="宋体" w:hAnsi="宋体"/>
        </w:rPr>
        <w:t>甲方：杭州市丁桥医院</w:t>
      </w:r>
    </w:p>
    <w:p>
      <w:pPr>
        <w:spacing w:line="360" w:lineRule="auto"/>
        <w:rPr>
          <w:rFonts w:hint="eastAsia" w:ascii="宋体" w:hAnsi="宋体"/>
        </w:rPr>
      </w:pPr>
      <w:r>
        <w:rPr>
          <w:rFonts w:hint="eastAsia" w:ascii="宋体" w:hAnsi="宋体"/>
        </w:rPr>
        <w:t>乙方：</w:t>
      </w:r>
    </w:p>
    <w:p>
      <w:pPr>
        <w:spacing w:line="360" w:lineRule="auto"/>
        <w:ind w:firstLine="420" w:firstLineChars="200"/>
        <w:rPr>
          <w:rFonts w:hint="eastAsia" w:ascii="宋体" w:hAnsi="宋体"/>
        </w:rPr>
      </w:pPr>
      <w:r>
        <w:rPr>
          <w:rFonts w:hint="eastAsia" w:ascii="宋体" w:hAnsi="宋体"/>
        </w:rPr>
        <w:t>甲乙双方根据《中华人民共和国民法典》、《中华人民共和国建筑法》及有关法律规定，遵循平等、自愿、公平和诚实信用的原则，双方就杭州市丁桥医院手术室二期防护及净化系统采购及有关事项协商一致，共同达成如下协议：</w:t>
      </w:r>
    </w:p>
    <w:p>
      <w:pPr>
        <w:spacing w:line="360" w:lineRule="auto"/>
        <w:ind w:firstLine="422" w:firstLineChars="200"/>
        <w:rPr>
          <w:rFonts w:hint="eastAsia" w:ascii="宋体" w:hAnsi="宋体"/>
          <w:b/>
        </w:rPr>
      </w:pPr>
      <w:r>
        <w:rPr>
          <w:rFonts w:hint="eastAsia" w:ascii="宋体" w:hAnsi="宋体"/>
          <w:b/>
        </w:rPr>
        <w:t>第一条 采购内容及需求</w:t>
      </w:r>
    </w:p>
    <w:p>
      <w:pPr>
        <w:widowControl/>
        <w:snapToGrid w:val="0"/>
        <w:spacing w:line="360" w:lineRule="auto"/>
        <w:ind w:firstLine="420" w:firstLineChars="200"/>
        <w:jc w:val="left"/>
        <w:rPr>
          <w:rFonts w:hint="eastAsia" w:ascii="宋体" w:hAnsi="宋体"/>
          <w:highlight w:val="none"/>
        </w:rPr>
      </w:pPr>
      <w:r>
        <w:rPr>
          <w:rFonts w:hint="eastAsia" w:ascii="宋体" w:hAnsi="宋体"/>
        </w:rPr>
        <w:t>1.1.甲方向乙方采购杭州市丁桥医院手术室二期防护及净化系统</w:t>
      </w:r>
      <w:r>
        <w:rPr>
          <w:rFonts w:hint="eastAsia" w:ascii="宋体" w:hAnsi="宋体"/>
          <w:lang w:eastAsia="zh-Hans"/>
        </w:rPr>
        <w:t>设施、</w:t>
      </w:r>
      <w:r>
        <w:rPr>
          <w:rFonts w:hint="eastAsia" w:ascii="宋体" w:hAnsi="宋体"/>
          <w:highlight w:val="none"/>
          <w:lang w:eastAsia="zh-Hans"/>
        </w:rPr>
        <w:t>设备及其安装、</w:t>
      </w:r>
      <w:r>
        <w:rPr>
          <w:rFonts w:hint="eastAsia" w:ascii="宋体" w:hAnsi="宋体"/>
          <w:highlight w:val="none"/>
        </w:rPr>
        <w:t>建设、</w:t>
      </w:r>
      <w:r>
        <w:rPr>
          <w:rFonts w:hint="eastAsia" w:ascii="宋体" w:hAnsi="宋体"/>
          <w:highlight w:val="none"/>
          <w:lang w:eastAsia="zh-Hans"/>
        </w:rPr>
        <w:t>调试、运行服务和</w:t>
      </w:r>
      <w:r>
        <w:rPr>
          <w:rFonts w:hint="eastAsia" w:ascii="宋体" w:hAnsi="宋体"/>
          <w:highlight w:val="none"/>
        </w:rPr>
        <w:t>相关配套</w:t>
      </w:r>
      <w:r>
        <w:rPr>
          <w:rFonts w:hint="eastAsia" w:ascii="宋体" w:hAnsi="宋体"/>
          <w:highlight w:val="none"/>
          <w:lang w:eastAsia="zh-Hans"/>
        </w:rPr>
        <w:t>建设及装饰装修</w:t>
      </w:r>
      <w:r>
        <w:rPr>
          <w:rFonts w:hint="eastAsia" w:ascii="宋体" w:hAnsi="宋体"/>
          <w:highlight w:val="none"/>
        </w:rPr>
        <w:t>服务（以下简称“本项目”）。具体内容包括：杭州市丁桥医院门诊四层手术中心</w:t>
      </w:r>
      <w:r>
        <w:rPr>
          <w:rFonts w:hint="eastAsia" w:ascii="宋体" w:hAnsi="宋体" w:cs="Arial"/>
          <w:szCs w:val="21"/>
          <w:highlight w:val="none"/>
        </w:rPr>
        <w:t>I级DSA复合手术室 OR18</w:t>
      </w:r>
      <w:r>
        <w:rPr>
          <w:rFonts w:hint="eastAsia" w:ascii="宋体" w:hAnsi="宋体" w:cs="Arial"/>
          <w:szCs w:val="21"/>
          <w:highlight w:val="none"/>
          <w:lang w:val="en-US" w:eastAsia="zh-Hans"/>
        </w:rPr>
        <w:t>和II</w:t>
      </w:r>
      <w:r>
        <w:rPr>
          <w:rFonts w:hint="eastAsia" w:ascii="宋体" w:hAnsi="宋体" w:cs="Arial"/>
          <w:szCs w:val="21"/>
          <w:highlight w:val="none"/>
        </w:rPr>
        <w:t>级机器人复合手术室 OP19</w:t>
      </w:r>
      <w:r>
        <w:rPr>
          <w:rFonts w:hint="default" w:ascii="宋体" w:hAnsi="宋体" w:cs="Arial"/>
          <w:szCs w:val="21"/>
          <w:highlight w:val="none"/>
        </w:rPr>
        <w:t>、</w:t>
      </w:r>
      <w:r>
        <w:rPr>
          <w:rFonts w:hint="eastAsia" w:ascii="宋体" w:hAnsi="宋体" w:cs="Arial"/>
          <w:szCs w:val="21"/>
          <w:highlight w:val="none"/>
        </w:rPr>
        <w:t>III级CT诊查室</w:t>
      </w:r>
      <w:r>
        <w:rPr>
          <w:rFonts w:hint="eastAsia" w:ascii="宋体" w:hAnsi="宋体"/>
          <w:highlight w:val="none"/>
        </w:rPr>
        <w:t>的净化系统、放射防护系统、医用气体设备、信息化设备、消防设施、配电系统，上述设备采购安装、调试、服务、维护及基础设施建设等相关配套工程。（详见招标</w:t>
      </w:r>
      <w:r>
        <w:rPr>
          <w:rFonts w:hint="eastAsia" w:ascii="宋体" w:hAnsi="宋体"/>
          <w:highlight w:val="none"/>
          <w:lang w:eastAsia="zh-Hans"/>
        </w:rPr>
        <w:t>文件</w:t>
      </w:r>
      <w:r>
        <w:rPr>
          <w:rFonts w:hint="eastAsia" w:ascii="宋体" w:hAnsi="宋体"/>
          <w:highlight w:val="none"/>
        </w:rPr>
        <w:t>）。</w:t>
      </w:r>
    </w:p>
    <w:p>
      <w:pPr>
        <w:spacing w:line="360" w:lineRule="auto"/>
        <w:ind w:firstLine="420" w:firstLineChars="200"/>
        <w:rPr>
          <w:rFonts w:hint="eastAsia" w:ascii="宋体" w:hAnsi="宋体"/>
        </w:rPr>
      </w:pPr>
      <w:r>
        <w:rPr>
          <w:rFonts w:hint="eastAsia" w:ascii="宋体" w:hAnsi="宋体"/>
        </w:rPr>
        <w:t>1.2.本项目为交钥匙</w:t>
      </w:r>
      <w:r>
        <w:rPr>
          <w:rFonts w:hint="eastAsia" w:ascii="宋体" w:hAnsi="宋体"/>
          <w:lang w:val="en-US" w:eastAsia="zh-Hans"/>
        </w:rPr>
        <w:t>设备采购安装</w:t>
      </w:r>
      <w:r>
        <w:rPr>
          <w:rFonts w:hint="default" w:ascii="宋体" w:hAnsi="宋体"/>
          <w:lang w:val="en-US"/>
        </w:rPr>
        <w:t>工程</w:t>
      </w:r>
      <w:r>
        <w:rPr>
          <w:rFonts w:hint="eastAsia" w:ascii="宋体" w:hAnsi="宋体"/>
        </w:rPr>
        <w:t>项目，</w:t>
      </w:r>
      <w:r>
        <w:rPr>
          <w:rFonts w:hint="eastAsia" w:ascii="宋体" w:hAnsi="宋体"/>
          <w:lang w:val="en-US" w:eastAsia="zh-Hans"/>
        </w:rPr>
        <w:t>合同</w:t>
      </w:r>
      <w:r>
        <w:rPr>
          <w:rFonts w:hint="eastAsia" w:ascii="宋体" w:hAnsi="宋体"/>
          <w:lang w:eastAsia="zh-Hans"/>
        </w:rPr>
        <w:t>价款实行</w:t>
      </w:r>
      <w:r>
        <w:rPr>
          <w:rFonts w:hint="eastAsia" w:ascii="宋体" w:hAnsi="宋体"/>
        </w:rPr>
        <w:t>总价包干（即乙方包工包料）。乙方在承接本项目时已经充分考虑甲方的需求，并在此基础上进行响应，乙方须按照招标</w:t>
      </w:r>
      <w:r>
        <w:rPr>
          <w:rFonts w:hint="eastAsia" w:ascii="宋体" w:hAnsi="宋体"/>
          <w:lang w:eastAsia="zh-Hans"/>
        </w:rPr>
        <w:t>文件</w:t>
      </w:r>
      <w:r>
        <w:rPr>
          <w:rFonts w:hint="eastAsia" w:ascii="宋体" w:hAnsi="宋体"/>
        </w:rPr>
        <w:t>以及本项目技术要求进行深化，自行计算工程量并编制</w:t>
      </w:r>
      <w:r>
        <w:rPr>
          <w:rFonts w:hint="eastAsia" w:ascii="宋体" w:hAnsi="宋体"/>
          <w:lang w:eastAsia="zh-CN"/>
        </w:rPr>
        <w:t>招标清单</w:t>
      </w:r>
      <w:r>
        <w:rPr>
          <w:rFonts w:hint="eastAsia" w:ascii="宋体" w:hAnsi="宋体"/>
        </w:rPr>
        <w:t>（详见附件：</w:t>
      </w:r>
      <w:r>
        <w:rPr>
          <w:rFonts w:hint="eastAsia" w:ascii="宋体" w:hAnsi="宋体"/>
          <w:lang w:val="en-US" w:eastAsia="zh-CN"/>
        </w:rPr>
        <w:t>招标</w:t>
      </w:r>
      <w:r>
        <w:rPr>
          <w:rFonts w:hint="eastAsia" w:ascii="宋体" w:hAnsi="宋体"/>
        </w:rPr>
        <w:t>清单），并保证工程量不得少于招标文件规定的内容，并按期完工通过项目整体履约验收 。除甲方扩大现有需求外，乙方不得以工作量变更为由向甲方主张增加合同款。如甲方变更现有</w:t>
      </w:r>
      <w:r>
        <w:rPr>
          <w:rFonts w:hint="eastAsia" w:ascii="宋体" w:hAnsi="宋体"/>
          <w:lang w:val="en-US" w:eastAsia="zh-Hans"/>
        </w:rPr>
        <w:t>采购</w:t>
      </w:r>
      <w:r>
        <w:rPr>
          <w:rFonts w:hint="eastAsia" w:ascii="宋体" w:hAnsi="宋体"/>
        </w:rPr>
        <w:t>需求</w:t>
      </w:r>
      <w:r>
        <w:rPr>
          <w:rFonts w:hint="eastAsia" w:ascii="宋体" w:hAnsi="宋体"/>
          <w:lang w:val="en-US" w:eastAsia="zh-Hans"/>
        </w:rPr>
        <w:t>且导致费用变更的</w:t>
      </w:r>
      <w:r>
        <w:rPr>
          <w:rFonts w:hint="eastAsia" w:ascii="宋体" w:hAnsi="宋体"/>
        </w:rPr>
        <w:t>，</w:t>
      </w:r>
      <w:r>
        <w:rPr>
          <w:rFonts w:hint="eastAsia" w:ascii="宋体" w:hAnsi="宋体"/>
          <w:lang w:val="en-US" w:eastAsia="zh-Hans"/>
        </w:rPr>
        <w:t>可以根据据实调整</w:t>
      </w:r>
      <w:r>
        <w:rPr>
          <w:rFonts w:hint="default" w:ascii="宋体" w:hAnsi="宋体"/>
          <w:lang w:eastAsia="zh-Hans"/>
        </w:rPr>
        <w:t>，</w:t>
      </w:r>
      <w:r>
        <w:rPr>
          <w:rFonts w:hint="eastAsia" w:ascii="宋体" w:hAnsi="宋体"/>
        </w:rPr>
        <w:t xml:space="preserve">最终合同价款按照第三方审计结果多退少补。 </w:t>
      </w:r>
    </w:p>
    <w:p>
      <w:pPr>
        <w:spacing w:line="360" w:lineRule="auto"/>
        <w:ind w:firstLine="420" w:firstLineChars="200"/>
        <w:rPr>
          <w:rFonts w:hint="eastAsia" w:ascii="宋体" w:hAnsi="宋体"/>
        </w:rPr>
      </w:pPr>
      <w:r>
        <w:rPr>
          <w:rFonts w:hint="eastAsia" w:ascii="宋体" w:hAnsi="宋体"/>
        </w:rPr>
        <w:t>1.3.</w:t>
      </w:r>
      <w:r>
        <w:rPr>
          <w:rFonts w:hint="eastAsia" w:ascii="宋体" w:hAnsi="宋体"/>
          <w:lang w:eastAsia="zh-Hans"/>
        </w:rPr>
        <w:t>本项目净化系统配套建设及装饰装修工程</w:t>
      </w:r>
      <w:r>
        <w:rPr>
          <w:rFonts w:hint="eastAsia" w:ascii="宋体" w:hAnsi="宋体"/>
        </w:rPr>
        <w:t>施工界面</w:t>
      </w:r>
    </w:p>
    <w:p>
      <w:pPr>
        <w:spacing w:line="360" w:lineRule="auto"/>
        <w:ind w:firstLine="420" w:firstLineChars="200"/>
        <w:rPr>
          <w:rFonts w:hint="eastAsia" w:ascii="宋体" w:hAnsi="宋体"/>
        </w:rPr>
      </w:pPr>
      <w:r>
        <w:rPr>
          <w:rFonts w:hint="eastAsia" w:ascii="宋体" w:hAnsi="宋体"/>
        </w:rPr>
        <w:t>（1）本项目</w:t>
      </w:r>
      <w:r>
        <w:rPr>
          <w:rFonts w:hint="eastAsia" w:ascii="宋体" w:hAnsi="宋体"/>
          <w:lang w:eastAsia="zh-Hans"/>
        </w:rPr>
        <w:t>净化系统配套建设及装饰装修工程</w:t>
      </w:r>
      <w:r>
        <w:rPr>
          <w:rFonts w:hint="eastAsia" w:ascii="宋体" w:hAnsi="宋体"/>
        </w:rPr>
        <w:t>施工界面以浙江新空间建筑设计有限公司（以下简称“设计院”）设计的招标图纸为准，有特殊要求的，以设计院设计的招标图纸划分施工界面。</w:t>
      </w:r>
    </w:p>
    <w:p>
      <w:pPr>
        <w:spacing w:line="360" w:lineRule="auto"/>
        <w:ind w:firstLine="420" w:firstLineChars="200"/>
        <w:rPr>
          <w:rFonts w:hint="eastAsia" w:ascii="宋体" w:hAnsi="宋体"/>
        </w:rPr>
      </w:pPr>
      <w:r>
        <w:rPr>
          <w:rFonts w:hint="eastAsia" w:ascii="宋体" w:hAnsi="宋体"/>
        </w:rPr>
        <w:t>（2）施工界面包括本项目</w:t>
      </w:r>
      <w:r>
        <w:rPr>
          <w:rFonts w:hint="eastAsia" w:ascii="宋体" w:hAnsi="宋体"/>
          <w:lang w:eastAsia="zh-Hans"/>
        </w:rPr>
        <w:t>净化系统配套建设及装饰装修工程，</w:t>
      </w:r>
      <w:r>
        <w:rPr>
          <w:rFonts w:hint="eastAsia" w:ascii="宋体" w:hAnsi="宋体"/>
        </w:rPr>
        <w:t>包括但不限于净化空调系统工程、弱电系统工程、强电系统工程、建筑装饰工程、医用气体系统工程等。具体包括但不限于前述工程内的施工、设备和材料的采购、产品制造、系统测试、运输、安装、调试、有效可靠的试运行、系统完善、培训操作和维修人员、提交</w:t>
      </w:r>
      <w:r>
        <w:rPr>
          <w:rFonts w:hint="eastAsia" w:ascii="宋体" w:hAnsi="宋体"/>
          <w:lang w:eastAsia="zh-Hans"/>
        </w:rPr>
        <w:t>净化系统和配套建设及装饰装修工程</w:t>
      </w:r>
      <w:r>
        <w:rPr>
          <w:rFonts w:hint="eastAsia" w:ascii="宋体" w:hAnsi="宋体"/>
        </w:rPr>
        <w:t xml:space="preserve">竣工图纸、负责完成验收、资料提交、质保服务等，以及所有其他为系统正常运行所需必要的项目。 </w:t>
      </w:r>
    </w:p>
    <w:p>
      <w:pPr>
        <w:spacing w:line="360" w:lineRule="auto"/>
        <w:ind w:firstLine="420" w:firstLineChars="200"/>
        <w:rPr>
          <w:rFonts w:hint="eastAsia" w:ascii="宋体" w:hAnsi="宋体"/>
        </w:rPr>
      </w:pPr>
      <w:r>
        <w:rPr>
          <w:rFonts w:hint="eastAsia" w:ascii="宋体" w:hAnsi="宋体"/>
        </w:rPr>
        <w:t>（3）乙方施工界面竣工时达到交钥匙工程要求。</w:t>
      </w:r>
    </w:p>
    <w:p>
      <w:pPr>
        <w:spacing w:line="360" w:lineRule="auto"/>
        <w:ind w:firstLine="420" w:firstLineChars="200"/>
        <w:rPr>
          <w:rFonts w:hint="eastAsia" w:ascii="宋体" w:hAnsi="宋体"/>
          <w:highlight w:val="none"/>
        </w:rPr>
      </w:pPr>
      <w:r>
        <w:rPr>
          <w:rFonts w:hint="eastAsia" w:ascii="宋体" w:hAnsi="宋体"/>
          <w:highlight w:val="none"/>
        </w:rPr>
        <w:t>1.4.项目实施范围</w:t>
      </w:r>
    </w:p>
    <w:p>
      <w:pPr>
        <w:widowControl/>
        <w:snapToGrid w:val="0"/>
        <w:spacing w:line="360" w:lineRule="auto"/>
        <w:ind w:firstLine="420" w:firstLineChars="200"/>
        <w:jc w:val="left"/>
        <w:rPr>
          <w:rFonts w:ascii="宋体" w:hAnsi="宋体" w:cs="Arial"/>
          <w:szCs w:val="21"/>
          <w:highlight w:val="none"/>
        </w:rPr>
      </w:pPr>
      <w:r>
        <w:rPr>
          <w:rFonts w:hint="eastAsia"/>
          <w:highlight w:val="none"/>
        </w:rPr>
        <w:t>（1）</w:t>
      </w:r>
      <w:r>
        <w:rPr>
          <w:rFonts w:hint="eastAsia" w:ascii="宋体" w:hAnsi="宋体" w:cs="Arial"/>
          <w:szCs w:val="21"/>
          <w:highlight w:val="none"/>
        </w:rPr>
        <w:t>中心手术部位于医技楼四层，设备层设置于五层，本</w:t>
      </w:r>
      <w:r>
        <w:rPr>
          <w:rFonts w:hint="eastAsia" w:ascii="宋体" w:hAnsi="宋体" w:cs="Arial"/>
          <w:szCs w:val="21"/>
          <w:highlight w:val="none"/>
          <w:lang w:val="en-US" w:eastAsia="zh-Hans"/>
        </w:rPr>
        <w:t>项目</w:t>
      </w:r>
      <w:r>
        <w:rPr>
          <w:rFonts w:hint="eastAsia" w:ascii="宋体" w:hAnsi="宋体" w:cs="Arial"/>
          <w:szCs w:val="21"/>
          <w:highlight w:val="none"/>
        </w:rPr>
        <w:t>系统安装范围如下</w:t>
      </w:r>
      <w:r>
        <w:rPr>
          <w:rFonts w:hint="default" w:ascii="宋体" w:hAnsi="宋体" w:cs="Arial"/>
          <w:szCs w:val="21"/>
          <w:highlight w:val="none"/>
        </w:rPr>
        <w:t>，</w:t>
      </w:r>
      <w:r>
        <w:rPr>
          <w:rFonts w:hint="eastAsia" w:ascii="宋体" w:hAnsi="宋体" w:cs="Arial"/>
          <w:szCs w:val="21"/>
          <w:highlight w:val="none"/>
          <w:lang w:val="en-US" w:eastAsia="zh-Hans"/>
        </w:rPr>
        <w:t>具体详见招标图纸</w:t>
      </w:r>
      <w:r>
        <w:rPr>
          <w:rFonts w:hint="eastAsia" w:ascii="宋体" w:hAnsi="宋体" w:cs="Arial"/>
          <w:szCs w:val="21"/>
          <w:highlight w:val="none"/>
        </w:rPr>
        <w:t>：</w:t>
      </w:r>
    </w:p>
    <w:p>
      <w:pPr>
        <w:widowControl/>
        <w:snapToGrid w:val="0"/>
        <w:spacing w:line="360" w:lineRule="auto"/>
        <w:ind w:firstLine="420" w:firstLineChars="200"/>
        <w:jc w:val="left"/>
        <w:rPr>
          <w:rFonts w:ascii="宋体" w:hAnsi="宋体" w:cs="Arial"/>
          <w:szCs w:val="21"/>
          <w:highlight w:val="none"/>
        </w:rPr>
      </w:pPr>
      <w:r>
        <w:rPr>
          <w:rFonts w:hint="eastAsia" w:ascii="宋体" w:hAnsi="宋体" w:cs="Arial"/>
          <w:szCs w:val="21"/>
          <w:highlight w:val="none"/>
        </w:rPr>
        <w:t>I级DSA复合手术室 OR18</w:t>
      </w:r>
    </w:p>
    <w:p>
      <w:pPr>
        <w:widowControl/>
        <w:snapToGrid w:val="0"/>
        <w:spacing w:line="360" w:lineRule="auto"/>
        <w:ind w:firstLine="420" w:firstLineChars="200"/>
        <w:jc w:val="left"/>
        <w:rPr>
          <w:rFonts w:ascii="宋体" w:hAnsi="宋体" w:cs="Arial"/>
          <w:szCs w:val="21"/>
          <w:highlight w:val="none"/>
        </w:rPr>
      </w:pPr>
      <w:r>
        <w:rPr>
          <w:rFonts w:hint="eastAsia" w:ascii="宋体" w:hAnsi="宋体" w:cs="Arial"/>
          <w:szCs w:val="21"/>
          <w:highlight w:val="none"/>
        </w:rPr>
        <w:t>III级CT诊查室</w:t>
      </w:r>
    </w:p>
    <w:p>
      <w:pPr>
        <w:widowControl/>
        <w:snapToGrid w:val="0"/>
        <w:spacing w:line="360" w:lineRule="auto"/>
        <w:ind w:firstLine="420" w:firstLineChars="200"/>
        <w:jc w:val="left"/>
        <w:rPr>
          <w:rFonts w:ascii="宋体" w:hAnsi="宋体" w:cs="Arial"/>
          <w:szCs w:val="21"/>
          <w:highlight w:val="none"/>
        </w:rPr>
      </w:pPr>
      <w:r>
        <w:rPr>
          <w:rFonts w:hint="eastAsia" w:ascii="宋体" w:hAnsi="宋体" w:cs="Arial"/>
          <w:szCs w:val="21"/>
          <w:highlight w:val="none"/>
        </w:rPr>
        <w:t>II级机器人复合手术室 OP19</w:t>
      </w:r>
    </w:p>
    <w:p>
      <w:pPr>
        <w:widowControl/>
        <w:snapToGrid w:val="0"/>
        <w:spacing w:line="360" w:lineRule="auto"/>
        <w:ind w:firstLine="420" w:firstLineChars="200"/>
        <w:jc w:val="left"/>
        <w:rPr>
          <w:rFonts w:ascii="宋体" w:hAnsi="宋体" w:cs="Arial"/>
          <w:szCs w:val="21"/>
          <w:highlight w:val="none"/>
        </w:rPr>
      </w:pPr>
      <w:r>
        <w:rPr>
          <w:rFonts w:hint="eastAsia" w:ascii="宋体" w:hAnsi="宋体" w:cs="Arial"/>
          <w:szCs w:val="21"/>
          <w:highlight w:val="none"/>
        </w:rPr>
        <w:t>特殊要求：DSA复合手术室（4个铅当量）：OP18</w:t>
      </w:r>
    </w:p>
    <w:p>
      <w:pPr>
        <w:widowControl/>
        <w:snapToGrid w:val="0"/>
        <w:spacing w:line="360" w:lineRule="auto"/>
        <w:ind w:firstLine="420" w:firstLineChars="200"/>
        <w:jc w:val="left"/>
        <w:rPr>
          <w:rFonts w:ascii="宋体" w:hAnsi="宋体" w:cs="Arial"/>
          <w:szCs w:val="21"/>
        </w:rPr>
      </w:pPr>
      <w:r>
        <w:rPr>
          <w:rFonts w:hint="eastAsia" w:ascii="宋体" w:hAnsi="宋体" w:cs="Arial"/>
          <w:szCs w:val="21"/>
          <w:highlight w:val="none"/>
        </w:rPr>
        <w:t xml:space="preserve">          CT诊</w:t>
      </w:r>
      <w:r>
        <w:rPr>
          <w:rFonts w:hint="eastAsia" w:ascii="宋体" w:hAnsi="宋体" w:cs="Arial"/>
          <w:szCs w:val="21"/>
        </w:rPr>
        <w:t>查室室：（4个铅当量）</w:t>
      </w:r>
    </w:p>
    <w:p>
      <w:pPr>
        <w:widowControl/>
        <w:snapToGrid w:val="0"/>
        <w:spacing w:line="360" w:lineRule="auto"/>
        <w:ind w:firstLine="420" w:firstLineChars="200"/>
        <w:jc w:val="left"/>
        <w:rPr>
          <w:rFonts w:ascii="宋体" w:hAnsi="宋体" w:cs="Arial"/>
          <w:szCs w:val="21"/>
        </w:rPr>
      </w:pPr>
      <w:r>
        <w:rPr>
          <w:rFonts w:hint="eastAsia" w:ascii="宋体" w:hAnsi="宋体" w:cs="Arial"/>
          <w:szCs w:val="21"/>
        </w:rPr>
        <w:t>空调设备机房：手术部设备机房设置于位于医技楼五层，需考虑部分系统与一期对接。</w:t>
      </w:r>
    </w:p>
    <w:p>
      <w:pPr>
        <w:spacing w:line="360" w:lineRule="auto"/>
        <w:ind w:firstLine="420" w:firstLineChars="200"/>
        <w:rPr>
          <w:rFonts w:hint="eastAsia" w:ascii="宋体" w:hAnsi="宋体"/>
        </w:rPr>
      </w:pPr>
      <w:r>
        <w:rPr>
          <w:rFonts w:hint="eastAsia" w:ascii="宋体" w:hAnsi="宋体"/>
        </w:rPr>
        <w:t>（2）乙方必须无条件配合甲方手术室</w:t>
      </w:r>
      <w:r>
        <w:rPr>
          <w:rFonts w:hint="eastAsia" w:ascii="宋体" w:hAnsi="宋体"/>
          <w:lang w:val="en-US" w:eastAsia="zh-Hans"/>
        </w:rPr>
        <w:t>内</w:t>
      </w:r>
      <w:r>
        <w:rPr>
          <w:rFonts w:hint="default" w:ascii="宋体" w:hAnsi="宋体"/>
          <w:lang w:eastAsia="zh-Hans"/>
        </w:rPr>
        <w:t>DSA、CT</w:t>
      </w:r>
      <w:r>
        <w:rPr>
          <w:rFonts w:hint="eastAsia" w:ascii="宋体" w:hAnsi="宋体"/>
          <w:lang w:val="en-US" w:eastAsia="zh-Hans"/>
        </w:rPr>
        <w:t>设备</w:t>
      </w:r>
      <w:r>
        <w:rPr>
          <w:rFonts w:hint="eastAsia" w:ascii="宋体" w:hAnsi="宋体"/>
        </w:rPr>
        <w:t>的施工。</w:t>
      </w:r>
    </w:p>
    <w:p>
      <w:pPr>
        <w:spacing w:line="360" w:lineRule="auto"/>
        <w:ind w:firstLine="420" w:firstLineChars="200"/>
        <w:rPr>
          <w:rFonts w:hint="eastAsia" w:ascii="宋体" w:hAnsi="宋体"/>
        </w:rPr>
      </w:pPr>
      <w:r>
        <w:rPr>
          <w:rFonts w:hint="eastAsia" w:ascii="宋体" w:hAnsi="宋体"/>
        </w:rPr>
        <w:t>1.5本项目所用设备（详见附件：</w:t>
      </w:r>
      <w:r>
        <w:rPr>
          <w:rFonts w:hint="eastAsia" w:ascii="宋体" w:hAnsi="宋体"/>
          <w:lang w:val="en-US" w:eastAsia="zh-CN"/>
        </w:rPr>
        <w:t>招标</w:t>
      </w:r>
      <w:r>
        <w:rPr>
          <w:rFonts w:hint="eastAsia" w:ascii="宋体" w:hAnsi="宋体"/>
        </w:rPr>
        <w:t>清单），乙方应严格按照招标文件要求及本合同约定采购，乙方应保证所供应设备品牌、规格、型号及数量均符合招标文件及本合同要求。未经甲方书面同意，乙方不得擅自变更。</w:t>
      </w:r>
    </w:p>
    <w:p>
      <w:pPr>
        <w:spacing w:line="360" w:lineRule="auto"/>
        <w:ind w:firstLine="420" w:firstLineChars="200"/>
        <w:rPr>
          <w:rFonts w:hint="eastAsia" w:ascii="宋体" w:hAnsi="宋体"/>
        </w:rPr>
      </w:pPr>
      <w:r>
        <w:rPr>
          <w:rFonts w:hint="eastAsia" w:ascii="宋体" w:hAnsi="宋体"/>
        </w:rPr>
        <w:t>1.6.本项目所用材料（详见附件：</w:t>
      </w:r>
      <w:r>
        <w:rPr>
          <w:rFonts w:hint="eastAsia" w:ascii="宋体" w:hAnsi="宋体"/>
          <w:lang w:val="en-US" w:eastAsia="zh-CN"/>
        </w:rPr>
        <w:t>招标</w:t>
      </w:r>
      <w:r>
        <w:rPr>
          <w:rFonts w:hint="eastAsia" w:ascii="宋体" w:hAnsi="宋体"/>
        </w:rPr>
        <w:t>清单），乙方必须按国家有关标准、施工图、技术规范书附件及招标文件及本合同约定（采购前应先提交其样品（质量等级、规格、颜色等）经监理工程师、设计师、甲方授权代表、使用方等确认许可后方可采购。在工程实施过程中，甲方有权根据实际效果进行调整部分材料的颜色，乙方应于配合并承担由此产生的费用。</w:t>
      </w:r>
    </w:p>
    <w:p>
      <w:pPr>
        <w:spacing w:line="360" w:lineRule="auto"/>
        <w:ind w:firstLine="420" w:firstLineChars="200"/>
        <w:rPr>
          <w:rFonts w:hint="eastAsia" w:ascii="宋体" w:hAnsi="宋体"/>
        </w:rPr>
      </w:pPr>
      <w:r>
        <w:rPr>
          <w:rFonts w:hint="eastAsia" w:ascii="宋体" w:hAnsi="宋体"/>
        </w:rPr>
        <w:t>1.7.本项目涉及深化设计的，乙方应将深化设计初稿交由甲方审查，经甲方审查确认后作为后续实施依据，否则给甲方造成的全部损失由乙方赔偿。</w:t>
      </w:r>
    </w:p>
    <w:p>
      <w:pPr>
        <w:spacing w:line="360" w:lineRule="auto"/>
        <w:ind w:firstLine="420" w:firstLineChars="200"/>
        <w:rPr>
          <w:rFonts w:hint="eastAsia" w:ascii="宋体" w:hAnsi="宋体"/>
        </w:rPr>
      </w:pPr>
      <w:r>
        <w:rPr>
          <w:rFonts w:hint="eastAsia" w:ascii="宋体" w:hAnsi="宋体"/>
        </w:rPr>
        <w:t>1.8. 本项目纳入甲方委托的监理管理范围，乙方需要遵从监理管理相关约定，上报材料报表、每月的工程量、施工进度等，并以项目现场监理例会的形式向监理和甲方汇报。</w:t>
      </w:r>
    </w:p>
    <w:p>
      <w:pPr>
        <w:spacing w:line="360" w:lineRule="auto"/>
        <w:ind w:firstLine="420" w:firstLineChars="200"/>
        <w:rPr>
          <w:rFonts w:hint="eastAsia" w:ascii="宋体" w:hAnsi="宋体"/>
        </w:rPr>
      </w:pPr>
      <w:r>
        <w:rPr>
          <w:rFonts w:hint="eastAsia" w:ascii="宋体" w:hAnsi="宋体"/>
        </w:rPr>
        <w:t>1.9.其他招标文件中已经列明的服务内容。</w:t>
      </w:r>
    </w:p>
    <w:p>
      <w:pPr>
        <w:pStyle w:val="2"/>
        <w:rPr>
          <w:rFonts w:hint="default" w:eastAsia="宋体"/>
          <w:lang w:eastAsia="zh-Hans"/>
        </w:rPr>
      </w:pPr>
      <w:r>
        <w:rPr>
          <w:rFonts w:hint="default" w:ascii="宋体" w:hAnsi="宋体"/>
        </w:rPr>
        <w:t xml:space="preserve">    1</w:t>
      </w:r>
      <w:r>
        <w:rPr>
          <w:rFonts w:hint="eastAsia" w:ascii="宋体" w:hAnsi="宋体"/>
          <w:lang w:val="en-US" w:eastAsia="zh-Hans"/>
        </w:rPr>
        <w:t>.</w:t>
      </w:r>
      <w:r>
        <w:rPr>
          <w:rFonts w:hint="default" w:ascii="宋体" w:hAnsi="宋体"/>
          <w:lang w:eastAsia="zh-Hans"/>
        </w:rPr>
        <w:t>10</w:t>
      </w:r>
      <w:r>
        <w:rPr>
          <w:rFonts w:hint="eastAsia" w:ascii="宋体" w:hAnsi="宋体"/>
          <w:lang w:val="en-US" w:eastAsia="zh-Hans"/>
        </w:rPr>
        <w:t>.乙方在投标文件中承诺的其他内容</w:t>
      </w:r>
      <w:r>
        <w:rPr>
          <w:rFonts w:hint="default" w:ascii="宋体" w:hAnsi="宋体"/>
          <w:lang w:eastAsia="zh-Hans"/>
        </w:rPr>
        <w:t>。</w:t>
      </w:r>
    </w:p>
    <w:p>
      <w:pPr>
        <w:spacing w:line="360" w:lineRule="auto"/>
        <w:ind w:firstLine="422" w:firstLineChars="200"/>
        <w:rPr>
          <w:rFonts w:hint="eastAsia" w:ascii="宋体" w:hAnsi="宋体"/>
          <w:b/>
        </w:rPr>
      </w:pPr>
      <w:r>
        <w:rPr>
          <w:rFonts w:hint="eastAsia" w:ascii="宋体" w:hAnsi="宋体"/>
          <w:b/>
        </w:rPr>
        <w:t>第二条 合同期限</w:t>
      </w:r>
    </w:p>
    <w:p>
      <w:pPr>
        <w:spacing w:line="360" w:lineRule="auto"/>
        <w:ind w:firstLine="420" w:firstLineChars="200"/>
        <w:rPr>
          <w:rFonts w:hint="eastAsia" w:ascii="宋体" w:hAnsi="宋体"/>
        </w:rPr>
      </w:pPr>
      <w:r>
        <w:rPr>
          <w:rFonts w:hint="eastAsia" w:ascii="宋体" w:hAnsi="宋体"/>
        </w:rPr>
        <w:t>2.1.合同期限自本合同订立之日起至双方权利义务终止之日止。</w:t>
      </w:r>
    </w:p>
    <w:p>
      <w:pPr>
        <w:spacing w:line="360" w:lineRule="auto"/>
        <w:ind w:firstLine="420" w:firstLineChars="200"/>
        <w:rPr>
          <w:rFonts w:hint="eastAsia" w:ascii="宋体" w:hAnsi="宋体"/>
        </w:rPr>
      </w:pPr>
      <w:r>
        <w:rPr>
          <w:rFonts w:hint="eastAsia" w:ascii="宋体" w:hAnsi="宋体"/>
        </w:rPr>
        <w:t>2.2.乙方应于甲方通知进场</w:t>
      </w:r>
      <w:r>
        <w:rPr>
          <w:rFonts w:hint="eastAsia" w:ascii="宋体" w:hAnsi="宋体"/>
          <w:highlight w:val="none"/>
        </w:rPr>
        <w:t>之日起【</w:t>
      </w:r>
      <w:r>
        <w:rPr>
          <w:rFonts w:hint="eastAsia" w:ascii="宋体" w:hAnsi="宋体"/>
          <w:highlight w:val="none"/>
          <w:lang w:val="en-US" w:eastAsia="zh-CN"/>
        </w:rPr>
        <w:t>100</w:t>
      </w:r>
      <w:r>
        <w:rPr>
          <w:rFonts w:hint="eastAsia" w:ascii="宋体" w:hAnsi="宋体"/>
          <w:highlight w:val="none"/>
        </w:rPr>
        <w:t>】日内完成本项目并通过项目整体履约验收，本项目通过整体</w:t>
      </w:r>
      <w:r>
        <w:rPr>
          <w:rFonts w:hint="eastAsia" w:ascii="宋体" w:hAnsi="宋体"/>
          <w:highlight w:val="none"/>
          <w:lang w:eastAsia="zh-Hans"/>
        </w:rPr>
        <w:t>最终</w:t>
      </w:r>
      <w:r>
        <w:rPr>
          <w:rFonts w:hint="eastAsia" w:ascii="宋体" w:hAnsi="宋体"/>
          <w:highlight w:val="none"/>
        </w:rPr>
        <w:t>验收视为乙方完成本项目建设，达到交钥匙</w:t>
      </w:r>
      <w:r>
        <w:rPr>
          <w:rFonts w:hint="eastAsia" w:ascii="宋体" w:hAnsi="宋体"/>
        </w:rPr>
        <w:t>项目要求。</w:t>
      </w:r>
    </w:p>
    <w:p>
      <w:pPr>
        <w:spacing w:line="360" w:lineRule="auto"/>
        <w:ind w:firstLine="422" w:firstLineChars="200"/>
        <w:rPr>
          <w:rFonts w:hint="eastAsia" w:ascii="宋体" w:hAnsi="宋体"/>
          <w:b/>
        </w:rPr>
      </w:pPr>
      <w:r>
        <w:rPr>
          <w:rFonts w:hint="eastAsia" w:ascii="宋体" w:hAnsi="宋体"/>
          <w:b/>
        </w:rPr>
        <w:t>第三条 项目技术要求</w:t>
      </w:r>
    </w:p>
    <w:p>
      <w:pPr>
        <w:spacing w:line="360" w:lineRule="auto"/>
        <w:ind w:firstLine="420" w:firstLineChars="200"/>
        <w:rPr>
          <w:rFonts w:hint="eastAsia" w:ascii="宋体" w:hAnsi="宋体"/>
        </w:rPr>
      </w:pPr>
      <w:r>
        <w:rPr>
          <w:rFonts w:hint="eastAsia" w:ascii="宋体" w:hAnsi="宋体"/>
        </w:rPr>
        <w:t>3.1.乙方应以甲方提供的招标图纸为基础，根据招标文件要求及本合同约定完成本项目。</w:t>
      </w:r>
    </w:p>
    <w:p>
      <w:pPr>
        <w:spacing w:line="360" w:lineRule="auto"/>
        <w:ind w:firstLine="420" w:firstLineChars="200"/>
        <w:rPr>
          <w:rFonts w:hint="eastAsia" w:ascii="宋体" w:hAnsi="宋体"/>
        </w:rPr>
      </w:pPr>
      <w:r>
        <w:rPr>
          <w:rFonts w:hint="eastAsia" w:ascii="宋体" w:hAnsi="宋体"/>
        </w:rPr>
        <w:t>3.2.本项目的材料、</w:t>
      </w:r>
      <w:r>
        <w:rPr>
          <w:rFonts w:hint="eastAsia" w:ascii="宋体" w:hAnsi="宋体"/>
          <w:lang w:val="en-US" w:eastAsia="zh-Hans"/>
        </w:rPr>
        <w:t>各系统工程</w:t>
      </w:r>
      <w:r>
        <w:rPr>
          <w:rFonts w:hint="eastAsia" w:ascii="宋体" w:hAnsi="宋体"/>
        </w:rPr>
        <w:t>技术要求须按招标文件、设计图纸规定执行；招标文件、施工图纸未作明确要求的，须达到现行国家以及省、市或行业的工程建设标准、规范的要求。</w:t>
      </w:r>
    </w:p>
    <w:p>
      <w:pPr>
        <w:spacing w:line="360" w:lineRule="auto"/>
        <w:ind w:firstLine="420" w:firstLineChars="200"/>
        <w:rPr>
          <w:rFonts w:hint="eastAsia" w:ascii="宋体" w:hAnsi="宋体"/>
        </w:rPr>
      </w:pPr>
      <w:r>
        <w:rPr>
          <w:rFonts w:hint="eastAsia" w:ascii="宋体" w:hAnsi="宋体"/>
        </w:rPr>
        <w:t>3.3.本项目范围内的设计、施工工艺、</w:t>
      </w:r>
      <w:r>
        <w:rPr>
          <w:rFonts w:hint="eastAsia" w:ascii="宋体" w:hAnsi="宋体"/>
          <w:lang w:eastAsia="zh-Hans"/>
        </w:rPr>
        <w:t>设施、</w:t>
      </w:r>
      <w:r>
        <w:rPr>
          <w:rFonts w:hint="eastAsia" w:ascii="宋体" w:hAnsi="宋体"/>
        </w:rPr>
        <w:t>设备及材料的选择都应具有先进性，满足现代化医院的使用要求。</w:t>
      </w:r>
      <w:r>
        <w:rPr>
          <w:rFonts w:hint="eastAsia" w:ascii="宋体" w:hAnsi="宋体"/>
          <w:lang w:eastAsia="zh-Hans"/>
        </w:rPr>
        <w:t>设施、</w:t>
      </w:r>
      <w:r>
        <w:rPr>
          <w:rFonts w:hint="eastAsia" w:ascii="宋体" w:hAnsi="宋体"/>
        </w:rPr>
        <w:t>设备及工艺的安排应具有先进性、高可靠性、实用性、经济性与合理性。全部技术指标（包括</w:t>
      </w:r>
      <w:r>
        <w:rPr>
          <w:rFonts w:hint="eastAsia" w:ascii="宋体" w:hAnsi="宋体"/>
          <w:lang w:eastAsia="zh-Hans"/>
        </w:rPr>
        <w:t>设施、</w:t>
      </w:r>
      <w:r>
        <w:rPr>
          <w:rFonts w:hint="eastAsia" w:ascii="宋体" w:hAnsi="宋体"/>
        </w:rPr>
        <w:t>设备、材料、包装、运输、安装、调试、维修等各项目技术参数）必须符合招标文件及国家最新的相关专业的规范要求。如果国家有新的行业标准公布，则按新标准执行。</w:t>
      </w:r>
    </w:p>
    <w:p>
      <w:pPr>
        <w:spacing w:line="360" w:lineRule="auto"/>
        <w:ind w:firstLine="420" w:firstLineChars="200"/>
        <w:rPr>
          <w:rFonts w:hint="eastAsia" w:ascii="宋体" w:hAnsi="宋体"/>
        </w:rPr>
      </w:pPr>
      <w:r>
        <w:rPr>
          <w:rFonts w:hint="eastAsia" w:ascii="宋体" w:hAnsi="宋体"/>
        </w:rPr>
        <w:t>3.4.本项目</w:t>
      </w:r>
      <w:r>
        <w:rPr>
          <w:rFonts w:hint="eastAsia" w:ascii="宋体" w:hAnsi="宋体"/>
          <w:lang w:val="en-US" w:eastAsia="zh-Hans"/>
        </w:rPr>
        <w:t>各系统</w:t>
      </w:r>
      <w:r>
        <w:rPr>
          <w:rFonts w:hint="eastAsia" w:ascii="宋体" w:hAnsi="宋体"/>
          <w:lang w:eastAsia="zh-Hans"/>
        </w:rPr>
        <w:t>工程</w:t>
      </w:r>
      <w:r>
        <w:rPr>
          <w:rFonts w:hint="eastAsia" w:ascii="宋体" w:hAnsi="宋体"/>
        </w:rPr>
        <w:t>（包括但不限于建筑装饰工程、净化空调系统、强电系统、弱电系统、医用气体系统等）的技术要求详见招标文件第四章采购内容及需求，乙方应严格按照前述各项技术要求实施。甲方有权按照前述要求对乙方进行监督及验收。</w:t>
      </w:r>
    </w:p>
    <w:p>
      <w:pPr>
        <w:spacing w:line="360" w:lineRule="auto"/>
        <w:ind w:firstLine="420" w:firstLineChars="200"/>
        <w:rPr>
          <w:rFonts w:hint="eastAsia" w:ascii="宋体" w:hAnsi="宋体"/>
        </w:rPr>
      </w:pPr>
      <w:r>
        <w:rPr>
          <w:rFonts w:hint="eastAsia" w:ascii="宋体" w:hAnsi="宋体"/>
        </w:rPr>
        <w:t>3.5.招标文件中已列明的其他技术要求。</w:t>
      </w:r>
    </w:p>
    <w:p>
      <w:pPr>
        <w:spacing w:line="360" w:lineRule="auto"/>
        <w:ind w:firstLine="422" w:firstLineChars="200"/>
        <w:rPr>
          <w:rFonts w:hint="eastAsia" w:ascii="宋体" w:hAnsi="宋体"/>
          <w:b/>
        </w:rPr>
      </w:pPr>
      <w:r>
        <w:rPr>
          <w:rFonts w:hint="eastAsia" w:ascii="宋体" w:hAnsi="宋体"/>
          <w:b/>
        </w:rPr>
        <w:t>第</w:t>
      </w:r>
      <w:r>
        <w:rPr>
          <w:rFonts w:hint="eastAsia" w:ascii="宋体" w:hAnsi="宋体"/>
          <w:b/>
          <w:lang w:val="en-US" w:eastAsia="zh-CN"/>
        </w:rPr>
        <w:t>四</w:t>
      </w:r>
      <w:r>
        <w:rPr>
          <w:rFonts w:hint="eastAsia" w:ascii="宋体" w:hAnsi="宋体"/>
          <w:b/>
        </w:rPr>
        <w:t>条 合同款项及支付</w:t>
      </w:r>
    </w:p>
    <w:p>
      <w:pPr>
        <w:spacing w:line="360" w:lineRule="auto"/>
        <w:ind w:firstLine="420" w:firstLineChars="200"/>
        <w:rPr>
          <w:rFonts w:hint="eastAsia" w:ascii="宋体" w:hAnsi="宋体"/>
        </w:rPr>
      </w:pPr>
      <w:r>
        <w:rPr>
          <w:rFonts w:hint="eastAsia" w:ascii="宋体" w:hAnsi="宋体"/>
          <w:lang w:val="en-US" w:eastAsia="zh-CN"/>
        </w:rPr>
        <w:t>4</w:t>
      </w:r>
      <w:r>
        <w:rPr>
          <w:rFonts w:hint="eastAsia" w:ascii="宋体" w:hAnsi="宋体"/>
        </w:rPr>
        <w:t>.1.本合同总价格</w:t>
      </w:r>
    </w:p>
    <w:p>
      <w:pPr>
        <w:adjustRightInd w:val="0"/>
        <w:snapToGrid w:val="0"/>
        <w:spacing w:line="360" w:lineRule="auto"/>
        <w:ind w:firstLine="420" w:firstLineChars="200"/>
        <w:rPr>
          <w:rFonts w:hint="default" w:ascii="宋体" w:hAnsi="宋体" w:cs="Arial"/>
          <w:szCs w:val="21"/>
        </w:rPr>
      </w:pPr>
      <w:r>
        <w:rPr>
          <w:rFonts w:hint="default" w:ascii="宋体" w:hAnsi="宋体"/>
        </w:rPr>
        <w:t>（1）</w:t>
      </w:r>
      <w:r>
        <w:rPr>
          <w:rFonts w:hint="eastAsia" w:ascii="宋体" w:hAnsi="宋体"/>
        </w:rPr>
        <w:t>本合同总价为人民币【】元（大写：【】元，含税价），</w:t>
      </w:r>
      <w:r>
        <w:rPr>
          <w:rFonts w:hint="eastAsia" w:ascii="宋体" w:hAnsi="宋体"/>
          <w:lang w:val="en-US" w:eastAsia="zh-Hans"/>
        </w:rPr>
        <w:t>本合同为总价包干</w:t>
      </w:r>
      <w:r>
        <w:rPr>
          <w:rFonts w:hint="default" w:ascii="宋体" w:hAnsi="宋体"/>
          <w:lang w:eastAsia="zh-Hans"/>
        </w:rPr>
        <w:t>，</w:t>
      </w:r>
      <w:r>
        <w:rPr>
          <w:rFonts w:hint="eastAsia" w:ascii="宋体" w:hAnsi="宋体"/>
          <w:lang w:val="en-US" w:eastAsia="zh-Hans"/>
        </w:rPr>
        <w:t>除本合同另有约定外</w:t>
      </w:r>
      <w:r>
        <w:rPr>
          <w:rFonts w:hint="default" w:ascii="宋体" w:hAnsi="宋体"/>
          <w:lang w:eastAsia="zh-Hans"/>
        </w:rPr>
        <w:t>，</w:t>
      </w:r>
      <w:r>
        <w:rPr>
          <w:rFonts w:hint="eastAsia" w:ascii="宋体" w:hAnsi="宋体"/>
          <w:lang w:val="en-US" w:eastAsia="zh-Hans"/>
        </w:rPr>
        <w:t>乙方不得另行向甲方要求支付其他任何费用</w:t>
      </w:r>
      <w:r>
        <w:rPr>
          <w:rFonts w:hint="default" w:ascii="宋体" w:hAnsi="宋体" w:cs="Arial"/>
          <w:szCs w:val="21"/>
        </w:rPr>
        <w:t>。</w:t>
      </w:r>
    </w:p>
    <w:p>
      <w:pPr>
        <w:adjustRightInd w:val="0"/>
        <w:snapToGrid w:val="0"/>
        <w:spacing w:line="360" w:lineRule="auto"/>
        <w:ind w:firstLine="420" w:firstLineChars="200"/>
        <w:rPr>
          <w:rFonts w:hint="eastAsia" w:ascii="宋体" w:hAnsi="宋体" w:eastAsia="宋体" w:cs="Times New Roman"/>
          <w:highlight w:val="none"/>
        </w:rPr>
      </w:pPr>
      <w:r>
        <w:rPr>
          <w:rFonts w:hint="eastAsia" w:ascii="宋体" w:hAnsi="宋体" w:eastAsia="宋体" w:cs="Times New Roman"/>
          <w:szCs w:val="24"/>
        </w:rPr>
        <w:t>（2）若甲方变更</w:t>
      </w:r>
      <w:r>
        <w:rPr>
          <w:rFonts w:hint="eastAsia" w:ascii="宋体" w:hAnsi="宋体" w:eastAsia="宋体" w:cs="Times New Roman"/>
          <w:szCs w:val="24"/>
          <w:lang w:val="en-US" w:eastAsia="zh-Hans"/>
        </w:rPr>
        <w:t>采购需求且涉及费用调整的</w:t>
      </w:r>
      <w:r>
        <w:rPr>
          <w:rFonts w:hint="eastAsia" w:ascii="宋体" w:hAnsi="宋体" w:eastAsia="宋体" w:cs="Times New Roman"/>
          <w:szCs w:val="24"/>
        </w:rPr>
        <w:t>，</w:t>
      </w:r>
      <w:r>
        <w:rPr>
          <w:rFonts w:hint="eastAsia" w:ascii="宋体" w:hAnsi="宋体" w:eastAsia="宋体" w:cs="Times New Roman"/>
          <w:szCs w:val="24"/>
          <w:lang w:val="en-US" w:eastAsia="zh-Hans"/>
        </w:rPr>
        <w:t>则</w:t>
      </w:r>
      <w:r>
        <w:rPr>
          <w:rFonts w:hint="eastAsia" w:ascii="宋体" w:hAnsi="宋体" w:eastAsia="宋体" w:cs="Times New Roman"/>
          <w:szCs w:val="24"/>
        </w:rPr>
        <w:t>根据按实调整</w:t>
      </w:r>
      <w:r>
        <w:rPr>
          <w:rFonts w:hint="eastAsia" w:ascii="宋体" w:hAnsi="宋体" w:eastAsia="宋体" w:cs="Times New Roman"/>
          <w:lang w:eastAsia="zh-Hans"/>
        </w:rPr>
        <w:t>，</w:t>
      </w:r>
      <w:r>
        <w:rPr>
          <w:rFonts w:hint="eastAsia" w:ascii="宋体" w:hAnsi="宋体" w:eastAsia="宋体" w:cs="Times New Roman"/>
          <w:lang w:val="en-US" w:eastAsia="zh-Hans"/>
        </w:rPr>
        <w:t>合同总价最终</w:t>
      </w:r>
      <w:r>
        <w:rPr>
          <w:rFonts w:hint="eastAsia" w:ascii="宋体" w:hAnsi="宋体" w:eastAsia="宋体" w:cs="Times New Roman"/>
          <w:lang w:eastAsia="zh-Hans"/>
        </w:rPr>
        <w:t>按照第三方审计</w:t>
      </w:r>
      <w:r>
        <w:rPr>
          <w:rFonts w:hint="eastAsia" w:ascii="宋体" w:hAnsi="宋体" w:eastAsia="宋体" w:cs="Times New Roman"/>
          <w:highlight w:val="none"/>
          <w:lang w:eastAsia="zh-Hans"/>
        </w:rPr>
        <w:t>结果调整</w:t>
      </w:r>
      <w:r>
        <w:rPr>
          <w:rFonts w:hint="eastAsia" w:ascii="宋体" w:hAnsi="宋体" w:eastAsia="宋体" w:cs="Times New Roman"/>
          <w:highlight w:val="none"/>
        </w:rPr>
        <w:t>。</w:t>
      </w:r>
    </w:p>
    <w:p>
      <w:pPr>
        <w:adjustRightInd w:val="0"/>
        <w:snapToGrid w:val="0"/>
        <w:spacing w:line="360" w:lineRule="auto"/>
        <w:ind w:firstLine="420" w:firstLineChars="200"/>
        <w:rPr>
          <w:rFonts w:hint="eastAsia" w:ascii="宋体" w:hAnsi="宋体" w:eastAsia="宋体" w:cs="Times New Roman"/>
          <w:highlight w:val="none"/>
          <w:lang w:eastAsia="zh-Hans"/>
        </w:rPr>
      </w:pPr>
      <w:r>
        <w:rPr>
          <w:rFonts w:hint="eastAsia" w:ascii="宋体" w:hAnsi="宋体" w:eastAsia="宋体" w:cs="Times New Roman"/>
          <w:highlight w:val="none"/>
        </w:rPr>
        <w:t>（3）</w:t>
      </w:r>
      <w:r>
        <w:rPr>
          <w:rFonts w:hint="eastAsia" w:ascii="宋体" w:hAnsi="宋体" w:eastAsia="宋体" w:cs="Times New Roman"/>
          <w:highlight w:val="none"/>
          <w:lang w:val="en-US" w:eastAsia="zh-Hans"/>
        </w:rPr>
        <w:t>甲方有权在</w:t>
      </w:r>
      <w:r>
        <w:rPr>
          <w:rFonts w:hint="eastAsia" w:ascii="宋体" w:hAnsi="宋体" w:eastAsia="宋体" w:cs="Times New Roman"/>
          <w:highlight w:val="none"/>
        </w:rPr>
        <w:t>项目整体履约验收合格</w:t>
      </w:r>
      <w:r>
        <w:rPr>
          <w:rFonts w:hint="eastAsia" w:ascii="宋体" w:hAnsi="宋体" w:eastAsia="宋体" w:cs="Times New Roman"/>
          <w:highlight w:val="none"/>
          <w:lang w:val="en-US" w:eastAsia="zh-Hans"/>
        </w:rPr>
        <w:t>后委托第三方对项目结算进行审价</w:t>
      </w:r>
      <w:r>
        <w:rPr>
          <w:rFonts w:hint="eastAsia" w:ascii="宋体" w:hAnsi="宋体" w:eastAsia="宋体" w:cs="Times New Roman"/>
          <w:highlight w:val="none"/>
          <w:lang w:eastAsia="zh-Hans"/>
        </w:rPr>
        <w:t>，</w:t>
      </w:r>
      <w:r>
        <w:rPr>
          <w:rFonts w:hint="eastAsia" w:ascii="宋体" w:hAnsi="宋体" w:eastAsia="宋体" w:cs="Times New Roman"/>
          <w:highlight w:val="none"/>
          <w:lang w:val="en-US" w:eastAsia="zh-Hans"/>
        </w:rPr>
        <w:t>最终双方按照审价结果以合同总价为基础多退少补</w:t>
      </w:r>
      <w:r>
        <w:rPr>
          <w:rFonts w:hint="eastAsia" w:ascii="宋体" w:hAnsi="宋体" w:eastAsia="宋体" w:cs="Times New Roman"/>
          <w:highlight w:val="none"/>
          <w:lang w:eastAsia="zh-Hans"/>
        </w:rPr>
        <w:t>。</w:t>
      </w:r>
    </w:p>
    <w:p>
      <w:pPr>
        <w:spacing w:line="360" w:lineRule="auto"/>
        <w:ind w:firstLine="420" w:firstLineChars="200"/>
        <w:rPr>
          <w:rFonts w:hint="eastAsia" w:ascii="宋体" w:hAnsi="宋体"/>
          <w:highlight w:val="none"/>
        </w:rPr>
      </w:pPr>
      <w:r>
        <w:rPr>
          <w:rFonts w:hint="eastAsia" w:ascii="宋体" w:hAnsi="宋体"/>
          <w:highlight w:val="none"/>
          <w:lang w:val="en-US" w:eastAsia="zh-CN"/>
        </w:rPr>
        <w:t>4</w:t>
      </w:r>
      <w:r>
        <w:rPr>
          <w:rFonts w:hint="eastAsia" w:ascii="宋体" w:hAnsi="宋体"/>
          <w:highlight w:val="none"/>
        </w:rPr>
        <w:t>.2.本合同</w:t>
      </w:r>
      <w:r>
        <w:rPr>
          <w:rFonts w:hint="eastAsia" w:ascii="宋体" w:hAnsi="宋体"/>
          <w:highlight w:val="none"/>
          <w:lang w:eastAsia="zh-Hans"/>
        </w:rPr>
        <w:t>总</w:t>
      </w:r>
      <w:r>
        <w:rPr>
          <w:rFonts w:hint="eastAsia" w:ascii="宋体" w:hAnsi="宋体"/>
          <w:highlight w:val="none"/>
        </w:rPr>
        <w:t>价格按照下列约定由甲方向乙方指定账户支付：</w:t>
      </w:r>
    </w:p>
    <w:p>
      <w:pPr>
        <w:spacing w:line="360" w:lineRule="auto"/>
        <w:ind w:firstLine="420" w:firstLineChars="200"/>
        <w:rPr>
          <w:rFonts w:hint="eastAsia" w:ascii="宋体" w:hAnsi="宋体"/>
          <w:highlight w:val="none"/>
        </w:rPr>
      </w:pPr>
      <w:r>
        <w:rPr>
          <w:rFonts w:hint="eastAsia" w:ascii="宋体" w:hAnsi="宋体"/>
          <w:highlight w:val="none"/>
        </w:rPr>
        <w:t>（1）合同生效后7个工作日内甲方支付乙方合同总价格的40%，计人民币【】元（大写：【】元）；</w:t>
      </w:r>
    </w:p>
    <w:p>
      <w:pPr>
        <w:spacing w:line="360" w:lineRule="auto"/>
        <w:ind w:firstLine="420" w:firstLineChars="200"/>
        <w:rPr>
          <w:rFonts w:hint="eastAsia" w:ascii="宋体" w:hAnsi="宋体"/>
          <w:highlight w:val="none"/>
        </w:rPr>
      </w:pPr>
      <w:r>
        <w:rPr>
          <w:rFonts w:hint="eastAsia" w:ascii="宋体" w:hAnsi="宋体"/>
          <w:highlight w:val="none"/>
        </w:rPr>
        <w:t>（2）本项目工程量达到70%（须甲方及监理单位共同确认），甲方支付乙方合同</w:t>
      </w:r>
      <w:r>
        <w:rPr>
          <w:rFonts w:hint="eastAsia" w:ascii="宋体" w:hAnsi="宋体"/>
          <w:highlight w:val="none"/>
          <w:lang w:eastAsia="zh-Hans"/>
        </w:rPr>
        <w:t>总</w:t>
      </w:r>
      <w:r>
        <w:rPr>
          <w:rFonts w:hint="eastAsia" w:ascii="宋体" w:hAnsi="宋体"/>
          <w:highlight w:val="none"/>
        </w:rPr>
        <w:t>价</w:t>
      </w:r>
      <w:r>
        <w:rPr>
          <w:rFonts w:hint="eastAsia" w:ascii="宋体" w:hAnsi="宋体"/>
          <w:highlight w:val="none"/>
          <w:lang w:eastAsia="zh-Hans"/>
        </w:rPr>
        <w:t>格</w:t>
      </w:r>
      <w:r>
        <w:rPr>
          <w:rFonts w:hint="eastAsia" w:ascii="宋体" w:hAnsi="宋体"/>
          <w:highlight w:val="none"/>
        </w:rPr>
        <w:t>的20%，计人民币【】元（大写：【】元）；</w:t>
      </w:r>
    </w:p>
    <w:p>
      <w:pPr>
        <w:spacing w:line="360" w:lineRule="auto"/>
        <w:ind w:firstLine="420" w:firstLineChars="200"/>
        <w:rPr>
          <w:rFonts w:hint="eastAsia" w:ascii="宋体" w:hAnsi="宋体"/>
          <w:highlight w:val="none"/>
        </w:rPr>
      </w:pPr>
      <w:r>
        <w:rPr>
          <w:rFonts w:hint="eastAsia" w:ascii="宋体" w:hAnsi="宋体"/>
          <w:highlight w:val="none"/>
        </w:rPr>
        <w:t>（3）项目整体履约验收合格，</w:t>
      </w:r>
      <w:bookmarkStart w:id="407" w:name="_Hlk130818379"/>
      <w:r>
        <w:rPr>
          <w:rFonts w:hint="eastAsia" w:ascii="宋体" w:hAnsi="宋体"/>
          <w:highlight w:val="none"/>
        </w:rPr>
        <w:t>甲方支付至乙方合同</w:t>
      </w:r>
      <w:r>
        <w:rPr>
          <w:rFonts w:hint="eastAsia" w:ascii="宋体" w:hAnsi="宋体"/>
          <w:highlight w:val="none"/>
          <w:lang w:eastAsia="zh-Hans"/>
        </w:rPr>
        <w:t>总</w:t>
      </w:r>
      <w:r>
        <w:rPr>
          <w:rFonts w:hint="eastAsia" w:ascii="宋体" w:hAnsi="宋体"/>
          <w:highlight w:val="none"/>
        </w:rPr>
        <w:t>价的100%</w:t>
      </w:r>
      <w:bookmarkEnd w:id="407"/>
      <w:r>
        <w:rPr>
          <w:rFonts w:hint="eastAsia" w:ascii="宋体" w:hAnsi="宋体"/>
          <w:highlight w:val="none"/>
        </w:rPr>
        <w:t>；</w:t>
      </w:r>
    </w:p>
    <w:p>
      <w:pPr>
        <w:adjustRightInd w:val="0"/>
        <w:snapToGrid w:val="0"/>
        <w:spacing w:line="360" w:lineRule="auto"/>
        <w:ind w:firstLine="420" w:firstLineChars="200"/>
        <w:rPr>
          <w:rFonts w:hint="eastAsia" w:ascii="宋体" w:hAnsi="宋体" w:eastAsia="宋体" w:cs="Times New Roman"/>
          <w:highlight w:val="none"/>
          <w:lang w:eastAsia="zh-Hans"/>
        </w:rPr>
      </w:pPr>
      <w:r>
        <w:rPr>
          <w:rFonts w:hint="eastAsia" w:ascii="宋体" w:hAnsi="宋体"/>
          <w:highlight w:val="none"/>
        </w:rPr>
        <w:t>（4）甲方</w:t>
      </w:r>
      <w:r>
        <w:rPr>
          <w:rFonts w:hint="eastAsia" w:ascii="宋体" w:hAnsi="宋体"/>
          <w:highlight w:val="none"/>
          <w:lang w:val="en-US" w:eastAsia="zh-Hans"/>
        </w:rPr>
        <w:t>在项目整体履约验收合格后可以</w:t>
      </w:r>
      <w:r>
        <w:rPr>
          <w:rFonts w:hint="eastAsia" w:ascii="宋体" w:hAnsi="宋体"/>
          <w:highlight w:val="none"/>
        </w:rPr>
        <w:t>委托第三方对结算审价，</w:t>
      </w:r>
      <w:r>
        <w:rPr>
          <w:rFonts w:hint="eastAsia" w:ascii="宋体" w:hAnsi="宋体"/>
          <w:highlight w:val="none"/>
          <w:lang w:val="en-US" w:eastAsia="zh-Hans"/>
        </w:rPr>
        <w:t>乙方应与配合</w:t>
      </w:r>
      <w:r>
        <w:rPr>
          <w:rFonts w:hint="default" w:ascii="宋体" w:hAnsi="宋体"/>
          <w:highlight w:val="none"/>
          <w:lang w:eastAsia="zh-Hans"/>
        </w:rPr>
        <w:t>，</w:t>
      </w:r>
      <w:r>
        <w:rPr>
          <w:rFonts w:hint="eastAsia" w:ascii="宋体" w:hAnsi="宋体"/>
          <w:highlight w:val="none"/>
          <w:lang w:val="en-US" w:eastAsia="zh-Hans"/>
        </w:rPr>
        <w:t>若审价结果与合同总价不符</w:t>
      </w:r>
      <w:r>
        <w:rPr>
          <w:rFonts w:hint="default" w:ascii="宋体" w:hAnsi="宋体"/>
          <w:highlight w:val="none"/>
          <w:lang w:eastAsia="zh-Hans"/>
        </w:rPr>
        <w:t>，</w:t>
      </w:r>
      <w:r>
        <w:rPr>
          <w:rFonts w:hint="eastAsia" w:ascii="宋体" w:hAnsi="宋体"/>
          <w:highlight w:val="none"/>
          <w:lang w:val="en-US" w:eastAsia="zh-Hans"/>
        </w:rPr>
        <w:t>双方</w:t>
      </w:r>
      <w:r>
        <w:rPr>
          <w:rFonts w:hint="eastAsia" w:ascii="宋体" w:hAnsi="宋体" w:eastAsia="宋体" w:cs="Times New Roman"/>
          <w:highlight w:val="none"/>
          <w:lang w:val="en-US" w:eastAsia="zh-Hans"/>
        </w:rPr>
        <w:t>按照审价结果以合同总价为基础多退少补</w:t>
      </w:r>
      <w:r>
        <w:rPr>
          <w:rFonts w:hint="eastAsia" w:ascii="宋体" w:hAnsi="宋体" w:eastAsia="宋体" w:cs="Times New Roman"/>
          <w:highlight w:val="none"/>
          <w:lang w:eastAsia="zh-Hans"/>
        </w:rPr>
        <w:t>。</w:t>
      </w:r>
    </w:p>
    <w:p>
      <w:pPr>
        <w:spacing w:line="360" w:lineRule="auto"/>
        <w:ind w:firstLine="420" w:firstLineChars="200"/>
        <w:rPr>
          <w:rFonts w:hint="eastAsia" w:ascii="宋体" w:hAnsi="宋体"/>
        </w:rPr>
      </w:pPr>
      <w:r>
        <w:rPr>
          <w:rFonts w:hint="eastAsia" w:ascii="宋体" w:hAnsi="宋体"/>
          <w:highlight w:val="none"/>
          <w:lang w:val="en-US" w:eastAsia="zh-CN"/>
        </w:rPr>
        <w:t>4</w:t>
      </w:r>
      <w:r>
        <w:rPr>
          <w:rFonts w:hint="eastAsia" w:ascii="宋体" w:hAnsi="宋体"/>
          <w:highlight w:val="none"/>
        </w:rPr>
        <w:t>.3甲方每次付款前，乙方必须开具并交付相应金额的增值税专用发票</w:t>
      </w:r>
      <w:r>
        <w:rPr>
          <w:rFonts w:hint="eastAsia" w:ascii="宋体" w:hAnsi="宋体"/>
          <w:highlight w:val="none"/>
          <w:lang w:val="en-US" w:eastAsia="zh-CN"/>
        </w:rPr>
        <w:t>(税率为13%)</w:t>
      </w:r>
      <w:r>
        <w:rPr>
          <w:rFonts w:hint="eastAsia" w:ascii="宋体" w:hAnsi="宋体"/>
          <w:highlight w:val="none"/>
        </w:rPr>
        <w:t>，作为甲方付款的前提条件之一，否则甲方有权延迟支付款</w:t>
      </w:r>
      <w:r>
        <w:rPr>
          <w:rFonts w:hint="eastAsia" w:ascii="宋体" w:hAnsi="宋体"/>
        </w:rPr>
        <w:t>项，并不因此构成违约。</w:t>
      </w:r>
    </w:p>
    <w:p>
      <w:pPr>
        <w:spacing w:line="360" w:lineRule="auto"/>
        <w:ind w:firstLine="420" w:firstLineChars="200"/>
        <w:rPr>
          <w:rFonts w:hint="eastAsia" w:ascii="宋体" w:hAnsi="宋体"/>
        </w:rPr>
      </w:pPr>
      <w:r>
        <w:rPr>
          <w:rFonts w:hint="eastAsia" w:ascii="宋体" w:hAnsi="宋体"/>
          <w:lang w:val="en-US" w:eastAsia="zh-CN"/>
        </w:rPr>
        <w:t>4</w:t>
      </w:r>
      <w:r>
        <w:rPr>
          <w:rFonts w:hint="eastAsia" w:ascii="宋体" w:hAnsi="宋体"/>
        </w:rPr>
        <w:t>.4.乙方指定账户信息：</w:t>
      </w:r>
    </w:p>
    <w:p>
      <w:pPr>
        <w:spacing w:line="360" w:lineRule="auto"/>
        <w:ind w:firstLine="420" w:firstLineChars="200"/>
        <w:rPr>
          <w:rFonts w:hint="eastAsia" w:ascii="宋体" w:hAnsi="宋体"/>
        </w:rPr>
      </w:pPr>
      <w:r>
        <w:rPr>
          <w:rFonts w:hint="eastAsia" w:ascii="宋体" w:hAnsi="宋体"/>
        </w:rPr>
        <w:t>账户名称：</w:t>
      </w:r>
    </w:p>
    <w:p>
      <w:pPr>
        <w:spacing w:line="360" w:lineRule="auto"/>
        <w:ind w:firstLine="420" w:firstLineChars="200"/>
        <w:rPr>
          <w:rFonts w:hint="eastAsia" w:ascii="宋体" w:hAnsi="宋体"/>
        </w:rPr>
      </w:pPr>
      <w:r>
        <w:rPr>
          <w:rFonts w:hint="eastAsia" w:ascii="宋体" w:hAnsi="宋体"/>
        </w:rPr>
        <w:t>开户行：</w:t>
      </w:r>
    </w:p>
    <w:p>
      <w:pPr>
        <w:spacing w:line="360" w:lineRule="auto"/>
        <w:ind w:firstLine="420" w:firstLineChars="200"/>
        <w:rPr>
          <w:rFonts w:hint="eastAsia" w:ascii="宋体" w:hAnsi="宋体"/>
        </w:rPr>
      </w:pPr>
      <w:r>
        <w:rPr>
          <w:rFonts w:hint="eastAsia" w:ascii="宋体" w:hAnsi="宋体"/>
        </w:rPr>
        <w:t>账号：</w:t>
      </w:r>
    </w:p>
    <w:p>
      <w:pPr>
        <w:spacing w:line="360" w:lineRule="auto"/>
        <w:ind w:firstLine="420" w:firstLineChars="200"/>
        <w:rPr>
          <w:rFonts w:hint="eastAsia" w:ascii="宋体" w:hAnsi="宋体"/>
        </w:rPr>
      </w:pPr>
      <w:r>
        <w:rPr>
          <w:rFonts w:hint="eastAsia" w:ascii="宋体" w:hAnsi="宋体"/>
          <w:lang w:val="en-US" w:eastAsia="zh-CN"/>
        </w:rPr>
        <w:t>4</w:t>
      </w:r>
      <w:r>
        <w:rPr>
          <w:rFonts w:hint="eastAsia" w:ascii="宋体" w:hAnsi="宋体"/>
        </w:rPr>
        <w:t>.5.甲方</w:t>
      </w:r>
      <w:r>
        <w:rPr>
          <w:rFonts w:hint="eastAsia" w:ascii="宋体" w:hAnsi="宋体"/>
          <w:lang w:val="en-US" w:eastAsia="zh-Hans"/>
        </w:rPr>
        <w:t>指定</w:t>
      </w:r>
      <w:r>
        <w:rPr>
          <w:rFonts w:hint="eastAsia" w:ascii="宋体" w:hAnsi="宋体"/>
        </w:rPr>
        <w:t>信息：</w:t>
      </w:r>
    </w:p>
    <w:p>
      <w:pPr>
        <w:spacing w:line="360" w:lineRule="auto"/>
        <w:ind w:firstLine="420" w:firstLineChars="200"/>
        <w:rPr>
          <w:rFonts w:hint="eastAsia" w:ascii="宋体" w:hAnsi="宋体"/>
        </w:rPr>
      </w:pPr>
      <w:r>
        <w:rPr>
          <w:rFonts w:hint="eastAsia" w:ascii="宋体" w:hAnsi="宋体"/>
        </w:rPr>
        <w:t>企业名称：</w:t>
      </w:r>
    </w:p>
    <w:p>
      <w:pPr>
        <w:spacing w:line="360" w:lineRule="auto"/>
        <w:ind w:firstLine="420" w:firstLineChars="200"/>
        <w:rPr>
          <w:rFonts w:hint="eastAsia" w:ascii="宋体" w:hAnsi="宋体"/>
        </w:rPr>
      </w:pPr>
      <w:r>
        <w:rPr>
          <w:rFonts w:hint="eastAsia" w:ascii="宋体" w:hAnsi="宋体"/>
        </w:rPr>
        <w:t>纳税人识别代码：</w:t>
      </w:r>
    </w:p>
    <w:p>
      <w:pPr>
        <w:spacing w:line="360" w:lineRule="auto"/>
        <w:ind w:firstLine="420" w:firstLineChars="200"/>
        <w:rPr>
          <w:rFonts w:hint="eastAsia" w:ascii="宋体" w:hAnsi="宋体"/>
        </w:rPr>
      </w:pPr>
      <w:r>
        <w:rPr>
          <w:rFonts w:hint="eastAsia" w:ascii="宋体" w:hAnsi="宋体"/>
        </w:rPr>
        <w:t>开户行及账号</w:t>
      </w:r>
    </w:p>
    <w:p>
      <w:pPr>
        <w:spacing w:line="360" w:lineRule="auto"/>
        <w:ind w:firstLine="420" w:firstLineChars="200"/>
        <w:rPr>
          <w:rFonts w:hint="eastAsia" w:ascii="宋体" w:hAnsi="宋体"/>
        </w:rPr>
      </w:pPr>
      <w:r>
        <w:rPr>
          <w:rFonts w:hint="eastAsia" w:ascii="宋体" w:hAnsi="宋体"/>
        </w:rPr>
        <w:t>地址及联系电话：</w:t>
      </w:r>
    </w:p>
    <w:p>
      <w:pPr>
        <w:spacing w:line="360" w:lineRule="auto"/>
        <w:ind w:firstLine="422" w:firstLineChars="200"/>
        <w:rPr>
          <w:rFonts w:hint="eastAsia" w:ascii="宋体" w:hAnsi="宋体"/>
          <w:b/>
        </w:rPr>
      </w:pPr>
      <w:r>
        <w:rPr>
          <w:rFonts w:hint="eastAsia" w:ascii="宋体" w:hAnsi="宋体"/>
          <w:b/>
        </w:rPr>
        <w:t>第</w:t>
      </w:r>
      <w:r>
        <w:rPr>
          <w:rFonts w:hint="eastAsia" w:ascii="宋体" w:hAnsi="宋体"/>
          <w:b/>
          <w:lang w:val="en-US" w:eastAsia="zh-CN"/>
        </w:rPr>
        <w:t>五</w:t>
      </w:r>
      <w:r>
        <w:rPr>
          <w:rFonts w:hint="eastAsia" w:ascii="宋体" w:hAnsi="宋体"/>
          <w:b/>
        </w:rPr>
        <w:t xml:space="preserve">条 </w:t>
      </w:r>
      <w:r>
        <w:rPr>
          <w:rFonts w:hint="eastAsia" w:ascii="宋体" w:hAnsi="宋体"/>
          <w:b/>
          <w:lang w:eastAsia="zh-Hans"/>
        </w:rPr>
        <w:t>设施、设备</w:t>
      </w:r>
      <w:r>
        <w:rPr>
          <w:rFonts w:hint="eastAsia" w:ascii="宋体" w:hAnsi="宋体"/>
          <w:b/>
        </w:rPr>
        <w:t>供应、到货验收及保管</w:t>
      </w:r>
    </w:p>
    <w:p>
      <w:pPr>
        <w:spacing w:line="360" w:lineRule="auto"/>
        <w:ind w:firstLine="422" w:firstLineChars="200"/>
        <w:rPr>
          <w:rFonts w:hint="eastAsia" w:ascii="宋体" w:hAnsi="宋体"/>
          <w:b/>
        </w:rPr>
      </w:pPr>
      <w:r>
        <w:rPr>
          <w:rFonts w:hint="eastAsia" w:ascii="宋体" w:hAnsi="宋体"/>
          <w:b/>
          <w:lang w:val="en-US" w:eastAsia="zh-CN"/>
        </w:rPr>
        <w:t>5</w:t>
      </w:r>
      <w:r>
        <w:rPr>
          <w:rFonts w:hint="eastAsia" w:ascii="宋体" w:hAnsi="宋体"/>
          <w:b/>
        </w:rPr>
        <w:t>.1.</w:t>
      </w:r>
      <w:r>
        <w:rPr>
          <w:rFonts w:hint="eastAsia" w:ascii="宋体" w:hAnsi="宋体"/>
          <w:b/>
          <w:lang w:eastAsia="zh-Hans"/>
        </w:rPr>
        <w:t>设施、</w:t>
      </w:r>
      <w:r>
        <w:rPr>
          <w:rFonts w:hint="eastAsia" w:ascii="宋体" w:hAnsi="宋体"/>
          <w:b/>
        </w:rPr>
        <w:t>设备类</w:t>
      </w:r>
    </w:p>
    <w:p>
      <w:pPr>
        <w:spacing w:line="360" w:lineRule="auto"/>
        <w:ind w:firstLine="420" w:firstLineChars="200"/>
        <w:rPr>
          <w:rFonts w:hint="eastAsia" w:ascii="宋体" w:hAnsi="宋体"/>
        </w:rPr>
      </w:pPr>
      <w:r>
        <w:rPr>
          <w:rFonts w:hint="eastAsia" w:ascii="宋体" w:hAnsi="宋体"/>
        </w:rPr>
        <w:t>（1）甲方指定【】（联系电话：【】，E-mail：【】，微信：【】）为本项目中甲方联系人，负责合同履行中的联系、对接、通知等工作。</w:t>
      </w:r>
    </w:p>
    <w:p>
      <w:pPr>
        <w:spacing w:line="360" w:lineRule="auto"/>
        <w:ind w:firstLine="420" w:firstLineChars="200"/>
        <w:rPr>
          <w:rFonts w:hint="eastAsia" w:ascii="宋体" w:hAnsi="宋体"/>
        </w:rPr>
      </w:pPr>
      <w:r>
        <w:rPr>
          <w:rFonts w:hint="eastAsia" w:ascii="宋体" w:hAnsi="宋体"/>
        </w:rPr>
        <w:t>（2）乙方应按照招标文件及本合同的约定完成本项目相关</w:t>
      </w:r>
      <w:r>
        <w:rPr>
          <w:rFonts w:hint="eastAsia" w:ascii="宋体" w:hAnsi="宋体"/>
          <w:lang w:eastAsia="zh-Hans"/>
        </w:rPr>
        <w:t>设施、</w:t>
      </w:r>
      <w:r>
        <w:rPr>
          <w:rFonts w:hint="eastAsia" w:ascii="宋体" w:hAnsi="宋体"/>
        </w:rPr>
        <w:t>设备采买，可以分批到货，但应于发货前通知甲方联系人，告知到货日期并免费运送到甲方指定地点，甲方接到通知后负责组织到货验收，乙方应派代表配合完成到货验收。</w:t>
      </w:r>
    </w:p>
    <w:p>
      <w:pPr>
        <w:spacing w:line="360" w:lineRule="auto"/>
        <w:ind w:firstLine="420" w:firstLineChars="200"/>
        <w:rPr>
          <w:rFonts w:hint="eastAsia" w:ascii="宋体" w:hAnsi="宋体"/>
        </w:rPr>
      </w:pPr>
      <w:r>
        <w:rPr>
          <w:rFonts w:hint="eastAsia" w:ascii="宋体" w:hAnsi="宋体"/>
        </w:rPr>
        <w:t>（3）乙方交货前应对</w:t>
      </w:r>
      <w:r>
        <w:rPr>
          <w:rFonts w:hint="eastAsia" w:ascii="宋体" w:hAnsi="宋体"/>
          <w:lang w:eastAsia="zh-Hans"/>
        </w:rPr>
        <w:t>设施、</w:t>
      </w:r>
      <w:r>
        <w:rPr>
          <w:rFonts w:hint="eastAsia" w:ascii="宋体" w:hAnsi="宋体"/>
        </w:rPr>
        <w:t>设备作出全面检查和对</w:t>
      </w:r>
      <w:r>
        <w:rPr>
          <w:rFonts w:hint="eastAsia" w:ascii="宋体" w:hAnsi="宋体"/>
          <w:lang w:eastAsia="zh-Hans"/>
        </w:rPr>
        <w:t>到货</w:t>
      </w:r>
      <w:r>
        <w:rPr>
          <w:rFonts w:hint="eastAsia" w:ascii="宋体" w:hAnsi="宋体"/>
        </w:rPr>
        <w:t>验收文件进行整理，并列出清单，作为甲方到货验收和使用的技术条件依据，</w:t>
      </w:r>
      <w:r>
        <w:rPr>
          <w:rFonts w:hint="eastAsia" w:ascii="宋体" w:hAnsi="宋体"/>
          <w:lang w:eastAsia="zh-Hans"/>
        </w:rPr>
        <w:t>乙方自行</w:t>
      </w:r>
      <w:r>
        <w:rPr>
          <w:rFonts w:hint="eastAsia" w:ascii="宋体" w:hAnsi="宋体"/>
        </w:rPr>
        <w:t>检验的结果应随</w:t>
      </w:r>
      <w:r>
        <w:rPr>
          <w:rFonts w:hint="eastAsia" w:ascii="宋体" w:hAnsi="宋体"/>
          <w:lang w:eastAsia="zh-Hans"/>
        </w:rPr>
        <w:t>设施、</w:t>
      </w:r>
      <w:r>
        <w:rPr>
          <w:rFonts w:hint="eastAsia" w:ascii="宋体" w:hAnsi="宋体"/>
        </w:rPr>
        <w:t>设备交</w:t>
      </w:r>
      <w:r>
        <w:rPr>
          <w:rFonts w:hint="eastAsia" w:ascii="宋体" w:hAnsi="宋体"/>
          <w:lang w:eastAsia="zh-Hans"/>
        </w:rPr>
        <w:t>付</w:t>
      </w:r>
      <w:r>
        <w:rPr>
          <w:rFonts w:hint="eastAsia" w:ascii="宋体" w:hAnsi="宋体"/>
        </w:rPr>
        <w:t>甲方。</w:t>
      </w:r>
    </w:p>
    <w:p>
      <w:pPr>
        <w:spacing w:line="360" w:lineRule="auto"/>
        <w:ind w:firstLine="420" w:firstLineChars="200"/>
        <w:rPr>
          <w:rFonts w:hint="eastAsia" w:ascii="宋体" w:hAnsi="宋体"/>
        </w:rPr>
      </w:pPr>
      <w:r>
        <w:rPr>
          <w:rFonts w:hint="eastAsia" w:ascii="宋体" w:hAnsi="宋体"/>
        </w:rPr>
        <w:t>（4）甲方有权组织监理单位或第三方依据招标文件及本</w:t>
      </w:r>
      <w:r>
        <w:rPr>
          <w:rFonts w:hint="eastAsia" w:ascii="宋体" w:hAnsi="宋体"/>
          <w:lang w:eastAsia="zh-Hans"/>
        </w:rPr>
        <w:t>合同</w:t>
      </w:r>
      <w:r>
        <w:rPr>
          <w:rFonts w:hint="eastAsia" w:ascii="宋体" w:hAnsi="宋体"/>
        </w:rPr>
        <w:t>约定对乙方供应</w:t>
      </w:r>
      <w:r>
        <w:rPr>
          <w:rFonts w:hint="eastAsia" w:ascii="宋体" w:hAnsi="宋体"/>
          <w:lang w:eastAsia="zh-Hans"/>
        </w:rPr>
        <w:t>的设施、</w:t>
      </w:r>
      <w:r>
        <w:rPr>
          <w:rFonts w:hint="eastAsia" w:ascii="宋体" w:hAnsi="宋体"/>
        </w:rPr>
        <w:t>设备进行到货验收。若</w:t>
      </w:r>
      <w:r>
        <w:rPr>
          <w:rFonts w:hint="eastAsia" w:ascii="宋体" w:hAnsi="宋体"/>
          <w:lang w:eastAsia="zh-Hans"/>
        </w:rPr>
        <w:t>到货</w:t>
      </w:r>
      <w:r>
        <w:rPr>
          <w:rFonts w:hint="eastAsia" w:ascii="宋体" w:hAnsi="宋体"/>
        </w:rPr>
        <w:t>验收合格，甲方签发到货验收合格证明（详见附件：到货验收单），并以此作为支付合同款的凭证之一；若存在异议，甲方有权对有异议的</w:t>
      </w:r>
      <w:r>
        <w:rPr>
          <w:rFonts w:hint="eastAsia" w:ascii="宋体" w:hAnsi="宋体"/>
          <w:lang w:eastAsia="zh-Hans"/>
        </w:rPr>
        <w:t>设施、</w:t>
      </w:r>
      <w:r>
        <w:rPr>
          <w:rFonts w:hint="eastAsia" w:ascii="宋体" w:hAnsi="宋体"/>
        </w:rPr>
        <w:t>设备拒绝收货，并要求乙方限期更换或补正，到货后，甲方有权再次进行到货验收直至合格。对技术复杂的</w:t>
      </w:r>
      <w:r>
        <w:rPr>
          <w:rFonts w:hint="eastAsia" w:ascii="宋体" w:hAnsi="宋体"/>
          <w:lang w:eastAsia="zh-Hans"/>
        </w:rPr>
        <w:t>设施、</w:t>
      </w:r>
      <w:r>
        <w:rPr>
          <w:rFonts w:hint="eastAsia" w:ascii="宋体" w:hAnsi="宋体"/>
        </w:rPr>
        <w:t>设备，甲方应请国家认可的专业检测机构参与</w:t>
      </w:r>
      <w:r>
        <w:rPr>
          <w:rFonts w:hint="eastAsia" w:ascii="宋体" w:hAnsi="宋体"/>
          <w:lang w:eastAsia="zh-Hans"/>
        </w:rPr>
        <w:t>到货</w:t>
      </w:r>
      <w:r>
        <w:rPr>
          <w:rFonts w:hint="eastAsia" w:ascii="宋体" w:hAnsi="宋体"/>
        </w:rPr>
        <w:t>验收，并由其出具质量检测报告，由此产生的费用由乙方承担。</w:t>
      </w:r>
    </w:p>
    <w:p>
      <w:pPr>
        <w:spacing w:line="360" w:lineRule="auto"/>
        <w:ind w:firstLine="420" w:firstLineChars="200"/>
        <w:rPr>
          <w:rFonts w:hint="eastAsia" w:ascii="宋体" w:hAnsi="宋体"/>
        </w:rPr>
      </w:pPr>
      <w:r>
        <w:rPr>
          <w:rFonts w:hint="eastAsia" w:ascii="宋体" w:hAnsi="宋体"/>
        </w:rPr>
        <w:t>（5）甲方到货验收合格仅针对</w:t>
      </w:r>
      <w:r>
        <w:rPr>
          <w:rFonts w:hint="eastAsia" w:ascii="宋体" w:hAnsi="宋体"/>
          <w:lang w:eastAsia="zh-Hans"/>
        </w:rPr>
        <w:t>到货设施、</w:t>
      </w:r>
      <w:r>
        <w:rPr>
          <w:rFonts w:hint="eastAsia" w:ascii="宋体" w:hAnsi="宋体"/>
        </w:rPr>
        <w:t>设备外观、数量、型号、规格等内容进行验收，到货验收合格并不意味着</w:t>
      </w:r>
      <w:r>
        <w:rPr>
          <w:rFonts w:hint="eastAsia" w:ascii="宋体" w:hAnsi="宋体"/>
          <w:lang w:eastAsia="zh-Hans"/>
        </w:rPr>
        <w:t>设施、</w:t>
      </w:r>
      <w:r>
        <w:rPr>
          <w:rFonts w:hint="eastAsia" w:ascii="宋体" w:hAnsi="宋体"/>
        </w:rPr>
        <w:t>设备质量不存在问题，若在安装调试或使用中发现质量问题，乙方应按照本合同约定承担质保责任。</w:t>
      </w:r>
    </w:p>
    <w:p>
      <w:pPr>
        <w:spacing w:line="360" w:lineRule="auto"/>
        <w:ind w:firstLine="420" w:firstLineChars="200"/>
        <w:rPr>
          <w:rFonts w:hint="eastAsia" w:ascii="宋体" w:hAnsi="宋体"/>
        </w:rPr>
      </w:pPr>
      <w:r>
        <w:rPr>
          <w:rFonts w:hint="eastAsia" w:ascii="宋体" w:hAnsi="宋体"/>
        </w:rPr>
        <w:t>（6）鉴于本项目为交钥匙工程，本项目整体安装调试验收合格前所有到货验收合格的</w:t>
      </w:r>
      <w:r>
        <w:rPr>
          <w:rFonts w:hint="eastAsia" w:ascii="宋体" w:hAnsi="宋体"/>
          <w:lang w:eastAsia="zh-Hans"/>
        </w:rPr>
        <w:t>设施、</w:t>
      </w:r>
      <w:r>
        <w:rPr>
          <w:rFonts w:hint="eastAsia" w:ascii="宋体" w:hAnsi="宋体"/>
        </w:rPr>
        <w:t>设备均由乙方负责保管，前述</w:t>
      </w:r>
      <w:r>
        <w:rPr>
          <w:rFonts w:hint="eastAsia" w:ascii="宋体" w:hAnsi="宋体"/>
          <w:lang w:eastAsia="zh-Hans"/>
        </w:rPr>
        <w:t>设施、</w:t>
      </w:r>
      <w:r>
        <w:rPr>
          <w:rFonts w:hint="eastAsia" w:ascii="宋体" w:hAnsi="宋体"/>
        </w:rPr>
        <w:t>设备发生毁损、灭失的风险由乙方承担，乙方应保证</w:t>
      </w:r>
      <w:r>
        <w:rPr>
          <w:rFonts w:hint="eastAsia" w:ascii="宋体" w:hAnsi="宋体"/>
          <w:lang w:eastAsia="zh-Hans"/>
        </w:rPr>
        <w:t>设施、</w:t>
      </w:r>
      <w:r>
        <w:rPr>
          <w:rFonts w:hint="eastAsia" w:ascii="宋体" w:hAnsi="宋体"/>
        </w:rPr>
        <w:t>设备的安全、稳定，避免发生不必要的损耗。前述风险自本项目整体安装调试验收合格之日起移转至甲方。</w:t>
      </w:r>
    </w:p>
    <w:p>
      <w:pPr>
        <w:spacing w:line="360" w:lineRule="auto"/>
        <w:ind w:firstLine="422" w:firstLineChars="200"/>
        <w:rPr>
          <w:rFonts w:hint="eastAsia" w:ascii="宋体" w:hAnsi="宋体"/>
          <w:b/>
        </w:rPr>
      </w:pPr>
      <w:r>
        <w:rPr>
          <w:rFonts w:hint="eastAsia" w:ascii="宋体" w:hAnsi="宋体"/>
          <w:b/>
          <w:lang w:val="en-US" w:eastAsia="zh-CN"/>
        </w:rPr>
        <w:t>5</w:t>
      </w:r>
      <w:r>
        <w:rPr>
          <w:rFonts w:hint="eastAsia" w:ascii="宋体" w:hAnsi="宋体"/>
          <w:b/>
        </w:rPr>
        <w:t>.2.材料类</w:t>
      </w:r>
    </w:p>
    <w:p>
      <w:pPr>
        <w:spacing w:line="360" w:lineRule="auto"/>
        <w:ind w:firstLine="420" w:firstLineChars="200"/>
        <w:rPr>
          <w:rFonts w:hint="eastAsia" w:ascii="宋体" w:hAnsi="宋体"/>
        </w:rPr>
      </w:pPr>
      <w:r>
        <w:rPr>
          <w:rFonts w:hint="eastAsia" w:ascii="宋体" w:hAnsi="宋体"/>
        </w:rPr>
        <w:t>（1）乙方应按照招标文件及本合同的约定完成本项目相关材料采买，可以分批到货，但应于发货前通知甲方委托</w:t>
      </w:r>
      <w:r>
        <w:rPr>
          <w:rFonts w:hint="eastAsia" w:ascii="宋体" w:hAnsi="宋体"/>
          <w:lang w:eastAsia="zh-Hans"/>
        </w:rPr>
        <w:t>的</w:t>
      </w:r>
      <w:r>
        <w:rPr>
          <w:rFonts w:hint="eastAsia" w:ascii="宋体" w:hAnsi="宋体"/>
        </w:rPr>
        <w:t>监理单位并编制材料报表。</w:t>
      </w:r>
    </w:p>
    <w:p>
      <w:pPr>
        <w:spacing w:line="360" w:lineRule="auto"/>
        <w:ind w:firstLine="420" w:firstLineChars="200"/>
        <w:rPr>
          <w:rFonts w:hint="eastAsia" w:ascii="宋体" w:hAnsi="宋体"/>
        </w:rPr>
      </w:pPr>
      <w:r>
        <w:rPr>
          <w:rFonts w:hint="eastAsia" w:ascii="宋体" w:hAnsi="宋体"/>
        </w:rPr>
        <w:t>（2）所有材料入场前应按相应规范进行相应材料报备并提供样品，经设计、监理及甲方确认后方可进场。</w:t>
      </w:r>
    </w:p>
    <w:p>
      <w:pPr>
        <w:spacing w:line="360" w:lineRule="auto"/>
        <w:ind w:firstLine="420" w:firstLineChars="200"/>
        <w:rPr>
          <w:rFonts w:hint="eastAsia" w:ascii="宋体" w:hAnsi="宋体"/>
        </w:rPr>
      </w:pPr>
      <w:r>
        <w:rPr>
          <w:rFonts w:hint="eastAsia" w:ascii="宋体" w:hAnsi="宋体"/>
        </w:rPr>
        <w:t>（3）乙方应将到货进度报备甲方委托的监理单位，整体项目安装调试验收前，乙方应将本项目涉及的全部材料报表提交给监理单位，用于安装调试验收使用。</w:t>
      </w:r>
    </w:p>
    <w:p>
      <w:pPr>
        <w:spacing w:line="360" w:lineRule="auto"/>
        <w:ind w:firstLine="420" w:firstLineChars="200"/>
        <w:rPr>
          <w:rFonts w:hint="eastAsia" w:ascii="宋体" w:hAnsi="宋体"/>
        </w:rPr>
      </w:pPr>
      <w:r>
        <w:rPr>
          <w:rFonts w:hint="eastAsia" w:ascii="宋体" w:hAnsi="宋体"/>
        </w:rPr>
        <w:t>（4）材料进场后由乙方负责保管和使用。</w:t>
      </w:r>
    </w:p>
    <w:p>
      <w:pPr>
        <w:spacing w:line="360" w:lineRule="auto"/>
        <w:ind w:firstLine="422" w:firstLineChars="200"/>
        <w:rPr>
          <w:rFonts w:hint="eastAsia" w:ascii="宋体" w:hAnsi="宋体"/>
          <w:b/>
        </w:rPr>
      </w:pPr>
      <w:r>
        <w:rPr>
          <w:rFonts w:hint="eastAsia" w:ascii="宋体" w:hAnsi="宋体"/>
          <w:b/>
        </w:rPr>
        <w:t>第</w:t>
      </w:r>
      <w:r>
        <w:rPr>
          <w:rFonts w:hint="eastAsia" w:ascii="宋体" w:hAnsi="宋体"/>
          <w:b/>
          <w:lang w:val="en-US" w:eastAsia="zh-CN"/>
        </w:rPr>
        <w:t>六</w:t>
      </w:r>
      <w:r>
        <w:rPr>
          <w:rFonts w:hint="eastAsia" w:ascii="宋体" w:hAnsi="宋体"/>
          <w:b/>
        </w:rPr>
        <w:t>条 产品</w:t>
      </w:r>
      <w:r>
        <w:rPr>
          <w:rFonts w:hint="eastAsia" w:ascii="宋体" w:hAnsi="宋体"/>
          <w:b/>
          <w:lang w:eastAsia="zh-Hans"/>
        </w:rPr>
        <w:t>及服务的</w:t>
      </w:r>
      <w:r>
        <w:rPr>
          <w:rFonts w:hint="eastAsia" w:ascii="宋体" w:hAnsi="宋体"/>
          <w:b/>
        </w:rPr>
        <w:t>质量与标准</w:t>
      </w:r>
    </w:p>
    <w:p>
      <w:pPr>
        <w:spacing w:line="360" w:lineRule="auto"/>
        <w:ind w:firstLine="420" w:firstLineChars="200"/>
        <w:rPr>
          <w:rFonts w:hint="eastAsia" w:ascii="宋体" w:hAnsi="宋体"/>
        </w:rPr>
      </w:pPr>
      <w:r>
        <w:rPr>
          <w:rFonts w:hint="eastAsia" w:ascii="宋体" w:hAnsi="宋体"/>
          <w:lang w:val="en-US" w:eastAsia="zh-CN"/>
        </w:rPr>
        <w:t>6</w:t>
      </w:r>
      <w:r>
        <w:rPr>
          <w:rFonts w:hint="eastAsia" w:ascii="宋体" w:hAnsi="宋体"/>
        </w:rPr>
        <w:t>.1.乙方提供的所有产品（</w:t>
      </w:r>
      <w:r>
        <w:rPr>
          <w:rFonts w:hint="eastAsia" w:ascii="宋体" w:hAnsi="宋体"/>
          <w:lang w:eastAsia="zh-Hans"/>
        </w:rPr>
        <w:t>包括设施、设备、材料，下同</w:t>
      </w:r>
      <w:r>
        <w:rPr>
          <w:rFonts w:hint="eastAsia" w:ascii="宋体" w:hAnsi="宋体"/>
        </w:rPr>
        <w:t>）和服务（</w:t>
      </w:r>
      <w:r>
        <w:rPr>
          <w:rFonts w:hint="eastAsia" w:ascii="宋体" w:hAnsi="宋体"/>
          <w:lang w:eastAsia="zh-Hans"/>
        </w:rPr>
        <w:t>包括净化设备安装、建设、调试、运行服务及相关配套建设及装饰装修工程</w:t>
      </w:r>
      <w:r>
        <w:rPr>
          <w:rFonts w:hint="eastAsia" w:ascii="宋体" w:hAnsi="宋体"/>
        </w:rPr>
        <w:t>服务，</w:t>
      </w:r>
      <w:r>
        <w:rPr>
          <w:rFonts w:hint="eastAsia" w:ascii="宋体" w:hAnsi="宋体"/>
          <w:lang w:eastAsia="zh-Hans"/>
        </w:rPr>
        <w:t>下同</w:t>
      </w:r>
      <w:r>
        <w:rPr>
          <w:rFonts w:hint="eastAsia" w:ascii="宋体" w:hAnsi="宋体"/>
        </w:rPr>
        <w:t>）均应符合国家标准及相关产品和服务的质量要求。</w:t>
      </w:r>
    </w:p>
    <w:p>
      <w:pPr>
        <w:spacing w:line="360" w:lineRule="auto"/>
        <w:ind w:firstLine="420" w:firstLineChars="200"/>
        <w:rPr>
          <w:rFonts w:hint="eastAsia" w:ascii="宋体" w:hAnsi="宋体"/>
        </w:rPr>
      </w:pPr>
      <w:r>
        <w:rPr>
          <w:rFonts w:hint="eastAsia" w:ascii="宋体" w:hAnsi="宋体"/>
          <w:lang w:val="en-US" w:eastAsia="zh-CN"/>
        </w:rPr>
        <w:t>6</w:t>
      </w:r>
      <w:r>
        <w:rPr>
          <w:rFonts w:hint="eastAsia" w:ascii="宋体" w:hAnsi="宋体"/>
        </w:rPr>
        <w:t>.2.因产品和服务质量不符合标准给甲方或第三人造成损失的，该损失由乙方全额承担；甲方因此对外承担责任的，有权向乙方全额追偿，包括但不限于甲方对外支付的违约金、赔偿金、诉讼费、律师费。</w:t>
      </w:r>
    </w:p>
    <w:p>
      <w:pPr>
        <w:spacing w:line="360" w:lineRule="auto"/>
        <w:ind w:firstLine="420" w:firstLineChars="200"/>
        <w:rPr>
          <w:rFonts w:hint="eastAsia" w:ascii="宋体" w:hAnsi="宋体"/>
        </w:rPr>
      </w:pPr>
      <w:r>
        <w:rPr>
          <w:rFonts w:hint="eastAsia" w:ascii="宋体" w:hAnsi="宋体"/>
          <w:lang w:val="en-US" w:eastAsia="zh-CN"/>
        </w:rPr>
        <w:t>6</w:t>
      </w:r>
      <w:r>
        <w:rPr>
          <w:rFonts w:hint="eastAsia" w:ascii="宋体" w:hAnsi="宋体"/>
        </w:rPr>
        <w:t>.3.本合同包装要求以产品出厂包装标准为准，包装费用由乙方承担；若甲方对包装有特别要求或更高要求的，甲方应于乙方发货前3个工作日提前书面通知乙方，乙方应遵照甲方要求执行，因此产生的费用由甲、乙双方协商确定。</w:t>
      </w:r>
    </w:p>
    <w:p>
      <w:pPr>
        <w:spacing w:line="360" w:lineRule="auto"/>
        <w:ind w:firstLine="420" w:firstLineChars="200"/>
        <w:rPr>
          <w:rFonts w:hint="eastAsia" w:ascii="宋体" w:hAnsi="宋体"/>
        </w:rPr>
      </w:pPr>
      <w:r>
        <w:rPr>
          <w:rFonts w:hint="eastAsia" w:ascii="宋体" w:hAnsi="宋体"/>
          <w:lang w:val="en-US" w:eastAsia="zh-CN"/>
        </w:rPr>
        <w:t>6</w:t>
      </w:r>
      <w:r>
        <w:rPr>
          <w:rFonts w:hint="eastAsia" w:ascii="宋体" w:hAnsi="宋体"/>
        </w:rPr>
        <w:t>.4.乙方保证本合同中所供应的产品是最新生产的符合国家技术规格和质量标准的出厂原装合格产品。如发生所供产品与本合同约定不符，甲方（使用方）有权拒收或退货，由此产生的一切责任和后果由乙方承担。</w:t>
      </w:r>
    </w:p>
    <w:p>
      <w:pPr>
        <w:spacing w:line="360" w:lineRule="auto"/>
        <w:ind w:firstLine="420" w:firstLineChars="200"/>
        <w:rPr>
          <w:rFonts w:hint="eastAsia" w:ascii="宋体" w:hAnsi="宋体"/>
        </w:rPr>
      </w:pPr>
      <w:r>
        <w:rPr>
          <w:rFonts w:hint="eastAsia" w:ascii="宋体" w:hAnsi="宋体"/>
          <w:lang w:val="en-US" w:eastAsia="zh-CN"/>
        </w:rPr>
        <w:t>6</w:t>
      </w:r>
      <w:r>
        <w:rPr>
          <w:rFonts w:hint="eastAsia" w:ascii="宋体" w:hAnsi="宋体"/>
        </w:rPr>
        <w:t>.5.乙方保证所提供的产品和服务的合法性，并保证所提供的本合同项下的所有产品和服务不会对第三人构成侵权。如果出现本合同项下产品或服务所涉及的文字、图片、软件、商标、技术、</w:t>
      </w:r>
      <w:r>
        <w:rPr>
          <w:rFonts w:hint="eastAsia" w:ascii="宋体" w:hAnsi="宋体"/>
          <w:lang w:eastAsia="zh-Hans"/>
        </w:rPr>
        <w:t>其他知识产权、</w:t>
      </w:r>
      <w:r>
        <w:rPr>
          <w:rFonts w:hint="eastAsia" w:ascii="宋体" w:hAnsi="宋体"/>
        </w:rPr>
        <w:t>商业信息等侵犯第三方的权益而造成的纠纷和产生的一切费用，甲方概不负责。因前述导致甲方损失或导致甲方对外承担责任或造成甲方损失的，甲方有权要求乙方全额赔偿。</w:t>
      </w:r>
    </w:p>
    <w:p>
      <w:pPr>
        <w:spacing w:line="360" w:lineRule="auto"/>
        <w:ind w:firstLine="422" w:firstLineChars="200"/>
        <w:rPr>
          <w:rFonts w:hint="eastAsia" w:ascii="宋体" w:hAnsi="宋体"/>
          <w:b/>
        </w:rPr>
      </w:pPr>
      <w:r>
        <w:rPr>
          <w:rFonts w:hint="eastAsia" w:ascii="宋体" w:hAnsi="宋体"/>
          <w:b/>
        </w:rPr>
        <w:t>第</w:t>
      </w:r>
      <w:r>
        <w:rPr>
          <w:rFonts w:hint="eastAsia" w:ascii="宋体" w:hAnsi="宋体"/>
          <w:b/>
          <w:lang w:val="en-US" w:eastAsia="zh-CN"/>
        </w:rPr>
        <w:t>七</w:t>
      </w:r>
      <w:r>
        <w:rPr>
          <w:rFonts w:hint="eastAsia" w:ascii="宋体" w:hAnsi="宋体"/>
          <w:b/>
        </w:rPr>
        <w:t xml:space="preserve">条 </w:t>
      </w:r>
      <w:r>
        <w:rPr>
          <w:rFonts w:hint="eastAsia" w:ascii="宋体" w:hAnsi="宋体"/>
          <w:b/>
          <w:lang w:eastAsia="zh-Hans"/>
        </w:rPr>
        <w:t>本项目</w:t>
      </w:r>
      <w:r>
        <w:rPr>
          <w:rFonts w:hint="eastAsia" w:ascii="宋体" w:hAnsi="宋体"/>
          <w:b/>
        </w:rPr>
        <w:t>工程施工</w:t>
      </w:r>
    </w:p>
    <w:p>
      <w:pPr>
        <w:spacing w:line="360" w:lineRule="auto"/>
        <w:ind w:firstLine="420" w:firstLineChars="200"/>
        <w:rPr>
          <w:rFonts w:hint="eastAsia" w:ascii="宋体" w:hAnsi="宋体"/>
        </w:rPr>
      </w:pPr>
      <w:r>
        <w:rPr>
          <w:rFonts w:hint="eastAsia" w:ascii="宋体" w:hAnsi="宋体"/>
          <w:lang w:val="en-US" w:eastAsia="zh-CN"/>
        </w:rPr>
        <w:t>7</w:t>
      </w:r>
      <w:r>
        <w:rPr>
          <w:rFonts w:hint="eastAsia" w:ascii="宋体" w:hAnsi="宋体"/>
        </w:rPr>
        <w:t>.1乙方应按照招标文件及本</w:t>
      </w:r>
      <w:r>
        <w:rPr>
          <w:rFonts w:hint="eastAsia" w:ascii="宋体" w:hAnsi="宋体"/>
          <w:lang w:eastAsia="zh-Hans"/>
        </w:rPr>
        <w:t>合同的</w:t>
      </w:r>
      <w:r>
        <w:rPr>
          <w:rFonts w:hint="eastAsia" w:ascii="宋体" w:hAnsi="宋体"/>
        </w:rPr>
        <w:t>约定按时完成</w:t>
      </w:r>
      <w:r>
        <w:rPr>
          <w:rFonts w:hint="eastAsia" w:ascii="宋体" w:hAnsi="宋体"/>
          <w:lang w:eastAsia="zh-Hans"/>
        </w:rPr>
        <w:t>本项目</w:t>
      </w:r>
      <w:r>
        <w:rPr>
          <w:rFonts w:hint="eastAsia" w:ascii="宋体" w:hAnsi="宋体"/>
        </w:rPr>
        <w:t>工程施工。乙方不得将本合同项下工程分包予不具备相应资质或相应能力或不符合招标文件要求的第三方，否则甲方有权单方面解除合同并要求乙方退还全部已付合同款项，且有权要求乙方支付本合同金额2</w:t>
      </w:r>
      <w:r>
        <w:rPr>
          <w:rFonts w:ascii="宋体" w:hAnsi="宋体"/>
        </w:rPr>
        <w:t>0</w:t>
      </w:r>
      <w:r>
        <w:rPr>
          <w:rFonts w:hint="eastAsia" w:ascii="宋体" w:hAnsi="宋体"/>
        </w:rPr>
        <w:t>%的违约金，如违约金金额不足以弥补甲方全部损失的，甲方还可要求乙方就差额部分赔偿甲方。</w:t>
      </w:r>
    </w:p>
    <w:p>
      <w:pPr>
        <w:spacing w:line="360" w:lineRule="auto"/>
        <w:ind w:firstLine="420" w:firstLineChars="200"/>
        <w:rPr>
          <w:rFonts w:hint="eastAsia" w:ascii="宋体" w:hAnsi="宋体"/>
          <w:highlight w:val="none"/>
        </w:rPr>
      </w:pPr>
      <w:r>
        <w:rPr>
          <w:rFonts w:hint="eastAsia" w:ascii="宋体" w:hAnsi="宋体"/>
          <w:highlight w:val="none"/>
          <w:lang w:val="en-US" w:eastAsia="zh-CN"/>
        </w:rPr>
        <w:t>7</w:t>
      </w:r>
      <w:r>
        <w:rPr>
          <w:rFonts w:hint="eastAsia" w:ascii="宋体" w:hAnsi="宋体"/>
          <w:highlight w:val="none"/>
        </w:rPr>
        <w:t>.2 施工用水、电</w:t>
      </w:r>
      <w:r>
        <w:rPr>
          <w:rFonts w:hint="eastAsia" w:ascii="宋体" w:hAnsi="宋体"/>
          <w:highlight w:val="none"/>
          <w:lang w:val="en-US" w:eastAsia="zh-Hans"/>
        </w:rPr>
        <w:t>接口</w:t>
      </w:r>
      <w:r>
        <w:rPr>
          <w:rFonts w:hint="eastAsia" w:ascii="宋体" w:hAnsi="宋体"/>
          <w:highlight w:val="none"/>
        </w:rPr>
        <w:t>由甲方提供</w:t>
      </w:r>
      <w:r>
        <w:rPr>
          <w:rFonts w:hint="default" w:ascii="宋体" w:hAnsi="宋体"/>
          <w:highlight w:val="none"/>
        </w:rPr>
        <w:t>，</w:t>
      </w:r>
      <w:r>
        <w:rPr>
          <w:rFonts w:hint="eastAsia" w:ascii="宋体" w:hAnsi="宋体"/>
          <w:highlight w:val="none"/>
          <w:lang w:val="en-US" w:eastAsia="zh-Hans"/>
        </w:rPr>
        <w:t>接口不足部分及其他的水源</w:t>
      </w:r>
      <w:r>
        <w:rPr>
          <w:rFonts w:hint="default" w:ascii="宋体" w:hAnsi="宋体"/>
          <w:highlight w:val="none"/>
          <w:lang w:eastAsia="zh-Hans"/>
        </w:rPr>
        <w:t>、</w:t>
      </w:r>
      <w:r>
        <w:rPr>
          <w:rFonts w:hint="eastAsia" w:ascii="宋体" w:hAnsi="宋体"/>
          <w:highlight w:val="none"/>
          <w:lang w:val="en-US" w:eastAsia="zh-Hans"/>
        </w:rPr>
        <w:t>水箱</w:t>
      </w:r>
      <w:r>
        <w:rPr>
          <w:rFonts w:hint="default" w:ascii="宋体" w:hAnsi="宋体"/>
          <w:highlight w:val="none"/>
          <w:lang w:eastAsia="zh-Hans"/>
        </w:rPr>
        <w:t>、</w:t>
      </w:r>
      <w:r>
        <w:rPr>
          <w:rFonts w:hint="eastAsia" w:ascii="宋体" w:hAnsi="宋体"/>
          <w:highlight w:val="none"/>
          <w:lang w:val="en-US" w:eastAsia="zh-Hans"/>
        </w:rPr>
        <w:t>加压设备等由乙方负责处理</w:t>
      </w:r>
      <w:r>
        <w:rPr>
          <w:rFonts w:hint="default" w:ascii="宋体" w:hAnsi="宋体"/>
          <w:highlight w:val="none"/>
          <w:lang w:eastAsia="zh-Hans"/>
        </w:rPr>
        <w:t>，</w:t>
      </w:r>
      <w:r>
        <w:rPr>
          <w:rFonts w:hint="eastAsia" w:ascii="宋体" w:hAnsi="宋体"/>
          <w:highlight w:val="none"/>
          <w:lang w:val="en-US" w:eastAsia="zh-Hans"/>
        </w:rPr>
        <w:t>费用均已包含在本合同总价格中</w:t>
      </w:r>
      <w:r>
        <w:rPr>
          <w:rFonts w:hint="eastAsia" w:ascii="宋体" w:hAnsi="宋体"/>
          <w:highlight w:val="none"/>
        </w:rPr>
        <w:t xml:space="preserve">。 </w:t>
      </w:r>
    </w:p>
    <w:p>
      <w:pPr>
        <w:spacing w:line="360" w:lineRule="auto"/>
        <w:ind w:firstLine="420" w:firstLineChars="200"/>
        <w:rPr>
          <w:rFonts w:hint="eastAsia" w:ascii="宋体" w:hAnsi="宋体"/>
        </w:rPr>
      </w:pPr>
      <w:r>
        <w:rPr>
          <w:rFonts w:hint="eastAsia" w:ascii="宋体" w:hAnsi="宋体"/>
          <w:lang w:val="en-US" w:eastAsia="zh-CN"/>
        </w:rPr>
        <w:t>7</w:t>
      </w:r>
      <w:r>
        <w:rPr>
          <w:rFonts w:hint="eastAsia" w:ascii="宋体" w:hAnsi="宋体"/>
        </w:rPr>
        <w:t>.3乙方施工期间应服从甲方现场管理人员及甲方委托</w:t>
      </w:r>
      <w:r>
        <w:rPr>
          <w:rFonts w:hint="eastAsia" w:ascii="宋体" w:hAnsi="宋体"/>
          <w:lang w:eastAsia="zh-Hans"/>
        </w:rPr>
        <w:t>的</w:t>
      </w:r>
      <w:r>
        <w:rPr>
          <w:rFonts w:hint="eastAsia" w:ascii="宋体" w:hAnsi="宋体"/>
        </w:rPr>
        <w:t>监理单位</w:t>
      </w:r>
      <w:r>
        <w:rPr>
          <w:rFonts w:hint="eastAsia" w:ascii="宋体" w:hAnsi="宋体"/>
          <w:lang w:eastAsia="zh-Hans"/>
        </w:rPr>
        <w:t>的</w:t>
      </w:r>
      <w:r>
        <w:rPr>
          <w:rFonts w:hint="eastAsia" w:ascii="宋体" w:hAnsi="宋体"/>
        </w:rPr>
        <w:t>管理，避免与患者及其家属</w:t>
      </w:r>
      <w:r>
        <w:rPr>
          <w:rFonts w:hint="eastAsia" w:ascii="宋体" w:hAnsi="宋体"/>
          <w:lang w:eastAsia="zh-Hans"/>
        </w:rPr>
        <w:t>或其他第三方</w:t>
      </w:r>
      <w:r>
        <w:rPr>
          <w:rFonts w:hint="eastAsia" w:ascii="宋体" w:hAnsi="宋体"/>
        </w:rPr>
        <w:t>产生冲突。</w:t>
      </w:r>
    </w:p>
    <w:p>
      <w:pPr>
        <w:spacing w:line="360" w:lineRule="auto"/>
        <w:ind w:firstLine="420" w:firstLineChars="200"/>
        <w:rPr>
          <w:rFonts w:hint="eastAsia" w:ascii="宋体" w:hAnsi="宋体"/>
        </w:rPr>
      </w:pPr>
      <w:r>
        <w:rPr>
          <w:rFonts w:hint="eastAsia" w:ascii="宋体" w:hAnsi="宋体"/>
          <w:lang w:val="en-US" w:eastAsia="zh-CN"/>
        </w:rPr>
        <w:t>7</w:t>
      </w:r>
      <w:r>
        <w:rPr>
          <w:rFonts w:hint="eastAsia" w:ascii="宋体" w:hAnsi="宋体"/>
        </w:rPr>
        <w:t>.4施工期间，乙方施工人员（含管理人员）在医院禁烟区域抽烟的一经查实，每人每次罚款500元人民币；乙方不按国家规定垃圾分类进行处理的，一经查实，每次罚款10000元人民币，若因此导致甲方承担责任或被处罚，则乙方应全额赔偿。乙方不按安全生产规定进行操作的，引起的自身人身伤害及财物损失及第三者人身伤害和财务损失，由乙方负全部法律责任并进行赔付，甲方不负任何法律责任或其他赔偿责任。</w:t>
      </w:r>
    </w:p>
    <w:p>
      <w:pPr>
        <w:spacing w:line="360" w:lineRule="auto"/>
        <w:ind w:firstLine="420" w:firstLineChars="200"/>
        <w:rPr>
          <w:rFonts w:hint="eastAsia" w:ascii="宋体" w:hAnsi="宋体"/>
        </w:rPr>
      </w:pPr>
      <w:r>
        <w:rPr>
          <w:rFonts w:hint="eastAsia" w:ascii="宋体" w:hAnsi="宋体"/>
          <w:lang w:val="en-US" w:eastAsia="zh-CN"/>
        </w:rPr>
        <w:t>7</w:t>
      </w:r>
      <w:r>
        <w:rPr>
          <w:rFonts w:hint="eastAsia" w:ascii="宋体" w:hAnsi="宋体"/>
        </w:rPr>
        <w:t>.5在实际施工过程中，如出现政府限电、断电、缺电情况，乙方须采取措施自行解决施工用电问题，如自备发电机组等，费用自理，</w:t>
      </w:r>
      <w:r>
        <w:rPr>
          <w:rFonts w:hint="eastAsia" w:ascii="宋体" w:hAnsi="宋体"/>
          <w:lang w:eastAsia="zh-Hans"/>
        </w:rPr>
        <w:t>不得将上述情形作为不可抗力延误工期。</w:t>
      </w:r>
    </w:p>
    <w:p>
      <w:pPr>
        <w:spacing w:line="360" w:lineRule="auto"/>
        <w:ind w:firstLine="420" w:firstLineChars="200"/>
        <w:rPr>
          <w:rFonts w:hint="eastAsia" w:ascii="宋体" w:hAnsi="宋体"/>
        </w:rPr>
      </w:pPr>
      <w:r>
        <w:rPr>
          <w:rFonts w:hint="eastAsia" w:ascii="宋体" w:hAnsi="宋体"/>
          <w:lang w:val="en-US" w:eastAsia="zh-CN"/>
        </w:rPr>
        <w:t>7</w:t>
      </w:r>
      <w:r>
        <w:rPr>
          <w:rFonts w:hint="eastAsia" w:ascii="宋体" w:hAnsi="宋体"/>
        </w:rPr>
        <w:t>.6因医院施工场地狭小，现场无法提供临时设施场地，所有临时设施以及工人食宿均由乙方自行解决。乙方应自行解决办公、生活等设施，医院内不提供任何生产、生活设施，且乙方工人不得在医院内食宿。</w:t>
      </w:r>
    </w:p>
    <w:p>
      <w:pPr>
        <w:spacing w:line="360" w:lineRule="auto"/>
        <w:ind w:firstLine="420" w:firstLineChars="200"/>
        <w:rPr>
          <w:rFonts w:hint="eastAsia" w:ascii="宋体" w:hAnsi="宋体"/>
        </w:rPr>
      </w:pPr>
      <w:r>
        <w:rPr>
          <w:rFonts w:hint="eastAsia" w:ascii="宋体" w:hAnsi="宋体"/>
          <w:lang w:val="en-US" w:eastAsia="zh-CN"/>
        </w:rPr>
        <w:t>7</w:t>
      </w:r>
      <w:r>
        <w:rPr>
          <w:rFonts w:hint="eastAsia" w:ascii="宋体" w:hAnsi="宋体"/>
        </w:rPr>
        <w:t>.7本</w:t>
      </w:r>
      <w:r>
        <w:rPr>
          <w:rFonts w:hint="eastAsia" w:ascii="宋体" w:hAnsi="宋体"/>
          <w:lang w:eastAsia="zh-Hans"/>
        </w:rPr>
        <w:t>项目</w:t>
      </w:r>
      <w:r>
        <w:rPr>
          <w:rFonts w:hint="eastAsia" w:ascii="宋体" w:hAnsi="宋体"/>
        </w:rPr>
        <w:t>工程时间较紧，乙方必须承诺投入的材料、人员、机械满足</w:t>
      </w:r>
      <w:r>
        <w:rPr>
          <w:rFonts w:hint="eastAsia" w:ascii="宋体" w:hAnsi="宋体"/>
          <w:lang w:eastAsia="zh-Hans"/>
        </w:rPr>
        <w:t>项目</w:t>
      </w:r>
      <w:r>
        <w:rPr>
          <w:rFonts w:hint="eastAsia" w:ascii="宋体" w:hAnsi="宋体"/>
        </w:rPr>
        <w:t>工程进度需要，相关赶工措施费用包含</w:t>
      </w:r>
      <w:r>
        <w:rPr>
          <w:rFonts w:hint="eastAsia" w:ascii="宋体" w:hAnsi="宋体"/>
          <w:lang w:eastAsia="zh-Hans"/>
        </w:rPr>
        <w:t>在</w:t>
      </w:r>
      <w:r>
        <w:rPr>
          <w:rFonts w:hint="eastAsia" w:ascii="宋体" w:hAnsi="宋体"/>
        </w:rPr>
        <w:t>本合同总价格中。若甲方认为现场投入的材料、人员、机械不满足工程进度需要，乙方必须按照</w:t>
      </w:r>
      <w:r>
        <w:rPr>
          <w:rFonts w:hint="eastAsia" w:ascii="宋体" w:hAnsi="宋体"/>
          <w:lang w:eastAsia="zh-Hans"/>
        </w:rPr>
        <w:t>甲方</w:t>
      </w:r>
      <w:r>
        <w:rPr>
          <w:rFonts w:hint="eastAsia" w:ascii="宋体" w:hAnsi="宋体"/>
        </w:rPr>
        <w:t>的要求补足材料、人员、机械，不得影响本项目进度</w:t>
      </w:r>
      <w:r>
        <w:rPr>
          <w:rFonts w:hint="default" w:ascii="宋体" w:hAnsi="宋体"/>
        </w:rPr>
        <w:t>，</w:t>
      </w:r>
      <w:r>
        <w:rPr>
          <w:rFonts w:hint="eastAsia" w:ascii="宋体" w:hAnsi="宋体"/>
          <w:lang w:val="en-US" w:eastAsia="zh-Hans"/>
        </w:rPr>
        <w:t>乙方增加的赶工措施费由乙方自行承担</w:t>
      </w:r>
      <w:r>
        <w:rPr>
          <w:rFonts w:hint="eastAsia" w:ascii="宋体" w:hAnsi="宋体"/>
        </w:rPr>
        <w:t>。</w:t>
      </w:r>
    </w:p>
    <w:p>
      <w:pPr>
        <w:spacing w:line="360" w:lineRule="auto"/>
        <w:ind w:firstLine="420" w:firstLineChars="200"/>
        <w:rPr>
          <w:rFonts w:hint="eastAsia" w:ascii="宋体" w:hAnsi="宋体"/>
        </w:rPr>
      </w:pPr>
      <w:r>
        <w:rPr>
          <w:rFonts w:hint="eastAsia" w:ascii="宋体" w:hAnsi="宋体"/>
          <w:lang w:val="en-US" w:eastAsia="zh-CN"/>
        </w:rPr>
        <w:t>7</w:t>
      </w:r>
      <w:r>
        <w:rPr>
          <w:rFonts w:hint="eastAsia" w:ascii="宋体" w:hAnsi="宋体"/>
        </w:rPr>
        <w:t>.8在本项目施工过程期间，乙方施工作业人员不得无故进入院区其他区域，施工材料、设备和拆除垃圾均需及时运出医院。施工现场不提供材料、设备和建筑垃圾堆放场地，乙方必须做到日到日清。</w:t>
      </w:r>
    </w:p>
    <w:p>
      <w:pPr>
        <w:spacing w:line="360" w:lineRule="auto"/>
        <w:ind w:firstLine="420" w:firstLineChars="200"/>
        <w:rPr>
          <w:rFonts w:hint="eastAsia" w:ascii="宋体" w:hAnsi="宋体"/>
        </w:rPr>
      </w:pPr>
      <w:r>
        <w:rPr>
          <w:rFonts w:hint="eastAsia" w:ascii="宋体" w:hAnsi="宋体"/>
          <w:lang w:val="en-US" w:eastAsia="zh-CN"/>
        </w:rPr>
        <w:t>7</w:t>
      </w:r>
      <w:r>
        <w:rPr>
          <w:rFonts w:hint="eastAsia" w:ascii="宋体" w:hAnsi="宋体"/>
        </w:rPr>
        <w:t>.9本项目每日施工时间为</w:t>
      </w:r>
      <w:r>
        <w:rPr>
          <w:rFonts w:hint="eastAsia" w:ascii="宋体" w:hAnsi="宋体"/>
          <w:lang w:val="en-US" w:eastAsia="zh-CN"/>
        </w:rPr>
        <w:t>7</w:t>
      </w:r>
      <w:r>
        <w:rPr>
          <w:rFonts w:hint="eastAsia" w:ascii="宋体" w:hAnsi="宋体"/>
        </w:rPr>
        <w:t>:00时-12：00时，13:30时-21:00时，其它时间不允许施工，乙方应务必充分综合考虑劳动时间。</w:t>
      </w:r>
    </w:p>
    <w:p>
      <w:pPr>
        <w:spacing w:line="360" w:lineRule="auto"/>
        <w:ind w:firstLine="420" w:firstLineChars="200"/>
        <w:rPr>
          <w:rFonts w:hint="default" w:ascii="宋体" w:hAnsi="宋体"/>
        </w:rPr>
      </w:pPr>
      <w:r>
        <w:rPr>
          <w:rFonts w:hint="eastAsia" w:ascii="宋体" w:hAnsi="宋体"/>
          <w:lang w:val="en-US" w:eastAsia="zh-CN"/>
        </w:rPr>
        <w:t>7</w:t>
      </w:r>
      <w:r>
        <w:rPr>
          <w:rFonts w:hint="eastAsia" w:ascii="宋体" w:hAnsi="宋体"/>
        </w:rPr>
        <w:t>.10</w:t>
      </w:r>
      <w:r>
        <w:rPr>
          <w:rFonts w:hint="eastAsia" w:ascii="宋体" w:hAnsi="宋体"/>
          <w:lang w:val="en-US" w:eastAsia="zh-Hans"/>
        </w:rPr>
        <w:t>合同签订时即视为乙方已经充分考虑到了本项目的工程量</w:t>
      </w:r>
      <w:r>
        <w:rPr>
          <w:rFonts w:hint="default" w:ascii="宋体" w:hAnsi="宋体"/>
          <w:lang w:eastAsia="zh-Hans"/>
        </w:rPr>
        <w:t>，</w:t>
      </w:r>
      <w:r>
        <w:rPr>
          <w:rFonts w:hint="eastAsia" w:ascii="宋体" w:hAnsi="宋体"/>
          <w:lang w:val="en-US" w:eastAsia="zh-Hans"/>
        </w:rPr>
        <w:t>甲方将不再对</w:t>
      </w:r>
      <w:r>
        <w:rPr>
          <w:rFonts w:hint="eastAsia" w:ascii="宋体" w:hAnsi="宋体"/>
          <w:lang w:val="en-US" w:eastAsia="zh-CN"/>
        </w:rPr>
        <w:t>招标清单</w:t>
      </w:r>
      <w:r>
        <w:rPr>
          <w:rFonts w:hint="eastAsia" w:ascii="宋体" w:hAnsi="宋体"/>
          <w:lang w:val="en-US" w:eastAsia="zh-Hans"/>
        </w:rPr>
        <w:t>以外部分的工作追加任何资金</w:t>
      </w:r>
      <w:r>
        <w:rPr>
          <w:rFonts w:hint="default" w:ascii="宋体" w:hAnsi="宋体"/>
          <w:lang w:eastAsia="zh-Hans"/>
        </w:rPr>
        <w:t>，</w:t>
      </w:r>
      <w:r>
        <w:rPr>
          <w:rFonts w:hint="eastAsia" w:ascii="宋体" w:hAnsi="宋体"/>
          <w:lang w:val="en-US" w:eastAsia="zh-Hans"/>
        </w:rPr>
        <w:t>均已包含在本合同总价格内</w:t>
      </w:r>
      <w:r>
        <w:rPr>
          <w:rFonts w:hint="default" w:ascii="宋体" w:hAnsi="宋体"/>
          <w:lang w:eastAsia="zh-Hans"/>
        </w:rPr>
        <w:t>，</w:t>
      </w:r>
      <w:r>
        <w:rPr>
          <w:rFonts w:hint="eastAsia" w:ascii="宋体" w:hAnsi="宋体"/>
          <w:lang w:val="en-US" w:eastAsia="zh-Hans"/>
        </w:rPr>
        <w:t>乙方应按照本合同约定保质保量完成本项目</w:t>
      </w:r>
      <w:r>
        <w:rPr>
          <w:rFonts w:hint="default" w:ascii="宋体" w:hAnsi="宋体"/>
          <w:lang w:eastAsia="zh-Hans"/>
        </w:rPr>
        <w:t>。</w:t>
      </w:r>
    </w:p>
    <w:p>
      <w:pPr>
        <w:spacing w:line="360" w:lineRule="auto"/>
        <w:ind w:firstLine="420" w:firstLineChars="200"/>
        <w:rPr>
          <w:rFonts w:hint="default" w:ascii="宋体" w:hAnsi="宋体"/>
          <w:lang w:eastAsia="zh-Hans"/>
        </w:rPr>
      </w:pPr>
      <w:r>
        <w:rPr>
          <w:rFonts w:hint="eastAsia" w:ascii="宋体" w:hAnsi="宋体"/>
          <w:lang w:val="en-US" w:eastAsia="zh-CN"/>
        </w:rPr>
        <w:t>7</w:t>
      </w:r>
      <w:r>
        <w:rPr>
          <w:rFonts w:hint="eastAsia" w:ascii="宋体" w:hAnsi="宋体"/>
          <w:lang w:val="en-US" w:eastAsia="zh-Hans"/>
        </w:rPr>
        <w:t>.</w:t>
      </w:r>
      <w:r>
        <w:rPr>
          <w:rFonts w:hint="default" w:ascii="宋体" w:hAnsi="宋体"/>
          <w:lang w:eastAsia="zh-Hans"/>
        </w:rPr>
        <w:t>11</w:t>
      </w:r>
      <w:r>
        <w:rPr>
          <w:rFonts w:hint="eastAsia" w:ascii="宋体" w:hAnsi="宋体"/>
          <w:lang w:val="en-US" w:eastAsia="zh-Hans"/>
        </w:rPr>
        <w:t>乙方施工过程中不得影响甲方现有门急诊</w:t>
      </w:r>
      <w:r>
        <w:rPr>
          <w:rFonts w:hint="default" w:ascii="宋体" w:hAnsi="宋体"/>
          <w:lang w:eastAsia="zh-Hans"/>
        </w:rPr>
        <w:t>、</w:t>
      </w:r>
      <w:r>
        <w:rPr>
          <w:rFonts w:hint="eastAsia" w:ascii="宋体" w:hAnsi="宋体"/>
          <w:lang w:val="en-US" w:eastAsia="zh-Hans"/>
        </w:rPr>
        <w:t>病房</w:t>
      </w:r>
      <w:r>
        <w:rPr>
          <w:rFonts w:hint="default" w:ascii="宋体" w:hAnsi="宋体"/>
          <w:lang w:eastAsia="zh-Hans"/>
        </w:rPr>
        <w:t>、</w:t>
      </w:r>
      <w:r>
        <w:rPr>
          <w:rFonts w:hint="eastAsia" w:ascii="宋体" w:hAnsi="宋体"/>
          <w:lang w:val="en-US" w:eastAsia="zh-Hans"/>
        </w:rPr>
        <w:t>行政楼等功能区的正常运行</w:t>
      </w:r>
      <w:r>
        <w:rPr>
          <w:rFonts w:hint="default" w:ascii="宋体" w:hAnsi="宋体"/>
          <w:lang w:eastAsia="zh-Hans"/>
        </w:rPr>
        <w:t>。</w:t>
      </w:r>
    </w:p>
    <w:p>
      <w:pPr>
        <w:spacing w:line="360" w:lineRule="auto"/>
        <w:ind w:firstLine="420" w:firstLineChars="200"/>
        <w:rPr>
          <w:rFonts w:hint="default" w:ascii="宋体" w:hAnsi="宋体"/>
          <w:lang w:eastAsia="zh-Hans"/>
        </w:rPr>
      </w:pPr>
      <w:r>
        <w:rPr>
          <w:rFonts w:hint="eastAsia" w:ascii="宋体" w:hAnsi="宋体"/>
          <w:lang w:val="en-US" w:eastAsia="zh-CN"/>
        </w:rPr>
        <w:t>7</w:t>
      </w:r>
      <w:r>
        <w:rPr>
          <w:rFonts w:hint="eastAsia" w:ascii="宋体" w:hAnsi="宋体"/>
          <w:lang w:val="en-US" w:eastAsia="zh-Hans"/>
        </w:rPr>
        <w:t>.</w:t>
      </w:r>
      <w:r>
        <w:rPr>
          <w:rFonts w:hint="default" w:ascii="宋体" w:hAnsi="宋体"/>
          <w:lang w:eastAsia="zh-Hans"/>
        </w:rPr>
        <w:t>12</w:t>
      </w:r>
      <w:r>
        <w:rPr>
          <w:rFonts w:hint="eastAsia" w:ascii="宋体" w:hAnsi="宋体"/>
          <w:lang w:val="en-US" w:eastAsia="zh-Hans"/>
        </w:rPr>
        <w:t>乙方负责在工程施工</w:t>
      </w:r>
      <w:r>
        <w:rPr>
          <w:rFonts w:hint="default" w:ascii="宋体" w:hAnsi="宋体"/>
          <w:lang w:eastAsia="zh-Hans"/>
        </w:rPr>
        <w:t>、</w:t>
      </w:r>
      <w:r>
        <w:rPr>
          <w:rFonts w:hint="eastAsia" w:ascii="宋体" w:hAnsi="宋体"/>
          <w:lang w:val="en-US" w:eastAsia="zh-Hans"/>
        </w:rPr>
        <w:t>竣工及保修的整个过程中施工现场的人员</w:t>
      </w:r>
      <w:r>
        <w:rPr>
          <w:rFonts w:hint="default" w:ascii="宋体" w:hAnsi="宋体"/>
          <w:lang w:eastAsia="zh-Hans"/>
        </w:rPr>
        <w:t>（</w:t>
      </w:r>
      <w:r>
        <w:rPr>
          <w:rFonts w:hint="eastAsia" w:ascii="宋体" w:hAnsi="宋体"/>
          <w:lang w:val="en-US" w:eastAsia="zh-Hans"/>
        </w:rPr>
        <w:t>含医患人员</w:t>
      </w:r>
      <w:r>
        <w:rPr>
          <w:rFonts w:hint="default" w:ascii="宋体" w:hAnsi="宋体"/>
          <w:lang w:eastAsia="zh-Hans"/>
        </w:rPr>
        <w:t>）</w:t>
      </w:r>
      <w:r>
        <w:rPr>
          <w:rFonts w:hint="eastAsia" w:ascii="宋体" w:hAnsi="宋体"/>
          <w:lang w:val="en-US" w:eastAsia="zh-Hans"/>
        </w:rPr>
        <w:t>安全</w:t>
      </w:r>
      <w:r>
        <w:rPr>
          <w:rFonts w:hint="default" w:ascii="宋体" w:hAnsi="宋体"/>
          <w:lang w:eastAsia="zh-Hans"/>
        </w:rPr>
        <w:t>，</w:t>
      </w:r>
      <w:r>
        <w:rPr>
          <w:rFonts w:hint="eastAsia" w:ascii="宋体" w:hAnsi="宋体"/>
          <w:lang w:val="en-US" w:eastAsia="zh-Hans"/>
        </w:rPr>
        <w:t>乙方应在施工区域或危险区域应设置醒目的警示标志</w:t>
      </w:r>
      <w:r>
        <w:rPr>
          <w:rFonts w:hint="default" w:ascii="宋体" w:hAnsi="宋体"/>
          <w:lang w:eastAsia="zh-Hans"/>
        </w:rPr>
        <w:t>（</w:t>
      </w:r>
      <w:r>
        <w:rPr>
          <w:rFonts w:hint="eastAsia" w:ascii="宋体" w:hAnsi="宋体"/>
          <w:lang w:val="en-US" w:eastAsia="zh-Hans"/>
        </w:rPr>
        <w:t>包含夜间警示标志</w:t>
      </w:r>
      <w:r>
        <w:rPr>
          <w:rFonts w:hint="default" w:ascii="宋体" w:hAnsi="宋体"/>
          <w:lang w:eastAsia="zh-Hans"/>
        </w:rPr>
        <w:t>），</w:t>
      </w:r>
      <w:r>
        <w:rPr>
          <w:rFonts w:hint="eastAsia" w:ascii="宋体" w:hAnsi="宋体"/>
          <w:lang w:val="en-US" w:eastAsia="zh-Hans"/>
        </w:rPr>
        <w:t>并在工地周边设置必要的围护</w:t>
      </w:r>
      <w:r>
        <w:rPr>
          <w:rFonts w:hint="default" w:ascii="宋体" w:hAnsi="宋体"/>
          <w:lang w:eastAsia="zh-Hans"/>
        </w:rPr>
        <w:t>，</w:t>
      </w:r>
      <w:r>
        <w:rPr>
          <w:rFonts w:hint="eastAsia" w:ascii="宋体" w:hAnsi="宋体"/>
          <w:lang w:val="en-US" w:eastAsia="zh-Hans"/>
        </w:rPr>
        <w:t>围护要牢固</w:t>
      </w:r>
      <w:r>
        <w:rPr>
          <w:rFonts w:hint="default" w:ascii="宋体" w:hAnsi="宋体"/>
          <w:lang w:eastAsia="zh-Hans"/>
        </w:rPr>
        <w:t>、</w:t>
      </w:r>
      <w:r>
        <w:rPr>
          <w:rFonts w:hint="eastAsia" w:ascii="宋体" w:hAnsi="宋体"/>
          <w:lang w:val="en-US" w:eastAsia="zh-Hans"/>
        </w:rPr>
        <w:t>美观</w:t>
      </w:r>
      <w:r>
        <w:rPr>
          <w:rFonts w:hint="default" w:ascii="宋体" w:hAnsi="宋体"/>
          <w:lang w:eastAsia="zh-Hans"/>
        </w:rPr>
        <w:t>、</w:t>
      </w:r>
      <w:r>
        <w:rPr>
          <w:rFonts w:hint="eastAsia" w:ascii="宋体" w:hAnsi="宋体"/>
          <w:lang w:val="en-US" w:eastAsia="zh-Hans"/>
        </w:rPr>
        <w:t>整洁</w:t>
      </w:r>
      <w:r>
        <w:rPr>
          <w:rFonts w:hint="default" w:ascii="宋体" w:hAnsi="宋体"/>
          <w:lang w:eastAsia="zh-Hans"/>
        </w:rPr>
        <w:t>。</w:t>
      </w:r>
      <w:r>
        <w:rPr>
          <w:rFonts w:hint="eastAsia" w:ascii="宋体" w:hAnsi="宋体"/>
          <w:lang w:val="en-US" w:eastAsia="zh-Hans"/>
        </w:rPr>
        <w:t>如施工现场的人员发生损害</w:t>
      </w:r>
      <w:r>
        <w:rPr>
          <w:rFonts w:hint="default" w:ascii="宋体" w:hAnsi="宋体"/>
          <w:lang w:eastAsia="zh-Hans"/>
        </w:rPr>
        <w:t>，</w:t>
      </w:r>
      <w:r>
        <w:rPr>
          <w:rFonts w:hint="eastAsia" w:ascii="宋体" w:hAnsi="宋体"/>
          <w:lang w:val="en-US" w:eastAsia="zh-Hans"/>
        </w:rPr>
        <w:t>由乙方负责处理与赔偿</w:t>
      </w:r>
      <w:r>
        <w:rPr>
          <w:rFonts w:hint="default" w:ascii="宋体" w:hAnsi="宋体"/>
          <w:lang w:eastAsia="zh-Hans"/>
        </w:rPr>
        <w:t>。</w:t>
      </w:r>
    </w:p>
    <w:p>
      <w:pPr>
        <w:spacing w:line="360" w:lineRule="auto"/>
        <w:ind w:firstLine="420" w:firstLineChars="200"/>
        <w:rPr>
          <w:rFonts w:hint="default" w:ascii="宋体" w:hAnsi="宋体"/>
          <w:lang w:eastAsia="zh-Hans"/>
        </w:rPr>
      </w:pPr>
      <w:r>
        <w:rPr>
          <w:rFonts w:hint="eastAsia" w:ascii="宋体" w:hAnsi="宋体"/>
          <w:lang w:val="en-US" w:eastAsia="zh-CN"/>
        </w:rPr>
        <w:t>7</w:t>
      </w:r>
      <w:r>
        <w:rPr>
          <w:rFonts w:hint="eastAsia" w:ascii="宋体" w:hAnsi="宋体"/>
          <w:lang w:val="en-US" w:eastAsia="zh-Hans"/>
        </w:rPr>
        <w:t>.</w:t>
      </w:r>
      <w:r>
        <w:rPr>
          <w:rFonts w:hint="default" w:ascii="宋体" w:hAnsi="宋体"/>
          <w:lang w:eastAsia="zh-Hans"/>
        </w:rPr>
        <w:t>13</w:t>
      </w:r>
      <w:r>
        <w:rPr>
          <w:rFonts w:hint="eastAsia" w:ascii="宋体" w:hAnsi="宋体"/>
          <w:lang w:val="en-US" w:eastAsia="zh-Hans"/>
        </w:rPr>
        <w:t>因重大会议</w:t>
      </w:r>
      <w:r>
        <w:rPr>
          <w:rFonts w:hint="default" w:ascii="宋体" w:hAnsi="宋体"/>
          <w:lang w:eastAsia="zh-Hans"/>
        </w:rPr>
        <w:t>、</w:t>
      </w:r>
      <w:r>
        <w:rPr>
          <w:rFonts w:hint="eastAsia" w:ascii="宋体" w:hAnsi="宋体"/>
          <w:lang w:val="en-US" w:eastAsia="zh-Hans"/>
        </w:rPr>
        <w:t>体育赛事或其他特殊情况</w:t>
      </w:r>
      <w:r>
        <w:rPr>
          <w:rFonts w:hint="default" w:ascii="宋体" w:hAnsi="宋体"/>
          <w:lang w:eastAsia="zh-Hans"/>
        </w:rPr>
        <w:t>，</w:t>
      </w:r>
      <w:r>
        <w:rPr>
          <w:rFonts w:hint="eastAsia" w:ascii="宋体" w:hAnsi="宋体"/>
          <w:lang w:val="en-US" w:eastAsia="zh-Hans"/>
        </w:rPr>
        <w:t>政府部门或行政主管部门以任何形式发放相关的停工通知的</w:t>
      </w:r>
      <w:r>
        <w:rPr>
          <w:rFonts w:hint="default" w:ascii="宋体" w:hAnsi="宋体"/>
          <w:lang w:eastAsia="zh-Hans"/>
        </w:rPr>
        <w:t>，</w:t>
      </w:r>
      <w:r>
        <w:rPr>
          <w:rFonts w:hint="eastAsia" w:ascii="宋体" w:hAnsi="宋体"/>
          <w:lang w:val="en-US" w:eastAsia="zh-Hans"/>
        </w:rPr>
        <w:t>本项目须无条件服从要求停工</w:t>
      </w:r>
      <w:r>
        <w:rPr>
          <w:rFonts w:hint="default" w:ascii="宋体" w:hAnsi="宋体"/>
          <w:lang w:eastAsia="zh-Hans"/>
        </w:rPr>
        <w:t>，</w:t>
      </w:r>
      <w:r>
        <w:rPr>
          <w:rFonts w:hint="eastAsia" w:ascii="宋体" w:hAnsi="宋体"/>
          <w:lang w:val="en-US" w:eastAsia="zh-Hans"/>
        </w:rPr>
        <w:t>由此产生的组织措施增加费</w:t>
      </w:r>
      <w:r>
        <w:rPr>
          <w:rFonts w:hint="default" w:ascii="宋体" w:hAnsi="宋体"/>
          <w:lang w:eastAsia="zh-Hans"/>
        </w:rPr>
        <w:t>、</w:t>
      </w:r>
      <w:r>
        <w:rPr>
          <w:rFonts w:hint="eastAsia" w:ascii="宋体" w:hAnsi="宋体"/>
          <w:lang w:val="en-US" w:eastAsia="zh-Hans"/>
        </w:rPr>
        <w:t>技术措施增加费</w:t>
      </w:r>
      <w:r>
        <w:rPr>
          <w:rFonts w:hint="default" w:ascii="宋体" w:hAnsi="宋体"/>
          <w:lang w:eastAsia="zh-Hans"/>
        </w:rPr>
        <w:t>，</w:t>
      </w:r>
      <w:r>
        <w:rPr>
          <w:rFonts w:hint="eastAsia" w:ascii="宋体" w:hAnsi="宋体"/>
          <w:lang w:val="en-US" w:eastAsia="zh-Hans"/>
        </w:rPr>
        <w:t>人员</w:t>
      </w:r>
      <w:r>
        <w:rPr>
          <w:rFonts w:hint="default" w:ascii="宋体" w:hAnsi="宋体"/>
          <w:lang w:eastAsia="zh-Hans"/>
        </w:rPr>
        <w:t>、</w:t>
      </w:r>
      <w:r>
        <w:rPr>
          <w:rFonts w:hint="eastAsia" w:ascii="宋体" w:hAnsi="宋体"/>
          <w:lang w:val="en-US" w:eastAsia="zh-Hans"/>
        </w:rPr>
        <w:t>机械窝工及相关费用已包含在本合同总价中</w:t>
      </w:r>
      <w:r>
        <w:rPr>
          <w:rFonts w:hint="default" w:ascii="宋体" w:hAnsi="宋体"/>
          <w:lang w:eastAsia="zh-Hans"/>
        </w:rPr>
        <w:t>，</w:t>
      </w:r>
      <w:r>
        <w:rPr>
          <w:rFonts w:hint="eastAsia" w:ascii="宋体" w:hAnsi="宋体"/>
          <w:lang w:val="en-US" w:eastAsia="zh-Hans"/>
        </w:rPr>
        <w:t>乙方不得另行主张</w:t>
      </w:r>
      <w:r>
        <w:rPr>
          <w:rFonts w:hint="default" w:ascii="宋体" w:hAnsi="宋体"/>
          <w:lang w:eastAsia="zh-Hans"/>
        </w:rPr>
        <w:t>。</w:t>
      </w:r>
    </w:p>
    <w:p>
      <w:pPr>
        <w:spacing w:line="360" w:lineRule="auto"/>
        <w:ind w:firstLine="420" w:firstLineChars="200"/>
        <w:rPr>
          <w:rFonts w:hint="default" w:ascii="宋体" w:hAnsi="宋体"/>
          <w:lang w:eastAsia="zh-Hans"/>
        </w:rPr>
      </w:pPr>
      <w:r>
        <w:rPr>
          <w:rFonts w:hint="eastAsia" w:ascii="宋体" w:hAnsi="宋体"/>
          <w:lang w:val="en-US" w:eastAsia="zh-CN"/>
        </w:rPr>
        <w:t>7</w:t>
      </w:r>
      <w:r>
        <w:rPr>
          <w:rFonts w:hint="eastAsia" w:ascii="宋体" w:hAnsi="宋体"/>
          <w:lang w:val="en-US" w:eastAsia="zh-Hans"/>
        </w:rPr>
        <w:t>.</w:t>
      </w:r>
      <w:r>
        <w:rPr>
          <w:rFonts w:hint="default" w:ascii="宋体" w:hAnsi="宋体"/>
          <w:lang w:eastAsia="zh-Hans"/>
        </w:rPr>
        <w:t>14</w:t>
      </w:r>
      <w:r>
        <w:rPr>
          <w:rFonts w:hint="eastAsia" w:ascii="宋体" w:hAnsi="宋体"/>
          <w:lang w:val="en-US" w:eastAsia="zh-Hans"/>
        </w:rPr>
        <w:t>现场不提供材料</w:t>
      </w:r>
      <w:r>
        <w:rPr>
          <w:rFonts w:hint="default" w:ascii="宋体" w:hAnsi="宋体"/>
          <w:lang w:eastAsia="zh-Hans"/>
        </w:rPr>
        <w:t>、</w:t>
      </w:r>
      <w:r>
        <w:rPr>
          <w:rFonts w:hint="eastAsia" w:ascii="宋体" w:hAnsi="宋体"/>
          <w:lang w:val="en-US" w:eastAsia="zh-Hans"/>
        </w:rPr>
        <w:t>设备和建筑垃圾堆放地</w:t>
      </w:r>
      <w:r>
        <w:rPr>
          <w:rFonts w:hint="default" w:ascii="宋体" w:hAnsi="宋体"/>
          <w:lang w:eastAsia="zh-Hans"/>
        </w:rPr>
        <w:t>，</w:t>
      </w:r>
      <w:r>
        <w:rPr>
          <w:rFonts w:hint="eastAsia" w:ascii="宋体" w:hAnsi="宋体"/>
          <w:lang w:val="en-US" w:eastAsia="zh-Hans"/>
        </w:rPr>
        <w:t>乙方应自行处理</w:t>
      </w:r>
      <w:r>
        <w:rPr>
          <w:rFonts w:hint="default" w:ascii="宋体" w:hAnsi="宋体"/>
          <w:lang w:eastAsia="zh-Hans"/>
        </w:rPr>
        <w:t>。</w:t>
      </w:r>
    </w:p>
    <w:p>
      <w:pPr>
        <w:spacing w:line="360" w:lineRule="auto"/>
        <w:ind w:firstLine="420" w:firstLineChars="200"/>
        <w:rPr>
          <w:rFonts w:hint="default" w:ascii="宋体" w:hAnsi="宋体"/>
          <w:lang w:eastAsia="zh-Hans"/>
        </w:rPr>
      </w:pPr>
      <w:r>
        <w:rPr>
          <w:rFonts w:hint="eastAsia" w:ascii="宋体" w:hAnsi="宋体"/>
          <w:lang w:val="en-US" w:eastAsia="zh-CN"/>
        </w:rPr>
        <w:t>7</w:t>
      </w:r>
      <w:r>
        <w:rPr>
          <w:rFonts w:hint="eastAsia" w:ascii="宋体" w:hAnsi="宋体"/>
          <w:lang w:val="en-US" w:eastAsia="zh-Hans"/>
        </w:rPr>
        <w:t>.</w:t>
      </w:r>
      <w:r>
        <w:rPr>
          <w:rFonts w:hint="default" w:ascii="宋体" w:hAnsi="宋体"/>
          <w:lang w:eastAsia="zh-Hans"/>
        </w:rPr>
        <w:t>15</w:t>
      </w:r>
      <w:r>
        <w:rPr>
          <w:rFonts w:hint="eastAsia" w:ascii="宋体" w:hAnsi="宋体"/>
          <w:lang w:val="en-US" w:eastAsia="zh-Hans"/>
        </w:rPr>
        <w:t>本项目不存在土方外运工作</w:t>
      </w:r>
      <w:r>
        <w:rPr>
          <w:rFonts w:hint="default" w:ascii="宋体" w:hAnsi="宋体"/>
          <w:lang w:eastAsia="zh-Hans"/>
        </w:rPr>
        <w:t>，</w:t>
      </w:r>
      <w:r>
        <w:rPr>
          <w:rFonts w:hint="eastAsia" w:ascii="宋体" w:hAnsi="宋体"/>
          <w:lang w:val="en-US" w:eastAsia="zh-Hans"/>
        </w:rPr>
        <w:t>拆除费</w:t>
      </w:r>
      <w:r>
        <w:rPr>
          <w:rFonts w:hint="default" w:ascii="宋体" w:hAnsi="宋体"/>
          <w:lang w:eastAsia="zh-Hans"/>
        </w:rPr>
        <w:t>、</w:t>
      </w:r>
      <w:r>
        <w:rPr>
          <w:rFonts w:hint="eastAsia" w:ascii="宋体" w:hAnsi="宋体"/>
          <w:lang w:val="en-US" w:eastAsia="zh-Hans"/>
        </w:rPr>
        <w:t>建筑垃圾清运费及措施费包干</w:t>
      </w:r>
      <w:r>
        <w:rPr>
          <w:rFonts w:hint="default" w:ascii="宋体" w:hAnsi="宋体"/>
          <w:lang w:eastAsia="zh-Hans"/>
        </w:rPr>
        <w:t>，</w:t>
      </w:r>
      <w:r>
        <w:rPr>
          <w:rFonts w:hint="eastAsia" w:ascii="宋体" w:hAnsi="宋体"/>
          <w:lang w:val="en-US" w:eastAsia="zh-Hans"/>
        </w:rPr>
        <w:t>均已包含在合同总价中</w:t>
      </w:r>
      <w:r>
        <w:rPr>
          <w:rFonts w:hint="default" w:ascii="宋体" w:hAnsi="宋体"/>
          <w:lang w:eastAsia="zh-Hans"/>
        </w:rPr>
        <w:t>，</w:t>
      </w:r>
      <w:r>
        <w:rPr>
          <w:rFonts w:hint="eastAsia" w:ascii="宋体" w:hAnsi="宋体"/>
          <w:lang w:val="en-US" w:eastAsia="zh-Hans"/>
        </w:rPr>
        <w:t>不另行计算</w:t>
      </w:r>
      <w:r>
        <w:rPr>
          <w:rFonts w:hint="default" w:ascii="宋体" w:hAnsi="宋体"/>
          <w:lang w:eastAsia="zh-Hans"/>
        </w:rPr>
        <w:t>。</w:t>
      </w:r>
    </w:p>
    <w:p>
      <w:pPr>
        <w:spacing w:line="360" w:lineRule="auto"/>
        <w:ind w:firstLine="420" w:firstLineChars="200"/>
        <w:rPr>
          <w:rFonts w:hint="eastAsia" w:ascii="宋体" w:hAnsi="宋体"/>
        </w:rPr>
      </w:pPr>
      <w:r>
        <w:rPr>
          <w:rFonts w:hint="eastAsia" w:ascii="宋体" w:hAnsi="宋体"/>
          <w:lang w:val="en-US" w:eastAsia="zh-CN"/>
        </w:rPr>
        <w:t>7</w:t>
      </w:r>
      <w:r>
        <w:rPr>
          <w:rFonts w:hint="eastAsia" w:ascii="宋体" w:hAnsi="宋体"/>
          <w:lang w:val="en-US" w:eastAsia="zh-Hans"/>
        </w:rPr>
        <w:t>.</w:t>
      </w:r>
      <w:r>
        <w:rPr>
          <w:rFonts w:hint="default" w:ascii="宋体" w:hAnsi="宋体"/>
          <w:lang w:eastAsia="zh-Hans"/>
        </w:rPr>
        <w:t>16</w:t>
      </w:r>
      <w:r>
        <w:rPr>
          <w:rFonts w:hint="eastAsia" w:ascii="宋体" w:hAnsi="宋体"/>
        </w:rPr>
        <w:t>本合同及招标文件中对</w:t>
      </w:r>
      <w:r>
        <w:rPr>
          <w:rFonts w:hint="eastAsia" w:ascii="宋体" w:hAnsi="宋体"/>
          <w:lang w:eastAsia="zh-Hans"/>
        </w:rPr>
        <w:t>本项目任一部分</w:t>
      </w:r>
      <w:r>
        <w:rPr>
          <w:rFonts w:hint="eastAsia" w:ascii="宋体" w:hAnsi="宋体"/>
        </w:rPr>
        <w:t>施工有相关约定的从其约定。</w:t>
      </w:r>
    </w:p>
    <w:p>
      <w:pPr>
        <w:pStyle w:val="2"/>
        <w:rPr>
          <w:rFonts w:hint="eastAsia"/>
        </w:rPr>
      </w:pPr>
    </w:p>
    <w:p>
      <w:pPr>
        <w:spacing w:line="360" w:lineRule="auto"/>
        <w:ind w:firstLine="422" w:firstLineChars="200"/>
        <w:rPr>
          <w:rFonts w:hint="eastAsia" w:ascii="宋体" w:hAnsi="宋体"/>
          <w:b/>
        </w:rPr>
      </w:pPr>
      <w:r>
        <w:rPr>
          <w:rFonts w:hint="eastAsia" w:ascii="宋体" w:hAnsi="宋体"/>
          <w:b/>
        </w:rPr>
        <w:t>第</w:t>
      </w:r>
      <w:r>
        <w:rPr>
          <w:rFonts w:hint="eastAsia" w:ascii="宋体" w:hAnsi="宋体"/>
          <w:b/>
          <w:lang w:val="en-US" w:eastAsia="zh-CN"/>
        </w:rPr>
        <w:t>八</w:t>
      </w:r>
      <w:r>
        <w:rPr>
          <w:rFonts w:hint="eastAsia" w:ascii="宋体" w:hAnsi="宋体"/>
          <w:b/>
        </w:rPr>
        <w:t>条 安装调试及验收</w:t>
      </w:r>
    </w:p>
    <w:p>
      <w:pPr>
        <w:spacing w:line="360" w:lineRule="auto"/>
        <w:ind w:firstLine="420" w:firstLineChars="200"/>
        <w:rPr>
          <w:rFonts w:hint="eastAsia" w:ascii="宋体" w:hAnsi="宋体"/>
        </w:rPr>
      </w:pPr>
      <w:r>
        <w:rPr>
          <w:rFonts w:hint="eastAsia" w:ascii="宋体" w:hAnsi="宋体"/>
          <w:lang w:val="en-US" w:eastAsia="zh-CN"/>
        </w:rPr>
        <w:t>8</w:t>
      </w:r>
      <w:r>
        <w:rPr>
          <w:rFonts w:hint="eastAsia" w:ascii="宋体" w:hAnsi="宋体"/>
        </w:rPr>
        <w:t>.1.乙方应按照本合同约定及招标文件的要求</w:t>
      </w:r>
      <w:r>
        <w:rPr>
          <w:rFonts w:hint="default" w:ascii="宋体" w:hAnsi="宋体"/>
        </w:rPr>
        <w:t>，</w:t>
      </w:r>
      <w:r>
        <w:rPr>
          <w:rFonts w:hint="eastAsia" w:ascii="宋体" w:hAnsi="宋体"/>
        </w:rPr>
        <w:t>对到货验收合格的</w:t>
      </w:r>
      <w:r>
        <w:rPr>
          <w:rFonts w:hint="eastAsia" w:ascii="宋体" w:hAnsi="宋体"/>
          <w:lang w:eastAsia="zh-Hans"/>
        </w:rPr>
        <w:t>设施</w:t>
      </w:r>
      <w:r>
        <w:rPr>
          <w:rFonts w:hint="eastAsia" w:ascii="宋体" w:hAnsi="宋体"/>
        </w:rPr>
        <w:t>设备在项目整体安装完毕及</w:t>
      </w:r>
      <w:r>
        <w:rPr>
          <w:rFonts w:hint="eastAsia" w:ascii="宋体" w:hAnsi="宋体"/>
          <w:lang w:eastAsia="zh-Hans"/>
        </w:rPr>
        <w:t>项目</w:t>
      </w:r>
      <w:r>
        <w:rPr>
          <w:rFonts w:hint="eastAsia" w:ascii="宋体" w:hAnsi="宋体"/>
        </w:rPr>
        <w:t>工程全部建设完成后进行全项目整体</w:t>
      </w:r>
      <w:r>
        <w:rPr>
          <w:rFonts w:hint="eastAsia" w:ascii="宋体" w:hAnsi="宋体"/>
          <w:lang w:eastAsia="zh-Hans"/>
        </w:rPr>
        <w:t>安装</w:t>
      </w:r>
      <w:r>
        <w:rPr>
          <w:rFonts w:hint="eastAsia" w:ascii="宋体" w:hAnsi="宋体"/>
        </w:rPr>
        <w:t>调试。</w:t>
      </w:r>
    </w:p>
    <w:p>
      <w:pPr>
        <w:spacing w:line="360" w:lineRule="auto"/>
        <w:ind w:firstLine="420" w:firstLineChars="200"/>
        <w:rPr>
          <w:rFonts w:hint="eastAsia" w:ascii="宋体" w:hAnsi="宋体"/>
        </w:rPr>
      </w:pPr>
      <w:r>
        <w:rPr>
          <w:rFonts w:hint="eastAsia" w:ascii="宋体" w:hAnsi="宋体"/>
        </w:rPr>
        <w:t>乙方完成项目整体安装调试工作后，应委托有资质第三方检测机构完成本项目</w:t>
      </w:r>
      <w:r>
        <w:rPr>
          <w:rFonts w:hint="eastAsia" w:ascii="宋体" w:hAnsi="宋体"/>
          <w:lang w:eastAsia="zh-Hans"/>
        </w:rPr>
        <w:t>安装调试</w:t>
      </w:r>
      <w:r>
        <w:rPr>
          <w:rFonts w:hint="eastAsia" w:ascii="宋体" w:hAnsi="宋体"/>
        </w:rPr>
        <w:t>检测并出具</w:t>
      </w:r>
      <w:r>
        <w:rPr>
          <w:rFonts w:hint="eastAsia" w:ascii="宋体" w:hAnsi="宋体"/>
          <w:lang w:eastAsia="zh-Hans"/>
        </w:rPr>
        <w:t>安装调试</w:t>
      </w:r>
      <w:r>
        <w:rPr>
          <w:rFonts w:hint="eastAsia" w:ascii="宋体" w:hAnsi="宋体"/>
        </w:rPr>
        <w:t>检测报告（含温度、湿度、洁净度及压差），</w:t>
      </w:r>
      <w:r>
        <w:rPr>
          <w:rFonts w:hint="eastAsia" w:ascii="宋体" w:hAnsi="宋体"/>
          <w:lang w:eastAsia="zh-Hans"/>
        </w:rPr>
        <w:t>安装调试</w:t>
      </w:r>
      <w:r>
        <w:rPr>
          <w:rFonts w:hint="eastAsia" w:ascii="宋体" w:hAnsi="宋体"/>
        </w:rPr>
        <w:t>检测结果须为合格（即满足招标文件及本合同要求）。第三方检测费用由乙方承担。甲方对乙方委托的第三方检测机构出具的</w:t>
      </w:r>
      <w:r>
        <w:rPr>
          <w:rFonts w:hint="eastAsia" w:ascii="宋体" w:hAnsi="宋体"/>
          <w:lang w:eastAsia="zh-Hans"/>
        </w:rPr>
        <w:t>安装调试</w:t>
      </w:r>
      <w:r>
        <w:rPr>
          <w:rFonts w:hint="eastAsia" w:ascii="宋体" w:hAnsi="宋体"/>
        </w:rPr>
        <w:t>检测报告有异议的，甲方有权聘请有资质第三方检测机构重新检测，费用由甲方预付，如检测结果为“合格”则费用由甲方承担，如检测结果为“不合格”则费用由乙方承担。</w:t>
      </w:r>
    </w:p>
    <w:p>
      <w:pPr>
        <w:spacing w:line="360" w:lineRule="auto"/>
        <w:ind w:firstLine="420" w:firstLineChars="200"/>
        <w:rPr>
          <w:rFonts w:hint="eastAsia" w:ascii="宋体" w:hAnsi="宋体"/>
        </w:rPr>
      </w:pPr>
      <w:r>
        <w:rPr>
          <w:rFonts w:hint="eastAsia" w:ascii="宋体" w:hAnsi="宋体"/>
          <w:lang w:val="en-US" w:eastAsia="zh-CN"/>
        </w:rPr>
        <w:t>8</w:t>
      </w:r>
      <w:r>
        <w:rPr>
          <w:rFonts w:hint="eastAsia" w:ascii="宋体" w:hAnsi="宋体"/>
        </w:rPr>
        <w:t>.2.乙方应于项目整体安装调试符合本合同及招标文件的要求，且取得第三方检测机构出具的检测结果为“合格”的</w:t>
      </w:r>
      <w:r>
        <w:rPr>
          <w:rFonts w:hint="eastAsia" w:ascii="宋体" w:hAnsi="宋体"/>
          <w:lang w:eastAsia="zh-Hans"/>
        </w:rPr>
        <w:t>安装调试</w:t>
      </w:r>
      <w:r>
        <w:rPr>
          <w:rFonts w:hint="eastAsia" w:ascii="宋体" w:hAnsi="宋体"/>
        </w:rPr>
        <w:t>检测报告（含温度、湿度、洁净度及压差）后向甲方及监理单位申报开展甲方项目部验收。</w:t>
      </w:r>
    </w:p>
    <w:p>
      <w:pPr>
        <w:spacing w:line="360" w:lineRule="auto"/>
        <w:ind w:firstLine="420" w:firstLineChars="200"/>
        <w:rPr>
          <w:rFonts w:hint="eastAsia" w:ascii="宋体" w:hAnsi="宋体"/>
        </w:rPr>
      </w:pPr>
      <w:r>
        <w:rPr>
          <w:rFonts w:hint="eastAsia" w:ascii="宋体" w:hAnsi="宋体"/>
          <w:lang w:val="en-US" w:eastAsia="zh-CN"/>
        </w:rPr>
        <w:t>8</w:t>
      </w:r>
      <w:r>
        <w:rPr>
          <w:rFonts w:hint="eastAsia" w:ascii="宋体" w:hAnsi="宋体"/>
        </w:rPr>
        <w:t>.3.甲方收到乙方发出的项目部验收申请后组织并完成项目部验收，并告知乙方验收结果。经验收合格的，甲方签发《项目部验收合格报告》；经验收不合格的，乙方应在甲方限期内进行整改并再次提请甲方项目部验收。</w:t>
      </w:r>
    </w:p>
    <w:p>
      <w:pPr>
        <w:spacing w:line="360" w:lineRule="auto"/>
        <w:ind w:firstLine="420" w:firstLineChars="200"/>
        <w:rPr>
          <w:rFonts w:hint="eastAsia" w:ascii="宋体" w:hAnsi="宋体"/>
        </w:rPr>
      </w:pPr>
      <w:r>
        <w:rPr>
          <w:rFonts w:hint="eastAsia" w:ascii="宋体" w:hAnsi="宋体"/>
          <w:lang w:val="en-US" w:eastAsia="zh-CN"/>
        </w:rPr>
        <w:t>8</w:t>
      </w:r>
      <w:r>
        <w:rPr>
          <w:rFonts w:hint="eastAsia" w:ascii="宋体" w:hAnsi="宋体"/>
        </w:rPr>
        <w:t>.4.项目部验收合格后，甲方应组织并完成项目履约验收，并告知乙方验收结果。经验收合格的，甲方签发《项目整体履约验收合格报告》；经验收不合格的，乙方应在甲方限期内进行整改并再次提请项目履约验收。</w:t>
      </w:r>
    </w:p>
    <w:p>
      <w:pPr>
        <w:spacing w:line="360" w:lineRule="auto"/>
        <w:ind w:firstLine="420" w:firstLineChars="200"/>
        <w:rPr>
          <w:rFonts w:hint="eastAsia" w:ascii="宋体" w:hAnsi="宋体"/>
        </w:rPr>
      </w:pPr>
      <w:r>
        <w:rPr>
          <w:rFonts w:hint="eastAsia" w:ascii="宋体" w:hAnsi="宋体"/>
          <w:lang w:val="en-US" w:eastAsia="zh-CN"/>
        </w:rPr>
        <w:t>8</w:t>
      </w:r>
      <w:r>
        <w:rPr>
          <w:rFonts w:hint="eastAsia" w:ascii="宋体" w:hAnsi="宋体"/>
        </w:rPr>
        <w:t>.5.本项目任一验收工作，甲方均有权组织监理单位、第三方及专家学者参与验收，并给出验收结果，组织验收费用由甲方承担。若因验收不合格发生的整改及再次组织验收所产生的费用由乙方承担。</w:t>
      </w:r>
    </w:p>
    <w:p>
      <w:pPr>
        <w:spacing w:line="360" w:lineRule="auto"/>
        <w:ind w:firstLine="420" w:firstLineChars="200"/>
        <w:rPr>
          <w:rFonts w:hint="eastAsia" w:ascii="宋体" w:hAnsi="宋体"/>
          <w:highlight w:val="none"/>
        </w:rPr>
      </w:pPr>
      <w:r>
        <w:rPr>
          <w:rFonts w:hint="eastAsia" w:ascii="宋体" w:hAnsi="宋体"/>
          <w:highlight w:val="none"/>
          <w:lang w:val="en-US" w:eastAsia="zh-CN"/>
        </w:rPr>
        <w:t>8</w:t>
      </w:r>
      <w:r>
        <w:rPr>
          <w:rFonts w:hint="eastAsia" w:ascii="宋体" w:hAnsi="宋体"/>
          <w:highlight w:val="none"/>
        </w:rPr>
        <w:t>.5.甲方签发《项目整体履约验收合格报告》视为甲方完成本项目，达到交钥匙项目要求。</w:t>
      </w:r>
    </w:p>
    <w:p>
      <w:pPr>
        <w:spacing w:line="360" w:lineRule="auto"/>
        <w:ind w:firstLine="422" w:firstLineChars="200"/>
        <w:rPr>
          <w:rFonts w:hint="eastAsia" w:ascii="宋体" w:hAnsi="宋体"/>
          <w:b/>
          <w:highlight w:val="none"/>
        </w:rPr>
      </w:pPr>
      <w:r>
        <w:rPr>
          <w:rFonts w:hint="eastAsia" w:ascii="宋体" w:hAnsi="宋体"/>
          <w:b/>
          <w:highlight w:val="none"/>
        </w:rPr>
        <w:t>第</w:t>
      </w:r>
      <w:r>
        <w:rPr>
          <w:rFonts w:hint="eastAsia" w:ascii="宋体" w:hAnsi="宋体"/>
          <w:b/>
          <w:highlight w:val="none"/>
          <w:lang w:val="en-US" w:eastAsia="zh-CN"/>
        </w:rPr>
        <w:t>九</w:t>
      </w:r>
      <w:r>
        <w:rPr>
          <w:rFonts w:hint="eastAsia" w:ascii="宋体" w:hAnsi="宋体"/>
          <w:b/>
          <w:highlight w:val="none"/>
        </w:rPr>
        <w:t>条 质保服务</w:t>
      </w:r>
    </w:p>
    <w:p>
      <w:pPr>
        <w:spacing w:line="360" w:lineRule="auto"/>
        <w:ind w:firstLine="420" w:firstLineChars="200"/>
        <w:rPr>
          <w:rFonts w:hint="eastAsia" w:ascii="宋体" w:hAnsi="宋体"/>
          <w:highlight w:val="none"/>
        </w:rPr>
      </w:pPr>
      <w:r>
        <w:rPr>
          <w:rFonts w:hint="eastAsia" w:ascii="宋体" w:hAnsi="宋体"/>
          <w:highlight w:val="none"/>
          <w:lang w:val="en-US" w:eastAsia="zh-CN"/>
        </w:rPr>
        <w:t>9</w:t>
      </w:r>
      <w:r>
        <w:rPr>
          <w:rFonts w:hint="eastAsia" w:ascii="宋体" w:hAnsi="宋体"/>
          <w:highlight w:val="none"/>
        </w:rPr>
        <w:t>.1.质保期为【</w:t>
      </w:r>
      <w:r>
        <w:rPr>
          <w:rFonts w:hint="eastAsia" w:ascii="宋体" w:hAnsi="宋体"/>
          <w:highlight w:val="none"/>
          <w:lang w:val="en-US" w:eastAsia="zh-CN"/>
        </w:rPr>
        <w:t>2</w:t>
      </w:r>
      <w:r>
        <w:rPr>
          <w:rFonts w:hint="eastAsia" w:ascii="宋体" w:hAnsi="宋体"/>
          <w:highlight w:val="none"/>
        </w:rPr>
        <w:t>】年，自项目整体履约验收合格之日起计算。</w:t>
      </w:r>
    </w:p>
    <w:p>
      <w:pPr>
        <w:spacing w:line="360" w:lineRule="auto"/>
        <w:ind w:firstLine="420" w:firstLineChars="200"/>
        <w:rPr>
          <w:rFonts w:hint="eastAsia" w:ascii="宋体" w:hAnsi="宋体"/>
          <w:highlight w:val="none"/>
        </w:rPr>
      </w:pPr>
      <w:r>
        <w:rPr>
          <w:rFonts w:hint="eastAsia" w:ascii="宋体" w:hAnsi="宋体"/>
          <w:highlight w:val="none"/>
          <w:lang w:val="en-US" w:eastAsia="zh-CN"/>
        </w:rPr>
        <w:t>9</w:t>
      </w:r>
      <w:r>
        <w:rPr>
          <w:rFonts w:hint="eastAsia" w:ascii="宋体" w:hAnsi="宋体"/>
          <w:highlight w:val="none"/>
        </w:rPr>
        <w:t>.2.在质保期内，乙方应对本项目中涉及的产品及</w:t>
      </w:r>
      <w:r>
        <w:rPr>
          <w:rFonts w:hint="eastAsia" w:ascii="宋体" w:hAnsi="宋体"/>
          <w:highlight w:val="none"/>
          <w:lang w:eastAsia="zh-Hans"/>
        </w:rPr>
        <w:t>项目</w:t>
      </w:r>
      <w:r>
        <w:rPr>
          <w:rFonts w:hint="eastAsia" w:ascii="宋体" w:hAnsi="宋体"/>
          <w:highlight w:val="none"/>
        </w:rPr>
        <w:t>工程（含</w:t>
      </w:r>
      <w:r>
        <w:rPr>
          <w:rFonts w:hint="eastAsia" w:ascii="宋体" w:hAnsi="宋体"/>
          <w:highlight w:val="none"/>
          <w:lang w:eastAsia="zh-Hans"/>
        </w:rPr>
        <w:t>净化系统</w:t>
      </w:r>
      <w:r>
        <w:rPr>
          <w:rFonts w:hint="default" w:ascii="宋体" w:hAnsi="宋体"/>
          <w:highlight w:val="none"/>
          <w:lang w:eastAsia="zh-Hans"/>
        </w:rPr>
        <w:t>、</w:t>
      </w:r>
      <w:r>
        <w:rPr>
          <w:rFonts w:hint="eastAsia" w:ascii="宋体" w:hAnsi="宋体"/>
          <w:highlight w:val="none"/>
          <w:lang w:val="en-US" w:eastAsia="zh-Hans"/>
        </w:rPr>
        <w:t>各系统</w:t>
      </w:r>
      <w:r>
        <w:rPr>
          <w:rFonts w:hint="eastAsia" w:ascii="宋体" w:hAnsi="宋体"/>
          <w:highlight w:val="none"/>
          <w:lang w:eastAsia="zh-Hans"/>
        </w:rPr>
        <w:t>工程</w:t>
      </w:r>
      <w:r>
        <w:rPr>
          <w:rFonts w:hint="eastAsia" w:ascii="宋体" w:hAnsi="宋体"/>
          <w:highlight w:val="none"/>
          <w:lang w:val="en-US" w:eastAsia="zh-Hans"/>
        </w:rPr>
        <w:t>及配套工程</w:t>
      </w:r>
      <w:r>
        <w:rPr>
          <w:rFonts w:hint="eastAsia" w:ascii="宋体" w:hAnsi="宋体"/>
          <w:highlight w:val="none"/>
        </w:rPr>
        <w:t>）出现的质量及安全问题负责处理解决并承担一切费用。</w:t>
      </w:r>
    </w:p>
    <w:p>
      <w:pPr>
        <w:spacing w:line="360" w:lineRule="auto"/>
        <w:ind w:firstLine="420" w:firstLineChars="200"/>
        <w:rPr>
          <w:rFonts w:hint="eastAsia" w:ascii="宋体" w:hAnsi="宋体"/>
        </w:rPr>
      </w:pPr>
      <w:r>
        <w:rPr>
          <w:rFonts w:hint="eastAsia" w:ascii="宋体" w:hAnsi="宋体"/>
          <w:highlight w:val="none"/>
          <w:lang w:val="en-US" w:eastAsia="zh-CN"/>
        </w:rPr>
        <w:t>9</w:t>
      </w:r>
      <w:r>
        <w:rPr>
          <w:rFonts w:hint="eastAsia" w:ascii="宋体" w:hAnsi="宋体"/>
          <w:highlight w:val="none"/>
        </w:rPr>
        <w:t>.3.乙方对本合同中供应的产品在质保</w:t>
      </w:r>
      <w:r>
        <w:rPr>
          <w:rFonts w:hint="eastAsia" w:ascii="宋体" w:hAnsi="宋体"/>
        </w:rPr>
        <w:t>期内提供免费保修，因人为因素出现的故障不在免费保修范围内。超过保修期的设备，由乙方提供终生维修服务，维修时只收部件成本费。但空调系统的压缩机在质保期内因产品本身的质量问题发生故障，则乙方必须无条件免费更换新的，甲方不接受维修。</w:t>
      </w:r>
    </w:p>
    <w:p>
      <w:pPr>
        <w:spacing w:line="360" w:lineRule="auto"/>
        <w:ind w:firstLine="420" w:firstLineChars="200"/>
        <w:rPr>
          <w:rFonts w:hint="eastAsia" w:ascii="宋体" w:hAnsi="宋体"/>
        </w:rPr>
      </w:pPr>
      <w:r>
        <w:rPr>
          <w:rFonts w:hint="eastAsia" w:ascii="宋体" w:hAnsi="宋体"/>
          <w:lang w:val="en-US" w:eastAsia="zh-CN"/>
        </w:rPr>
        <w:t>9</w:t>
      </w:r>
      <w:r>
        <w:rPr>
          <w:rFonts w:hint="eastAsia" w:ascii="宋体" w:hAnsi="宋体"/>
        </w:rPr>
        <w:t>.4.质保期内，若产品因故障导致甲方无法使用，经故障报修后仍无法正常使用，乙方免费为甲方更换同款新产品（但因人为原因导致的设备故障不在免费换新服务范围内），若同款产品已经停止生产，经甲方同意后，可以更换同类产品或可替代产品，同类产品或可替代产品价格低于甲方所购产品的，乙方应当退还价差。</w:t>
      </w:r>
    </w:p>
    <w:p>
      <w:pPr>
        <w:spacing w:line="360" w:lineRule="auto"/>
        <w:ind w:firstLine="420" w:firstLineChars="200"/>
        <w:rPr>
          <w:rFonts w:hint="eastAsia" w:ascii="宋体" w:hAnsi="宋体"/>
        </w:rPr>
      </w:pPr>
      <w:r>
        <w:rPr>
          <w:rFonts w:hint="eastAsia" w:ascii="宋体" w:hAnsi="宋体"/>
          <w:lang w:val="en-US" w:eastAsia="zh-CN"/>
        </w:rPr>
        <w:t>9</w:t>
      </w:r>
      <w:r>
        <w:rPr>
          <w:rFonts w:hint="eastAsia" w:ascii="宋体" w:hAnsi="宋体"/>
        </w:rPr>
        <w:t>.5.在质保期内，乙方免费提供7×24小时电话支持服务，若产品使用过程中发生故障或需要乙方提供技术支持，甲方应及时通知乙方，乙方接到故障报告或技术请求的通知后应在24小时内提供技术支持和服务。对于技术咨询，技术人员结合实际情况及时为用户提供相应的答复；对于设施、设备故障，技术人员了解故障问题的详细情况并进行分析，首先远程指导用户解决故障，如仍不能解决，乙方应在收到故障报告通知起48小时内派专业维护人员完成维修或更换服务。若乙方在48小时内无法完成维修更换的，需免费提供备用设备；若乙方未按时进行维修，甲方有权聘请其他人员进行维修，由此产生的费用由乙方承担；涉及零部件更换的，甲方有权更换零部件，由此产生的费用均由乙方承担。</w:t>
      </w:r>
    </w:p>
    <w:p>
      <w:pPr>
        <w:spacing w:line="360" w:lineRule="auto"/>
        <w:ind w:firstLine="420" w:firstLineChars="200"/>
        <w:rPr>
          <w:rFonts w:hint="eastAsia" w:ascii="宋体" w:hAnsi="宋体"/>
        </w:rPr>
      </w:pPr>
      <w:r>
        <w:rPr>
          <w:rFonts w:hint="eastAsia" w:ascii="宋体" w:hAnsi="宋体"/>
          <w:lang w:val="en-US" w:eastAsia="zh-CN"/>
        </w:rPr>
        <w:t>9</w:t>
      </w:r>
      <w:r>
        <w:rPr>
          <w:rFonts w:hint="eastAsia" w:ascii="宋体" w:hAnsi="宋体"/>
        </w:rPr>
        <w:t>.6.质保期内，</w:t>
      </w:r>
      <w:r>
        <w:rPr>
          <w:rFonts w:hint="eastAsia" w:ascii="宋体" w:hAnsi="宋体"/>
          <w:lang w:eastAsia="zh-Hans"/>
        </w:rPr>
        <w:t>本项目</w:t>
      </w:r>
      <w:r>
        <w:rPr>
          <w:rFonts w:hint="eastAsia" w:ascii="宋体" w:hAnsi="宋体"/>
        </w:rPr>
        <w:t>工程（含</w:t>
      </w:r>
      <w:r>
        <w:rPr>
          <w:rFonts w:hint="eastAsia" w:ascii="宋体" w:hAnsi="宋体"/>
          <w:lang w:eastAsia="zh-Hans"/>
        </w:rPr>
        <w:t>净化系统</w:t>
      </w:r>
      <w:r>
        <w:rPr>
          <w:rFonts w:hint="default" w:ascii="宋体" w:hAnsi="宋体"/>
          <w:lang w:eastAsia="zh-Hans"/>
        </w:rPr>
        <w:t>、</w:t>
      </w:r>
      <w:r>
        <w:rPr>
          <w:rFonts w:hint="eastAsia" w:ascii="宋体" w:hAnsi="宋体"/>
          <w:lang w:val="en-US" w:eastAsia="zh-Hans"/>
        </w:rPr>
        <w:t>各系统</w:t>
      </w:r>
      <w:r>
        <w:rPr>
          <w:rFonts w:hint="eastAsia" w:ascii="宋体" w:hAnsi="宋体"/>
          <w:lang w:eastAsia="zh-Hans"/>
        </w:rPr>
        <w:t>工程</w:t>
      </w:r>
      <w:r>
        <w:rPr>
          <w:rFonts w:hint="eastAsia" w:ascii="宋体" w:hAnsi="宋体"/>
          <w:lang w:val="en-US" w:eastAsia="zh-Hans"/>
        </w:rPr>
        <w:t>及配套工程</w:t>
      </w:r>
      <w:r>
        <w:rPr>
          <w:rFonts w:hint="eastAsia" w:ascii="宋体" w:hAnsi="宋体"/>
        </w:rPr>
        <w:t>）如发现质量问题，乙方应无条件负责修缮，若甲方认为出现质量问题的配套工程足以影响本项目整体运行，乙方应无条件返工直至通过甲方确认。因此前述修缮或返工产生的费用由乙方承担。</w:t>
      </w:r>
    </w:p>
    <w:p>
      <w:pPr>
        <w:pStyle w:val="57"/>
        <w:spacing w:before="0" w:beforeAutospacing="0" w:after="0" w:afterAutospacing="0" w:line="360" w:lineRule="auto"/>
        <w:ind w:firstLine="420" w:firstLineChars="200"/>
        <w:rPr>
          <w:rFonts w:hint="eastAsia" w:ascii="宋体" w:hAnsi="宋体"/>
          <w:kern w:val="2"/>
          <w:sz w:val="21"/>
        </w:rPr>
      </w:pPr>
      <w:r>
        <w:rPr>
          <w:rFonts w:hint="eastAsia"/>
          <w:kern w:val="2"/>
          <w:sz w:val="21"/>
          <w:lang w:val="en-US" w:eastAsia="zh-CN"/>
        </w:rPr>
        <w:t>9</w:t>
      </w:r>
      <w:r>
        <w:rPr>
          <w:rFonts w:hint="eastAsia" w:ascii="宋体" w:hAnsi="宋体"/>
          <w:kern w:val="2"/>
          <w:sz w:val="21"/>
        </w:rPr>
        <w:t>.7.质保期内，乙方应免费提供本项目所需配套培训，并由有授课经验和有实施经验的人员授课，保证授课质量，达到知识传递和共享的目的；保证甲方快速全面的掌握各项功能；保证甲方相关人员具备全面有效的系统管理及维护能力。乙方须列出培训方案的详细计划，包括培训内容、时间、地点、人次，重点对应相应设备的操作。</w:t>
      </w:r>
    </w:p>
    <w:p>
      <w:pPr>
        <w:pStyle w:val="57"/>
        <w:spacing w:before="0" w:beforeAutospacing="0" w:after="0" w:afterAutospacing="0" w:line="360" w:lineRule="auto"/>
        <w:ind w:firstLine="482" w:firstLineChars="200"/>
        <w:contextualSpacing/>
        <w:rPr>
          <w:rFonts w:hint="eastAsia"/>
          <w:b/>
        </w:rPr>
      </w:pPr>
      <w:r>
        <w:rPr>
          <w:rFonts w:hint="eastAsia"/>
          <w:b/>
        </w:rPr>
        <w:t>第十条 保密条款</w:t>
      </w:r>
    </w:p>
    <w:p>
      <w:pPr>
        <w:pStyle w:val="57"/>
        <w:spacing w:before="0" w:beforeAutospacing="0" w:after="0" w:afterAutospacing="0" w:line="360" w:lineRule="auto"/>
        <w:ind w:firstLine="420" w:firstLineChars="200"/>
        <w:rPr>
          <w:rFonts w:hint="eastAsia" w:ascii="宋体" w:hAnsi="宋体"/>
          <w:kern w:val="2"/>
          <w:sz w:val="21"/>
        </w:rPr>
      </w:pPr>
      <w:r>
        <w:rPr>
          <w:rFonts w:hint="eastAsia" w:ascii="宋体" w:hAnsi="宋体"/>
          <w:kern w:val="2"/>
          <w:sz w:val="21"/>
        </w:rPr>
        <w:t>1</w:t>
      </w:r>
      <w:r>
        <w:rPr>
          <w:rFonts w:hint="eastAsia"/>
          <w:kern w:val="2"/>
          <w:sz w:val="21"/>
          <w:lang w:val="en-US" w:eastAsia="zh-CN"/>
        </w:rPr>
        <w:t>0</w:t>
      </w:r>
      <w:r>
        <w:rPr>
          <w:rFonts w:hint="eastAsia" w:ascii="宋体" w:hAnsi="宋体"/>
          <w:kern w:val="2"/>
          <w:sz w:val="21"/>
        </w:rPr>
        <w:t>.1.双方对在履行本合同期间所获取、接触到的有关对方及关联的第三方的商业秘密等负有保密义务。本合同所指的商业秘密包括但不限于：本合同履行过程中的甲方的运营资料、宣传资料、技术手册、医患个人信息、病例、数据库、相关的函电等。</w:t>
      </w:r>
    </w:p>
    <w:p>
      <w:pPr>
        <w:pStyle w:val="57"/>
        <w:spacing w:before="0" w:beforeAutospacing="0" w:after="0" w:afterAutospacing="0" w:line="360" w:lineRule="auto"/>
        <w:ind w:firstLine="420" w:firstLineChars="200"/>
        <w:rPr>
          <w:rFonts w:hint="eastAsia" w:ascii="宋体" w:hAnsi="宋体"/>
          <w:kern w:val="2"/>
          <w:sz w:val="21"/>
        </w:rPr>
      </w:pPr>
      <w:r>
        <w:rPr>
          <w:rFonts w:hint="eastAsia" w:ascii="宋体" w:hAnsi="宋体"/>
          <w:kern w:val="2"/>
          <w:sz w:val="21"/>
        </w:rPr>
        <w:t>1</w:t>
      </w:r>
      <w:r>
        <w:rPr>
          <w:rFonts w:hint="eastAsia"/>
          <w:kern w:val="2"/>
          <w:sz w:val="21"/>
          <w:lang w:val="en-US" w:eastAsia="zh-CN"/>
        </w:rPr>
        <w:t>0</w:t>
      </w:r>
      <w:r>
        <w:rPr>
          <w:rFonts w:hint="eastAsia" w:ascii="宋体" w:hAnsi="宋体"/>
          <w:kern w:val="2"/>
          <w:sz w:val="21"/>
        </w:rPr>
        <w:t>.2.任何一方因为履行本合同的需要，可以持有、使用、保管记载对方商业秘密的文件资料、图表、笔记、报告、信件、传真以及其他任何形式的载体，但该商业秘密仍然归原所有人所有。在合同履行期间持有、使用、保管人应承担相应保密义务，不得以使用、披露、公布、发布、出版、传授、转让或者其他任何方式使任何第三方知悉属于对方或者虽属于他人但对方承诺有保密义务的商业秘密。</w:t>
      </w:r>
    </w:p>
    <w:p>
      <w:pPr>
        <w:pStyle w:val="57"/>
        <w:spacing w:before="0" w:beforeAutospacing="0" w:after="0" w:afterAutospacing="0" w:line="360" w:lineRule="auto"/>
        <w:ind w:firstLine="420" w:firstLineChars="200"/>
        <w:rPr>
          <w:rFonts w:hint="eastAsia" w:ascii="宋体" w:hAnsi="宋体"/>
          <w:kern w:val="2"/>
          <w:sz w:val="21"/>
        </w:rPr>
      </w:pPr>
      <w:r>
        <w:rPr>
          <w:rFonts w:hint="eastAsia" w:ascii="宋体" w:hAnsi="宋体"/>
          <w:kern w:val="2"/>
          <w:sz w:val="21"/>
        </w:rPr>
        <w:t>1</w:t>
      </w:r>
      <w:r>
        <w:rPr>
          <w:rFonts w:hint="eastAsia"/>
          <w:kern w:val="2"/>
          <w:sz w:val="21"/>
          <w:lang w:val="en-US" w:eastAsia="zh-CN"/>
        </w:rPr>
        <w:t>0</w:t>
      </w:r>
      <w:r>
        <w:rPr>
          <w:rFonts w:hint="eastAsia" w:ascii="宋体" w:hAnsi="宋体"/>
          <w:kern w:val="2"/>
          <w:sz w:val="21"/>
        </w:rPr>
        <w:t>.3.除了履行本合同的需要之外，非经对方书面许可，任何一方不得以使用、披露、公布、发布、出版、传授、转让或者其他任何方式使任何第三方知悉属于对方或者虽属于他人但对方承诺有保密义务的商业秘密。但根据法律、法规或生效的仲裁裁决、诉讼判决等法律文件的要求，需要对商业秘密进行使用、披露、公布、发布、出版、传授、转让的，不适用本条约定。</w:t>
      </w:r>
    </w:p>
    <w:p>
      <w:pPr>
        <w:pStyle w:val="57"/>
        <w:spacing w:before="0" w:beforeAutospacing="0" w:after="0" w:afterAutospacing="0" w:line="360" w:lineRule="auto"/>
        <w:ind w:firstLine="420" w:firstLineChars="200"/>
        <w:rPr>
          <w:rFonts w:hint="eastAsia" w:ascii="宋体" w:hAnsi="宋体"/>
          <w:kern w:val="2"/>
          <w:sz w:val="21"/>
        </w:rPr>
      </w:pPr>
      <w:r>
        <w:rPr>
          <w:rFonts w:hint="eastAsia" w:ascii="宋体" w:hAnsi="宋体"/>
          <w:kern w:val="2"/>
          <w:sz w:val="21"/>
        </w:rPr>
        <w:t>1</w:t>
      </w:r>
      <w:r>
        <w:rPr>
          <w:rFonts w:hint="eastAsia"/>
          <w:kern w:val="2"/>
          <w:sz w:val="21"/>
          <w:lang w:val="en-US" w:eastAsia="zh-CN"/>
        </w:rPr>
        <w:t>0</w:t>
      </w:r>
      <w:r>
        <w:rPr>
          <w:rFonts w:hint="eastAsia" w:ascii="宋体" w:hAnsi="宋体"/>
          <w:kern w:val="2"/>
          <w:sz w:val="21"/>
        </w:rPr>
        <w:t>.4.任意一方违反本合同第十一条的约定，违约方给守约方造成损失的，应赔偿全部损失，包括但不限于直接损失、间接损失及可期待利益。</w:t>
      </w:r>
    </w:p>
    <w:p>
      <w:pPr>
        <w:spacing w:line="360" w:lineRule="auto"/>
        <w:ind w:firstLine="422" w:firstLineChars="200"/>
        <w:rPr>
          <w:rFonts w:hint="eastAsia" w:ascii="宋体" w:hAnsi="宋体"/>
          <w:b/>
          <w:kern w:val="0"/>
        </w:rPr>
      </w:pPr>
      <w:r>
        <w:rPr>
          <w:rFonts w:hint="eastAsia" w:ascii="宋体" w:hAnsi="宋体"/>
          <w:b/>
          <w:kern w:val="0"/>
        </w:rPr>
        <w:t>第十</w:t>
      </w:r>
      <w:r>
        <w:rPr>
          <w:rFonts w:hint="eastAsia" w:ascii="宋体" w:hAnsi="宋体"/>
          <w:b/>
          <w:kern w:val="0"/>
          <w:lang w:val="en-US" w:eastAsia="zh-CN"/>
        </w:rPr>
        <w:t>一</w:t>
      </w:r>
      <w:r>
        <w:rPr>
          <w:rFonts w:hint="eastAsia" w:ascii="宋体" w:hAnsi="宋体"/>
          <w:b/>
          <w:kern w:val="0"/>
        </w:rPr>
        <w:t>条 违约责任</w:t>
      </w:r>
    </w:p>
    <w:p>
      <w:pPr>
        <w:spacing w:line="360" w:lineRule="auto"/>
        <w:ind w:firstLine="420" w:firstLineChars="200"/>
        <w:rPr>
          <w:rFonts w:hint="eastAsia" w:ascii="宋体" w:hAnsi="宋体"/>
          <w:kern w:val="0"/>
        </w:rPr>
      </w:pPr>
      <w:r>
        <w:rPr>
          <w:rFonts w:hint="eastAsia" w:ascii="宋体" w:hAnsi="宋体"/>
          <w:kern w:val="0"/>
        </w:rPr>
        <w:t>1</w:t>
      </w:r>
      <w:r>
        <w:rPr>
          <w:rFonts w:hint="eastAsia" w:ascii="宋体" w:hAnsi="宋体"/>
          <w:kern w:val="0"/>
          <w:lang w:val="en-US" w:eastAsia="zh-CN"/>
        </w:rPr>
        <w:t>1</w:t>
      </w:r>
      <w:r>
        <w:rPr>
          <w:rFonts w:hint="eastAsia" w:ascii="宋体" w:hAnsi="宋体"/>
          <w:kern w:val="0"/>
        </w:rPr>
        <w:t>.1.双方应按照本合同约定按时履行各项权利义务，任意一方违反本合同约定均视为违约行为，应承担违约责任。</w:t>
      </w:r>
    </w:p>
    <w:p>
      <w:pPr>
        <w:spacing w:line="360" w:lineRule="auto"/>
        <w:ind w:firstLine="420" w:firstLineChars="200"/>
        <w:rPr>
          <w:rFonts w:hint="eastAsia" w:ascii="宋体" w:hAnsi="宋体"/>
          <w:kern w:val="0"/>
        </w:rPr>
      </w:pPr>
      <w:r>
        <w:rPr>
          <w:rFonts w:hint="eastAsia" w:ascii="宋体" w:hAnsi="宋体"/>
          <w:kern w:val="0"/>
        </w:rPr>
        <w:t>1</w:t>
      </w:r>
      <w:r>
        <w:rPr>
          <w:rFonts w:hint="eastAsia" w:ascii="宋体" w:hAnsi="宋体"/>
          <w:kern w:val="0"/>
          <w:lang w:val="en-US" w:eastAsia="zh-CN"/>
        </w:rPr>
        <w:t>1</w:t>
      </w:r>
      <w:r>
        <w:rPr>
          <w:rFonts w:hint="eastAsia" w:ascii="宋体" w:hAnsi="宋体"/>
          <w:kern w:val="0"/>
        </w:rPr>
        <w:t>.2.乙方应具备符合本合同及招标文件要求的资质，否则甲方有权随时解除合同，乙方应全额返还已支付款项并按照本合同总价格的20%支付违约金。</w:t>
      </w:r>
    </w:p>
    <w:p>
      <w:pPr>
        <w:spacing w:line="360" w:lineRule="auto"/>
        <w:ind w:firstLine="420" w:firstLineChars="200"/>
        <w:rPr>
          <w:rFonts w:hint="eastAsia" w:ascii="宋体" w:hAnsi="宋体"/>
          <w:kern w:val="0"/>
        </w:rPr>
      </w:pPr>
      <w:r>
        <w:rPr>
          <w:rFonts w:hint="eastAsia" w:ascii="宋体" w:hAnsi="宋体"/>
          <w:kern w:val="0"/>
        </w:rPr>
        <w:t>1</w:t>
      </w:r>
      <w:r>
        <w:rPr>
          <w:rFonts w:hint="eastAsia" w:ascii="宋体" w:hAnsi="宋体"/>
          <w:kern w:val="0"/>
          <w:lang w:val="en-US" w:eastAsia="zh-CN"/>
        </w:rPr>
        <w:t>1</w:t>
      </w:r>
      <w:r>
        <w:rPr>
          <w:rFonts w:hint="eastAsia" w:ascii="宋体" w:hAnsi="宋体"/>
          <w:kern w:val="0"/>
        </w:rPr>
        <w:t>.3.乙方应按时完成本项目建设并通过项目整体履约验收，否则每逾期一日应按照本合同总价格的千分之</w:t>
      </w:r>
      <w:r>
        <w:rPr>
          <w:rFonts w:hint="eastAsia" w:ascii="宋体" w:hAnsi="宋体"/>
          <w:kern w:val="0"/>
          <w:lang w:val="en-US" w:eastAsia="zh-Hans"/>
        </w:rPr>
        <w:t>三</w:t>
      </w:r>
      <w:r>
        <w:rPr>
          <w:rFonts w:hint="eastAsia" w:ascii="宋体" w:hAnsi="宋体"/>
          <w:kern w:val="0"/>
        </w:rPr>
        <w:t>支付违约金。若因甲方过错导致未在本合同约定期限内完成相应验收工作，则乙方完成本项目建设期限作相应顺延。</w:t>
      </w:r>
    </w:p>
    <w:p>
      <w:pPr>
        <w:spacing w:line="360" w:lineRule="auto"/>
        <w:ind w:firstLine="420" w:firstLineChars="200"/>
        <w:rPr>
          <w:rFonts w:hint="eastAsia" w:ascii="宋体" w:hAnsi="宋体"/>
          <w:kern w:val="0"/>
        </w:rPr>
      </w:pPr>
      <w:r>
        <w:rPr>
          <w:rFonts w:hint="eastAsia" w:ascii="宋体" w:hAnsi="宋体"/>
          <w:kern w:val="0"/>
        </w:rPr>
        <w:t>1</w:t>
      </w:r>
      <w:r>
        <w:rPr>
          <w:rFonts w:hint="eastAsia" w:ascii="宋体" w:hAnsi="宋体"/>
          <w:kern w:val="0"/>
          <w:lang w:val="en-US" w:eastAsia="zh-CN"/>
        </w:rPr>
        <w:t>1</w:t>
      </w:r>
      <w:r>
        <w:rPr>
          <w:rFonts w:hint="eastAsia" w:ascii="宋体" w:hAnsi="宋体"/>
          <w:kern w:val="0"/>
        </w:rPr>
        <w:t>.</w:t>
      </w:r>
      <w:r>
        <w:rPr>
          <w:rFonts w:hint="eastAsia" w:ascii="宋体" w:hAnsi="宋体"/>
          <w:kern w:val="0"/>
          <w:lang w:val="en-US" w:eastAsia="zh-CN"/>
        </w:rPr>
        <w:t>4</w:t>
      </w:r>
      <w:r>
        <w:rPr>
          <w:rFonts w:hint="eastAsia" w:ascii="宋体" w:hAnsi="宋体"/>
          <w:kern w:val="0"/>
        </w:rPr>
        <w:t>.乙方所交的产品的品种、型号、规格、技术参数、质量不符合合同约定及招标文件规定标准的，甲方有权拒收该产品，乙方应在甲方限期内更换产品，若乙方拒绝更换产品的，甲方可单方面解除合同，</w:t>
      </w:r>
      <w:r>
        <w:rPr>
          <w:rFonts w:hint="eastAsia" w:ascii="宋体" w:hAnsi="宋体"/>
          <w:kern w:val="0"/>
          <w:lang w:val="en-US" w:eastAsia="zh-Hans"/>
        </w:rPr>
        <w:t>并要求乙方按合同总价的</w:t>
      </w:r>
      <w:r>
        <w:rPr>
          <w:rFonts w:hint="default" w:ascii="宋体" w:hAnsi="宋体"/>
          <w:kern w:val="0"/>
          <w:lang w:eastAsia="zh-Hans"/>
        </w:rPr>
        <w:t>30%</w:t>
      </w:r>
      <w:r>
        <w:rPr>
          <w:rFonts w:hint="eastAsia" w:ascii="宋体" w:hAnsi="宋体"/>
          <w:kern w:val="0"/>
          <w:lang w:val="en-US" w:eastAsia="zh-Hans"/>
        </w:rPr>
        <w:t>支付违约金</w:t>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1</w:t>
      </w:r>
      <w:r>
        <w:rPr>
          <w:rFonts w:hint="eastAsia" w:ascii="宋体" w:hAnsi="宋体"/>
          <w:kern w:val="0"/>
          <w:lang w:val="en-US" w:eastAsia="zh-CN"/>
        </w:rPr>
        <w:t>1</w:t>
      </w:r>
      <w:r>
        <w:rPr>
          <w:rFonts w:hint="eastAsia" w:ascii="宋体" w:hAnsi="宋体"/>
          <w:kern w:val="0"/>
        </w:rPr>
        <w:t>.</w:t>
      </w:r>
      <w:r>
        <w:rPr>
          <w:rFonts w:hint="eastAsia" w:ascii="宋体" w:hAnsi="宋体"/>
          <w:kern w:val="0"/>
          <w:lang w:val="en-US" w:eastAsia="zh-CN"/>
        </w:rPr>
        <w:t>5</w:t>
      </w:r>
      <w:r>
        <w:rPr>
          <w:rFonts w:hint="eastAsia" w:ascii="宋体" w:hAnsi="宋体"/>
          <w:kern w:val="0"/>
        </w:rPr>
        <w:t>.甲方应按时向乙方支付合同款，若甲方未按本合同约定付款且延期付款未征得乙方同意，逾期支付任意一合同款，每逾期一日，甲方应按照应付未付款的万</w:t>
      </w:r>
      <w:r>
        <w:rPr>
          <w:rFonts w:hint="eastAsia" w:ascii="宋体" w:hAnsi="宋体"/>
          <w:kern w:val="0"/>
          <w:highlight w:val="none"/>
        </w:rPr>
        <w:t>分之</w:t>
      </w:r>
      <w:r>
        <w:rPr>
          <w:rFonts w:hint="eastAsia" w:ascii="宋体" w:hAnsi="宋体"/>
          <w:kern w:val="0"/>
          <w:highlight w:val="none"/>
          <w:lang w:eastAsia="zh-Hans"/>
        </w:rPr>
        <w:t>五</w:t>
      </w:r>
      <w:r>
        <w:rPr>
          <w:rFonts w:hint="eastAsia" w:ascii="宋体" w:hAnsi="宋体"/>
          <w:kern w:val="0"/>
          <w:highlight w:val="none"/>
        </w:rPr>
        <w:t>支付违约金。</w:t>
      </w:r>
    </w:p>
    <w:p>
      <w:pPr>
        <w:spacing w:line="360" w:lineRule="auto"/>
        <w:ind w:firstLine="420" w:firstLineChars="200"/>
        <w:rPr>
          <w:rFonts w:hint="eastAsia" w:ascii="宋体" w:hAnsi="宋体"/>
          <w:kern w:val="0"/>
        </w:rPr>
      </w:pPr>
      <w:r>
        <w:rPr>
          <w:rFonts w:hint="eastAsia" w:ascii="宋体" w:hAnsi="宋体"/>
          <w:kern w:val="0"/>
        </w:rPr>
        <w:t>1</w:t>
      </w:r>
      <w:r>
        <w:rPr>
          <w:rFonts w:hint="eastAsia" w:ascii="宋体" w:hAnsi="宋体"/>
          <w:kern w:val="0"/>
          <w:lang w:val="en-US" w:eastAsia="zh-CN"/>
        </w:rPr>
        <w:t>1</w:t>
      </w:r>
      <w:r>
        <w:rPr>
          <w:rFonts w:hint="eastAsia" w:ascii="宋体" w:hAnsi="宋体"/>
          <w:kern w:val="0"/>
        </w:rPr>
        <w:t>.</w:t>
      </w:r>
      <w:r>
        <w:rPr>
          <w:rFonts w:hint="eastAsia" w:ascii="宋体" w:hAnsi="宋体"/>
          <w:kern w:val="0"/>
          <w:lang w:val="en-US" w:eastAsia="zh-CN"/>
        </w:rPr>
        <w:t>6</w:t>
      </w:r>
      <w:r>
        <w:rPr>
          <w:rFonts w:hint="eastAsia" w:ascii="宋体" w:hAnsi="宋体"/>
          <w:kern w:val="0"/>
        </w:rPr>
        <w:t>.本项目实施期间，非因甲方原因发生安全事故责任由乙方承担，由此所发生的损失及受到的处罚，最终由乙方承担。</w:t>
      </w:r>
    </w:p>
    <w:p>
      <w:pPr>
        <w:spacing w:line="360" w:lineRule="auto"/>
        <w:ind w:firstLine="420" w:firstLineChars="200"/>
        <w:rPr>
          <w:rFonts w:hint="eastAsia" w:ascii="宋体" w:hAnsi="宋体"/>
          <w:kern w:val="0"/>
        </w:rPr>
      </w:pPr>
      <w:r>
        <w:rPr>
          <w:rFonts w:hint="eastAsia" w:ascii="宋体" w:hAnsi="宋体"/>
          <w:kern w:val="0"/>
        </w:rPr>
        <w:t>1</w:t>
      </w:r>
      <w:r>
        <w:rPr>
          <w:rFonts w:hint="eastAsia" w:ascii="宋体" w:hAnsi="宋体"/>
          <w:kern w:val="0"/>
          <w:lang w:val="en-US" w:eastAsia="zh-CN"/>
        </w:rPr>
        <w:t>1</w:t>
      </w:r>
      <w:r>
        <w:rPr>
          <w:rFonts w:hint="eastAsia" w:ascii="宋体" w:hAnsi="宋体"/>
          <w:kern w:val="0"/>
        </w:rPr>
        <w:t>.</w:t>
      </w:r>
      <w:r>
        <w:rPr>
          <w:rFonts w:hint="eastAsia" w:ascii="宋体" w:hAnsi="宋体"/>
          <w:kern w:val="0"/>
          <w:lang w:val="en-US" w:eastAsia="zh-CN"/>
        </w:rPr>
        <w:t>7</w:t>
      </w:r>
      <w:r>
        <w:rPr>
          <w:rFonts w:hint="eastAsia" w:ascii="宋体" w:hAnsi="宋体"/>
          <w:kern w:val="0"/>
        </w:rPr>
        <w:t>.乙方逾期或不提供质保服务，甲方有权按照本合同约定执行，因此产生费用由乙方承担。</w:t>
      </w:r>
    </w:p>
    <w:p>
      <w:pPr>
        <w:spacing w:line="360" w:lineRule="auto"/>
        <w:ind w:firstLine="420" w:firstLineChars="200"/>
        <w:rPr>
          <w:rFonts w:hint="default" w:ascii="宋体" w:hAnsi="宋体"/>
          <w:kern w:val="0"/>
        </w:rPr>
      </w:pPr>
      <w:r>
        <w:rPr>
          <w:rFonts w:hint="eastAsia" w:ascii="宋体" w:hAnsi="宋体"/>
          <w:kern w:val="0"/>
        </w:rPr>
        <w:t>1</w:t>
      </w:r>
      <w:r>
        <w:rPr>
          <w:rFonts w:hint="eastAsia" w:ascii="宋体" w:hAnsi="宋体"/>
          <w:kern w:val="0"/>
          <w:lang w:val="en-US" w:eastAsia="zh-CN"/>
        </w:rPr>
        <w:t>1</w:t>
      </w:r>
      <w:r>
        <w:rPr>
          <w:rFonts w:hint="eastAsia" w:ascii="宋体" w:hAnsi="宋体"/>
          <w:kern w:val="0"/>
        </w:rPr>
        <w:t>.</w:t>
      </w:r>
      <w:r>
        <w:rPr>
          <w:rFonts w:hint="eastAsia" w:ascii="宋体" w:hAnsi="宋体"/>
          <w:kern w:val="0"/>
          <w:lang w:val="en-US" w:eastAsia="zh-CN"/>
        </w:rPr>
        <w:t>8</w:t>
      </w:r>
      <w:r>
        <w:rPr>
          <w:rFonts w:hint="eastAsia" w:ascii="宋体" w:hAnsi="宋体"/>
          <w:kern w:val="0"/>
        </w:rPr>
        <w:t>.本合同对违约责任另有约定从其约定</w:t>
      </w:r>
      <w:r>
        <w:rPr>
          <w:rFonts w:hint="default" w:ascii="宋体" w:hAnsi="宋体"/>
          <w:kern w:val="0"/>
        </w:rPr>
        <w:t>。</w:t>
      </w:r>
    </w:p>
    <w:p>
      <w:pPr>
        <w:spacing w:line="360" w:lineRule="auto"/>
        <w:ind w:firstLine="420" w:firstLineChars="200"/>
        <w:rPr>
          <w:rFonts w:hint="eastAsia" w:ascii="宋体" w:hAnsi="宋体"/>
          <w:kern w:val="0"/>
        </w:rPr>
      </w:pPr>
      <w:r>
        <w:rPr>
          <w:rFonts w:hint="default" w:ascii="宋体" w:hAnsi="宋体"/>
          <w:kern w:val="0"/>
        </w:rPr>
        <w:t>1</w:t>
      </w:r>
      <w:r>
        <w:rPr>
          <w:rFonts w:hint="eastAsia" w:ascii="宋体" w:hAnsi="宋体"/>
          <w:kern w:val="0"/>
          <w:lang w:val="en-US" w:eastAsia="zh-CN"/>
        </w:rPr>
        <w:t>1</w:t>
      </w:r>
      <w:r>
        <w:rPr>
          <w:rFonts w:hint="eastAsia" w:ascii="宋体" w:hAnsi="宋体"/>
          <w:kern w:val="0"/>
          <w:lang w:val="en-US" w:eastAsia="zh-Hans"/>
        </w:rPr>
        <w:t>.</w:t>
      </w:r>
      <w:r>
        <w:rPr>
          <w:rFonts w:hint="eastAsia" w:ascii="宋体" w:hAnsi="宋体"/>
          <w:kern w:val="0"/>
          <w:lang w:val="en-US" w:eastAsia="zh-CN"/>
        </w:rPr>
        <w:t>9</w:t>
      </w:r>
      <w:r>
        <w:rPr>
          <w:rFonts w:hint="eastAsia" w:ascii="宋体" w:hAnsi="宋体"/>
          <w:kern w:val="0"/>
          <w:lang w:val="en-US" w:eastAsia="zh-Hans"/>
        </w:rPr>
        <w:t>违约金不足以弥补给守约方造成的损失</w:t>
      </w:r>
      <w:r>
        <w:rPr>
          <w:rFonts w:hint="default" w:ascii="宋体" w:hAnsi="宋体"/>
          <w:kern w:val="0"/>
          <w:lang w:eastAsia="zh-Hans"/>
        </w:rPr>
        <w:t>，</w:t>
      </w:r>
      <w:r>
        <w:rPr>
          <w:rFonts w:hint="eastAsia" w:ascii="宋体" w:hAnsi="宋体"/>
          <w:kern w:val="0"/>
          <w:lang w:val="en-US" w:eastAsia="zh-Hans"/>
        </w:rPr>
        <w:t>违约方应另行补足</w:t>
      </w:r>
      <w:r>
        <w:rPr>
          <w:rFonts w:hint="eastAsia" w:ascii="宋体" w:hAnsi="宋体"/>
          <w:kern w:val="0"/>
        </w:rPr>
        <w:t>。</w:t>
      </w:r>
    </w:p>
    <w:p>
      <w:pPr>
        <w:spacing w:line="360" w:lineRule="auto"/>
        <w:ind w:firstLine="422" w:firstLineChars="200"/>
        <w:rPr>
          <w:rFonts w:hint="eastAsia" w:ascii="宋体" w:hAnsi="宋体"/>
          <w:b/>
          <w:kern w:val="0"/>
        </w:rPr>
      </w:pPr>
      <w:r>
        <w:rPr>
          <w:rFonts w:hint="eastAsia" w:ascii="宋体" w:hAnsi="宋体"/>
          <w:b/>
          <w:kern w:val="0"/>
        </w:rPr>
        <w:t>第十</w:t>
      </w:r>
      <w:r>
        <w:rPr>
          <w:rFonts w:hint="eastAsia" w:ascii="宋体" w:hAnsi="宋体"/>
          <w:b/>
          <w:kern w:val="0"/>
          <w:lang w:val="en-US" w:eastAsia="zh-CN"/>
        </w:rPr>
        <w:t>二</w:t>
      </w:r>
      <w:r>
        <w:rPr>
          <w:rFonts w:hint="eastAsia" w:ascii="宋体" w:hAnsi="宋体"/>
          <w:b/>
          <w:kern w:val="0"/>
        </w:rPr>
        <w:t>条 不可抗力</w:t>
      </w:r>
    </w:p>
    <w:p>
      <w:pPr>
        <w:spacing w:line="360" w:lineRule="auto"/>
        <w:ind w:firstLine="420" w:firstLineChars="200"/>
        <w:rPr>
          <w:rFonts w:hint="eastAsia" w:ascii="宋体" w:hAnsi="宋体"/>
          <w:kern w:val="0"/>
        </w:rPr>
      </w:pPr>
      <w:r>
        <w:rPr>
          <w:rFonts w:hint="eastAsia" w:ascii="宋体" w:hAnsi="宋体"/>
          <w:kern w:val="0"/>
        </w:rPr>
        <w:t>1</w:t>
      </w:r>
      <w:r>
        <w:rPr>
          <w:rFonts w:hint="eastAsia" w:ascii="宋体" w:hAnsi="宋体"/>
          <w:kern w:val="0"/>
          <w:lang w:val="en-US" w:eastAsia="zh-CN"/>
        </w:rPr>
        <w:t>2</w:t>
      </w:r>
      <w:r>
        <w:rPr>
          <w:rFonts w:hint="eastAsia" w:ascii="宋体" w:hAnsi="宋体"/>
          <w:kern w:val="0"/>
        </w:rPr>
        <w:t>.1.当一方由于不可抗力的原因而不能履行合同时，应立即以书面形式通知对方，并尽合理的努力减少双方的损失。因其怠于采取相应措施致使损失扩大的，不得就扩大的损失主张免责。</w:t>
      </w:r>
    </w:p>
    <w:p>
      <w:pPr>
        <w:spacing w:line="360" w:lineRule="auto"/>
        <w:ind w:firstLine="420" w:firstLineChars="200"/>
        <w:rPr>
          <w:rFonts w:hint="eastAsia" w:ascii="宋体" w:hAnsi="宋体"/>
          <w:kern w:val="0"/>
        </w:rPr>
      </w:pPr>
      <w:r>
        <w:rPr>
          <w:rFonts w:hint="eastAsia" w:ascii="宋体" w:hAnsi="宋体"/>
          <w:kern w:val="0"/>
        </w:rPr>
        <w:t>1</w:t>
      </w:r>
      <w:r>
        <w:rPr>
          <w:rFonts w:hint="eastAsia" w:ascii="宋体" w:hAnsi="宋体"/>
          <w:kern w:val="0"/>
          <w:lang w:val="en-US" w:eastAsia="zh-CN"/>
        </w:rPr>
        <w:t>2</w:t>
      </w:r>
      <w:r>
        <w:rPr>
          <w:rFonts w:hint="eastAsia" w:ascii="宋体" w:hAnsi="宋体"/>
          <w:kern w:val="0"/>
        </w:rPr>
        <w:t>.2.受不可抗力影响的一方应在不可抗力结束后七日内，向另一方提交事故发生地的公证部门或政府机关对不可抗力发生时间、持续时间及影响力的证明文件（但被公认为属于不可抗力时间的除外），双方应积极协商有关协议继续履行或终止的有关事宜。超出规定时间未提供有效的证明文件将被视为未出现不可抗力。</w:t>
      </w:r>
    </w:p>
    <w:p>
      <w:pPr>
        <w:spacing w:line="360" w:lineRule="auto"/>
        <w:ind w:firstLine="422" w:firstLineChars="200"/>
        <w:rPr>
          <w:rFonts w:hint="eastAsia" w:ascii="宋体" w:hAnsi="宋体"/>
          <w:b/>
        </w:rPr>
      </w:pPr>
      <w:r>
        <w:rPr>
          <w:rFonts w:hint="eastAsia" w:ascii="宋体" w:hAnsi="宋体"/>
          <w:b/>
          <w:kern w:val="0"/>
        </w:rPr>
        <w:t>第十</w:t>
      </w:r>
      <w:r>
        <w:rPr>
          <w:rFonts w:hint="eastAsia" w:ascii="宋体" w:hAnsi="宋体"/>
          <w:b/>
          <w:kern w:val="0"/>
          <w:lang w:val="en-US" w:eastAsia="zh-CN"/>
        </w:rPr>
        <w:t>三</w:t>
      </w:r>
      <w:r>
        <w:rPr>
          <w:rFonts w:hint="eastAsia" w:ascii="宋体" w:hAnsi="宋体"/>
          <w:b/>
          <w:kern w:val="0"/>
        </w:rPr>
        <w:t xml:space="preserve">条 </w:t>
      </w:r>
      <w:r>
        <w:rPr>
          <w:rFonts w:hint="eastAsia" w:ascii="宋体" w:hAnsi="宋体"/>
          <w:b/>
        </w:rPr>
        <w:t>争议解决</w:t>
      </w:r>
    </w:p>
    <w:p>
      <w:pPr>
        <w:spacing w:line="360" w:lineRule="auto"/>
        <w:ind w:firstLine="420" w:firstLineChars="200"/>
        <w:rPr>
          <w:rFonts w:hint="eastAsia" w:ascii="宋体" w:hAnsi="宋体"/>
        </w:rPr>
      </w:pPr>
      <w:r>
        <w:rPr>
          <w:rFonts w:hint="eastAsia" w:ascii="宋体" w:hAnsi="宋体"/>
        </w:rPr>
        <w:t>因本合同签订、履行发生争议的，双方应优先协商解决，若经协商后仍无法解决，任意一方均有权依法向有甲方所在地人民法院起诉。由败诉方承担因此产生的全部费用（包括但不限于案件受理费、律师费、差旅费、保全费等）。</w:t>
      </w:r>
    </w:p>
    <w:p>
      <w:pPr>
        <w:spacing w:line="360" w:lineRule="auto"/>
        <w:ind w:firstLine="422" w:firstLineChars="200"/>
        <w:rPr>
          <w:rFonts w:hint="eastAsia" w:ascii="宋体" w:hAnsi="宋体"/>
          <w:b/>
        </w:rPr>
      </w:pPr>
      <w:r>
        <w:rPr>
          <w:rFonts w:hint="eastAsia" w:ascii="宋体" w:hAnsi="宋体"/>
          <w:b/>
        </w:rPr>
        <w:t>第十</w:t>
      </w:r>
      <w:r>
        <w:rPr>
          <w:rFonts w:hint="eastAsia" w:ascii="宋体" w:hAnsi="宋体"/>
          <w:b/>
          <w:lang w:val="en-US" w:eastAsia="zh-CN"/>
        </w:rPr>
        <w:t>四</w:t>
      </w:r>
      <w:r>
        <w:rPr>
          <w:rFonts w:hint="eastAsia" w:ascii="宋体" w:hAnsi="宋体"/>
          <w:b/>
        </w:rPr>
        <w:t>条 合同文件的组成及解释顺序</w:t>
      </w:r>
    </w:p>
    <w:p>
      <w:pPr>
        <w:spacing w:line="360" w:lineRule="auto"/>
        <w:ind w:firstLine="420" w:firstLineChars="200"/>
        <w:rPr>
          <w:rFonts w:hint="eastAsia" w:ascii="宋体" w:hAnsi="宋体"/>
        </w:rPr>
      </w:pPr>
      <w:r>
        <w:rPr>
          <w:rFonts w:hint="eastAsia" w:ascii="宋体" w:hAnsi="宋体"/>
        </w:rPr>
        <w:t>1</w:t>
      </w:r>
      <w:r>
        <w:rPr>
          <w:rFonts w:hint="eastAsia" w:ascii="宋体" w:hAnsi="宋体"/>
          <w:lang w:val="en-US" w:eastAsia="zh-CN"/>
        </w:rPr>
        <w:t>4</w:t>
      </w:r>
      <w:r>
        <w:rPr>
          <w:rFonts w:hint="eastAsia" w:ascii="宋体" w:hAnsi="宋体"/>
        </w:rPr>
        <w:t>.1.1.下列文本共同组成合同文件；</w:t>
      </w:r>
    </w:p>
    <w:p>
      <w:pPr>
        <w:spacing w:line="360" w:lineRule="auto"/>
        <w:ind w:firstLine="420" w:firstLineChars="200"/>
        <w:rPr>
          <w:rFonts w:hint="eastAsia" w:ascii="宋体" w:hAnsi="宋体"/>
        </w:rPr>
      </w:pPr>
      <w:r>
        <w:rPr>
          <w:rFonts w:hint="eastAsia" w:ascii="宋体" w:hAnsi="宋体"/>
        </w:rPr>
        <w:t>（1）合同（含招标期间和评标过程中的澄清文件）；</w:t>
      </w:r>
    </w:p>
    <w:p>
      <w:pPr>
        <w:spacing w:line="360" w:lineRule="auto"/>
        <w:ind w:firstLine="420" w:firstLineChars="200"/>
        <w:rPr>
          <w:rFonts w:hint="eastAsia" w:ascii="宋体" w:hAnsi="宋体"/>
        </w:rPr>
      </w:pPr>
      <w:r>
        <w:rPr>
          <w:rFonts w:hint="eastAsia" w:ascii="宋体" w:hAnsi="宋体"/>
        </w:rPr>
        <w:t>（2）中标通知书；</w:t>
      </w:r>
    </w:p>
    <w:p>
      <w:pPr>
        <w:spacing w:line="360" w:lineRule="auto"/>
        <w:ind w:firstLine="420" w:firstLineChars="200"/>
        <w:rPr>
          <w:rFonts w:hint="eastAsia" w:ascii="宋体" w:hAnsi="宋体"/>
        </w:rPr>
      </w:pPr>
      <w:r>
        <w:rPr>
          <w:rFonts w:hint="eastAsia" w:ascii="宋体" w:hAnsi="宋体"/>
        </w:rPr>
        <w:t>（3）招标文件及其补充文件；</w:t>
      </w:r>
    </w:p>
    <w:p>
      <w:pPr>
        <w:spacing w:line="360" w:lineRule="auto"/>
        <w:ind w:firstLine="420" w:firstLineChars="200"/>
        <w:rPr>
          <w:rFonts w:hint="eastAsia" w:ascii="宋体" w:hAnsi="宋体"/>
        </w:rPr>
      </w:pPr>
      <w:r>
        <w:rPr>
          <w:rFonts w:hint="eastAsia" w:ascii="宋体" w:hAnsi="宋体"/>
        </w:rPr>
        <w:t>（4）投标文件；</w:t>
      </w:r>
    </w:p>
    <w:p>
      <w:pPr>
        <w:spacing w:line="360" w:lineRule="auto"/>
        <w:ind w:firstLine="420" w:firstLineChars="200"/>
        <w:rPr>
          <w:rFonts w:hint="eastAsia" w:ascii="宋体" w:hAnsi="宋体"/>
        </w:rPr>
      </w:pPr>
      <w:r>
        <w:rPr>
          <w:rFonts w:hint="eastAsia" w:ascii="宋体" w:hAnsi="宋体"/>
        </w:rPr>
        <w:t>（5）其他协议文件。</w:t>
      </w:r>
    </w:p>
    <w:p>
      <w:pPr>
        <w:spacing w:line="360" w:lineRule="auto"/>
        <w:ind w:firstLine="420" w:firstLineChars="200"/>
        <w:rPr>
          <w:rFonts w:hint="eastAsia" w:ascii="宋体" w:hAnsi="宋体"/>
        </w:rPr>
      </w:pPr>
      <w:r>
        <w:rPr>
          <w:rFonts w:hint="eastAsia" w:ascii="宋体" w:hAnsi="宋体"/>
        </w:rPr>
        <w:t>1</w:t>
      </w:r>
      <w:r>
        <w:rPr>
          <w:rFonts w:hint="eastAsia" w:ascii="宋体" w:hAnsi="宋体"/>
          <w:lang w:val="en-US" w:eastAsia="zh-CN"/>
        </w:rPr>
        <w:t>4</w:t>
      </w:r>
      <w:r>
        <w:rPr>
          <w:rFonts w:hint="eastAsia" w:ascii="宋体" w:hAnsi="宋体"/>
        </w:rPr>
        <w:t>.1.2.上述文件互相补充和解释，如有不明确或不一致之处，上述合同文件以自上而下的顺序解释。</w:t>
      </w:r>
    </w:p>
    <w:p>
      <w:pPr>
        <w:spacing w:line="360" w:lineRule="auto"/>
        <w:ind w:firstLine="420" w:firstLineChars="200"/>
        <w:rPr>
          <w:rFonts w:hint="eastAsia" w:ascii="宋体" w:hAnsi="宋体"/>
        </w:rPr>
      </w:pPr>
      <w:r>
        <w:rPr>
          <w:rFonts w:hint="eastAsia" w:ascii="宋体" w:hAnsi="宋体"/>
        </w:rPr>
        <w:t>1</w:t>
      </w:r>
      <w:r>
        <w:rPr>
          <w:rFonts w:hint="eastAsia" w:ascii="宋体" w:hAnsi="宋体"/>
          <w:lang w:val="en-US" w:eastAsia="zh-CN"/>
        </w:rPr>
        <w:t>4</w:t>
      </w:r>
      <w:r>
        <w:rPr>
          <w:rFonts w:hint="eastAsia" w:ascii="宋体" w:hAnsi="宋体"/>
        </w:rPr>
        <w:t>.2.本合同自双方法定代表人</w:t>
      </w:r>
      <w:r>
        <w:rPr>
          <w:rFonts w:hint="default" w:ascii="宋体" w:hAnsi="宋体"/>
        </w:rPr>
        <w:t>（</w:t>
      </w:r>
      <w:r>
        <w:rPr>
          <w:rFonts w:hint="eastAsia" w:ascii="宋体" w:hAnsi="宋体"/>
        </w:rPr>
        <w:t>或授权代表</w:t>
      </w:r>
      <w:r>
        <w:rPr>
          <w:rFonts w:hint="default" w:ascii="宋体" w:hAnsi="宋体"/>
        </w:rPr>
        <w:t>）</w:t>
      </w:r>
      <w:r>
        <w:rPr>
          <w:rFonts w:hint="eastAsia" w:ascii="宋体" w:hAnsi="宋体"/>
        </w:rPr>
        <w:t>签字并加盖公章</w:t>
      </w:r>
      <w:r>
        <w:rPr>
          <w:rFonts w:hint="default" w:ascii="宋体" w:hAnsi="宋体"/>
        </w:rPr>
        <w:t>（</w:t>
      </w:r>
      <w:r>
        <w:rPr>
          <w:rFonts w:hint="eastAsia" w:ascii="宋体" w:hAnsi="宋体"/>
          <w:lang w:val="en-US" w:eastAsia="zh-Hans"/>
        </w:rPr>
        <w:t>或合同专用章</w:t>
      </w:r>
      <w:r>
        <w:rPr>
          <w:rFonts w:hint="default" w:ascii="宋体" w:hAnsi="宋体"/>
          <w:lang w:eastAsia="zh-Hans"/>
        </w:rPr>
        <w:t>）</w:t>
      </w:r>
      <w:r>
        <w:rPr>
          <w:rFonts w:hint="eastAsia" w:ascii="宋体" w:hAnsi="宋体"/>
        </w:rPr>
        <w:t>后生效，本合同一式肆份，甲乙双方各执贰份，具有同等法律效力。</w:t>
      </w:r>
    </w:p>
    <w:p>
      <w:pPr>
        <w:spacing w:line="360" w:lineRule="auto"/>
        <w:ind w:firstLine="420" w:firstLineChars="200"/>
        <w:rPr>
          <w:rFonts w:hint="eastAsia" w:ascii="宋体" w:hAnsi="宋体"/>
        </w:rPr>
      </w:pPr>
      <w:r>
        <w:rPr>
          <w:rFonts w:hint="eastAsia" w:ascii="宋体" w:hAnsi="宋体"/>
        </w:rPr>
        <w:t>1</w:t>
      </w:r>
      <w:r>
        <w:rPr>
          <w:rFonts w:hint="eastAsia" w:ascii="宋体" w:hAnsi="宋体"/>
          <w:lang w:val="en-US" w:eastAsia="zh-CN"/>
        </w:rPr>
        <w:t>4</w:t>
      </w:r>
      <w:r>
        <w:rPr>
          <w:rFonts w:hint="eastAsia" w:ascii="宋体" w:hAnsi="宋体"/>
        </w:rPr>
        <w:t>.3.本合同一经签订，任意一方不得擅自变更、解除或终止，若确需变更，应提前30日书面通知另一方，双方协商一致后签订补充协议，补充协议与本合同不一致的，以补充协议为准。</w:t>
      </w:r>
    </w:p>
    <w:p>
      <w:pPr>
        <w:spacing w:line="360" w:lineRule="auto"/>
        <w:ind w:firstLine="420" w:firstLineChars="200"/>
        <w:rPr>
          <w:rFonts w:hint="eastAsia" w:ascii="宋体" w:hAnsi="宋体"/>
        </w:rPr>
      </w:pPr>
      <w:r>
        <w:rPr>
          <w:rFonts w:hint="eastAsia" w:ascii="宋体" w:hAnsi="宋体"/>
        </w:rPr>
        <w:t>1</w:t>
      </w:r>
      <w:r>
        <w:rPr>
          <w:rFonts w:hint="eastAsia" w:ascii="宋体" w:hAnsi="宋体"/>
          <w:lang w:val="en-US" w:eastAsia="zh-CN"/>
        </w:rPr>
        <w:t>4</w:t>
      </w:r>
      <w:r>
        <w:rPr>
          <w:rFonts w:hint="eastAsia" w:ascii="宋体" w:hAnsi="宋体"/>
        </w:rPr>
        <w:t>.4.乙方不得参与可能与合同相关的与甲方的利益相冲突的任何活动。</w:t>
      </w:r>
    </w:p>
    <w:p>
      <w:pPr>
        <w:spacing w:line="360" w:lineRule="auto"/>
        <w:ind w:firstLine="420" w:firstLineChars="200"/>
        <w:rPr>
          <w:rFonts w:hint="default" w:ascii="宋体" w:hAnsi="宋体"/>
        </w:rPr>
      </w:pPr>
      <w:r>
        <w:rPr>
          <w:rFonts w:hint="eastAsia" w:ascii="宋体" w:hAnsi="宋体"/>
        </w:rPr>
        <w:t>1</w:t>
      </w:r>
      <w:r>
        <w:rPr>
          <w:rFonts w:hint="eastAsia" w:ascii="宋体" w:hAnsi="宋体"/>
          <w:lang w:val="en-US" w:eastAsia="zh-CN"/>
        </w:rPr>
        <w:t>4</w:t>
      </w:r>
      <w:r>
        <w:rPr>
          <w:rFonts w:hint="eastAsia" w:ascii="宋体" w:hAnsi="宋体"/>
        </w:rPr>
        <w:t>.5.</w:t>
      </w:r>
      <w:r>
        <w:rPr>
          <w:rFonts w:hint="eastAsia" w:ascii="宋体" w:hAnsi="宋体"/>
          <w:lang w:val="en-US" w:eastAsia="zh-Hans"/>
        </w:rPr>
        <w:t>本</w:t>
      </w:r>
      <w:r>
        <w:rPr>
          <w:rFonts w:hint="eastAsia" w:ascii="宋体" w:hAnsi="宋体"/>
        </w:rPr>
        <w:t>合同</w:t>
      </w:r>
      <w:r>
        <w:rPr>
          <w:rFonts w:hint="eastAsia" w:ascii="宋体" w:hAnsi="宋体"/>
          <w:lang w:val="en-US" w:eastAsia="zh-Hans"/>
        </w:rPr>
        <w:t>包含以下</w:t>
      </w:r>
      <w:r>
        <w:rPr>
          <w:rFonts w:hint="eastAsia" w:ascii="宋体" w:hAnsi="宋体"/>
        </w:rPr>
        <w:t>附件</w:t>
      </w:r>
      <w:r>
        <w:rPr>
          <w:rFonts w:hint="default" w:ascii="宋体" w:hAnsi="宋体"/>
        </w:rPr>
        <w:t>，</w:t>
      </w:r>
      <w:r>
        <w:rPr>
          <w:rFonts w:hint="eastAsia" w:ascii="宋体" w:hAnsi="宋体"/>
        </w:rPr>
        <w:t>为本合同组成部分，具有同等法律效力</w:t>
      </w:r>
      <w:r>
        <w:rPr>
          <w:rFonts w:hint="default" w:ascii="宋体" w:hAnsi="宋体"/>
        </w:rPr>
        <w:t>：</w:t>
      </w:r>
    </w:p>
    <w:p>
      <w:pPr>
        <w:spacing w:line="360" w:lineRule="auto"/>
        <w:ind w:firstLine="420" w:firstLineChars="200"/>
        <w:rPr>
          <w:rFonts w:hint="eastAsia" w:ascii="宋体" w:hAnsi="宋体" w:eastAsia="宋体"/>
          <w:lang w:eastAsia="zh-CN"/>
        </w:rPr>
      </w:pPr>
      <w:r>
        <w:rPr>
          <w:rFonts w:hint="eastAsia" w:ascii="宋体" w:hAnsi="宋体"/>
        </w:rPr>
        <w:t>附件：</w:t>
      </w:r>
      <w:r>
        <w:rPr>
          <w:rFonts w:hint="eastAsia" w:ascii="宋体" w:hAnsi="宋体"/>
          <w:lang w:eastAsia="zh-CN"/>
        </w:rPr>
        <w:t>招标清单</w:t>
      </w:r>
    </w:p>
    <w:p>
      <w:pPr>
        <w:spacing w:line="360" w:lineRule="auto"/>
        <w:ind w:firstLine="420" w:firstLineChars="200"/>
        <w:rPr>
          <w:rFonts w:hint="eastAsia" w:ascii="宋体" w:hAnsi="宋体"/>
        </w:rPr>
      </w:pPr>
      <w:r>
        <w:rPr>
          <w:rFonts w:hint="eastAsia" w:ascii="宋体" w:hAnsi="宋体"/>
        </w:rPr>
        <w:t>附件：到货验收报告、</w:t>
      </w:r>
      <w:r>
        <w:rPr>
          <w:rFonts w:hint="eastAsia" w:ascii="宋体" w:hAnsi="宋体"/>
          <w:lang w:eastAsia="zh-Hans"/>
        </w:rPr>
        <w:t>安装调试检测报告、项目部验收报告</w:t>
      </w:r>
    </w:p>
    <w:p>
      <w:pPr>
        <w:spacing w:line="360" w:lineRule="auto"/>
        <w:ind w:firstLine="420" w:firstLineChars="200"/>
        <w:rPr>
          <w:rFonts w:hint="eastAsia" w:ascii="宋体" w:hAnsi="宋体"/>
        </w:rPr>
      </w:pPr>
      <w:r>
        <w:rPr>
          <w:rFonts w:hint="eastAsia" w:ascii="宋体" w:hAnsi="宋体"/>
        </w:rPr>
        <w:t>附件：</w:t>
      </w:r>
      <w:r>
        <w:rPr>
          <w:rFonts w:hint="eastAsia" w:ascii="宋体" w:hAnsi="宋体"/>
          <w:lang w:eastAsia="zh-Hans"/>
        </w:rPr>
        <w:t>项目整体最终</w:t>
      </w:r>
      <w:r>
        <w:rPr>
          <w:rFonts w:hint="eastAsia" w:ascii="宋体" w:hAnsi="宋体"/>
        </w:rPr>
        <w:t>验收报告</w:t>
      </w:r>
    </w:p>
    <w:p>
      <w:pPr>
        <w:pStyle w:val="2"/>
        <w:rPr>
          <w:rFonts w:hAnsi="宋体"/>
        </w:rPr>
      </w:pPr>
      <w:r>
        <w:rPr>
          <w:rFonts w:hint="default"/>
          <w:lang w:eastAsia="zh-Hans"/>
        </w:rPr>
        <w:t>（</w:t>
      </w:r>
      <w:r>
        <w:rPr>
          <w:rFonts w:hint="eastAsia"/>
          <w:lang w:val="en-US" w:eastAsia="zh-Hans"/>
        </w:rPr>
        <w:t>本页以下无正文</w:t>
      </w:r>
      <w:r>
        <w:rPr>
          <w:rFonts w:hint="default"/>
          <w:lang w:eastAsia="zh-Hans"/>
        </w:rPr>
        <w:t>）</w:t>
      </w:r>
    </w:p>
    <w:p>
      <w:pPr>
        <w:pStyle w:val="33"/>
        <w:adjustRightInd w:val="0"/>
        <w:snapToGrid w:val="0"/>
        <w:spacing w:line="360" w:lineRule="auto"/>
        <w:ind w:firstLine="447" w:firstLineChars="213"/>
        <w:rPr>
          <w:rFonts w:hAnsi="宋体"/>
          <w:snapToGrid w:val="0"/>
          <w:kern w:val="0"/>
          <w:szCs w:val="21"/>
        </w:rPr>
      </w:pPr>
      <w:r>
        <w:rPr>
          <w:rFonts w:hint="eastAsia" w:hAnsi="宋体"/>
          <w:snapToGrid w:val="0"/>
          <w:kern w:val="0"/>
          <w:szCs w:val="21"/>
        </w:rPr>
        <w:t>甲方（盖章）：                           乙方（盖章）：</w:t>
      </w:r>
    </w:p>
    <w:p>
      <w:pPr>
        <w:pStyle w:val="33"/>
        <w:adjustRightInd w:val="0"/>
        <w:snapToGrid w:val="0"/>
        <w:spacing w:line="360" w:lineRule="auto"/>
        <w:ind w:firstLine="447" w:firstLineChars="213"/>
        <w:rPr>
          <w:rFonts w:hAnsi="宋体"/>
          <w:snapToGrid w:val="0"/>
          <w:kern w:val="0"/>
          <w:szCs w:val="21"/>
        </w:rPr>
      </w:pPr>
      <w:r>
        <w:rPr>
          <w:rFonts w:hint="eastAsia" w:hAnsi="宋体"/>
          <w:snapToGrid w:val="0"/>
          <w:kern w:val="0"/>
          <w:szCs w:val="21"/>
        </w:rPr>
        <w:t xml:space="preserve">地址：                                   地址： </w:t>
      </w:r>
    </w:p>
    <w:p>
      <w:pPr>
        <w:pStyle w:val="33"/>
        <w:adjustRightInd w:val="0"/>
        <w:snapToGrid w:val="0"/>
        <w:spacing w:line="360" w:lineRule="auto"/>
        <w:ind w:firstLine="447" w:firstLineChars="213"/>
        <w:rPr>
          <w:rFonts w:hAnsi="宋体"/>
          <w:snapToGrid w:val="0"/>
          <w:kern w:val="0"/>
          <w:szCs w:val="21"/>
        </w:rPr>
      </w:pPr>
      <w:r>
        <w:rPr>
          <w:rFonts w:hint="eastAsia" w:hAnsi="宋体"/>
          <w:snapToGrid w:val="0"/>
          <w:kern w:val="0"/>
          <w:szCs w:val="21"/>
        </w:rPr>
        <w:t>法定（授权）代表人：                     开户行：</w:t>
      </w:r>
    </w:p>
    <w:p>
      <w:pPr>
        <w:pStyle w:val="33"/>
        <w:adjustRightInd w:val="0"/>
        <w:snapToGrid w:val="0"/>
        <w:spacing w:line="360" w:lineRule="auto"/>
        <w:ind w:firstLine="447" w:firstLineChars="213"/>
        <w:rPr>
          <w:rFonts w:hAnsi="宋体"/>
          <w:snapToGrid w:val="0"/>
          <w:kern w:val="0"/>
          <w:szCs w:val="21"/>
        </w:rPr>
      </w:pPr>
      <w:r>
        <w:rPr>
          <w:rFonts w:hint="eastAsia" w:hAnsi="宋体"/>
          <w:snapToGrid w:val="0"/>
          <w:kern w:val="0"/>
          <w:szCs w:val="21"/>
        </w:rPr>
        <w:t>签字日期： 年  月  日                    开户帐号：</w:t>
      </w:r>
    </w:p>
    <w:p>
      <w:pPr>
        <w:pStyle w:val="33"/>
        <w:adjustRightInd w:val="0"/>
        <w:snapToGrid w:val="0"/>
        <w:spacing w:line="360" w:lineRule="auto"/>
        <w:ind w:firstLine="4725" w:firstLineChars="2250"/>
        <w:rPr>
          <w:rFonts w:hAnsi="宋体"/>
          <w:snapToGrid w:val="0"/>
          <w:kern w:val="0"/>
          <w:szCs w:val="21"/>
        </w:rPr>
      </w:pPr>
      <w:r>
        <w:rPr>
          <w:rFonts w:hint="eastAsia" w:hAnsi="宋体"/>
          <w:snapToGrid w:val="0"/>
          <w:kern w:val="0"/>
          <w:szCs w:val="21"/>
        </w:rPr>
        <w:t>法定（授权）代表人：</w:t>
      </w:r>
    </w:p>
    <w:p>
      <w:pPr>
        <w:pStyle w:val="24"/>
        <w:rPr>
          <w:rFonts w:ascii="宋体" w:hAnsi="宋体"/>
          <w:snapToGrid w:val="0"/>
          <w:kern w:val="0"/>
          <w:szCs w:val="21"/>
        </w:rPr>
      </w:pPr>
      <w:r>
        <w:rPr>
          <w:rFonts w:hint="eastAsia" w:ascii="宋体" w:hAnsi="宋体"/>
          <w:snapToGrid w:val="0"/>
          <w:kern w:val="0"/>
          <w:szCs w:val="21"/>
        </w:rPr>
        <w:t xml:space="preserve">                                             签字日期：  年  月  日</w:t>
      </w:r>
    </w:p>
    <w:p>
      <w:pPr>
        <w:spacing w:line="360" w:lineRule="auto"/>
        <w:ind w:left="720" w:firstLine="723" w:firstLineChars="200"/>
        <w:outlineLvl w:val="0"/>
        <w:rPr>
          <w:rFonts w:hint="eastAsia" w:ascii="宋体" w:hAnsi="宋体" w:cs="宋体"/>
          <w:b/>
          <w:sz w:val="36"/>
          <w:szCs w:val="20"/>
        </w:rPr>
      </w:pPr>
    </w:p>
    <w:p>
      <w:pPr>
        <w:pStyle w:val="2"/>
        <w:rPr>
          <w:rFonts w:hint="eastAsia" w:ascii="宋体" w:hAnsi="宋体" w:cs="宋体"/>
          <w:b/>
          <w:sz w:val="36"/>
          <w:szCs w:val="20"/>
        </w:rPr>
      </w:pPr>
    </w:p>
    <w:p>
      <w:pPr>
        <w:rPr>
          <w:rFonts w:hint="eastAsia"/>
        </w:rPr>
      </w:pPr>
    </w:p>
    <w:p>
      <w:pPr>
        <w:spacing w:line="360" w:lineRule="auto"/>
        <w:ind w:left="720" w:firstLine="723" w:firstLineChars="200"/>
        <w:outlineLvl w:val="0"/>
        <w:rPr>
          <w:rFonts w:ascii="宋体" w:hAnsi="宋体" w:cs="宋体"/>
          <w:b/>
          <w:sz w:val="36"/>
          <w:szCs w:val="20"/>
        </w:rPr>
      </w:pPr>
      <w:r>
        <w:rPr>
          <w:rFonts w:hint="eastAsia" w:ascii="宋体" w:hAnsi="宋体" w:cs="宋体"/>
          <w:b/>
          <w:sz w:val="36"/>
          <w:szCs w:val="20"/>
        </w:rPr>
        <w:t>第六部分</w:t>
      </w:r>
      <w:bookmarkEnd w:id="405"/>
      <w:r>
        <w:rPr>
          <w:rFonts w:hint="eastAsia" w:ascii="宋体" w:hAnsi="宋体" w:cs="宋体"/>
          <w:b/>
          <w:sz w:val="36"/>
          <w:szCs w:val="20"/>
        </w:rPr>
        <w:t xml:space="preserve"> </w:t>
      </w:r>
      <w:bookmarkEnd w:id="406"/>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kern w:val="0"/>
          <w:sz w:val="24"/>
        </w:rPr>
        <w:br w:type="page"/>
      </w:r>
      <w:r>
        <w:rPr>
          <w:rFonts w:hint="eastAsia" w:ascii="宋体" w:hAnsi="宋体" w:cs="宋体"/>
          <w:b/>
          <w:color w:val="000000" w:themeColor="text1"/>
          <w:kern w:val="0"/>
          <w:sz w:val="32"/>
          <w:szCs w:val="32"/>
          <w14:textFill>
            <w14:solidFill>
              <w14:schemeClr w14:val="tx1"/>
            </w14:solidFill>
          </w14:textFill>
        </w:rPr>
        <w:t xml:space="preserve">  一、 符合参加政府采购活动应当具备的一般条件的承诺函</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杭州市丁桥医院、</w:t>
      </w:r>
      <w:r>
        <w:rPr>
          <w:rFonts w:hint="eastAsia" w:ascii="宋体" w:hAnsi="宋体" w:cs="宋体"/>
          <w:color w:val="000000" w:themeColor="text1"/>
          <w:sz w:val="24"/>
          <w:lang w:val="en-US" w:eastAsia="zh-CN"/>
          <w14:textFill>
            <w14:solidFill>
              <w14:schemeClr w14:val="tx1"/>
            </w14:solidFill>
          </w14:textFill>
        </w:rPr>
        <w:t>杭州广厦建筑咨询有限公司</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我方参与杭州市丁桥医院手术室二期防护及净化系统【招标编号：</w:t>
      </w:r>
      <w:r>
        <w:rPr>
          <w:rFonts w:hint="eastAsia" w:ascii="宋体" w:hAnsi="宋体" w:cs="宋体"/>
          <w:color w:val="000000" w:themeColor="text1"/>
          <w:sz w:val="24"/>
          <w:lang w:eastAsia="zh-CN"/>
          <w14:textFill>
            <w14:solidFill>
              <w14:schemeClr w14:val="tx1"/>
            </w14:solidFill>
          </w14:textFill>
        </w:rPr>
        <w:t>HZGX202304-001</w:t>
      </w:r>
      <w:r>
        <w:rPr>
          <w:rFonts w:hint="eastAsia" w:ascii="宋体" w:hAnsi="宋体" w:cs="宋体"/>
          <w:color w:val="000000" w:themeColor="text1"/>
          <w:sz w:val="24"/>
          <w14:textFill>
            <w14:solidFill>
              <w14:schemeClr w14:val="tx1"/>
            </w14:solidFill>
          </w14:textFill>
        </w:rPr>
        <w:t>】政府采购活动，郑重承诺：</w:t>
      </w:r>
    </w:p>
    <w:p>
      <w:pPr>
        <w:snapToGrid w:val="0"/>
        <w:spacing w:line="360" w:lineRule="auto"/>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1、具有独立承担民事责任的能力；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2、具有良好的商业信誉和健全的财务会计制度； </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3、具有履行合同所必需的设备和专业技术能力；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color w:val="000000" w:themeColor="text1"/>
          <w:sz w:val="24"/>
          <w14:textFill>
            <w14:solidFill>
              <w14:schemeClr w14:val="tx1"/>
            </w14:solidFill>
          </w14:textFill>
        </w:rPr>
        <w:t>5、参加政府采购活动前三年内</w:t>
      </w:r>
      <w:r>
        <w:rPr>
          <w:rFonts w:hint="eastAsia" w:ascii="宋体" w:hAnsi="宋体" w:cs="宋体"/>
          <w:sz w:val="24"/>
        </w:rPr>
        <w:t>，在经营活动中没有重大违法记录；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FF0000"/>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2"/>
        <w:rPr>
          <w:rFonts w:ascii="宋体" w:hAnsi="宋体" w:cs="宋体"/>
          <w:b/>
          <w:kern w:val="0"/>
          <w:sz w:val="32"/>
          <w:szCs w:val="32"/>
        </w:rPr>
      </w:pPr>
    </w:p>
    <w:p>
      <w:pPr>
        <w:rPr>
          <w:rFonts w:ascii="宋体" w:hAnsi="宋体" w:cs="宋体"/>
          <w:b/>
          <w:kern w:val="0"/>
          <w:sz w:val="32"/>
          <w:szCs w:val="32"/>
        </w:rPr>
      </w:pPr>
    </w:p>
    <w:p>
      <w:pPr>
        <w:pStyle w:val="2"/>
        <w:rPr>
          <w:rFonts w:ascii="宋体" w:hAnsi="宋体" w:cs="宋体"/>
          <w:b/>
          <w:kern w:val="0"/>
          <w:sz w:val="32"/>
          <w:szCs w:val="32"/>
        </w:rPr>
      </w:pPr>
    </w:p>
    <w:p>
      <w:pPr>
        <w:rPr>
          <w:rFonts w:ascii="宋体" w:hAnsi="宋体" w:cs="宋体"/>
          <w:b/>
          <w:kern w:val="0"/>
          <w:sz w:val="32"/>
          <w:szCs w:val="32"/>
        </w:rPr>
      </w:pPr>
    </w:p>
    <w:p>
      <w:pPr>
        <w:pStyle w:val="2"/>
        <w:rPr>
          <w:rFonts w:ascii="宋体" w:hAnsi="宋体" w:cs="宋体"/>
          <w:b/>
          <w:kern w:val="0"/>
          <w:sz w:val="32"/>
          <w:szCs w:val="32"/>
        </w:rPr>
      </w:pPr>
    </w:p>
    <w:p>
      <w:pPr>
        <w:rPr>
          <w:rFonts w:ascii="宋体" w:hAnsi="宋体" w:cs="宋体"/>
          <w:b/>
          <w:kern w:val="0"/>
          <w:sz w:val="32"/>
          <w:szCs w:val="32"/>
        </w:rPr>
      </w:pPr>
    </w:p>
    <w:p>
      <w:pPr>
        <w:pStyle w:val="2"/>
        <w:rPr>
          <w:rFonts w:ascii="宋体" w:hAnsi="宋体" w:cs="宋体"/>
          <w:b/>
          <w:kern w:val="0"/>
          <w:sz w:val="32"/>
          <w:szCs w:val="32"/>
        </w:rPr>
      </w:pPr>
    </w:p>
    <w:p>
      <w:pPr>
        <w:rPr>
          <w:rFonts w:ascii="宋体" w:hAnsi="宋体" w:cs="宋体"/>
          <w:b/>
          <w:kern w:val="0"/>
          <w:sz w:val="32"/>
          <w:szCs w:val="32"/>
        </w:rPr>
      </w:pPr>
    </w:p>
    <w:p>
      <w:pPr>
        <w:pStyle w:val="2"/>
        <w:rPr>
          <w:rFonts w:ascii="宋体" w:hAnsi="宋体" w:cs="宋体"/>
          <w:b/>
          <w:kern w:val="0"/>
          <w:sz w:val="32"/>
          <w:szCs w:val="32"/>
        </w:rPr>
      </w:pPr>
    </w:p>
    <w:p>
      <w:pPr>
        <w:rPr>
          <w:rFonts w:ascii="宋体" w:hAnsi="宋体" w:cs="宋体"/>
          <w:b/>
          <w:kern w:val="0"/>
          <w:sz w:val="32"/>
          <w:szCs w:val="32"/>
        </w:rPr>
      </w:pPr>
    </w:p>
    <w:p>
      <w:pPr>
        <w:pStyle w:val="2"/>
        <w:rPr>
          <w:rFonts w:ascii="宋体" w:hAnsi="宋体" w:cs="宋体"/>
          <w:b/>
          <w:kern w:val="0"/>
          <w:sz w:val="32"/>
          <w:szCs w:val="32"/>
        </w:rPr>
      </w:pPr>
    </w:p>
    <w:p>
      <w:pPr>
        <w:rPr>
          <w:rFonts w:ascii="宋体" w:hAnsi="宋体" w:cs="宋体"/>
          <w:b/>
          <w:kern w:val="0"/>
          <w:sz w:val="32"/>
          <w:szCs w:val="32"/>
        </w:rPr>
      </w:pPr>
    </w:p>
    <w:p>
      <w:pPr>
        <w:pStyle w:val="2"/>
        <w:rPr>
          <w:rFonts w:ascii="宋体" w:hAnsi="宋体" w:cs="宋体"/>
          <w:b/>
          <w:kern w:val="0"/>
          <w:sz w:val="32"/>
          <w:szCs w:val="32"/>
        </w:rPr>
      </w:pPr>
    </w:p>
    <w:p>
      <w:pPr>
        <w:rPr>
          <w:rFonts w:ascii="宋体" w:hAnsi="宋体" w:cs="宋体"/>
          <w:b/>
          <w:kern w:val="0"/>
          <w:sz w:val="32"/>
          <w:szCs w:val="32"/>
        </w:rPr>
      </w:pPr>
    </w:p>
    <w:p>
      <w:pPr>
        <w:pStyle w:val="2"/>
        <w:rPr>
          <w:rFonts w:ascii="宋体" w:hAnsi="宋体" w:cs="宋体"/>
          <w:b/>
          <w:kern w:val="0"/>
          <w:sz w:val="32"/>
          <w:szCs w:val="32"/>
        </w:rPr>
      </w:pPr>
    </w:p>
    <w:p>
      <w:pPr>
        <w:rPr>
          <w:rFonts w:ascii="宋体" w:hAnsi="宋体" w:cs="宋体"/>
          <w:b/>
          <w:kern w:val="0"/>
          <w:sz w:val="32"/>
          <w:szCs w:val="32"/>
        </w:rPr>
      </w:pPr>
    </w:p>
    <w:p>
      <w:pPr>
        <w:pStyle w:val="2"/>
        <w:rPr>
          <w:rFonts w:ascii="宋体" w:hAnsi="宋体" w:cs="宋体"/>
          <w:b/>
          <w:kern w:val="0"/>
          <w:sz w:val="32"/>
          <w:szCs w:val="32"/>
        </w:rPr>
      </w:pPr>
    </w:p>
    <w:p>
      <w:pPr>
        <w:rPr>
          <w:rFonts w:ascii="宋体" w:hAnsi="宋体" w:cs="宋体"/>
          <w:b/>
          <w:kern w:val="0"/>
          <w:sz w:val="32"/>
          <w:szCs w:val="32"/>
        </w:rPr>
      </w:pPr>
    </w:p>
    <w:p>
      <w:pPr>
        <w:pStyle w:val="2"/>
        <w:rPr>
          <w:rFonts w:ascii="宋体" w:hAnsi="宋体" w:cs="宋体"/>
          <w:b/>
          <w:kern w:val="0"/>
          <w:sz w:val="32"/>
          <w:szCs w:val="32"/>
        </w:rPr>
      </w:pPr>
    </w:p>
    <w:p>
      <w:pPr>
        <w:rPr>
          <w:rFonts w:ascii="宋体" w:hAnsi="宋体" w:cs="宋体"/>
          <w:b/>
          <w:kern w:val="0"/>
          <w:sz w:val="32"/>
          <w:szCs w:val="32"/>
        </w:rPr>
      </w:pPr>
    </w:p>
    <w:p>
      <w:pPr>
        <w:pStyle w:val="2"/>
        <w:rPr>
          <w:rFonts w:ascii="宋体" w:hAnsi="宋体" w:cs="宋体"/>
          <w:b/>
          <w:kern w:val="0"/>
          <w:sz w:val="32"/>
          <w:szCs w:val="32"/>
        </w:rPr>
      </w:pPr>
    </w:p>
    <w:p>
      <w:pPr>
        <w:rPr>
          <w:rFonts w:ascii="宋体" w:hAnsi="宋体" w:cs="宋体"/>
          <w:b/>
          <w:kern w:val="0"/>
          <w:sz w:val="32"/>
          <w:szCs w:val="32"/>
        </w:rPr>
      </w:pPr>
    </w:p>
    <w:p>
      <w:pPr>
        <w:pStyle w:val="2"/>
        <w:rPr>
          <w:rFonts w:ascii="宋体" w:hAnsi="宋体" w:cs="宋体"/>
          <w:b/>
          <w:kern w:val="0"/>
          <w:sz w:val="32"/>
          <w:szCs w:val="32"/>
        </w:rPr>
      </w:pPr>
    </w:p>
    <w:p>
      <w:pPr>
        <w:rPr>
          <w:rFonts w:ascii="宋体" w:hAnsi="宋体" w:cs="宋体"/>
          <w:b/>
          <w:kern w:val="0"/>
          <w:sz w:val="32"/>
          <w:szCs w:val="32"/>
        </w:rPr>
      </w:pPr>
    </w:p>
    <w:p>
      <w:pPr>
        <w:pStyle w:val="2"/>
        <w:rPr>
          <w:rFonts w:ascii="宋体" w:hAnsi="宋体" w:cs="宋体"/>
          <w:b/>
          <w:kern w:val="0"/>
          <w:sz w:val="32"/>
          <w:szCs w:val="32"/>
        </w:rPr>
      </w:pPr>
    </w:p>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.专门面向中小企业，货物全部由符合政策要求的中小企业（或小微企业）制造的，提供相应的中小企业声明函（附件</w:t>
      </w:r>
      <w:r>
        <w:rPr>
          <w:rFonts w:ascii="宋体" w:hAnsi="宋体" w:cs="宋体"/>
          <w:sz w:val="24"/>
        </w:rPr>
        <w:t>7</w:t>
      </w:r>
      <w:r>
        <w:rPr>
          <w:rFonts w:hint="eastAsia" w:ascii="宋体" w:hAnsi="宋体" w:cs="宋体"/>
          <w:sz w:val="24"/>
        </w:rPr>
        <w:t xml:space="preserve">）。 </w:t>
      </w: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中小企业声明函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本公司（联合体）郑重声明，根据《政府采购促进中小企业发展管理办法》（财库﹝2020﹞46 号）的规定，本公司（联合体）参加 杭州市丁桥医院</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的 </w:t>
      </w:r>
      <w:r>
        <w:rPr>
          <w:rFonts w:hint="eastAsia" w:ascii="宋体" w:hAnsi="宋体" w:cs="宋体"/>
          <w:color w:val="000000" w:themeColor="text1"/>
          <w:sz w:val="24"/>
          <w:u w:val="single"/>
          <w14:textFill>
            <w14:solidFill>
              <w14:schemeClr w14:val="tx1"/>
            </w14:solidFill>
          </w14:textFill>
        </w:rPr>
        <w:t>手术室二期防护及净化系统</w:t>
      </w:r>
      <w:r>
        <w:rPr>
          <w:rFonts w:hint="eastAsia" w:ascii="宋体" w:hAnsi="宋体" w:cs="宋体"/>
          <w:color w:val="000000" w:themeColor="text1"/>
          <w:sz w:val="24"/>
          <w14:textFill>
            <w14:solidFill>
              <w14:schemeClr w14:val="tx1"/>
            </w14:solidFill>
          </w14:textFill>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采购清单第一项：2mm防静电橡胶地面</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采购清单第二项：2mm抗静电PVC地面</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采购清单第三项：DSA防辐射设备</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采购清单第四项：医用钢制铅防护气密自动平移门（单开）（ZD10Q4)</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采购清单第五项：医用钢制铅防护气密自动平移门（单开）（ZD15Q4)</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采购清单第六项：医用钢制气密自动平移门（单开）（ZD15)</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采购清单第七项：单开医用钢制气密平开门（M10)</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采购清单第八项：医用钢制铅防护气密平开门（单开）（M10Q4)</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采购清单第九项：双开医用钢制气密平开门(SM15)</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采购清单第十项：医疗专用灯</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采购清单第十一项：医疗专用灯：</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12</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采购清单第十二项：医疗专用灯</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13</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采购清单第十三项：医疗专用灯</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14</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采购清单第十四项：医疗专用灯</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采购清单第十五项：多功能控制面板</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16</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采购清单第十六项：治疗电源插座箱</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17</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采购清单第十七项：动力电源插座箱（带380v）</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18</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采购清单第十八项：嵌入式电脑柜</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19</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采购清单第十九项：嵌入式麻醉柜</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en-US" w:eastAsia="zh-CN"/>
          <w14:textFill>
            <w14:solidFill>
              <w14:schemeClr w14:val="tx1"/>
            </w14:solidFill>
          </w14:textFill>
        </w:rPr>
        <w:t>0</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采购清单第二十项：嵌入式器械柜</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采购清单第二十一项：嵌入式药品柜</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采购清单第二十二项：嵌入式收纳柜</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23</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采购清单第二十三项：嵌入式导管柜</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24</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采购清单第二十四项：保温柜(恒温培养箱）</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25</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采购清单第二十五项：保冷柜（血液储存箱）</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26</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采购清单第二十六项：直线型输液导轨</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27</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采购清单第二十七项：空气处理机组</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28</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采购清单第二十八项：空气处理机组</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29</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采购清单第二十九项：空气处理机组</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30</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采购清单第三十项：空气处理机组</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31</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采购清单第三十一项：机组自控柜</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32</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采购清单第三十二项：控制器</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33</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采购清单第三十三项：空气处理机组</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34</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采购清单第三十四项：干蒸汽加湿器</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35</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采购清单第三十五项：干蒸汽加湿器</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36</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采购清单第三十六项：干蒸汽加湿器</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37</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采购清单第三十七项：干蒸汽加湿器</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38</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采购清单第三十八项：变频器</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39</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采购清单第三十九项：变频器</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40</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采购清单第四十项：变频器</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41</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采购清单第四十一项：天花板送风装置</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42</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采购清单第四十二项天花板送风装置</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43</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采购清单第四十三项：天花板送风装置</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44</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采购清单第四十四项：控制器</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45</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采购清单第四十五项：气体终端</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46</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采购清单第四十六项：气体终端</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47</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采购清单第四十七项：气体终端</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48</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采购清单第四十八项：气体终端</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49</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采购清单第四十九项：气体终端</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50</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采购清单第五十项：气体终端</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40</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  项</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51</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采购清单第五十一项：DSA设备专用配套电缆</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52</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采购清单第五十二项：手术隔离电源一体机</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53</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采购清单第五十三项：墙放射防护工程</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lang w:val="en-US" w:eastAsia="zh-CN"/>
          <w14:textFill>
            <w14:solidFill>
              <w14:schemeClr w14:val="tx1"/>
            </w14:solidFill>
          </w14:textFill>
        </w:rPr>
        <w:t xml:space="preserve">建筑业 </w:t>
      </w:r>
      <w:r>
        <w:rPr>
          <w:rFonts w:hint="eastAsia" w:ascii="宋体" w:hAnsi="宋体" w:cs="宋体"/>
          <w:color w:val="000000" w:themeColor="text1"/>
          <w:sz w:val="24"/>
          <w14:textFill>
            <w14:solidFill>
              <w14:schemeClr w14:val="tx1"/>
            </w14:solidFill>
          </w14:textFill>
        </w:rPr>
        <w:t>行业 ；</w:t>
      </w:r>
      <w:r>
        <w:rPr>
          <w:rFonts w:hint="eastAsia" w:ascii="宋体" w:hAnsi="宋体" w:cs="宋体"/>
          <w:color w:val="000000" w:themeColor="text1"/>
          <w:sz w:val="24"/>
          <w:lang w:val="en-US" w:eastAsia="zh-CN"/>
          <w14:textFill>
            <w14:solidFill>
              <w14:schemeClr w14:val="tx1"/>
            </w14:solidFill>
          </w14:textFill>
        </w:rPr>
        <w:t>承建单位</w:t>
      </w:r>
      <w:r>
        <w:rPr>
          <w:rFonts w:hint="eastAsia" w:ascii="宋体" w:hAnsi="宋体" w:cs="宋体"/>
          <w:color w:val="000000" w:themeColor="text1"/>
          <w:sz w:val="24"/>
          <w14:textFill>
            <w14:solidFill>
              <w14:schemeClr w14:val="tx1"/>
            </w14:solidFill>
          </w14:textFill>
        </w:rPr>
        <w:t>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54</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采购清单第五十四项：地放射防护工程</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lang w:val="en-US" w:eastAsia="zh-CN"/>
          <w14:textFill>
            <w14:solidFill>
              <w14:schemeClr w14:val="tx1"/>
            </w14:solidFill>
          </w14:textFill>
        </w:rPr>
        <w:t xml:space="preserve">建筑业 </w:t>
      </w:r>
      <w:r>
        <w:rPr>
          <w:rFonts w:hint="eastAsia" w:ascii="宋体" w:hAnsi="宋体" w:cs="宋体"/>
          <w:color w:val="000000" w:themeColor="text1"/>
          <w:sz w:val="24"/>
          <w14:textFill>
            <w14:solidFill>
              <w14:schemeClr w14:val="tx1"/>
            </w14:solidFill>
          </w14:textFill>
        </w:rPr>
        <w:t>行业 ；</w:t>
      </w:r>
      <w:r>
        <w:rPr>
          <w:rFonts w:hint="eastAsia" w:ascii="宋体" w:hAnsi="宋体" w:cs="宋体"/>
          <w:color w:val="000000" w:themeColor="text1"/>
          <w:sz w:val="24"/>
          <w:lang w:val="en-US" w:eastAsia="zh-CN"/>
          <w14:textFill>
            <w14:solidFill>
              <w14:schemeClr w14:val="tx1"/>
            </w14:solidFill>
          </w14:textFill>
        </w:rPr>
        <w:t>承建单位</w:t>
      </w:r>
      <w:r>
        <w:rPr>
          <w:rFonts w:hint="eastAsia" w:ascii="宋体" w:hAnsi="宋体" w:cs="宋体"/>
          <w:color w:val="000000" w:themeColor="text1"/>
          <w:sz w:val="24"/>
          <w14:textFill>
            <w14:solidFill>
              <w14:schemeClr w14:val="tx1"/>
            </w14:solidFill>
          </w14:textFill>
        </w:rPr>
        <w:t>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55</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采购清单第五十五项：顶放射防护工程</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lang w:val="en-US" w:eastAsia="zh-CN"/>
          <w14:textFill>
            <w14:solidFill>
              <w14:schemeClr w14:val="tx1"/>
            </w14:solidFill>
          </w14:textFill>
        </w:rPr>
        <w:t xml:space="preserve">建筑业 </w:t>
      </w:r>
      <w:r>
        <w:rPr>
          <w:rFonts w:hint="eastAsia" w:ascii="宋体" w:hAnsi="宋体" w:cs="宋体"/>
          <w:color w:val="000000" w:themeColor="text1"/>
          <w:sz w:val="24"/>
          <w14:textFill>
            <w14:solidFill>
              <w14:schemeClr w14:val="tx1"/>
            </w14:solidFill>
          </w14:textFill>
        </w:rPr>
        <w:t>行业 ；</w:t>
      </w:r>
      <w:r>
        <w:rPr>
          <w:rFonts w:hint="eastAsia" w:ascii="宋体" w:hAnsi="宋体" w:cs="宋体"/>
          <w:color w:val="000000" w:themeColor="text1"/>
          <w:sz w:val="24"/>
          <w:lang w:val="en-US" w:eastAsia="zh-CN"/>
          <w14:textFill>
            <w14:solidFill>
              <w14:schemeClr w14:val="tx1"/>
            </w14:solidFill>
          </w14:textFill>
        </w:rPr>
        <w:t>承建单位</w:t>
      </w:r>
      <w:r>
        <w:rPr>
          <w:rFonts w:hint="eastAsia" w:ascii="宋体" w:hAnsi="宋体" w:cs="宋体"/>
          <w:color w:val="000000" w:themeColor="text1"/>
          <w:sz w:val="24"/>
          <w14:textFill>
            <w14:solidFill>
              <w14:schemeClr w14:val="tx1"/>
            </w14:solidFill>
          </w14:textFill>
        </w:rPr>
        <w:t>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56</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采购清单第五十六项：其余配套手术室装饰安装部分</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lang w:val="en-US" w:eastAsia="zh-CN"/>
          <w14:textFill>
            <w14:solidFill>
              <w14:schemeClr w14:val="tx1"/>
            </w14:solidFill>
          </w14:textFill>
        </w:rPr>
        <w:t xml:space="preserve">建筑业 </w:t>
      </w:r>
      <w:r>
        <w:rPr>
          <w:rFonts w:hint="eastAsia" w:ascii="宋体" w:hAnsi="宋体" w:cs="宋体"/>
          <w:color w:val="000000" w:themeColor="text1"/>
          <w:sz w:val="24"/>
          <w14:textFill>
            <w14:solidFill>
              <w14:schemeClr w14:val="tx1"/>
            </w14:solidFill>
          </w14:textFill>
        </w:rPr>
        <w:t>行业 ；</w:t>
      </w:r>
      <w:r>
        <w:rPr>
          <w:rFonts w:hint="eastAsia" w:ascii="宋体" w:hAnsi="宋体" w:cs="宋体"/>
          <w:color w:val="000000" w:themeColor="text1"/>
          <w:sz w:val="24"/>
          <w:lang w:val="en-US" w:eastAsia="zh-CN"/>
          <w14:textFill>
            <w14:solidFill>
              <w14:schemeClr w14:val="tx1"/>
            </w14:solidFill>
          </w14:textFill>
        </w:rPr>
        <w:t>承建单位</w:t>
      </w:r>
      <w:r>
        <w:rPr>
          <w:rFonts w:hint="eastAsia" w:ascii="宋体" w:hAnsi="宋体" w:cs="宋体"/>
          <w:color w:val="000000" w:themeColor="text1"/>
          <w:sz w:val="24"/>
          <w14:textFill>
            <w14:solidFill>
              <w14:schemeClr w14:val="tx1"/>
            </w14:solidFill>
          </w14:textFill>
        </w:rPr>
        <w:t>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57</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采购清单第五十七项：其余配套电气部分工作</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lang w:val="en-US" w:eastAsia="zh-CN"/>
          <w14:textFill>
            <w14:solidFill>
              <w14:schemeClr w14:val="tx1"/>
            </w14:solidFill>
          </w14:textFill>
        </w:rPr>
        <w:t xml:space="preserve">建筑业 </w:t>
      </w:r>
      <w:r>
        <w:rPr>
          <w:rFonts w:hint="eastAsia" w:ascii="宋体" w:hAnsi="宋体" w:cs="宋体"/>
          <w:color w:val="000000" w:themeColor="text1"/>
          <w:sz w:val="24"/>
          <w14:textFill>
            <w14:solidFill>
              <w14:schemeClr w14:val="tx1"/>
            </w14:solidFill>
          </w14:textFill>
        </w:rPr>
        <w:t>行业 ；</w:t>
      </w:r>
      <w:r>
        <w:rPr>
          <w:rFonts w:hint="eastAsia" w:ascii="宋体" w:hAnsi="宋体" w:cs="宋体"/>
          <w:color w:val="000000" w:themeColor="text1"/>
          <w:sz w:val="24"/>
          <w:lang w:val="en-US" w:eastAsia="zh-CN"/>
          <w14:textFill>
            <w14:solidFill>
              <w14:schemeClr w14:val="tx1"/>
            </w14:solidFill>
          </w14:textFill>
        </w:rPr>
        <w:t>承建单位</w:t>
      </w:r>
      <w:r>
        <w:rPr>
          <w:rFonts w:hint="eastAsia" w:ascii="宋体" w:hAnsi="宋体" w:cs="宋体"/>
          <w:color w:val="000000" w:themeColor="text1"/>
          <w:sz w:val="24"/>
          <w14:textFill>
            <w14:solidFill>
              <w14:schemeClr w14:val="tx1"/>
            </w14:solidFill>
          </w14:textFill>
        </w:rPr>
        <w:t>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58</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采购清单第五十八项：其余配套暖通部分工作</w:t>
      </w:r>
      <w:r>
        <w:rPr>
          <w:rFonts w:hint="eastAsia" w:ascii="宋体" w:hAnsi="宋体" w:cs="宋体"/>
          <w:color w:val="000000" w:themeColor="text1"/>
          <w:sz w:val="24"/>
          <w14:textFill>
            <w14:solidFill>
              <w14:schemeClr w14:val="tx1"/>
            </w14:solidFill>
          </w14:textFill>
        </w:rPr>
        <w:t xml:space="preserve"> ，属于</w:t>
      </w:r>
      <w:r>
        <w:rPr>
          <w:rFonts w:hint="eastAsia" w:ascii="宋体" w:hAnsi="宋体" w:cs="宋体"/>
          <w:color w:val="000000" w:themeColor="text1"/>
          <w:sz w:val="24"/>
          <w:lang w:val="en-US" w:eastAsia="zh-CN"/>
          <w14:textFill>
            <w14:solidFill>
              <w14:schemeClr w14:val="tx1"/>
            </w14:solidFill>
          </w14:textFill>
        </w:rPr>
        <w:t xml:space="preserve">建筑业 </w:t>
      </w:r>
      <w:r>
        <w:rPr>
          <w:rFonts w:hint="eastAsia" w:ascii="宋体" w:hAnsi="宋体" w:cs="宋体"/>
          <w:color w:val="000000" w:themeColor="text1"/>
          <w:sz w:val="24"/>
          <w14:textFill>
            <w14:solidFill>
              <w14:schemeClr w14:val="tx1"/>
            </w14:solidFill>
          </w14:textFill>
        </w:rPr>
        <w:t>行业 ；</w:t>
      </w:r>
      <w:r>
        <w:rPr>
          <w:rFonts w:hint="eastAsia" w:ascii="宋体" w:hAnsi="宋体" w:cs="宋体"/>
          <w:color w:val="000000" w:themeColor="text1"/>
          <w:sz w:val="24"/>
          <w:lang w:val="en-US" w:eastAsia="zh-CN"/>
          <w14:textFill>
            <w14:solidFill>
              <w14:schemeClr w14:val="tx1"/>
            </w14:solidFill>
          </w14:textFill>
        </w:rPr>
        <w:t>承建单位</w:t>
      </w:r>
      <w:r>
        <w:rPr>
          <w:rFonts w:hint="eastAsia" w:ascii="宋体" w:hAnsi="宋体" w:cs="宋体"/>
          <w:color w:val="000000" w:themeColor="text1"/>
          <w:sz w:val="24"/>
          <w14:textFill>
            <w14:solidFill>
              <w14:schemeClr w14:val="tx1"/>
            </w14:solidFill>
          </w14:textFill>
        </w:rPr>
        <w:t>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59</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采购清单第五十九项：其余配套医用气体部分工作</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lang w:val="en-US" w:eastAsia="zh-CN"/>
          <w14:textFill>
            <w14:solidFill>
              <w14:schemeClr w14:val="tx1"/>
            </w14:solidFill>
          </w14:textFill>
        </w:rPr>
        <w:t xml:space="preserve">建筑业 </w:t>
      </w:r>
      <w:r>
        <w:rPr>
          <w:rFonts w:hint="eastAsia" w:ascii="宋体" w:hAnsi="宋体" w:cs="宋体"/>
          <w:color w:val="000000" w:themeColor="text1"/>
          <w:sz w:val="24"/>
          <w14:textFill>
            <w14:solidFill>
              <w14:schemeClr w14:val="tx1"/>
            </w14:solidFill>
          </w14:textFill>
        </w:rPr>
        <w:t>行业 ；</w:t>
      </w:r>
      <w:r>
        <w:rPr>
          <w:rFonts w:hint="eastAsia" w:ascii="宋体" w:hAnsi="宋体" w:cs="宋体"/>
          <w:color w:val="000000" w:themeColor="text1"/>
          <w:sz w:val="24"/>
          <w:lang w:val="en-US" w:eastAsia="zh-CN"/>
          <w14:textFill>
            <w14:solidFill>
              <w14:schemeClr w14:val="tx1"/>
            </w14:solidFill>
          </w14:textFill>
        </w:rPr>
        <w:t>承建单位</w:t>
      </w:r>
      <w:r>
        <w:rPr>
          <w:rFonts w:hint="eastAsia" w:ascii="宋体" w:hAnsi="宋体" w:cs="宋体"/>
          <w:color w:val="000000" w:themeColor="text1"/>
          <w:sz w:val="24"/>
          <w14:textFill>
            <w14:solidFill>
              <w14:schemeClr w14:val="tx1"/>
            </w14:solidFill>
          </w14:textFill>
        </w:rPr>
        <w:t>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60</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采购清单第六十项：其他</w:t>
      </w:r>
      <w:r>
        <w:rPr>
          <w:rFonts w:hint="eastAsia" w:ascii="宋体" w:hAnsi="宋体" w:cs="宋体"/>
          <w:color w:val="000000" w:themeColor="text1"/>
          <w:sz w:val="24"/>
          <w14:textFill>
            <w14:solidFill>
              <w14:schemeClr w14:val="tx1"/>
            </w14:solidFill>
          </w14:textFill>
        </w:rPr>
        <w:t xml:space="preserve"> ，属于</w:t>
      </w:r>
      <w:r>
        <w:rPr>
          <w:rFonts w:hint="eastAsia" w:ascii="宋体" w:hAnsi="宋体" w:cs="宋体"/>
          <w:color w:val="000000" w:themeColor="text1"/>
          <w:sz w:val="24"/>
          <w:lang w:val="en-US" w:eastAsia="zh-CN"/>
          <w14:textFill>
            <w14:solidFill>
              <w14:schemeClr w14:val="tx1"/>
            </w14:solidFill>
          </w14:textFill>
        </w:rPr>
        <w:t xml:space="preserve">建筑业 </w:t>
      </w:r>
      <w:r>
        <w:rPr>
          <w:rFonts w:hint="eastAsia" w:ascii="宋体" w:hAnsi="宋体" w:cs="宋体"/>
          <w:color w:val="000000" w:themeColor="text1"/>
          <w:sz w:val="24"/>
          <w14:textFill>
            <w14:solidFill>
              <w14:schemeClr w14:val="tx1"/>
            </w14:solidFill>
          </w14:textFill>
        </w:rPr>
        <w:t>行业 ；</w:t>
      </w:r>
      <w:r>
        <w:rPr>
          <w:rFonts w:hint="eastAsia" w:ascii="宋体" w:hAnsi="宋体" w:cs="宋体"/>
          <w:color w:val="000000" w:themeColor="text1"/>
          <w:sz w:val="24"/>
          <w:lang w:val="en-US" w:eastAsia="zh-CN"/>
          <w14:textFill>
            <w14:solidFill>
              <w14:schemeClr w14:val="tx1"/>
            </w14:solidFill>
          </w14:textFill>
        </w:rPr>
        <w:t>承建单位</w:t>
      </w:r>
      <w:r>
        <w:rPr>
          <w:rFonts w:hint="eastAsia" w:ascii="宋体" w:hAnsi="宋体" w:cs="宋体"/>
          <w:color w:val="000000" w:themeColor="text1"/>
          <w:sz w:val="24"/>
          <w14:textFill>
            <w14:solidFill>
              <w14:schemeClr w14:val="tx1"/>
            </w14:solidFill>
          </w14:textFill>
        </w:rPr>
        <w:t>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w:t>
      </w:r>
    </w:p>
    <w:p>
      <w:pPr>
        <w:pStyle w:val="2"/>
        <w:rPr>
          <w:color w:val="000000" w:themeColor="text1"/>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本企业对上述声明内容的真实性负责。如有虚假，将依法承担相应责任。</w:t>
      </w:r>
    </w:p>
    <w:p>
      <w:pPr>
        <w:snapToGrid w:val="0"/>
        <w:spacing w:line="360" w:lineRule="auto"/>
        <w:ind w:firstLine="5160" w:firstLineChars="215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投标人名称(电子签名)：</w:t>
      </w:r>
    </w:p>
    <w:p>
      <w:pPr>
        <w:snapToGrid w:val="0"/>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w:t>
      </w:r>
      <w:r>
        <w:rPr>
          <w:rFonts w:hint="eastAsia" w:ascii="宋体" w:hAnsi="宋体" w:cs="宋体"/>
          <w:color w:val="000000" w:themeColor="text1"/>
          <w:kern w:val="0"/>
          <w:sz w:val="24"/>
          <w14:textFill>
            <w14:solidFill>
              <w14:schemeClr w14:val="tx1"/>
            </w14:solidFill>
          </w14:textFill>
        </w:rPr>
        <w:t xml:space="preserve">：  年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w:t>
      </w:r>
    </w:p>
    <w:p>
      <w:pPr>
        <w:spacing w:line="360" w:lineRule="auto"/>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从业人员、营业收入、资产总额填报上一年度数据，无上一年度数据的新成立企业可不填报。</w:t>
      </w:r>
    </w:p>
    <w:p>
      <w:pPr>
        <w:spacing w:line="360" w:lineRule="auto"/>
        <w:ind w:right="4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w:t>
      </w:r>
    </w:p>
    <w:p>
      <w:pPr>
        <w:spacing w:line="360" w:lineRule="auto"/>
        <w:ind w:right="4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firstLine="562" w:firstLineChars="200"/>
        <w:rPr>
          <w:rFonts w:hint="default" w:ascii="宋体" w:hAnsi="宋体" w:cs="宋体"/>
          <w:b/>
          <w:bCs/>
          <w:color w:val="000000" w:themeColor="text1"/>
          <w:sz w:val="28"/>
          <w:szCs w:val="28"/>
          <w:lang w:val="en-US"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3、本项目以上内容</w:t>
      </w:r>
      <w:r>
        <w:rPr>
          <w:rFonts w:hint="eastAsia" w:ascii="宋体" w:hAnsi="宋体" w:cs="宋体"/>
          <w:b/>
          <w:bCs/>
          <w:color w:val="000000" w:themeColor="text1"/>
          <w:sz w:val="28"/>
          <w:szCs w:val="28"/>
          <w14:textFill>
            <w14:solidFill>
              <w14:schemeClr w14:val="tx1"/>
            </w14:solidFill>
          </w14:textFill>
        </w:rPr>
        <w:t>中小企业合同金额应当达到</w:t>
      </w:r>
      <w:r>
        <w:rPr>
          <w:rFonts w:hint="eastAsia" w:ascii="宋体" w:hAnsi="宋体" w:cs="宋体"/>
          <w:b/>
          <w:bCs/>
          <w:color w:val="000000" w:themeColor="text1"/>
          <w:sz w:val="28"/>
          <w:szCs w:val="28"/>
          <w:lang w:val="en-US" w:eastAsia="zh-CN"/>
          <w14:textFill>
            <w14:solidFill>
              <w14:schemeClr w14:val="tx1"/>
            </w14:solidFill>
          </w14:textFill>
        </w:rPr>
        <w:t>40</w:t>
      </w:r>
      <w:r>
        <w:rPr>
          <w:rFonts w:hint="eastAsia" w:ascii="宋体" w:hAnsi="宋体" w:cs="宋体"/>
          <w:b/>
          <w:bCs/>
          <w:color w:val="000000" w:themeColor="text1"/>
          <w:sz w:val="28"/>
          <w:szCs w:val="28"/>
          <w14:textFill>
            <w14:solidFill>
              <w14:schemeClr w14:val="tx1"/>
            </w14:solidFill>
          </w14:textFill>
        </w:rPr>
        <w:t>%，其中小微企业合同金额应当达到</w:t>
      </w:r>
      <w:r>
        <w:rPr>
          <w:rFonts w:hint="eastAsia" w:ascii="宋体" w:hAnsi="宋体" w:cs="宋体"/>
          <w:b/>
          <w:bCs/>
          <w:color w:val="000000" w:themeColor="text1"/>
          <w:sz w:val="28"/>
          <w:szCs w:val="28"/>
          <w:lang w:val="en-US" w:eastAsia="zh-CN"/>
          <w14:textFill>
            <w14:solidFill>
              <w14:schemeClr w14:val="tx1"/>
            </w14:solidFill>
          </w14:textFill>
        </w:rPr>
        <w:t>70</w:t>
      </w:r>
      <w:r>
        <w:rPr>
          <w:rFonts w:hint="eastAsia" w:ascii="宋体" w:hAnsi="宋体" w:cs="宋体"/>
          <w:b/>
          <w:bCs/>
          <w:color w:val="000000" w:themeColor="text1"/>
          <w:sz w:val="28"/>
          <w:szCs w:val="28"/>
          <w14:textFill>
            <w14:solidFill>
              <w14:schemeClr w14:val="tx1"/>
            </w14:solidFill>
          </w14:textFill>
        </w:rPr>
        <w:t>%;</w:t>
      </w:r>
      <w:r>
        <w:rPr>
          <w:rFonts w:hint="eastAsia" w:ascii="宋体" w:hAnsi="宋体" w:cs="宋体"/>
          <w:b/>
          <w:bCs/>
          <w:color w:val="000000" w:themeColor="text1"/>
          <w:sz w:val="28"/>
          <w:szCs w:val="28"/>
          <w:lang w:val="en-US" w:eastAsia="zh-CN"/>
          <w14:textFill>
            <w14:solidFill>
              <w14:schemeClr w14:val="tx1"/>
            </w14:solidFill>
          </w14:textFill>
        </w:rPr>
        <w:t>请填报时仔细确认。</w:t>
      </w:r>
    </w:p>
    <w:p>
      <w:pPr>
        <w:rPr>
          <w:color w:val="000000" w:themeColor="text1"/>
          <w14:textFill>
            <w14:solidFill>
              <w14:schemeClr w14:val="tx1"/>
            </w14:solidFill>
          </w14:textFill>
        </w:rPr>
      </w:pPr>
    </w:p>
    <w:p>
      <w:pPr>
        <w:widowControl/>
        <w:spacing w:line="360" w:lineRule="auto"/>
        <w:ind w:firstLine="480"/>
        <w:jc w:val="left"/>
        <w:rPr>
          <w:rFonts w:ascii="宋体" w:hAnsi="宋体" w:cs="宋体"/>
          <w:color w:val="000000" w:themeColor="text1"/>
          <w:sz w:val="24"/>
          <w14:textFill>
            <w14:solidFill>
              <w14:schemeClr w14:val="tx1"/>
            </w14:solidFill>
          </w14:textFill>
        </w:rPr>
      </w:pPr>
    </w:p>
    <w:p>
      <w:pPr>
        <w:widowControl/>
        <w:spacing w:line="360" w:lineRule="auto"/>
        <w:ind w:firstLine="472" w:firstLineChars="196"/>
        <w:jc w:val="left"/>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B.</w:t>
      </w:r>
      <w:r>
        <w:rPr>
          <w:rFonts w:hint="eastAsia" w:ascii="宋体" w:hAnsi="宋体" w:cs="宋体"/>
          <w:color w:val="000000" w:themeColor="text1"/>
          <w:sz w:val="24"/>
          <w14:textFill>
            <w14:solidFill>
              <w14:schemeClr w14:val="tx1"/>
            </w14:solidFill>
          </w14:textFill>
        </w:rPr>
        <w:t>要求以联合体形式参加的，提供联合协议（附件</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）和中小企业声明函（附件</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），联合协议中中小企业合同金额应当达到招标公告载明的比例；如果供应商本身提供所有标的均由中小企业制造的，</w:t>
      </w:r>
      <w:r>
        <w:rPr>
          <w:rFonts w:hint="eastAsia" w:ascii="宋体" w:hAnsi="宋体" w:cs="宋体"/>
          <w:color w:val="000000" w:themeColor="text1"/>
          <w:spacing w:val="8"/>
          <w:kern w:val="0"/>
          <w:sz w:val="24"/>
          <w14:textFill>
            <w14:solidFill>
              <w14:schemeClr w14:val="tx1"/>
            </w14:solidFill>
          </w14:textFill>
        </w:rPr>
        <w:t>并相应达到了前述比例要求，</w:t>
      </w:r>
      <w:r>
        <w:rPr>
          <w:rFonts w:hint="eastAsia" w:ascii="宋体" w:hAnsi="宋体" w:cs="宋体"/>
          <w:color w:val="000000" w:themeColor="text1"/>
          <w:sz w:val="24"/>
          <w14:textFill>
            <w14:solidFill>
              <w14:schemeClr w14:val="tx1"/>
            </w14:solidFill>
          </w14:textFill>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C、</w:t>
      </w:r>
      <w:r>
        <w:rPr>
          <w:rFonts w:hint="eastAsia" w:ascii="宋体" w:hAnsi="宋体" w:cs="宋体"/>
          <w:color w:val="000000" w:themeColor="text1"/>
          <w:sz w:val="24"/>
          <w14:textFill>
            <w14:solidFill>
              <w14:schemeClr w14:val="tx1"/>
            </w14:solidFill>
          </w14:textFill>
        </w:rPr>
        <w:t>要求合同分包的，提供分包意向协议（附件6）和中小企业声明函（附件</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），分包意向协议中中小企业合同金额应当达到招标公告载明的比例；如果供应商本身提供所有标的均由中小企业制造的，</w:t>
      </w:r>
      <w:r>
        <w:rPr>
          <w:rFonts w:hint="eastAsia" w:ascii="宋体" w:hAnsi="宋体" w:cs="宋体"/>
          <w:color w:val="000000" w:themeColor="text1"/>
          <w:spacing w:val="8"/>
          <w:kern w:val="0"/>
          <w:sz w:val="24"/>
          <w14:textFill>
            <w14:solidFill>
              <w14:schemeClr w14:val="tx1"/>
            </w14:solidFill>
          </w14:textFill>
        </w:rPr>
        <w:t>并相应达到了前述比例要求，</w:t>
      </w:r>
      <w:r>
        <w:rPr>
          <w:rFonts w:hint="eastAsia" w:ascii="宋体" w:hAnsi="宋体" w:cs="宋体"/>
          <w:color w:val="000000" w:themeColor="text1"/>
          <w:sz w:val="24"/>
          <w14:textFill>
            <w14:solidFill>
              <w14:schemeClr w14:val="tx1"/>
            </w14:solidFill>
          </w14:textFill>
        </w:rPr>
        <w:t>视同符合了资格条件，无需再向中小企业分包，无需提供分包意向协议。</w:t>
      </w:r>
    </w:p>
    <w:p>
      <w:pPr>
        <w:widowControl/>
        <w:spacing w:line="360" w:lineRule="auto"/>
        <w:ind w:left="150"/>
        <w:jc w:val="center"/>
        <w:rPr>
          <w:rFonts w:ascii="宋体" w:hAnsi="宋体" w:cs="宋体"/>
          <w:b/>
          <w:color w:val="000000" w:themeColor="text1"/>
          <w:kern w:val="0"/>
          <w:sz w:val="32"/>
          <w:szCs w:val="32"/>
          <w14:textFill>
            <w14:solidFill>
              <w14:schemeClr w14:val="tx1"/>
            </w14:solidFill>
          </w14:textFill>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pStyle w:val="4"/>
        <w:rPr>
          <w:lang w:val="en-US"/>
        </w:rPr>
      </w:pPr>
    </w:p>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ind w:firstLine="3855" w:firstLineChars="1200"/>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杭州市丁桥医院、</w:t>
      </w:r>
      <w:r>
        <w:rPr>
          <w:rFonts w:hint="eastAsia" w:ascii="宋体" w:hAnsi="宋体" w:cs="宋体"/>
          <w:color w:val="000000" w:themeColor="text1"/>
          <w:sz w:val="24"/>
          <w:lang w:val="en-US" w:eastAsia="zh-CN"/>
          <w14:textFill>
            <w14:solidFill>
              <w14:schemeClr w14:val="tx1"/>
            </w14:solidFill>
          </w14:textFill>
        </w:rPr>
        <w:t>杭州广厦建筑咨询有限公司</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我方参加你方组织的杭州市丁桥医院手术室二期防护及净化系统【招标编号：</w:t>
      </w:r>
      <w:r>
        <w:rPr>
          <w:rFonts w:hint="eastAsia" w:ascii="宋体" w:hAnsi="宋体" w:cs="宋体"/>
          <w:color w:val="000000" w:themeColor="text1"/>
          <w:sz w:val="24"/>
          <w:lang w:eastAsia="zh-CN"/>
          <w14:textFill>
            <w14:solidFill>
              <w14:schemeClr w14:val="tx1"/>
            </w14:solidFill>
          </w14:textFill>
        </w:rPr>
        <w:t>HZGX202304-001</w:t>
      </w:r>
      <w:r>
        <w:rPr>
          <w:rFonts w:hint="eastAsia" w:ascii="宋体" w:hAnsi="宋体" w:cs="宋体"/>
          <w:color w:val="000000" w:themeColor="text1"/>
          <w:sz w:val="24"/>
          <w14:textFill>
            <w14:solidFill>
              <w14:schemeClr w14:val="tx1"/>
            </w14:solidFill>
          </w14:textFill>
        </w:rPr>
        <w:t>】招标的有关活动，并对此项目进行投标。为此：</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1、我方承诺投标有效期从提交投标文件的截止之日起</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天（不少于90天）</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本投标文件在投标有效期满之前均具有约束力。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2、我方的投标文件包括以下内容：</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2.1资格文件：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2.1.1承诺函；</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w:t>
      </w:r>
      <w:r>
        <w:rPr>
          <w:rFonts w:hint="eastAsia" w:ascii="宋体" w:hAnsi="宋体" w:cs="宋体"/>
          <w:snapToGrid w:val="0"/>
          <w:color w:val="000000" w:themeColor="text1"/>
          <w:kern w:val="28"/>
          <w:sz w:val="24"/>
          <w:szCs w:val="20"/>
          <w14:textFill>
            <w14:solidFill>
              <w14:schemeClr w14:val="tx1"/>
            </w14:solidFill>
          </w14:textFill>
        </w:rPr>
        <w:t>联合协议（如果有)；</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.1.3</w:t>
      </w:r>
      <w:r>
        <w:rPr>
          <w:rFonts w:hint="eastAsia" w:ascii="宋体" w:hAnsi="宋体" w:cs="宋体"/>
          <w:color w:val="000000" w:themeColor="text1"/>
          <w:sz w:val="24"/>
          <w14:textFill>
            <w14:solidFill>
              <w14:schemeClr w14:val="tx1"/>
            </w14:solidFill>
          </w14:textFill>
        </w:rPr>
        <w:t>落实政府采购政策需满足的资格要求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left="210" w:leftChars="100"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商务技术</w:t>
      </w:r>
      <w:r>
        <w:rPr>
          <w:rFonts w:hint="eastAsia" w:ascii="宋体" w:hAnsi="宋体" w:cs="宋体"/>
          <w:color w:val="000000" w:themeColor="text1"/>
          <w:sz w:val="24"/>
          <w:lang w:val="zh-CN"/>
          <w14:textFill>
            <w14:solidFill>
              <w14:schemeClr w14:val="tx1"/>
            </w14:solidFill>
          </w14:textFill>
        </w:rPr>
        <w:t>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2.2.1投标函；</w:t>
      </w:r>
      <w:r>
        <w:rPr>
          <w:rFonts w:hint="eastAsia" w:ascii="宋体" w:hAnsi="宋体" w:cs="宋体"/>
          <w:color w:val="000000" w:themeColor="text1"/>
          <w:sz w:val="24"/>
          <w:lang w:val="zh-CN"/>
          <w14:textFill>
            <w14:solidFill>
              <w14:schemeClr w14:val="tx1"/>
            </w14:solidFill>
          </w14:textFill>
        </w:rPr>
        <w:t xml:space="preserve"> </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分包意向协议</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符合性审查资料；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评标标准相应的商务技术资料；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投标标的清单；</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商务技术偏离表；</w:t>
      </w:r>
    </w:p>
    <w:p>
      <w:pPr>
        <w:snapToGrid w:val="0"/>
        <w:spacing w:line="360" w:lineRule="auto"/>
        <w:ind w:left="420" w:leftChars="200"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3报价文件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2.3.1开标一览表（报价表）；</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2.3.2中小企业声明函（如果有）。</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3、我方承诺除商务技术偏离表列出的偏离外，我方响应招标文件的全部要求。</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4、如我方中标，我方承诺：</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4.3按照招标文件要求提交履约保证金；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5、其他补充说明:</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360" w:lineRule="auto"/>
        <w:ind w:firstLine="3600" w:firstLineChars="15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投标人名称（电子签名）：                          </w:t>
      </w: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日期：  年   月   日</w:t>
      </w:r>
    </w:p>
    <w:p>
      <w:pPr>
        <w:snapToGrid w:val="0"/>
        <w:spacing w:line="360" w:lineRule="auto"/>
        <w:ind w:left="420" w:leftChars="200" w:firstLine="4200" w:firstLineChars="1750"/>
        <w:rPr>
          <w:rFonts w:ascii="宋体" w:hAnsi="宋体" w:cs="宋体"/>
          <w:color w:val="000000" w:themeColor="text1"/>
          <w:kern w:val="0"/>
          <w:sz w:val="24"/>
          <w:u w:val="single"/>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杭州市丁桥医院、</w:t>
      </w:r>
      <w:r>
        <w:rPr>
          <w:rFonts w:hint="eastAsia" w:ascii="宋体" w:hAnsi="宋体" w:cs="宋体"/>
          <w:color w:val="000000" w:themeColor="text1"/>
          <w:sz w:val="24"/>
          <w:lang w:val="en-US" w:eastAsia="zh-CN"/>
          <w14:textFill>
            <w14:solidFill>
              <w14:schemeClr w14:val="tx1"/>
            </w14:solidFill>
          </w14:textFill>
        </w:rPr>
        <w:t>杭州广厦建筑咨询有限公司</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现</w:t>
      </w:r>
      <w:r>
        <w:rPr>
          <w:rFonts w:hint="eastAsia" w:ascii="宋体" w:hAnsi="宋体" w:cs="宋体"/>
          <w:color w:val="000000" w:themeColor="text1"/>
          <w:kern w:val="0"/>
          <w:sz w:val="24"/>
          <w:lang w:val="zh-CN"/>
          <w14:textFill>
            <w14:solidFill>
              <w14:schemeClr w14:val="tx1"/>
            </w14:solidFill>
          </w14:textFill>
        </w:rPr>
        <w:t>委托</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（姓名）为我方代理人（身份证号码：</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，手机：</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），以我方名义处理</w:t>
      </w:r>
      <w:r>
        <w:rPr>
          <w:rFonts w:hint="eastAsia" w:ascii="宋体" w:hAnsi="宋体" w:cs="宋体"/>
          <w:color w:val="000000" w:themeColor="text1"/>
          <w:sz w:val="24"/>
          <w14:textFill>
            <w14:solidFill>
              <w14:schemeClr w14:val="tx1"/>
            </w14:solidFill>
          </w14:textFill>
        </w:rPr>
        <w:t>杭州市丁桥医院手术室二期防护及净化系统【招标编号：</w:t>
      </w:r>
      <w:r>
        <w:rPr>
          <w:rFonts w:hint="eastAsia" w:ascii="宋体" w:hAnsi="宋体" w:cs="宋体"/>
          <w:color w:val="000000" w:themeColor="text1"/>
          <w:sz w:val="24"/>
          <w:lang w:eastAsia="zh-CN"/>
          <w14:textFill>
            <w14:solidFill>
              <w14:schemeClr w14:val="tx1"/>
            </w14:solidFill>
          </w14:textFill>
        </w:rPr>
        <w:t>HZGX202304-001</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委托期限</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自</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日起至</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日止。</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特此告知。</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投标人名称(电子签名)：</w:t>
      </w:r>
    </w:p>
    <w:p>
      <w:pPr>
        <w:snapToGrid w:val="0"/>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签发日期：  年  月   日</w:t>
      </w:r>
    </w:p>
    <w:p>
      <w:pPr>
        <w:snapToGrid w:val="0"/>
        <w:spacing w:line="360" w:lineRule="auto"/>
        <w:rPr>
          <w:rFonts w:ascii="宋体" w:hAnsi="宋体" w:cs="宋体"/>
          <w:color w:val="000000" w:themeColor="text1"/>
          <w:sz w:val="24"/>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 xml:space="preserve">      </w:t>
      </w:r>
      <w:r>
        <w:rPr>
          <w:rFonts w:hint="eastAsia" w:ascii="宋体" w:hAnsi="宋体" w:cs="宋体"/>
          <w:b/>
          <w:color w:val="000000" w:themeColor="text1"/>
          <w:kern w:val="0"/>
          <w:sz w:val="32"/>
          <w:szCs w:val="32"/>
          <w14:textFill>
            <w14:solidFill>
              <w14:schemeClr w14:val="tx1"/>
            </w14:solidFill>
          </w14:textFill>
        </w:rPr>
        <w:t xml:space="preserve"> </w:t>
      </w:r>
      <w:r>
        <w:rPr>
          <w:rFonts w:hint="eastAsia" w:ascii="宋体" w:hAnsi="宋体" w:cs="宋体"/>
          <w:b/>
          <w:color w:val="000000" w:themeColor="text1"/>
          <w:kern w:val="0"/>
          <w:sz w:val="32"/>
          <w:szCs w:val="32"/>
          <w:lang w:val="zh-CN"/>
          <w14:textFill>
            <w14:solidFill>
              <w14:schemeClr w14:val="tx1"/>
            </w14:solidFill>
          </w14:textFill>
        </w:rPr>
        <w:t>授权委托书（适用于联合体投标）</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杭州市丁桥医院、</w:t>
      </w:r>
      <w:r>
        <w:rPr>
          <w:rFonts w:hint="eastAsia" w:ascii="宋体" w:hAnsi="宋体" w:cs="宋体"/>
          <w:color w:val="000000" w:themeColor="text1"/>
          <w:sz w:val="24"/>
          <w:lang w:val="en-US" w:eastAsia="zh-CN"/>
          <w14:textFill>
            <w14:solidFill>
              <w14:schemeClr w14:val="tx1"/>
            </w14:solidFill>
          </w14:textFill>
        </w:rPr>
        <w:t>杭州广厦建筑咨询有限公司</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现</w:t>
      </w:r>
      <w:r>
        <w:rPr>
          <w:rFonts w:hint="eastAsia" w:ascii="宋体" w:hAnsi="宋体" w:cs="宋体"/>
          <w:color w:val="000000" w:themeColor="text1"/>
          <w:kern w:val="0"/>
          <w:sz w:val="24"/>
          <w:lang w:val="zh-CN"/>
          <w14:textFill>
            <w14:solidFill>
              <w14:schemeClr w14:val="tx1"/>
            </w14:solidFill>
          </w14:textFill>
        </w:rPr>
        <w:t>委托</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（姓名）为我方代理人（身份证号码：</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，手机：</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），以我方名义处理</w:t>
      </w:r>
      <w:r>
        <w:rPr>
          <w:rFonts w:hint="eastAsia" w:ascii="宋体" w:hAnsi="宋体" w:cs="宋体"/>
          <w:color w:val="000000" w:themeColor="text1"/>
          <w:sz w:val="24"/>
          <w14:textFill>
            <w14:solidFill>
              <w14:schemeClr w14:val="tx1"/>
            </w14:solidFill>
          </w14:textFill>
        </w:rPr>
        <w:t>杭州市丁桥医院手术室二期防护及净化系统【招标编号：</w:t>
      </w:r>
      <w:r>
        <w:rPr>
          <w:rFonts w:hint="eastAsia" w:ascii="宋体" w:hAnsi="宋体" w:cs="宋体"/>
          <w:color w:val="000000" w:themeColor="text1"/>
          <w:sz w:val="24"/>
          <w:lang w:eastAsia="zh-CN"/>
          <w14:textFill>
            <w14:solidFill>
              <w14:schemeClr w14:val="tx1"/>
            </w14:solidFill>
          </w14:textFill>
        </w:rPr>
        <w:t>HZGX202304-001</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委托期限</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自</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日起至</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日止。</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特此告知。</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rPr>
          <w:rFonts w:ascii="宋体" w:hAnsi="宋体" w:cs="宋体"/>
          <w:color w:val="000000" w:themeColor="text1"/>
          <w14:textFill>
            <w14:solidFill>
              <w14:schemeClr w14:val="tx1"/>
            </w14:solidFill>
          </w14:textFill>
        </w:rPr>
      </w:pP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760" w:firstLineChars="240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  年  月   日</w:t>
      </w:r>
    </w:p>
    <w:p>
      <w:pPr>
        <w:autoSpaceDE w:val="0"/>
        <w:autoSpaceDN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法定代表人、单位负责人或自然人本人</w:t>
      </w:r>
      <w:r>
        <w:rPr>
          <w:rFonts w:hint="eastAsia" w:ascii="宋体" w:hAnsi="宋体" w:cs="宋体"/>
          <w:b/>
          <w:color w:val="000000" w:themeColor="text1"/>
          <w:sz w:val="30"/>
          <w:szCs w:val="30"/>
          <w14:textFill>
            <w14:solidFill>
              <w14:schemeClr w14:val="tx1"/>
            </w14:solidFill>
          </w14:textFill>
        </w:rPr>
        <w:t>的身份证明（适用于法定代表人、单位负责人或者自然人本人代表投标人参加投标）</w:t>
      </w:r>
    </w:p>
    <w:p>
      <w:pPr>
        <w:pStyle w:val="146"/>
        <w:spacing w:line="360" w:lineRule="auto"/>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正面：                                 反面：</w:t>
            </w:r>
          </w:p>
          <w:p>
            <w:pPr>
              <w:pStyle w:val="146"/>
              <w:adjustRightInd w:val="0"/>
              <w:spacing w:line="360" w:lineRule="auto"/>
              <w:rPr>
                <w:rFonts w:hAnsi="宋体" w:cs="宋体"/>
                <w:bCs/>
                <w:color w:val="000000" w:themeColor="text1"/>
                <w:sz w:val="24"/>
                <w14:textFill>
                  <w14:solidFill>
                    <w14:schemeClr w14:val="tx1"/>
                  </w14:solidFill>
                </w14:textFill>
              </w:rPr>
            </w:pPr>
          </w:p>
        </w:tc>
      </w:tr>
    </w:tbl>
    <w:p>
      <w:pPr>
        <w:snapToGrid w:val="0"/>
        <w:spacing w:line="360" w:lineRule="auto"/>
        <w:ind w:firstLine="576"/>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ind w:firstLine="576"/>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投标人名称(电子签名)：                              </w:t>
      </w:r>
    </w:p>
    <w:p>
      <w:pPr>
        <w:spacing w:line="360" w:lineRule="auto"/>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  年  月  日</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rPr>
          <w:rFonts w:ascii="宋体" w:hAnsi="宋体" w:cs="宋体"/>
          <w:b/>
          <w:color w:val="000000" w:themeColor="text1"/>
          <w:kern w:val="0"/>
          <w:sz w:val="32"/>
          <w:szCs w:val="32"/>
          <w14:textFill>
            <w14:solidFill>
              <w14:schemeClr w14:val="tx1"/>
            </w14:solidFill>
          </w14:textFill>
        </w:rPr>
        <w:sectPr>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三、分包意向协议（如果有）</w:t>
      </w:r>
    </w:p>
    <w:p>
      <w:pPr>
        <w:widowControl/>
        <w:spacing w:line="360" w:lineRule="auto"/>
        <w:ind w:firstLine="120" w:firstLineChars="50"/>
        <w:jc w:val="left"/>
        <w:rPr>
          <w:rFonts w:ascii="宋体" w:hAnsi="宋体" w:cs="宋体"/>
          <w:color w:val="000000" w:themeColor="text1"/>
          <w:sz w:val="24"/>
          <w14:textFill>
            <w14:solidFill>
              <w14:schemeClr w14:val="tx1"/>
            </w14:solidFill>
          </w14:textFill>
        </w:rPr>
      </w:pPr>
      <w:bookmarkStart w:id="408" w:name="_Hlk101169080"/>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中标后以分包方式履行合同的，提供分包意向协议(附件6</w:t>
      </w:r>
      <w:r>
        <w:rPr>
          <w:rFonts w:ascii="宋体" w:hAnsi="宋体" w:cs="宋体"/>
          <w:b/>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；采购人不同意分包或者投标人中标后不以分包方式履行合同的，则不需要提供。</w:t>
      </w:r>
      <w:r>
        <w:rPr>
          <w:rFonts w:hint="eastAsia" w:ascii="宋体" w:hAnsi="宋体" w:cs="宋体"/>
          <w:color w:val="000000" w:themeColor="text1"/>
          <w:sz w:val="24"/>
          <w14:textFill>
            <w14:solidFill>
              <w14:schemeClr w14:val="tx1"/>
            </w14:solidFill>
          </w14:textFill>
        </w:rPr>
        <w:t>]</w:t>
      </w:r>
    </w:p>
    <w:bookmarkEnd w:id="408"/>
    <w:p>
      <w:pPr>
        <w:snapToGrid w:val="0"/>
        <w:spacing w:line="360" w:lineRule="auto"/>
        <w:rPr>
          <w:rFonts w:ascii="宋体" w:hAnsi="宋体" w:cs="宋体"/>
          <w:color w:val="000000" w:themeColor="text1"/>
          <w:kern w:val="0"/>
          <w:sz w:val="24"/>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pStyle w:val="4"/>
        <w:rPr>
          <w:color w:val="000000" w:themeColor="text1"/>
          <w:lang w:val="en-US"/>
          <w14:textFill>
            <w14:solidFill>
              <w14:schemeClr w14:val="tx1"/>
            </w14:solidFill>
          </w14:textFill>
        </w:rPr>
      </w:pPr>
    </w:p>
    <w:p>
      <w:pPr>
        <w:rPr>
          <w:color w:val="000000" w:themeColor="text1"/>
          <w14:textFill>
            <w14:solidFill>
              <w14:schemeClr w14:val="tx1"/>
            </w14:solidFill>
          </w14:textFill>
        </w:rPr>
      </w:pPr>
    </w:p>
    <w:p>
      <w:pPr>
        <w:pStyle w:val="4"/>
        <w:rPr>
          <w:color w:val="000000" w:themeColor="text1"/>
          <w:lang w:val="en-US"/>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四、符合性审查资料</w:t>
      </w:r>
    </w:p>
    <w:p>
      <w:pPr>
        <w:jc w:val="center"/>
        <w:rPr>
          <w:rFonts w:ascii="宋体" w:hAnsi="宋体" w:cs="宋体"/>
          <w:b/>
          <w:color w:val="000000" w:themeColor="text1"/>
          <w:kern w:val="0"/>
          <w:sz w:val="32"/>
          <w:szCs w:val="32"/>
          <w14:textFill>
            <w14:solidFill>
              <w14:schemeClr w14:val="tx1"/>
            </w14:solidFill>
          </w14:textFill>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4991"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实质性要求</w:t>
            </w:r>
          </w:p>
        </w:tc>
        <w:tc>
          <w:tcPr>
            <w:tcW w:w="2551"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需要提供的符合性审查资料</w:t>
            </w:r>
          </w:p>
        </w:tc>
        <w:tc>
          <w:tcPr>
            <w:tcW w:w="1418"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投标文件中的</w:t>
            </w:r>
          </w:p>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499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投标文件按照招标文件要求签署、盖章。</w:t>
            </w:r>
          </w:p>
        </w:tc>
        <w:tc>
          <w:tcPr>
            <w:tcW w:w="255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需要使用电子签名或者签字盖章的投标文件的组成部分</w:t>
            </w:r>
          </w:p>
        </w:tc>
        <w:tc>
          <w:tcPr>
            <w:tcW w:w="1418" w:type="dxa"/>
          </w:tcPr>
          <w:p>
            <w:pPr>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见投标文件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499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投标文件中承诺的投标有效期不少于招标文件中载明的投标有效期。</w:t>
            </w:r>
          </w:p>
        </w:tc>
        <w:tc>
          <w:tcPr>
            <w:tcW w:w="255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投标函</w:t>
            </w:r>
          </w:p>
        </w:tc>
        <w:tc>
          <w:tcPr>
            <w:tcW w:w="1418"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见投标文件第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499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投标文件满足招标文件的其它实质性要求。</w:t>
            </w:r>
          </w:p>
        </w:tc>
        <w:tc>
          <w:tcPr>
            <w:tcW w:w="255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招标文件其它实质性要求相应的材料（“▲” 系指实质性要求条款，招标文件无其它实质性要求的，无需提供）</w:t>
            </w:r>
          </w:p>
        </w:tc>
        <w:tc>
          <w:tcPr>
            <w:tcW w:w="1418"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见投标文件第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c>
      </w:tr>
    </w:tbl>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 xml:space="preserve">            </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widowControl/>
        <w:adjustRightInd/>
        <w:jc w:val="left"/>
        <w:rPr>
          <w:rFonts w:ascii="宋体" w:hAnsi="宋体" w:cs="宋体"/>
          <w:b/>
          <w:color w:val="000000" w:themeColor="text1"/>
          <w:kern w:val="0"/>
          <w:sz w:val="32"/>
          <w:szCs w:val="32"/>
          <w14:textFill>
            <w14:solidFill>
              <w14:schemeClr w14:val="tx1"/>
            </w14:solidFill>
          </w14:textFill>
        </w:rPr>
      </w:pPr>
      <w:r>
        <w:rPr>
          <w:rFonts w:ascii="宋体" w:hAnsi="宋体" w:cs="宋体"/>
          <w:b/>
          <w:color w:val="000000" w:themeColor="text1"/>
          <w:kern w:val="0"/>
          <w:sz w:val="32"/>
          <w:szCs w:val="32"/>
          <w14:textFill>
            <w14:solidFill>
              <w14:schemeClr w14:val="tx1"/>
            </w14:solidFill>
          </w14:textFill>
        </w:rPr>
        <w:br w:type="page"/>
      </w:r>
    </w:p>
    <w:p>
      <w:pPr>
        <w:jc w:val="center"/>
        <w:rPr>
          <w:rFonts w:ascii="宋体" w:hAnsi="宋体" w:cs="宋体"/>
          <w:color w:val="000000" w:themeColor="text1"/>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五、评标标准相应的商务技术资料</w:t>
      </w:r>
    </w:p>
    <w:p>
      <w:pPr>
        <w:snapToGrid w:val="0"/>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（按招标文件第四部分评标办法前附表中“投标文件中评标标准相应的商务技术资料目录”提供资料。）</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ind w:firstLine="2891" w:firstLineChars="900"/>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bl>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序号</w:t>
            </w:r>
          </w:p>
        </w:tc>
        <w:tc>
          <w:tcPr>
            <w:tcW w:w="3683"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招标文件章节及具体内容</w:t>
            </w:r>
          </w:p>
        </w:tc>
        <w:tc>
          <w:tcPr>
            <w:tcW w:w="3546"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投标文件章节及具体内容</w:t>
            </w:r>
          </w:p>
        </w:tc>
        <w:tc>
          <w:tcPr>
            <w:tcW w:w="1276"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3683" w:type="dxa"/>
          </w:tcPr>
          <w:p>
            <w:pPr>
              <w:jc w:val="center"/>
              <w:rPr>
                <w:rFonts w:ascii="宋体" w:hAnsi="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cs="宋体"/>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3683" w:type="dxa"/>
          </w:tcPr>
          <w:p>
            <w:pPr>
              <w:jc w:val="center"/>
              <w:rPr>
                <w:rFonts w:ascii="宋体" w:hAnsi="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cs="宋体"/>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p>
        </w:tc>
        <w:tc>
          <w:tcPr>
            <w:tcW w:w="3683" w:type="dxa"/>
          </w:tcPr>
          <w:p>
            <w:pPr>
              <w:jc w:val="center"/>
              <w:rPr>
                <w:rFonts w:ascii="宋体" w:hAnsi="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cs="宋体"/>
                <w:b/>
                <w:color w:val="000000" w:themeColor="text1"/>
                <w:kern w:val="0"/>
                <w:sz w:val="32"/>
                <w:szCs w:val="32"/>
                <w14:textFill>
                  <w14:solidFill>
                    <w14:schemeClr w14:val="tx1"/>
                  </w14:solidFill>
                </w14:textFill>
              </w:rPr>
            </w:pPr>
          </w:p>
        </w:tc>
      </w:tr>
    </w:tbl>
    <w:p>
      <w:pPr>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投标人保证：除商务技术偏离表列出的偏离外，投标人响应招标文件的全部要求</w:t>
      </w:r>
    </w:p>
    <w:p>
      <w:pPr>
        <w:jc w:val="center"/>
        <w:rPr>
          <w:rFonts w:ascii="宋体" w:hAnsi="宋体" w:cs="宋体"/>
          <w:b/>
          <w:color w:val="000000" w:themeColor="text1"/>
          <w:kern w:val="0"/>
          <w:sz w:val="32"/>
          <w:szCs w:val="32"/>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ind w:firstLine="1911" w:firstLineChars="595"/>
        <w:rPr>
          <w:rFonts w:ascii="宋体" w:hAnsi="宋体" w:cs="宋体"/>
          <w:b/>
          <w:bCs/>
          <w:color w:val="000000" w:themeColor="text1"/>
          <w:sz w:val="32"/>
          <w:szCs w:val="32"/>
          <w14:textFill>
            <w14:solidFill>
              <w14:schemeClr w14:val="tx1"/>
            </w14:solidFill>
          </w14:textFill>
        </w:rPr>
      </w:pPr>
    </w:p>
    <w:p>
      <w:pPr>
        <w:ind w:firstLine="1911" w:firstLineChars="595"/>
        <w:rPr>
          <w:rFonts w:ascii="宋体" w:hAnsi="宋体" w:cs="宋体"/>
          <w:b/>
          <w:bCs/>
          <w:color w:val="000000" w:themeColor="text1"/>
          <w:sz w:val="32"/>
          <w:szCs w:val="32"/>
          <w14:textFill>
            <w14:solidFill>
              <w14:schemeClr w14:val="tx1"/>
            </w14:solidFill>
          </w14:textFill>
        </w:rPr>
      </w:pPr>
    </w:p>
    <w:p>
      <w:pPr>
        <w:ind w:firstLine="1911" w:firstLineChars="595"/>
        <w:rPr>
          <w:rFonts w:ascii="宋体" w:hAnsi="宋体" w:cs="宋体"/>
          <w:b/>
          <w:bCs/>
          <w:color w:val="000000" w:themeColor="text1"/>
          <w:sz w:val="32"/>
          <w:szCs w:val="32"/>
          <w14:textFill>
            <w14:solidFill>
              <w14:schemeClr w14:val="tx1"/>
            </w14:solidFill>
          </w14:textFill>
        </w:rPr>
      </w:pPr>
    </w:p>
    <w:p>
      <w:pPr>
        <w:ind w:firstLine="1911" w:firstLineChars="595"/>
        <w:rPr>
          <w:rFonts w:ascii="宋体" w:hAnsi="宋体" w:cs="宋体"/>
          <w:b/>
          <w:bCs/>
          <w:color w:val="000000" w:themeColor="text1"/>
          <w:sz w:val="32"/>
          <w:szCs w:val="32"/>
          <w14:textFill>
            <w14:solidFill>
              <w14:schemeClr w14:val="tx1"/>
            </w14:solidFill>
          </w14:textFill>
        </w:rPr>
      </w:pPr>
    </w:p>
    <w:p>
      <w:pPr>
        <w:ind w:firstLine="1911" w:firstLineChars="595"/>
        <w:rPr>
          <w:rFonts w:ascii="宋体" w:hAnsi="宋体" w:cs="宋体"/>
          <w:b/>
          <w:bCs/>
          <w:color w:val="000000" w:themeColor="text1"/>
          <w:sz w:val="32"/>
          <w:szCs w:val="32"/>
          <w14:textFill>
            <w14:solidFill>
              <w14:schemeClr w14:val="tx1"/>
            </w14:solidFill>
          </w14:textFill>
        </w:rPr>
      </w:pPr>
    </w:p>
    <w:p>
      <w:pPr>
        <w:widowControl/>
        <w:adjustRightInd/>
        <w:jc w:val="left"/>
        <w:rPr>
          <w:rFonts w:ascii="宋体" w:hAnsi="宋体" w:cs="宋体"/>
          <w:b/>
          <w:bCs/>
          <w:color w:val="000000" w:themeColor="text1"/>
          <w:sz w:val="32"/>
          <w:szCs w:val="32"/>
          <w14:textFill>
            <w14:solidFill>
              <w14:schemeClr w14:val="tx1"/>
            </w14:solidFill>
          </w14:textFill>
        </w:rPr>
      </w:pPr>
      <w:r>
        <w:rPr>
          <w:rFonts w:ascii="宋体" w:hAnsi="宋体" w:cs="宋体"/>
          <w:b/>
          <w:bCs/>
          <w:color w:val="000000" w:themeColor="text1"/>
          <w:sz w:val="32"/>
          <w:szCs w:val="32"/>
          <w14:textFill>
            <w14:solidFill>
              <w14:schemeClr w14:val="tx1"/>
            </w14:solidFill>
          </w14:textFill>
        </w:rPr>
        <w:br w:type="page"/>
      </w:r>
    </w:p>
    <w:p>
      <w:pPr>
        <w:ind w:firstLine="1911" w:firstLineChars="595"/>
        <w:rPr>
          <w:rFonts w:ascii="宋体" w:hAnsi="宋体" w:cs="宋体"/>
          <w:b/>
          <w:color w:val="000000" w:themeColor="text1"/>
          <w:kern w:val="0"/>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八</w:t>
      </w:r>
      <w:r>
        <w:rPr>
          <w:rFonts w:hint="eastAsia" w:ascii="宋体" w:hAnsi="宋体" w:cs="宋体"/>
          <w:b/>
          <w:color w:val="000000" w:themeColor="text1"/>
          <w:kern w:val="0"/>
          <w:sz w:val="32"/>
          <w:szCs w:val="32"/>
          <w14:textFill>
            <w14:solidFill>
              <w14:schemeClr w14:val="tx1"/>
            </w14:solidFill>
          </w14:textFill>
        </w:rPr>
        <w:t>、</w:t>
      </w:r>
      <w:r>
        <w:rPr>
          <w:rFonts w:hint="eastAsia" w:ascii="宋体" w:hAnsi="宋体" w:cs="宋体"/>
          <w:b/>
          <w:color w:val="000000" w:themeColor="text1"/>
          <w:kern w:val="0"/>
          <w:sz w:val="32"/>
          <w:szCs w:val="32"/>
          <w:lang w:val="zh-CN"/>
          <w14:textFill>
            <w14:solidFill>
              <w14:schemeClr w14:val="tx1"/>
            </w14:solidFill>
          </w14:textFill>
        </w:rPr>
        <w:t>政府采购供应商廉洁自律承诺书</w:t>
      </w:r>
    </w:p>
    <w:p>
      <w:pPr>
        <w:snapToGrid w:val="0"/>
        <w:spacing w:line="360" w:lineRule="auto"/>
        <w:rPr>
          <w:rFonts w:ascii="宋体" w:hAnsi="宋体" w:cs="宋体"/>
          <w:color w:val="000000" w:themeColor="text1"/>
          <w:sz w:val="24"/>
          <w14:textFill>
            <w14:solidFill>
              <w14:schemeClr w14:val="tx1"/>
            </w14:solidFill>
          </w14:textFill>
        </w:rPr>
      </w:pP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杭州市丁桥医院、</w:t>
      </w:r>
      <w:r>
        <w:rPr>
          <w:rFonts w:hint="eastAsia" w:ascii="宋体" w:hAnsi="宋体" w:cs="宋体"/>
          <w:color w:val="000000" w:themeColor="text1"/>
          <w:sz w:val="24"/>
          <w:lang w:val="en-US" w:eastAsia="zh-CN"/>
          <w14:textFill>
            <w14:solidFill>
              <w14:schemeClr w14:val="tx1"/>
            </w14:solidFill>
          </w14:textFill>
        </w:rPr>
        <w:t>杭州广厦建筑咨询有限公司</w:t>
      </w:r>
      <w:r>
        <w:rPr>
          <w:rFonts w:hint="eastAsia" w:ascii="宋体" w:hAnsi="宋体" w:cs="宋体"/>
          <w:color w:val="000000" w:themeColor="text1"/>
          <w:kern w:val="0"/>
          <w:sz w:val="24"/>
          <w:lang w:val="zh-CN"/>
          <w14:textFill>
            <w14:solidFill>
              <w14:schemeClr w14:val="tx1"/>
            </w14:solidFill>
          </w14:textFill>
        </w:rPr>
        <w:t>：</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我单位响应你</w:t>
      </w:r>
      <w:r>
        <w:rPr>
          <w:rFonts w:hint="eastAsia" w:ascii="宋体" w:hAnsi="宋体" w:cs="宋体"/>
          <w:color w:val="000000" w:themeColor="text1"/>
          <w:sz w:val="24"/>
          <w14:textFill>
            <w14:solidFill>
              <w14:schemeClr w14:val="tx1"/>
            </w14:solidFill>
          </w14:textFill>
        </w:rPr>
        <w:t>单位</w:t>
      </w:r>
      <w:r>
        <w:rPr>
          <w:rFonts w:hint="eastAsia" w:ascii="宋体" w:hAnsi="宋体" w:cs="宋体"/>
          <w:color w:val="000000" w:themeColor="text1"/>
          <w:kern w:val="0"/>
          <w:sz w:val="24"/>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color w:val="000000" w:themeColor="text1"/>
          <w:kern w:val="0"/>
          <w:sz w:val="24"/>
          <w:lang w:val="zh-CN"/>
          <w14:textFill>
            <w14:solidFill>
              <w14:schemeClr w14:val="tx1"/>
            </w14:solidFill>
          </w14:textFill>
        </w:rPr>
        <w:t>六、严格遵守《</w:t>
      </w:r>
      <w:r>
        <w:rPr>
          <w:rFonts w:hint="eastAsia" w:ascii="宋体" w:hAnsi="宋体" w:cs="宋体"/>
          <w:color w:val="000000" w:themeColor="text1"/>
          <w:sz w:val="24"/>
          <w:lang w:val="zh-CN"/>
          <w14:textFill>
            <w14:solidFill>
              <w14:schemeClr w14:val="tx1"/>
            </w14:solidFill>
          </w14:textFill>
        </w:rPr>
        <w:t>中华人民共和国</w:t>
      </w:r>
      <w:r>
        <w:rPr>
          <w:rFonts w:hint="eastAsia" w:ascii="宋体" w:hAnsi="宋体" w:cs="宋体"/>
          <w:color w:val="000000" w:themeColor="text1"/>
          <w:kern w:val="0"/>
          <w:sz w:val="24"/>
          <w:lang w:val="zh-CN"/>
          <w14:textFill>
            <w14:solidFill>
              <w14:schemeClr w14:val="tx1"/>
            </w14:solidFill>
          </w14:textFill>
        </w:rPr>
        <w:t>政府采购法》</w:t>
      </w:r>
      <w:r>
        <w:rPr>
          <w:rFonts w:hint="eastAsia" w:ascii="宋体" w:hAnsi="宋体" w:cs="宋体"/>
          <w:kern w:val="0"/>
          <w:sz w:val="24"/>
          <w:lang w:val="zh-CN"/>
        </w:rPr>
        <w:t>《</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pPr>
      <w:r>
        <w:rPr>
          <w:rFonts w:hint="eastAsia" w:ascii="宋体" w:hAnsi="宋体" w:eastAsia="宋体" w:cs="宋体"/>
          <w:color w:val="000000" w:themeColor="text1"/>
          <w:kern w:val="2"/>
          <w:sz w:val="32"/>
          <w:szCs w:val="32"/>
          <w14:textFill>
            <w14:solidFill>
              <w14:schemeClr w14:val="tx1"/>
            </w14:solidFill>
          </w14:textFill>
        </w:rPr>
        <w:t>一、开标一览表（报价表）</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杭州市丁桥医院、</w:t>
      </w:r>
      <w:r>
        <w:rPr>
          <w:rFonts w:hint="eastAsia" w:ascii="宋体" w:hAnsi="宋体" w:cs="宋体"/>
          <w:color w:val="000000" w:themeColor="text1"/>
          <w:sz w:val="24"/>
          <w:lang w:val="en-US" w:eastAsia="zh-CN"/>
          <w14:textFill>
            <w14:solidFill>
              <w14:schemeClr w14:val="tx1"/>
            </w14:solidFill>
          </w14:textFill>
        </w:rPr>
        <w:t>杭州广厦建筑咨询有限公司</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482"/>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宋体" w:hAnsi="宋体" w:cs="宋体"/>
          <w:color w:val="000000" w:themeColor="text1"/>
          <w:sz w:val="24"/>
          <w14:textFill>
            <w14:solidFill>
              <w14:schemeClr w14:val="tx1"/>
            </w14:solidFill>
          </w14:textFill>
        </w:rPr>
        <w:t>杭州市丁桥医院手术室二期防护及净化系统</w:t>
      </w:r>
      <w:r>
        <w:rPr>
          <w:rFonts w:hint="eastAsia" w:ascii="宋体" w:hAnsi="宋体" w:cs="宋体"/>
          <w:color w:val="000000" w:themeColor="text1"/>
          <w:kern w:val="0"/>
          <w:sz w:val="24"/>
          <w:lang w:val="zh-CN"/>
          <w14:textFill>
            <w14:solidFill>
              <w14:schemeClr w14:val="tx1"/>
            </w14:solidFill>
          </w14:textFill>
        </w:rPr>
        <w:t>【招标编号：</w:t>
      </w:r>
      <w:r>
        <w:rPr>
          <w:rFonts w:hint="eastAsia" w:ascii="宋体" w:hAnsi="宋体" w:cs="宋体"/>
          <w:color w:val="000000" w:themeColor="text1"/>
          <w:sz w:val="24"/>
          <w:lang w:eastAsia="zh-CN"/>
          <w14:textFill>
            <w14:solidFill>
              <w14:schemeClr w14:val="tx1"/>
            </w14:solidFill>
          </w14:textFill>
        </w:rPr>
        <w:t>HZGX202304-001</w:t>
      </w:r>
      <w:r>
        <w:rPr>
          <w:rFonts w:hint="eastAsia" w:ascii="宋体" w:hAnsi="宋体" w:cs="宋体"/>
          <w:color w:val="000000" w:themeColor="text1"/>
          <w:sz w:val="24"/>
          <w14:textFill>
            <w14:solidFill>
              <w14:schemeClr w14:val="tx1"/>
            </w14:solidFill>
          </w14:textFill>
        </w:rPr>
        <w:t>】的实施</w:t>
      </w:r>
      <w:r>
        <w:rPr>
          <w:rFonts w:hint="eastAsia" w:ascii="宋体" w:hAnsi="宋体" w:cs="宋体"/>
          <w:color w:val="000000" w:themeColor="text1"/>
          <w:kern w:val="0"/>
          <w:sz w:val="24"/>
          <w:lang w:val="zh-CN"/>
          <w14:textFill>
            <w14:solidFill>
              <w14:schemeClr w14:val="tx1"/>
            </w14:solidFill>
          </w14:textFill>
        </w:rPr>
        <w:t>。</w:t>
      </w:r>
    </w:p>
    <w:p>
      <w:pPr>
        <w:spacing w:line="360" w:lineRule="auto"/>
        <w:jc w:val="center"/>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2"/>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投标报价（小写）</w:t>
            </w:r>
          </w:p>
        </w:tc>
        <w:tc>
          <w:tcPr>
            <w:tcW w:w="7655"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投标报价（大写）</w:t>
            </w:r>
          </w:p>
        </w:tc>
        <w:tc>
          <w:tcPr>
            <w:tcW w:w="7655"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bl>
    <w:p>
      <w:pPr>
        <w:snapToGrid w:val="0"/>
        <w:spacing w:line="360" w:lineRule="auto"/>
        <w:ind w:left="480"/>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注：</w:t>
      </w:r>
    </w:p>
    <w:p>
      <w:pPr>
        <w:spacing w:line="360" w:lineRule="auto"/>
        <w:ind w:left="-2" w:leftChars="-1"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1、投标人需按本表格式填写</w:t>
      </w:r>
      <w:r>
        <w:rPr>
          <w:rFonts w:hint="eastAsia" w:ascii="宋体" w:hAnsi="宋体" w:cs="宋体"/>
          <w:b/>
          <w:color w:val="000000" w:themeColor="text1"/>
          <w:kern w:val="0"/>
          <w:sz w:val="24"/>
          <w:lang w:val="zh-CN"/>
          <w14:textFill>
            <w14:solidFill>
              <w14:schemeClr w14:val="tx1"/>
            </w14:solidFill>
          </w14:textFill>
        </w:rPr>
        <w:t>，</w:t>
      </w:r>
      <w:r>
        <w:rPr>
          <w:rFonts w:hint="eastAsia" w:ascii="宋体" w:hAnsi="宋体" w:cs="宋体"/>
          <w:b/>
          <w:color w:val="000000" w:themeColor="text1"/>
          <w:kern w:val="0"/>
          <w:sz w:val="24"/>
          <w14:textFill>
            <w14:solidFill>
              <w14:schemeClr w14:val="tx1"/>
            </w14:solidFill>
          </w14:textFill>
        </w:rPr>
        <w:t>否则视为</w:t>
      </w:r>
      <w:r>
        <w:rPr>
          <w:rFonts w:hint="eastAsia" w:ascii="宋体" w:hAnsi="宋体" w:cs="宋体"/>
          <w:b/>
          <w:color w:val="000000" w:themeColor="text1"/>
          <w:sz w:val="24"/>
          <w14:textFill>
            <w14:solidFill>
              <w14:schemeClr w14:val="tx1"/>
            </w14:solidFill>
          </w14:textFill>
        </w:rPr>
        <w:t>投标文件含有采购人不能接受的附加条件，投标无效</w:t>
      </w:r>
      <w:r>
        <w:rPr>
          <w:rFonts w:hint="eastAsia" w:ascii="宋体" w:hAnsi="宋体" w:cs="宋体"/>
          <w:color w:val="000000" w:themeColor="text1"/>
          <w:kern w:val="0"/>
          <w:sz w:val="24"/>
          <w:lang w:val="zh-CN"/>
          <w14:textFill>
            <w14:solidFill>
              <w14:schemeClr w14:val="tx1"/>
            </w14:solidFill>
          </w14:textFill>
        </w:rPr>
        <w:t>。</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2、有关本项目实施所涉及的一切费用均计入报价。</w:t>
      </w:r>
      <w:r>
        <w:rPr>
          <w:rFonts w:hint="eastAsia" w:ascii="宋体" w:hAnsi="宋体" w:cs="宋体"/>
          <w:b/>
          <w:color w:val="000000" w:themeColor="text1"/>
          <w:kern w:val="0"/>
          <w:sz w:val="24"/>
          <w:lang w:val="zh-CN"/>
          <w14:textFill>
            <w14:solidFill>
              <w14:schemeClr w14:val="tx1"/>
            </w14:solidFill>
          </w14:textFill>
        </w:rPr>
        <w:t>采购人将以合同形式有偿取得货物或服务，不接受投标人给予的赠品、回扣或者与采购无关的其他商品、服务</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color w:val="000000" w:themeColor="text1"/>
          <w:kern w:val="0"/>
          <w:sz w:val="24"/>
          <w:lang w:val="zh-CN"/>
          <w14:textFill>
            <w14:solidFill>
              <w14:schemeClr w14:val="tx1"/>
            </w14:solidFill>
          </w14:textFill>
        </w:rPr>
        <w:t>不得出现“0元”“免费赠送”等形式的无偿报价，</w:t>
      </w:r>
      <w:r>
        <w:rPr>
          <w:rFonts w:hint="eastAsia" w:ascii="宋体" w:hAnsi="宋体" w:cs="宋体"/>
          <w:b/>
          <w:color w:val="000000" w:themeColor="text1"/>
          <w:kern w:val="0"/>
          <w:sz w:val="24"/>
          <w14:textFill>
            <w14:solidFill>
              <w14:schemeClr w14:val="tx1"/>
            </w14:solidFill>
          </w14:textFill>
        </w:rPr>
        <w:t>否则视为</w:t>
      </w:r>
      <w:r>
        <w:rPr>
          <w:rFonts w:hint="eastAsia" w:ascii="宋体" w:hAnsi="宋体" w:cs="宋体"/>
          <w:b/>
          <w:color w:val="000000" w:themeColor="text1"/>
          <w:sz w:val="24"/>
          <w14:textFill>
            <w14:solidFill>
              <w14:schemeClr w14:val="tx1"/>
            </w14:solidFill>
          </w14:textFill>
        </w:rPr>
        <w:t>投标文件含有采购人不能接受的附加条件，投标无效</w:t>
      </w:r>
      <w:r>
        <w:rPr>
          <w:rFonts w:hint="eastAsia" w:ascii="宋体" w:hAnsi="宋体" w:cs="宋体"/>
          <w:b/>
          <w:color w:val="000000" w:themeColor="text1"/>
          <w:kern w:val="0"/>
          <w:sz w:val="24"/>
          <w:lang w:val="zh-CN"/>
          <w14:textFill>
            <w14:solidFill>
              <w14:schemeClr w14:val="tx1"/>
            </w14:solidFill>
          </w14:textFill>
        </w:rPr>
        <w:t>；采购内容未包含在《开标一览表（报价表）》名称栏中，投标人不能作出合理解释的，</w:t>
      </w:r>
      <w:r>
        <w:rPr>
          <w:rFonts w:hint="eastAsia" w:ascii="宋体" w:hAnsi="宋体" w:cs="宋体"/>
          <w:b/>
          <w:color w:val="000000" w:themeColor="text1"/>
          <w:kern w:val="0"/>
          <w:sz w:val="24"/>
          <w14:textFill>
            <w14:solidFill>
              <w14:schemeClr w14:val="tx1"/>
            </w14:solidFill>
          </w14:textFill>
        </w:rPr>
        <w:t>视为</w:t>
      </w:r>
      <w:r>
        <w:rPr>
          <w:rFonts w:hint="eastAsia" w:ascii="宋体" w:hAnsi="宋体" w:cs="宋体"/>
          <w:b/>
          <w:color w:val="000000" w:themeColor="text1"/>
          <w:sz w:val="24"/>
          <w14:textFill>
            <w14:solidFill>
              <w14:schemeClr w14:val="tx1"/>
            </w14:solidFill>
          </w14:textFill>
        </w:rPr>
        <w:t>投标文件含有采购人不能接受的附加条件的，投标无效。</w:t>
      </w:r>
    </w:p>
    <w:p>
      <w:pPr>
        <w:snapToGrid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hint="eastAsia" w:ascii="宋体" w:hAnsi="宋体" w:cs="宋体"/>
          <w:color w:val="000000" w:themeColor="text1"/>
          <w:kern w:val="0"/>
          <w:sz w:val="24"/>
          <w:lang w:val="zh-CN"/>
          <w14:textFill>
            <w14:solidFill>
              <w14:schemeClr w14:val="tx1"/>
            </w14:solidFill>
          </w14:textFill>
        </w:rPr>
      </w:pPr>
      <w:r>
        <w:rPr>
          <w:rFonts w:ascii="宋体" w:hAnsi="宋体" w:cs="宋体"/>
          <w:color w:val="000000" w:themeColor="text1"/>
          <w:kern w:val="0"/>
          <w:sz w:val="24"/>
          <w:szCs w:val="22"/>
          <w:lang w:val="zh-CN"/>
          <w14:textFill>
            <w14:solidFill>
              <w14:schemeClr w14:val="tx1"/>
            </w14:solidFill>
          </w14:textFill>
        </w:rPr>
        <w:t>4</w:t>
      </w:r>
      <w:r>
        <w:rPr>
          <w:rFonts w:hint="eastAsia" w:ascii="宋体" w:hAnsi="宋体" w:cs="宋体"/>
          <w:color w:val="000000" w:themeColor="text1"/>
          <w:kern w:val="0"/>
          <w:sz w:val="24"/>
          <w:szCs w:val="22"/>
          <w:lang w:val="zh-CN"/>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2"/>
        <w:rPr>
          <w:rFonts w:hint="eastAsia" w:ascii="宋体" w:hAnsi="宋体" w:cs="宋体"/>
          <w:color w:val="FF0000"/>
          <w:kern w:val="0"/>
          <w:sz w:val="24"/>
          <w:lang w:val="zh-CN"/>
        </w:rPr>
      </w:pPr>
    </w:p>
    <w:p>
      <w:pPr>
        <w:jc w:val="center"/>
        <w:rPr>
          <w:rFonts w:hint="default" w:ascii="宋体" w:hAnsi="宋体" w:eastAsia="宋体" w:cs="宋体"/>
          <w:b/>
          <w:bCs/>
          <w:color w:val="000000" w:themeColor="text1"/>
          <w:kern w:val="0"/>
          <w:sz w:val="32"/>
          <w:szCs w:val="32"/>
          <w:lang w:val="en-US" w:eastAsia="zh-CN"/>
          <w14:textFill>
            <w14:solidFill>
              <w14:schemeClr w14:val="tx1"/>
            </w14:solidFill>
          </w14:textFill>
        </w:rPr>
      </w:pPr>
      <w:r>
        <w:rPr>
          <w:rFonts w:hint="eastAsia" w:ascii="宋体" w:hAnsi="宋体" w:cs="宋体"/>
          <w:b/>
          <w:bCs/>
          <w:color w:val="000000" w:themeColor="text1"/>
          <w:kern w:val="0"/>
          <w:sz w:val="32"/>
          <w:szCs w:val="32"/>
          <w:lang w:val="en-US" w:eastAsia="zh-CN"/>
          <w14:textFill>
            <w14:solidFill>
              <w14:schemeClr w14:val="tx1"/>
            </w14:solidFill>
          </w14:textFill>
        </w:rPr>
        <w:t>二、报价明细表</w:t>
      </w:r>
    </w:p>
    <w:tbl>
      <w:tblPr>
        <w:tblStyle w:val="63"/>
        <w:tblpPr w:leftFromText="180" w:rightFromText="180" w:vertAnchor="text" w:horzAnchor="page" w:tblpX="1233" w:tblpY="154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1450"/>
        <w:gridCol w:w="6271"/>
        <w:gridCol w:w="1011"/>
        <w:gridCol w:w="1233"/>
        <w:gridCol w:w="1583"/>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adjustRightInd w:val="0"/>
              <w:snapToGrid w:val="0"/>
              <w:spacing w:line="360" w:lineRule="auto"/>
              <w:jc w:val="center"/>
              <w:rPr>
                <w:rFonts w:hint="eastAsia" w:asciiTheme="minorEastAsia" w:hAnsiTheme="minorEastAsia" w:eastAsiaTheme="minorEastAsia" w:cstheme="minorEastAsia"/>
                <w:b/>
                <w:bCs/>
                <w:szCs w:val="21"/>
                <w:vertAlign w:val="baseline"/>
                <w:lang w:val="en-US" w:eastAsia="zh-CN"/>
              </w:rPr>
            </w:pPr>
            <w:r>
              <w:rPr>
                <w:rFonts w:hint="eastAsia" w:asciiTheme="minorEastAsia" w:hAnsiTheme="minorEastAsia" w:eastAsiaTheme="minorEastAsia" w:cstheme="minorEastAsia"/>
                <w:b/>
                <w:bCs/>
                <w:szCs w:val="21"/>
                <w:vertAlign w:val="baseline"/>
                <w:lang w:val="en-US" w:eastAsia="zh-CN"/>
              </w:rPr>
              <w:t>序号</w:t>
            </w:r>
          </w:p>
        </w:tc>
        <w:tc>
          <w:tcPr>
            <w:tcW w:w="1450" w:type="dxa"/>
            <w:vAlign w:val="center"/>
          </w:tcPr>
          <w:p>
            <w:pPr>
              <w:adjustRightInd w:val="0"/>
              <w:snapToGrid w:val="0"/>
              <w:spacing w:line="360" w:lineRule="auto"/>
              <w:jc w:val="center"/>
              <w:rPr>
                <w:rFonts w:hint="eastAsia" w:asciiTheme="minorEastAsia" w:hAnsiTheme="minorEastAsia" w:eastAsiaTheme="minorEastAsia" w:cstheme="minorEastAsia"/>
                <w:b/>
                <w:bCs/>
                <w:szCs w:val="21"/>
                <w:vertAlign w:val="baseline"/>
              </w:rPr>
            </w:pPr>
            <w:r>
              <w:rPr>
                <w:rFonts w:hint="eastAsia" w:asciiTheme="minorEastAsia" w:hAnsiTheme="minorEastAsia" w:eastAsiaTheme="minorEastAsia" w:cstheme="minorEastAsia"/>
                <w:b/>
                <w:bCs/>
                <w:szCs w:val="21"/>
                <w:vertAlign w:val="baseline"/>
              </w:rPr>
              <w:t>项目名称</w:t>
            </w:r>
          </w:p>
        </w:tc>
        <w:tc>
          <w:tcPr>
            <w:tcW w:w="6271" w:type="dxa"/>
            <w:vAlign w:val="center"/>
          </w:tcPr>
          <w:p>
            <w:pPr>
              <w:adjustRightInd w:val="0"/>
              <w:snapToGrid w:val="0"/>
              <w:spacing w:line="360" w:lineRule="auto"/>
              <w:jc w:val="center"/>
              <w:rPr>
                <w:rFonts w:hint="eastAsia" w:asciiTheme="minorEastAsia" w:hAnsiTheme="minorEastAsia" w:eastAsiaTheme="minorEastAsia" w:cstheme="minorEastAsia"/>
                <w:b/>
                <w:bCs/>
                <w:szCs w:val="21"/>
                <w:vertAlign w:val="baseline"/>
              </w:rPr>
            </w:pPr>
            <w:r>
              <w:rPr>
                <w:rFonts w:hint="eastAsia" w:asciiTheme="minorEastAsia" w:hAnsiTheme="minorEastAsia" w:eastAsiaTheme="minorEastAsia" w:cstheme="minorEastAsia"/>
                <w:b/>
                <w:bCs/>
                <w:szCs w:val="21"/>
                <w:vertAlign w:val="baseline"/>
              </w:rPr>
              <w:t>规格参数</w:t>
            </w:r>
          </w:p>
        </w:tc>
        <w:tc>
          <w:tcPr>
            <w:tcW w:w="1011" w:type="dxa"/>
            <w:vAlign w:val="center"/>
          </w:tcPr>
          <w:p>
            <w:pPr>
              <w:adjustRightInd w:val="0"/>
              <w:snapToGrid w:val="0"/>
              <w:spacing w:line="360" w:lineRule="auto"/>
              <w:jc w:val="center"/>
              <w:rPr>
                <w:rFonts w:hint="eastAsia" w:asciiTheme="minorEastAsia" w:hAnsiTheme="minorEastAsia" w:eastAsiaTheme="minorEastAsia" w:cstheme="minorEastAsia"/>
                <w:b/>
                <w:bCs/>
                <w:szCs w:val="21"/>
                <w:vertAlign w:val="baseline"/>
              </w:rPr>
            </w:pPr>
            <w:r>
              <w:rPr>
                <w:rFonts w:hint="eastAsia" w:asciiTheme="minorEastAsia" w:hAnsiTheme="minorEastAsia" w:eastAsiaTheme="minorEastAsia" w:cstheme="minorEastAsia"/>
                <w:b/>
                <w:bCs/>
                <w:szCs w:val="21"/>
                <w:vertAlign w:val="baseline"/>
              </w:rPr>
              <w:t>单位</w:t>
            </w:r>
          </w:p>
        </w:tc>
        <w:tc>
          <w:tcPr>
            <w:tcW w:w="1233" w:type="dxa"/>
            <w:vAlign w:val="center"/>
          </w:tcPr>
          <w:p>
            <w:pPr>
              <w:adjustRightInd w:val="0"/>
              <w:snapToGrid w:val="0"/>
              <w:spacing w:line="360" w:lineRule="auto"/>
              <w:jc w:val="center"/>
              <w:rPr>
                <w:rFonts w:hint="eastAsia" w:asciiTheme="minorEastAsia" w:hAnsiTheme="minorEastAsia" w:eastAsiaTheme="minorEastAsia" w:cstheme="minorEastAsia"/>
                <w:b/>
                <w:bCs/>
                <w:szCs w:val="21"/>
                <w:vertAlign w:val="baseline"/>
              </w:rPr>
            </w:pPr>
            <w:r>
              <w:rPr>
                <w:rFonts w:hint="eastAsia" w:asciiTheme="minorEastAsia" w:hAnsiTheme="minorEastAsia" w:eastAsiaTheme="minorEastAsia" w:cstheme="minorEastAsia"/>
                <w:b/>
                <w:bCs/>
                <w:szCs w:val="21"/>
                <w:vertAlign w:val="baseline"/>
              </w:rPr>
              <w:t>数量</w:t>
            </w:r>
          </w:p>
        </w:tc>
        <w:tc>
          <w:tcPr>
            <w:tcW w:w="1583" w:type="dxa"/>
            <w:vAlign w:val="center"/>
          </w:tcPr>
          <w:p>
            <w:pPr>
              <w:adjustRightInd w:val="0"/>
              <w:snapToGrid w:val="0"/>
              <w:spacing w:line="360" w:lineRule="auto"/>
              <w:jc w:val="center"/>
              <w:rPr>
                <w:rFonts w:hint="eastAsia" w:asciiTheme="minorEastAsia" w:hAnsiTheme="minorEastAsia" w:eastAsiaTheme="minorEastAsia" w:cstheme="minorEastAsia"/>
                <w:b/>
                <w:bCs/>
                <w:szCs w:val="21"/>
                <w:vertAlign w:val="baseline"/>
                <w:lang w:val="en-US" w:eastAsia="zh-CN"/>
              </w:rPr>
            </w:pPr>
            <w:r>
              <w:rPr>
                <w:rFonts w:hint="eastAsia" w:asciiTheme="minorEastAsia" w:hAnsiTheme="minorEastAsia" w:eastAsiaTheme="minorEastAsia" w:cstheme="minorEastAsia"/>
                <w:b/>
                <w:bCs/>
                <w:szCs w:val="21"/>
                <w:vertAlign w:val="baseline"/>
                <w:lang w:val="en-US" w:eastAsia="zh-CN"/>
              </w:rPr>
              <w:t>单价（元）</w:t>
            </w:r>
          </w:p>
        </w:tc>
        <w:tc>
          <w:tcPr>
            <w:tcW w:w="1986" w:type="dxa"/>
            <w:vAlign w:val="center"/>
          </w:tcPr>
          <w:p>
            <w:pPr>
              <w:adjustRightInd w:val="0"/>
              <w:snapToGrid w:val="0"/>
              <w:spacing w:line="360" w:lineRule="auto"/>
              <w:jc w:val="center"/>
              <w:rPr>
                <w:rFonts w:hint="eastAsia" w:asciiTheme="minorEastAsia" w:hAnsiTheme="minorEastAsia" w:eastAsiaTheme="minorEastAsia" w:cstheme="minorEastAsia"/>
                <w:b/>
                <w:bCs/>
                <w:szCs w:val="21"/>
                <w:vertAlign w:val="baseline"/>
                <w:lang w:val="en-US" w:eastAsia="zh-CN"/>
              </w:rPr>
            </w:pPr>
            <w:r>
              <w:rPr>
                <w:rFonts w:hint="eastAsia" w:asciiTheme="minorEastAsia" w:hAnsiTheme="minorEastAsia" w:eastAsiaTheme="minorEastAsia" w:cstheme="minorEastAsia"/>
                <w:b/>
                <w:bCs/>
                <w:szCs w:val="21"/>
                <w:vertAlign w:val="baseline"/>
                <w:lang w:val="en-US"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2mm防静电橡胶地面</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1、2mm防静电橡胶地板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2、3mm厚自流平                              </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3、开箱检查、安装</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平方</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default" w:ascii="Arial" w:hAnsi="Arial" w:eastAsia="宋体" w:cs="Arial"/>
                <w:i w:val="0"/>
                <w:iCs w:val="0"/>
                <w:color w:val="000000"/>
                <w:kern w:val="0"/>
                <w:sz w:val="20"/>
                <w:szCs w:val="20"/>
                <w:u w:val="none"/>
                <w:lang w:val="en-US" w:eastAsia="zh-CN" w:bidi="ar"/>
              </w:rPr>
              <w:t>156</w:t>
            </w:r>
          </w:p>
        </w:tc>
        <w:tc>
          <w:tcPr>
            <w:tcW w:w="1583" w:type="dxa"/>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2mm抗静电PVC地面</w:t>
            </w:r>
          </w:p>
        </w:tc>
        <w:tc>
          <w:tcPr>
            <w:tcW w:w="6271" w:type="dxa"/>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 xml:space="preserve">抗静电PVC地面                                    </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 xml:space="preserve">2、3mm厚自流平                                  </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3、开箱检查、安装</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平方</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default" w:ascii="Arial" w:hAnsi="Arial" w:eastAsia="宋体" w:cs="Arial"/>
                <w:i w:val="0"/>
                <w:iCs w:val="0"/>
                <w:color w:val="000000"/>
                <w:kern w:val="0"/>
                <w:sz w:val="20"/>
                <w:szCs w:val="20"/>
                <w:u w:val="none"/>
                <w:lang w:val="en-US" w:eastAsia="zh-CN" w:bidi="ar"/>
              </w:rPr>
              <w:t>156</w:t>
            </w:r>
          </w:p>
        </w:tc>
        <w:tc>
          <w:tcPr>
            <w:tcW w:w="1583" w:type="dxa"/>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DSA防辐射设备</w:t>
            </w:r>
          </w:p>
        </w:tc>
        <w:tc>
          <w:tcPr>
            <w:tcW w:w="6271" w:type="dxa"/>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 xml:space="preserve">DSA手术室配套防辐射基础设施安装                                        2、开箱检查、安装                           </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3、调试、验收</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项</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default" w:ascii="Arial" w:hAnsi="Arial" w:eastAsia="宋体" w:cs="Arial"/>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医用钢制铅防护气密自动平移门（单开）（ZD10Q4)</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1、不锈钢门框包边，进口导轨、电机、感应器，防火板门片，带观察窗，自动平移</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2、具备手动、半开、全开三种模式，防夹模式</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3、尺寸1000×2200mm，4个铅当量</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樘</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5</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医用钢制铅防护气密自动平移门（单开）（ZD15Q4)</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1、不锈钢门框包边，进口导轨、电机、感应器，防火板门片，带观察窗，自动平移</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2、具备手动、半开、全开三种模式，防夹模式</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3、尺寸1500×2200mm，4个铅当量</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樘</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6</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医用钢制气密自动平移门（单开）（ZD15)</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1、不锈钢门框包边，进口导轨、电机、感应器，防火板门片，带观察窗，自动平移</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2、具备手动、半开、全开三种模式，防夹模式</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3、尺寸1500×2200mm</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樘</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7</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单开医用钢制气密平开门（M10)</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1、成品钢质气密门，带观察窗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2、手动平开，带门吸</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3、尺寸1000×2200mm</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樘</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8</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医用钢制铅防护气密平开门（单开）（M10Q4)</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1、成品钢质气密门，带观察窗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2、手动平开，带门吸</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3、尺寸1000×2200mm，4个铅当量</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樘</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9</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双开医用钢制气密平开门(SM15)</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1、成品钢制气密门，带观察窗</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2、手动平开，带门吸</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3、尺寸1500×2200mm</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樘</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10</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医疗专用灯</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LED气密灯（长形）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1、一级光学导光板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2、50w LED照明</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3、尺寸1300×350</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24</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11</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医疗专用灯</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LED气密灯应急（长形）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1、一级光学导光板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2、50w LED照明</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3、尺寸1300×350</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18</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12</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医疗专用灯</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LED气密灯（长形）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1、一级光学导光板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2、45w LED照明</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3、尺寸1200×300</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20</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13</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医疗专用灯</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“手术中”指示灯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1、发光二极管显示</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2、用于手术室使用状态标示</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14</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医疗专用灯</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“射线中”指示灯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1、发光二极管显示</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2、用于手术室射线机使用状态标示</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15</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多功能控制面板</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1、规格900x600x100，32寸液晶显示屏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2、时钟、计时器；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3、空调系统开关机、运行状态显示和故障报警、温湿度显示、设置控制；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4、照明开关、无影灯开关；</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5、过滤器堵塞报警、绝缘监测及漏电保护报警、消防报警、医气系统监控报警；</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6、对讲呼叫、免提电话；</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7、手术中、放射操作指示</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8、内置检修</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16</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治疗电源插座箱</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1、不锈钢面框，CM1</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2、尺寸:900mm×250mm×100mm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3、4个220V 10A插座</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4、2个接地端子</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9</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17</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动力电源插座箱（带380v）</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1、不锈钢面框，CM2</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2、尺寸:900mm×250mm×100mm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3、1个三相380V 20A插座，3个220V 10A插座</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4、2个接地端子</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18</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嵌入式电脑柜</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1、柜体边框1.5厚304不锈钢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2、上平开门片采用1.2厚304不锈钢，舟形扣手304不锈钢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3、中间设置电脑操作台，预留3个五孔插座，2个网络接口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4、本体1.2厚304不锈钢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5、柜体面层喷涂同墙体颜色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6、箱体后背面衬6mm硅酸钙板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适用编号及尺寸：</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编号：电脑柜DNG</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尺寸：1200（宽）X1700（高）X400（厚）</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19</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嵌入式麻醉柜</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1、柜体边框1.5厚304不锈钢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2、平开门片采用1.2厚304不锈钢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3、舟形扣手304不锈钢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4、本体1.2厚304不锈钢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5、上下柜各内置2层高度可调不锈钢隔板，隔板竖向挂架孔需采用密封措施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6、柜体面层喷涂同墙体颜色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7、箱体后背面衬6mm硅酸钙板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适用编号及尺寸：</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编号：麻醉柜（MZG）</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尺寸：1200（宽）X1700（高）X400（厚）</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20</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嵌入式器械柜</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1、柜体边框1.5厚304不锈钢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2、平开门片采用1.2厚304不锈钢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3、舟形扣手304不锈钢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4、本体1.2厚304不锈钢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5、上下柜各内置2层高度可调不锈钢隔板，隔板竖向挂架孔需采用密封措施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6、柜体面层喷涂同墙体颜色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7、箱体后背面衬6mm硅酸钙板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适用编号及尺寸：</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编号：器械柜（QXG）</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尺寸：1200（宽）X1700（高）X400（厚）</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21</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嵌入式药品柜</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1、柜体边框1.5厚304不锈钢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2、平开门片采用1.2厚304不锈钢，中间设双抽屉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3、舟形扣手304不锈钢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4、本体1.2厚304不锈钢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5、上下柜各内置2层高度可调不</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锈钢隔板，隔板竖向挂架孔需采用密封措施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6、柜体面层喷涂同墙体颜色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7、箱体后背面衬6mm硅酸钙板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适用编号及尺寸：</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编号：药品柜YPG</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尺寸：1200（宽）X1700（高）X400（厚）</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22</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嵌入式收纳柜</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1、柜体边框1.5厚304不锈钢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2、平开门片采用1.2厚304不锈钢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3、舟形扣手304不锈钢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4、本体1.2厚304不锈钢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5、上下柜各内置2层高度可调不锈钢隔板，隔板竖向挂架孔需采用密封措施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6、柜体面层喷涂同墙体颜色</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7、箱体后背面衬6mm硅酸钙板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适用编号及尺寸：</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编号：收纳柜（SNG）</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尺寸：1200（宽）X1800（高）X400（厚）</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5</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23</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嵌入式导管柜</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1、前面框、移门框、平开门框1.2厚304不锈钢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2、成品导管架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3、平开门玻璃8厚浮法白玻璃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4、接地端子2厚铜板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5、舟形扣手304不锈钢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6、本体1.2厚304不锈钢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7、304不锈钢隔板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适用编号及尺寸：</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编号：导管柜</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尺寸：1200（宽）X1700（高）X400（厚）</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24</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保温柜(恒温培养箱）</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1、医用恒温培养箱</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2、气密封固定安装</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25</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保冷柜（血液储存箱）</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1、医用血液储藏箱</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2、气密封固定安装</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26</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直线型输液导轨</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1、输液吊轨直线</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2、平行式、每套含导轨2根吊勾4个</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6</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27</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cs="宋体"/>
                <w:i w:val="0"/>
                <w:iCs w:val="0"/>
                <w:color w:val="000000"/>
                <w:kern w:val="0"/>
                <w:sz w:val="20"/>
                <w:szCs w:val="20"/>
                <w:u w:val="none"/>
                <w:lang w:val="en-US" w:eastAsia="zh-CN" w:bidi="ar"/>
              </w:rPr>
              <w:t>空气处理机组</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1.名称:循环机组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AHU-4-1，</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2.规格:送风量≥11200m3/h，新风量≥1250m3/h，制冷量≥15KW，制热量≥45KW，余压≥650Pa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3.机械循环四管制</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4.含风机、表冷段、加热段、加湿段、灭菌装置、风机防震器、两级过滤器、软接</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28</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cs="宋体"/>
                <w:i w:val="0"/>
                <w:iCs w:val="0"/>
                <w:color w:val="000000"/>
                <w:kern w:val="0"/>
                <w:sz w:val="20"/>
                <w:szCs w:val="20"/>
                <w:u w:val="none"/>
                <w:lang w:val="en-US" w:eastAsia="zh-CN" w:bidi="ar"/>
              </w:rPr>
              <w:t>空气处理机组</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1.名称:循环机组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AHU-4-2，</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2.规格:送风量≥6700m3/h，新风量≥1400m3/h，制冷量≥9KW，制热量≥30KW，余压≥650Pa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3.机械循环四管制</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4.含风机、表冷段、加热段、加湿段、灭菌装置、风机防震器、两级过滤器、软接</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29</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cs="宋体"/>
                <w:i w:val="0"/>
                <w:iCs w:val="0"/>
                <w:color w:val="000000"/>
                <w:kern w:val="0"/>
                <w:sz w:val="20"/>
                <w:szCs w:val="20"/>
                <w:u w:val="none"/>
                <w:lang w:val="en-US" w:eastAsia="zh-CN" w:bidi="ar"/>
              </w:rPr>
              <w:t>空气处理机组</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1.名称:循环机组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AHU-419，</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2.规格:送风量≥4500m3/h，新风量≥2300m3/h，制冷量≥20.9KW，制热量≥17.1KW，余压≥650Pa</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3.机械循环四管制</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4.含风机、表冷段、加热段、加湿段、灭菌装置、风机防震器、两级过滤器、软接</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30</w:t>
            </w:r>
          </w:p>
        </w:tc>
        <w:tc>
          <w:tcPr>
            <w:tcW w:w="145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b/>
                <w:bCs/>
                <w:szCs w:val="21"/>
                <w:vertAlign w:val="baseline"/>
                <w:lang w:val="en-US"/>
              </w:rPr>
            </w:pPr>
            <w:r>
              <w:rPr>
                <w:rFonts w:hint="eastAsia" w:ascii="宋体" w:hAnsi="宋体" w:cs="宋体"/>
                <w:i w:val="0"/>
                <w:iCs w:val="0"/>
                <w:color w:val="000000"/>
                <w:kern w:val="0"/>
                <w:sz w:val="20"/>
                <w:szCs w:val="20"/>
                <w:u w:val="none"/>
                <w:lang w:val="en-US" w:eastAsia="zh-CN" w:bidi="ar"/>
              </w:rPr>
              <w:t>空气处理机组</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1.名称:自吸新风循环机组</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AHU-4-3，</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2.规格:风量≥2500m3/h，新风量≥900m3/h，制冷量≥24KW，制热量≥12KW，余压≥750Pa,氟盘管≥10KW</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3.机械循环四管制</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4.含风机、表冷段、氟盘管段、加热段、加湿段、灭菌装置、风机防震器、三级过滤器、软接</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31</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机组自控柜</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1.含系统控制系统</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2.含空调自控电管配线</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3.含柜体及支架</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32</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控制器</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控制面板</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1、对机组的启停、温湿度的控制</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2、数码显示</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33</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cs="宋体"/>
                <w:i w:val="0"/>
                <w:iCs w:val="0"/>
                <w:color w:val="000000"/>
                <w:kern w:val="0"/>
                <w:sz w:val="20"/>
                <w:szCs w:val="20"/>
                <w:u w:val="none"/>
                <w:lang w:val="en-US" w:eastAsia="zh-CN" w:bidi="ar"/>
              </w:rPr>
              <w:t>空气处理机组</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1.常年制冷空调</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2.规格:制冷量 5HP</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3.环保冷媒</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34</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干蒸汽加湿器</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1.加湿形式：干蒸汽</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2.规格：加湿量≥8kg/h</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35</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干蒸汽加湿器</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1.加湿形式：干蒸汽</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2.规格：加湿量≥12kg/h</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36</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干蒸汽加湿器</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1.加湿形式：干蒸汽</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2.规格：加湿量≥13kg/h</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37</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干蒸汽加湿器</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1.加湿形式：干蒸汽</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2.规格：加湿量≥19.1kg/h</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38</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变频器</w:t>
            </w:r>
          </w:p>
        </w:tc>
        <w:tc>
          <w:tcPr>
            <w:tcW w:w="627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default"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功率：</w:t>
            </w:r>
            <w:r>
              <w:rPr>
                <w:rFonts w:hint="default" w:ascii="Arial" w:hAnsi="Arial" w:eastAsia="宋体" w:cs="Arial"/>
                <w:i w:val="0"/>
                <w:iCs w:val="0"/>
                <w:color w:val="000000"/>
                <w:kern w:val="0"/>
                <w:sz w:val="20"/>
                <w:szCs w:val="20"/>
                <w:u w:val="none"/>
                <w:lang w:val="en-US" w:eastAsia="zh-CN" w:bidi="ar"/>
              </w:rPr>
              <w:t>3KW</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39</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变频器</w:t>
            </w:r>
          </w:p>
        </w:tc>
        <w:tc>
          <w:tcPr>
            <w:tcW w:w="627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default"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功率：</w:t>
            </w:r>
            <w:r>
              <w:rPr>
                <w:rFonts w:hint="default" w:ascii="Arial" w:hAnsi="Arial" w:eastAsia="宋体" w:cs="Arial"/>
                <w:i w:val="0"/>
                <w:iCs w:val="0"/>
                <w:color w:val="000000"/>
                <w:kern w:val="0"/>
                <w:sz w:val="20"/>
                <w:szCs w:val="20"/>
                <w:u w:val="none"/>
                <w:lang w:val="en-US" w:eastAsia="zh-CN" w:bidi="ar"/>
              </w:rPr>
              <w:t>4KW</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40</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变频器</w:t>
            </w:r>
          </w:p>
        </w:tc>
        <w:tc>
          <w:tcPr>
            <w:tcW w:w="627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default"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功率：</w:t>
            </w:r>
            <w:r>
              <w:rPr>
                <w:rFonts w:hint="default" w:ascii="Arial" w:hAnsi="Arial" w:eastAsia="宋体" w:cs="Arial"/>
                <w:i w:val="0"/>
                <w:iCs w:val="0"/>
                <w:color w:val="000000"/>
                <w:kern w:val="0"/>
                <w:sz w:val="20"/>
                <w:szCs w:val="20"/>
                <w:u w:val="none"/>
                <w:lang w:val="en-US" w:eastAsia="zh-CN" w:bidi="ar"/>
              </w:rPr>
              <w:t>7.5KW</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41</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天花板送风装置</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1.使用区域：I级手术室</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2.规格：OPL2.4/2.6</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3.材质：本体冷板喷塑</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4.含平铺高效过滤器</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42</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天花板送风装置</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1.使用区域：II级手术室</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2.规格：OPL1.8/2.6</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3.材质：本体冷板喷塑</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4.含平铺高效过滤器</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43</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天花板送风装置</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1.使用区域：III级手术室</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2.规格：OPL1.4/2.6</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3.材质：本体冷板喷塑</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4.含平铺高效过滤器</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44</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控制器</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嵌壁终端箱</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1、不锈钢制作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2、面层喷涂，颜色同墙体</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3、气体终端开孔</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台</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45</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气体终端</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氧气终端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(1)型号、规格:氧气  双密封、德式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(2)工程内容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1）安装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2）开箱检查、测试、调试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3）联动调试</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4）其他</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个</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46</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气体终端</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压缩空气终端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(1)型号、规格:压缩空气  双密封、德式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(2)工程内容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1）安装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2）开箱检查、测试、调试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3）联动调试</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4）其他</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个</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47</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气体终端</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负压吸引终端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(1)型号、规格:负压吸引  双密封、德式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(2)工程内容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1）安装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2）开箱检查、测试、调试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3）联动调试</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4）其他</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个</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48</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气体终端</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氮气终端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(1)型号、规格:氮气  双密封、德式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(2)工程内容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1）安装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2）开箱检查、测试、调试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3）联动调试</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4）其他</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个</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49</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气体终端</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二氧化碳终端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(1)型号、规格:二氧化碳  双密封、德式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(2)工程内容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1）安装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2）开箱检查、测试、调试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3）联动调试</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4）其他</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个</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50</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气体终端</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麻醉废气排放终端</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(1)型号、规格:麻醉废气  双密封、德式</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(2)工程内容</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1）安装</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2）开箱检查、测试、调试</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3）联动调试</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4）其他</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个</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51</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DSA设备专用配套电缆</w:t>
            </w:r>
          </w:p>
        </w:tc>
        <w:tc>
          <w:tcPr>
            <w:tcW w:w="627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1）规格：WDZB-YJY 4*150+1*95mm2                                                                                        2)、安装、检查、联动调试</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项</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52</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手术隔离电源一体机</w:t>
            </w:r>
          </w:p>
        </w:tc>
        <w:tc>
          <w:tcPr>
            <w:tcW w:w="6271" w:type="dxa"/>
            <w:vAlign w:val="center"/>
          </w:tcPr>
          <w:p>
            <w:pPr>
              <w:keepNext w:val="0"/>
              <w:keepLines w:val="0"/>
              <w:widowControl/>
              <w:numPr>
                <w:ilvl w:val="0"/>
                <w:numId w:val="15"/>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配电箱系统                              </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 xml:space="preserve">IT电源系统                            </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 xml:space="preserve">UPS电源系统                                       </w:t>
            </w:r>
          </w:p>
          <w:p>
            <w:pPr>
              <w:keepNext w:val="0"/>
              <w:keepLines w:val="0"/>
              <w:widowControl/>
              <w:numPr>
                <w:ilvl w:val="0"/>
                <w:numId w:val="0"/>
              </w:numPr>
              <w:suppressLineNumbers w:val="0"/>
              <w:ind w:leftChars="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安装、检查、联动调试</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套</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53</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墙放射防护工程</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1）50x30x1.5镀锌方管龙骨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2）12mm防火石膏板                            </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 xml:space="preserve">4mm铅板铆接                                       </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4) 连接处防护处理</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项</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54</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地放射防护工程</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1、40mm厚4：1硫酸钡水泥防护</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2、20mm厚1：2.5水泥砂浆保护层</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项</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55</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顶放射防护工程</w:t>
            </w:r>
          </w:p>
        </w:tc>
        <w:tc>
          <w:tcPr>
            <w:tcW w:w="6271"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铅板防护顶面处理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1、50x30高承重方管龙骨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2、3mm铅板铆接</w:t>
            </w:r>
          </w:p>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3、连接处防护处理</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项</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56</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其余配套手术室装饰安装部分</w:t>
            </w:r>
          </w:p>
        </w:tc>
        <w:tc>
          <w:tcPr>
            <w:tcW w:w="627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本项目为总价包干“交钥匙”项目。达到采购需求及图纸要求的其他配套的装饰安装部分的所有工作</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项</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57</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其余配套电气部分工作</w:t>
            </w:r>
          </w:p>
        </w:tc>
        <w:tc>
          <w:tcPr>
            <w:tcW w:w="627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本项目为总价包干“交钥匙”项目。达到采购需求及图纸要求的其他配套的电气的所有工作</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项</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58</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其余配套暖通部分工作</w:t>
            </w:r>
          </w:p>
        </w:tc>
        <w:tc>
          <w:tcPr>
            <w:tcW w:w="627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本项目为总价包干“交钥匙”项目。达到采购需求及图纸要求的其他配套的暖通部分的所有工作</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项</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59</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其余配套医用气体部分工作</w:t>
            </w:r>
          </w:p>
        </w:tc>
        <w:tc>
          <w:tcPr>
            <w:tcW w:w="627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本项目为总价包干“交钥匙”项目。达到采购需求及图纸要求的其他配套的医用气体的所有工作</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项</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60</w:t>
            </w:r>
          </w:p>
        </w:tc>
        <w:tc>
          <w:tcPr>
            <w:tcW w:w="14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其他</w:t>
            </w:r>
          </w:p>
        </w:tc>
        <w:tc>
          <w:tcPr>
            <w:tcW w:w="627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本项目为总价包干“交钥匙”项目。达到采购需求及图纸要求的其他所有工作。</w:t>
            </w:r>
          </w:p>
        </w:tc>
        <w:tc>
          <w:tcPr>
            <w:tcW w:w="10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项</w:t>
            </w:r>
          </w:p>
        </w:tc>
        <w:tc>
          <w:tcPr>
            <w:tcW w:w="12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Cs w:val="21"/>
                <w:vertAlign w:val="baseline"/>
              </w:rPr>
            </w:pPr>
            <w:r>
              <w:rPr>
                <w:rFonts w:hint="eastAsia" w:ascii="宋体" w:hAnsi="宋体" w:eastAsia="宋体" w:cs="宋体"/>
                <w:i w:val="0"/>
                <w:iCs w:val="0"/>
                <w:color w:val="000000"/>
                <w:kern w:val="0"/>
                <w:sz w:val="20"/>
                <w:szCs w:val="20"/>
                <w:u w:val="none"/>
                <w:lang w:val="en-US" w:eastAsia="zh-CN" w:bidi="ar"/>
              </w:rPr>
              <w:t>1</w:t>
            </w:r>
          </w:p>
        </w:tc>
        <w:tc>
          <w:tcPr>
            <w:tcW w:w="15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45" w:type="dxa"/>
            <w:gridSpan w:val="6"/>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合计</w:t>
            </w:r>
          </w:p>
        </w:tc>
        <w:tc>
          <w:tcPr>
            <w:tcW w:w="1986" w:type="dxa"/>
            <w:vAlign w:val="center"/>
          </w:tcPr>
          <w:p>
            <w:pPr>
              <w:keepNext w:val="0"/>
              <w:keepLines w:val="0"/>
              <w:widowControl/>
              <w:suppressLineNumbers w:val="0"/>
              <w:jc w:val="both"/>
              <w:textAlignment w:val="center"/>
              <w:rPr>
                <w:rFonts w:hint="eastAsia"/>
                <w:lang w:val="en-US" w:eastAsia="zh-CN"/>
              </w:rPr>
            </w:pPr>
            <w:r>
              <w:rPr>
                <w:rFonts w:hint="eastAsia"/>
                <w:lang w:val="en-US" w:eastAsia="zh-CN"/>
              </w:rPr>
              <w:t>小写：</w:t>
            </w:r>
          </w:p>
          <w:p>
            <w:pPr>
              <w:pStyle w:val="2"/>
              <w:rPr>
                <w:rFonts w:hint="default"/>
                <w:lang w:val="en-US" w:eastAsia="zh-CN"/>
              </w:rPr>
            </w:pPr>
            <w:r>
              <w:rPr>
                <w:rFonts w:hint="eastAsia" w:ascii="宋体" w:hAnsi="宋体" w:cs="宋体"/>
                <w:i w:val="0"/>
                <w:iCs w:val="0"/>
                <w:color w:val="000000"/>
                <w:kern w:val="0"/>
                <w:sz w:val="20"/>
                <w:szCs w:val="20"/>
                <w:u w:val="none"/>
                <w:lang w:val="en-US" w:eastAsia="zh-CN" w:bidi="ar"/>
              </w:rPr>
              <w:t>大写：</w:t>
            </w:r>
          </w:p>
        </w:tc>
      </w:tr>
    </w:tbl>
    <w:p>
      <w:pPr>
        <w:pStyle w:val="690"/>
        <w:keepNext w:val="0"/>
        <w:pageBreakBefore w:val="0"/>
        <w:tabs>
          <w:tab w:val="clear" w:pos="720"/>
        </w:tabs>
        <w:snapToGrid w:val="0"/>
        <w:spacing w:before="120" w:after="120"/>
        <w:jc w:val="both"/>
        <w:outlineLvl w:val="9"/>
        <w:rPr>
          <w:rFonts w:ascii="宋体" w:hAnsi="宋体" w:eastAsia="宋体" w:cs="宋体"/>
          <w:kern w:val="2"/>
          <w:sz w:val="32"/>
          <w:szCs w:val="32"/>
        </w:rPr>
      </w:pPr>
    </w:p>
    <w:p>
      <w:pPr>
        <w:pStyle w:val="690"/>
        <w:keepNext w:val="0"/>
        <w:pageBreakBefore w:val="0"/>
        <w:tabs>
          <w:tab w:val="clear" w:pos="720"/>
        </w:tabs>
        <w:snapToGrid w:val="0"/>
        <w:spacing w:before="120" w:after="120"/>
        <w:jc w:val="left"/>
        <w:outlineLvl w:val="9"/>
        <w:rPr>
          <w:rFonts w:hint="eastAsia"/>
          <w:sz w:val="32"/>
          <w:szCs w:val="40"/>
          <w:lang w:val="en-US" w:eastAsia="zh-CN"/>
        </w:rPr>
      </w:pPr>
      <w:r>
        <w:rPr>
          <w:rFonts w:hint="eastAsia"/>
          <w:sz w:val="32"/>
          <w:szCs w:val="40"/>
          <w:lang w:val="en-US" w:eastAsia="zh-CN"/>
        </w:rPr>
        <w:t>备注：</w:t>
      </w:r>
    </w:p>
    <w:p>
      <w:pPr>
        <w:pStyle w:val="690"/>
        <w:keepNext w:val="0"/>
        <w:pageBreakBefore w:val="0"/>
        <w:tabs>
          <w:tab w:val="clear" w:pos="720"/>
        </w:tabs>
        <w:snapToGrid w:val="0"/>
        <w:spacing w:before="120" w:after="120"/>
        <w:jc w:val="left"/>
        <w:outlineLvl w:val="9"/>
        <w:rPr>
          <w:rFonts w:hint="eastAsia"/>
          <w:sz w:val="22"/>
          <w:szCs w:val="28"/>
          <w:lang w:val="en-US" w:eastAsia="zh-CN"/>
        </w:rPr>
      </w:pPr>
      <w:r>
        <w:rPr>
          <w:rFonts w:hint="eastAsia"/>
          <w:sz w:val="22"/>
          <w:szCs w:val="28"/>
          <w:lang w:val="en-US" w:eastAsia="zh-CN"/>
        </w:rPr>
        <w:t>1、报价明细表“合计”栏价格应与开标一览表报价一致。</w:t>
      </w:r>
    </w:p>
    <w:p>
      <w:pPr>
        <w:pStyle w:val="690"/>
        <w:keepNext w:val="0"/>
        <w:pageBreakBefore w:val="0"/>
        <w:tabs>
          <w:tab w:val="clear" w:pos="720"/>
        </w:tabs>
        <w:snapToGrid w:val="0"/>
        <w:spacing w:before="120" w:after="120"/>
        <w:jc w:val="left"/>
        <w:outlineLvl w:val="9"/>
        <w:rPr>
          <w:rFonts w:hint="eastAsia"/>
          <w:sz w:val="22"/>
          <w:szCs w:val="28"/>
          <w:lang w:val="en-US" w:eastAsia="zh-CN"/>
        </w:rPr>
      </w:pPr>
      <w:r>
        <w:rPr>
          <w:rFonts w:hint="eastAsia"/>
          <w:sz w:val="22"/>
          <w:szCs w:val="28"/>
          <w:lang w:val="en-US" w:eastAsia="zh-CN"/>
        </w:rPr>
        <w:t>2、本项目为总价包干“交钥匙”项目，以上所有项目内容均含配套的货物、安装、人工、机械、配送、售后、社保、税金等所有费用。</w:t>
      </w:r>
    </w:p>
    <w:p>
      <w:pPr>
        <w:pStyle w:val="690"/>
        <w:keepNext w:val="0"/>
        <w:pageBreakBefore w:val="0"/>
        <w:tabs>
          <w:tab w:val="clear" w:pos="720"/>
        </w:tabs>
        <w:snapToGrid w:val="0"/>
        <w:spacing w:before="120" w:after="120"/>
        <w:jc w:val="left"/>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r>
        <w:rPr>
          <w:rFonts w:hint="eastAsia"/>
          <w:sz w:val="22"/>
          <w:szCs w:val="28"/>
          <w:lang w:val="en-US" w:eastAsia="zh-CN"/>
        </w:rPr>
        <w:t>3、为投标人更了解本项目需求，随招标文件一并发布的EXCEL版招标清单，EXCEL招标清单仅为本项目的补充附件，实际报价以上述清单进行报价。</w:t>
      </w:r>
    </w:p>
    <w:p>
      <w:pPr>
        <w:pStyle w:val="690"/>
        <w:keepNext w:val="0"/>
        <w:pageBreakBefore w:val="0"/>
        <w:tabs>
          <w:tab w:val="clear" w:pos="720"/>
        </w:tabs>
        <w:snapToGrid w:val="0"/>
        <w:spacing w:before="120" w:after="120"/>
        <w:jc w:val="center"/>
        <w:outlineLvl w:val="9"/>
        <w:rPr>
          <w:rFonts w:ascii="宋体" w:hAnsi="宋体" w:eastAsia="宋体" w:cs="宋体"/>
          <w:color w:val="FF0000"/>
          <w:sz w:val="32"/>
          <w:szCs w:val="32"/>
        </w:rPr>
      </w:pPr>
      <w:r>
        <w:rPr>
          <w:rFonts w:hint="eastAsia" w:ascii="宋体" w:hAnsi="宋体" w:eastAsia="宋体" w:cs="宋体"/>
          <w:color w:val="FF0000"/>
          <w:kern w:val="2"/>
          <w:sz w:val="32"/>
          <w:szCs w:val="32"/>
          <w:lang w:val="en-US" w:eastAsia="zh-CN"/>
        </w:rPr>
        <w:t>三</w:t>
      </w:r>
      <w:r>
        <w:rPr>
          <w:rFonts w:hint="eastAsia" w:ascii="宋体" w:hAnsi="宋体" w:eastAsia="宋体" w:cs="宋体"/>
          <w:color w:val="FF0000"/>
          <w:kern w:val="2"/>
          <w:sz w:val="32"/>
          <w:szCs w:val="32"/>
        </w:rPr>
        <w:t>、</w:t>
      </w:r>
      <w:r>
        <w:rPr>
          <w:rFonts w:hint="eastAsia" w:ascii="宋体" w:hAnsi="宋体" w:eastAsia="宋体" w:cs="宋体"/>
          <w:color w:val="FF0000"/>
          <w:sz w:val="32"/>
          <w:szCs w:val="32"/>
        </w:rPr>
        <w:t>中小企业声明函</w:t>
      </w:r>
      <w:bookmarkStart w:id="409" w:name="_Hlk101259491"/>
      <w:r>
        <w:rPr>
          <w:rFonts w:hint="eastAsia" w:ascii="宋体" w:hAnsi="宋体" w:eastAsia="宋体" w:cs="宋体"/>
          <w:color w:val="FF0000"/>
          <w:sz w:val="32"/>
          <w:szCs w:val="32"/>
        </w:rPr>
        <w:t>（如果有）</w:t>
      </w:r>
      <w:bookmarkEnd w:id="409"/>
    </w:p>
    <w:p>
      <w:pPr>
        <w:widowControl/>
        <w:spacing w:line="360" w:lineRule="auto"/>
        <w:ind w:firstLine="120" w:firstLineChars="50"/>
        <w:jc w:val="left"/>
        <w:rPr>
          <w:rFonts w:ascii="宋体" w:hAnsi="宋体" w:cs="宋体"/>
          <w:b/>
          <w:color w:val="FF0000"/>
          <w:sz w:val="24"/>
        </w:rPr>
      </w:pPr>
      <w:r>
        <w:rPr>
          <w:rFonts w:hint="eastAsia" w:ascii="宋体" w:hAnsi="宋体" w:cs="宋体"/>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rPr>
        <w:t>7</w:t>
      </w:r>
      <w:r>
        <w:rPr>
          <w:rFonts w:hint="eastAsia" w:ascii="宋体" w:hAnsi="宋体" w:cs="宋体"/>
          <w:b/>
          <w:color w:val="FF0000"/>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color w:val="FF000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410" w:name="_Toc465665161"/>
      <w:r>
        <w:rPr>
          <w:rFonts w:hint="eastAsia" w:ascii="宋体" w:hAnsi="宋体" w:cs="宋体"/>
        </w:rPr>
        <w:t>附件</w:t>
      </w:r>
      <w:bookmarkEnd w:id="410"/>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411" w:name="OLE_LINK13"/>
      <w:bookmarkStart w:id="412" w:name="OLE_LINK14"/>
      <w:r>
        <w:rPr>
          <w:rFonts w:hint="eastAsia" w:ascii="宋体" w:hAnsi="宋体" w:cs="宋体"/>
          <w:b/>
          <w:spacing w:val="6"/>
          <w:sz w:val="32"/>
          <w:szCs w:val="32"/>
        </w:rPr>
        <w:t>残疾人福利性单位声明函</w:t>
      </w:r>
    </w:p>
    <w:bookmarkEnd w:id="411"/>
    <w:bookmarkEnd w:id="412"/>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FF"/>
          <w:sz w:val="24"/>
          <w:u w:val="single"/>
        </w:rPr>
        <w:t>（采购人）</w:t>
      </w:r>
      <w:r>
        <w:rPr>
          <w:rFonts w:hint="eastAsia" w:ascii="宋体" w:hAnsi="宋体" w:cs="宋体"/>
          <w:sz w:val="24"/>
        </w:rPr>
        <w:t>_单位的_</w:t>
      </w:r>
      <w:r>
        <w:rPr>
          <w:rFonts w:hint="eastAsia" w:ascii="宋体" w:hAnsi="宋体" w:cs="宋体"/>
          <w:color w:val="0000FF"/>
          <w:sz w:val="24"/>
          <w:u w:val="single"/>
        </w:rPr>
        <w:t>（项目名称）</w:t>
      </w:r>
      <w:r>
        <w:rPr>
          <w:rFonts w:hint="eastAsia" w:ascii="宋体" w:hAnsi="宋体" w:cs="宋体"/>
          <w:color w:val="0000FF"/>
          <w:sz w:val="24"/>
        </w:rPr>
        <w:t>_</w:t>
      </w:r>
      <w:r>
        <w:rPr>
          <w:rFonts w:hint="eastAsia" w:ascii="宋体" w:hAnsi="宋体" w:cs="宋体"/>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color w:val="0000FF"/>
          <w:sz w:val="24"/>
          <w:u w:val="single"/>
        </w:rPr>
      </w:pPr>
    </w:p>
    <w:p>
      <w:pPr>
        <w:spacing w:line="360" w:lineRule="auto"/>
        <w:rPr>
          <w:rFonts w:ascii="宋体" w:hAnsi="宋体" w:cs="宋体"/>
          <w:sz w:val="24"/>
        </w:rPr>
      </w:pPr>
      <w:r>
        <w:rPr>
          <w:rFonts w:hint="eastAsia" w:ascii="宋体" w:hAnsi="宋体" w:cs="宋体"/>
          <w:color w:val="0000FF"/>
          <w:sz w:val="24"/>
        </w:rPr>
        <w:t>杭州市丁桥医院</w:t>
      </w:r>
      <w:r>
        <w:rPr>
          <w:rFonts w:hint="eastAsia" w:ascii="宋体" w:hAnsi="宋体" w:cs="宋体"/>
          <w:sz w:val="24"/>
          <w:u w:val="single"/>
        </w:rPr>
        <w:t>、</w:t>
      </w:r>
      <w:r>
        <w:rPr>
          <w:rFonts w:hint="eastAsia" w:ascii="宋体" w:hAnsi="宋体" w:cs="宋体"/>
          <w:sz w:val="24"/>
          <w:u w:val="single"/>
          <w:lang w:val="en-US" w:eastAsia="zh-CN"/>
        </w:rPr>
        <w:t>杭州广厦建筑咨询有限公司</w:t>
      </w:r>
      <w:r>
        <w:rPr>
          <w:rFonts w:hint="eastAsia" w:ascii="宋体" w:hAnsi="宋体" w:cs="宋体"/>
          <w:sz w:val="24"/>
          <w:u w:val="single"/>
        </w:rPr>
        <w:t>：</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color w:val="0000FF"/>
          <w:sz w:val="24"/>
        </w:rPr>
        <w:t>杭州市丁桥医院手术室二期防护及净化系统</w:t>
      </w:r>
      <w:r>
        <w:rPr>
          <w:rFonts w:hint="eastAsia" w:ascii="宋体" w:hAnsi="宋体" w:cs="宋体"/>
          <w:sz w:val="24"/>
        </w:rPr>
        <w:t>【招标编号：</w:t>
      </w:r>
      <w:r>
        <w:rPr>
          <w:rFonts w:hint="eastAsia" w:ascii="宋体" w:hAnsi="宋体" w:cs="宋体"/>
          <w:color w:val="FF0000"/>
          <w:sz w:val="24"/>
          <w:lang w:eastAsia="zh-CN"/>
        </w:rPr>
        <w:t>HZGX202304-001</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5</w:t>
      </w:r>
      <w:r>
        <w:rPr>
          <w:rFonts w:hint="eastAsia" w:ascii="宋体" w:hAnsi="宋体" w:cs="宋体"/>
          <w:b/>
          <w:kern w:val="0"/>
          <w:sz w:val="32"/>
          <w:szCs w:val="32"/>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0000FF"/>
          <w:sz w:val="24"/>
        </w:rPr>
        <w:t>杭州市丁桥医院手术室二期防护及净化系统</w:t>
      </w:r>
      <w:r>
        <w:rPr>
          <w:rFonts w:hint="eastAsia" w:ascii="宋体" w:hAnsi="宋体" w:cs="宋体"/>
          <w:sz w:val="24"/>
        </w:rPr>
        <w:t>【招标编号：</w:t>
      </w:r>
      <w:r>
        <w:rPr>
          <w:rFonts w:hint="eastAsia" w:ascii="宋体" w:hAnsi="宋体" w:cs="宋体"/>
          <w:color w:val="FF0000"/>
          <w:sz w:val="24"/>
          <w:lang w:eastAsia="zh-CN"/>
        </w:rPr>
        <w:t>HZGX202304-001</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bookmarkStart w:id="413"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413"/>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6</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lang w:eastAsia="zh-CN"/>
        </w:rPr>
        <w:t>HZGX202304-001</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4"/>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……）提供的货物全部由小微企业制造，</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14"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bookmarkEnd w:id="414"/>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outlineLvl w:val="0"/>
        <w:rPr>
          <w:rFonts w:ascii="宋体" w:hAnsi="宋体" w:cs="宋体"/>
          <w:b/>
          <w:kern w:val="0"/>
          <w:sz w:val="44"/>
          <w:szCs w:val="44"/>
        </w:rPr>
      </w:pPr>
      <w:r>
        <w:rPr>
          <w:rFonts w:hint="eastAsia" w:ascii="宋体" w:hAnsi="宋体" w:cs="宋体"/>
          <w:b/>
          <w:kern w:val="0"/>
          <w:sz w:val="44"/>
          <w:szCs w:val="44"/>
        </w:rPr>
        <w:t>附件</w:t>
      </w:r>
      <w:r>
        <w:rPr>
          <w:rFonts w:ascii="宋体" w:hAnsi="宋体" w:cs="宋体"/>
          <w:b/>
          <w:kern w:val="0"/>
          <w:sz w:val="44"/>
          <w:szCs w:val="44"/>
        </w:rPr>
        <w:t>7</w:t>
      </w:r>
      <w:r>
        <w:rPr>
          <w:rFonts w:hint="eastAsia" w:ascii="宋体" w:hAnsi="宋体" w:cs="宋体"/>
          <w:b/>
          <w:kern w:val="0"/>
          <w:sz w:val="44"/>
          <w:szCs w:val="44"/>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中小企业声明函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本公司（联合体）郑重声明，根据《政府采购促进中小企业发展管理办法》（财库﹝2020﹞46 号）的规定，本公司（联合体）参加 杭州市丁桥医院</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的 </w:t>
      </w:r>
      <w:r>
        <w:rPr>
          <w:rFonts w:hint="eastAsia" w:ascii="宋体" w:hAnsi="宋体" w:cs="宋体"/>
          <w:color w:val="000000" w:themeColor="text1"/>
          <w:sz w:val="24"/>
          <w:u w:val="single"/>
          <w14:textFill>
            <w14:solidFill>
              <w14:schemeClr w14:val="tx1"/>
            </w14:solidFill>
          </w14:textFill>
        </w:rPr>
        <w:t>手术室二期防护及净化系统</w:t>
      </w:r>
      <w:r>
        <w:rPr>
          <w:rFonts w:hint="eastAsia" w:ascii="宋体" w:hAnsi="宋体" w:cs="宋体"/>
          <w:color w:val="000000" w:themeColor="text1"/>
          <w:sz w:val="24"/>
          <w14:textFill>
            <w14:solidFill>
              <w14:schemeClr w14:val="tx1"/>
            </w14:solidFill>
          </w14:textFill>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采购清单第一项：2mm防静电橡胶地面</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采购清单第二项：2mm抗静电PVC地面</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采购清单第三项：DSA防辐射设备</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采购清单第四项：医用钢制铅防护气密自动平移门（单开）（ZD10Q4)</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采购清单第五项：医用钢制铅防护气密自动平移门（单开）（ZD15Q4)</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采购清单第六项：医用钢制气密自动平移门（单开）（ZD15)</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采购清单第七项：单开医用钢制气密平开门（M10)</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采购清单第八项：医用钢制铅防护气密平开门（单开）（M10Q4)</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采购清单第九项：双开医用钢制气密平开门(SM15)</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采购清单第十项：医疗专用灯</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采购清单第十一项：医疗专用灯：</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12</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采购清单第十二项：医疗专用灯</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13</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采购清单第十三项：医疗专用灯</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14</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采购清单第十四项：医疗专用灯</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采购清单第十五项：多功能控制面板</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16</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采购清单第十六项：治疗电源插座箱</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17</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采购清单第十七项：动力电源插座箱（带380v）</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18</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采购清单第十八项：嵌入式电脑柜</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19</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采购清单第十九项：嵌入式麻醉柜</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en-US" w:eastAsia="zh-CN"/>
          <w14:textFill>
            <w14:solidFill>
              <w14:schemeClr w14:val="tx1"/>
            </w14:solidFill>
          </w14:textFill>
        </w:rPr>
        <w:t>0</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采购清单第二十项：嵌入式器械柜</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采购清单第二十一项：嵌入式药品柜</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采购清单第二十二项：嵌入式收纳柜</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23</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采购清单第二十三项：嵌入式导管柜</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24</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采购清单第二十四项：保温柜(恒温培养箱）</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25</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采购清单第二十五项：保冷柜（血液储存箱）</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26</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采购清单第二十六项：直线型输液导轨</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27</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采购清单第二十七项：空气处理机组</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28</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采购清单第二十八项：空气处理机组</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29</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采购清单第二十九项：空气处理机组</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30</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采购清单第三十项：空气处理机组</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31</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采购清单第三十一项：机组自控柜</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32</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采购清单第三十二项：控制器</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33</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采购清单第三十三项：空气处理机组</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34</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采购清单第三十四项：干蒸汽加湿器</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35</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采购清单第三十五项：干蒸汽加湿器</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36</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采购清单第三十六项：干蒸汽加湿器</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37</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采购清单第三十七项：干蒸汽加湿器</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38</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采购清单第三十八项：变频器</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39</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采购清单第三十九项：变频器</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40</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采购清单第四十项：变频器</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41</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采购清单第四十一项：天花板送风装置</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42</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采购清单第四十二项天花板送风装置</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43</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采购清单第四十三项：天花板送风装置</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44</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采购清单第四十四项：控制器</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45</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采购清单第四十五项：气体终端</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46</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采购清单第四十六项：气体终端</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47</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采购清单第四十七项：气体终端</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48</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采购清单第四十八项：气体终端</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49</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采购清单第四十九项：气体终端</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50</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采购清单第五十项：气体终端</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40</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  项</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51</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采购清单第五十一项：DSA设备专用配套电缆</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52</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采购清单第五十二项：手术隔离电源一体机</w:t>
      </w:r>
      <w:r>
        <w:rPr>
          <w:rFonts w:hint="eastAsia" w:ascii="宋体" w:hAnsi="宋体" w:cs="宋体"/>
          <w:color w:val="000000" w:themeColor="text1"/>
          <w:sz w:val="24"/>
          <w14:textFill>
            <w14:solidFill>
              <w14:schemeClr w14:val="tx1"/>
            </w14:solidFill>
          </w14:textFill>
        </w:rPr>
        <w:t xml:space="preserve"> ，属于 工业-制造业</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53</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采购清单第五十三项：墙放射防护工程</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lang w:val="en-US" w:eastAsia="zh-CN"/>
          <w14:textFill>
            <w14:solidFill>
              <w14:schemeClr w14:val="tx1"/>
            </w14:solidFill>
          </w14:textFill>
        </w:rPr>
        <w:t xml:space="preserve">建筑业 </w:t>
      </w:r>
      <w:r>
        <w:rPr>
          <w:rFonts w:hint="eastAsia" w:ascii="宋体" w:hAnsi="宋体" w:cs="宋体"/>
          <w:color w:val="000000" w:themeColor="text1"/>
          <w:sz w:val="24"/>
          <w14:textFill>
            <w14:solidFill>
              <w14:schemeClr w14:val="tx1"/>
            </w14:solidFill>
          </w14:textFill>
        </w:rPr>
        <w:t>行业 ；</w:t>
      </w:r>
      <w:r>
        <w:rPr>
          <w:rFonts w:hint="eastAsia" w:ascii="宋体" w:hAnsi="宋体" w:cs="宋体"/>
          <w:color w:val="000000" w:themeColor="text1"/>
          <w:sz w:val="24"/>
          <w:lang w:val="en-US" w:eastAsia="zh-CN"/>
          <w14:textFill>
            <w14:solidFill>
              <w14:schemeClr w14:val="tx1"/>
            </w14:solidFill>
          </w14:textFill>
        </w:rPr>
        <w:t>承建单位</w:t>
      </w:r>
      <w:r>
        <w:rPr>
          <w:rFonts w:hint="eastAsia" w:ascii="宋体" w:hAnsi="宋体" w:cs="宋体"/>
          <w:color w:val="000000" w:themeColor="text1"/>
          <w:sz w:val="24"/>
          <w14:textFill>
            <w14:solidFill>
              <w14:schemeClr w14:val="tx1"/>
            </w14:solidFill>
          </w14:textFill>
        </w:rPr>
        <w:t>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54</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采购清单第五十四项：地放射防护工程</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lang w:val="en-US" w:eastAsia="zh-CN"/>
          <w14:textFill>
            <w14:solidFill>
              <w14:schemeClr w14:val="tx1"/>
            </w14:solidFill>
          </w14:textFill>
        </w:rPr>
        <w:t xml:space="preserve">建筑业 </w:t>
      </w:r>
      <w:r>
        <w:rPr>
          <w:rFonts w:hint="eastAsia" w:ascii="宋体" w:hAnsi="宋体" w:cs="宋体"/>
          <w:color w:val="000000" w:themeColor="text1"/>
          <w:sz w:val="24"/>
          <w14:textFill>
            <w14:solidFill>
              <w14:schemeClr w14:val="tx1"/>
            </w14:solidFill>
          </w14:textFill>
        </w:rPr>
        <w:t>行业 ；</w:t>
      </w:r>
      <w:r>
        <w:rPr>
          <w:rFonts w:hint="eastAsia" w:ascii="宋体" w:hAnsi="宋体" w:cs="宋体"/>
          <w:color w:val="000000" w:themeColor="text1"/>
          <w:sz w:val="24"/>
          <w:lang w:val="en-US" w:eastAsia="zh-CN"/>
          <w14:textFill>
            <w14:solidFill>
              <w14:schemeClr w14:val="tx1"/>
            </w14:solidFill>
          </w14:textFill>
        </w:rPr>
        <w:t>承建单位</w:t>
      </w:r>
      <w:r>
        <w:rPr>
          <w:rFonts w:hint="eastAsia" w:ascii="宋体" w:hAnsi="宋体" w:cs="宋体"/>
          <w:color w:val="000000" w:themeColor="text1"/>
          <w:sz w:val="24"/>
          <w14:textFill>
            <w14:solidFill>
              <w14:schemeClr w14:val="tx1"/>
            </w14:solidFill>
          </w14:textFill>
        </w:rPr>
        <w:t>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55</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采购清单第五十五项：顶放射防护工程</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lang w:val="en-US" w:eastAsia="zh-CN"/>
          <w14:textFill>
            <w14:solidFill>
              <w14:schemeClr w14:val="tx1"/>
            </w14:solidFill>
          </w14:textFill>
        </w:rPr>
        <w:t xml:space="preserve">建筑业 </w:t>
      </w:r>
      <w:r>
        <w:rPr>
          <w:rFonts w:hint="eastAsia" w:ascii="宋体" w:hAnsi="宋体" w:cs="宋体"/>
          <w:color w:val="000000" w:themeColor="text1"/>
          <w:sz w:val="24"/>
          <w14:textFill>
            <w14:solidFill>
              <w14:schemeClr w14:val="tx1"/>
            </w14:solidFill>
          </w14:textFill>
        </w:rPr>
        <w:t>行业 ；</w:t>
      </w:r>
      <w:r>
        <w:rPr>
          <w:rFonts w:hint="eastAsia" w:ascii="宋体" w:hAnsi="宋体" w:cs="宋体"/>
          <w:color w:val="000000" w:themeColor="text1"/>
          <w:sz w:val="24"/>
          <w:lang w:val="en-US" w:eastAsia="zh-CN"/>
          <w14:textFill>
            <w14:solidFill>
              <w14:schemeClr w14:val="tx1"/>
            </w14:solidFill>
          </w14:textFill>
        </w:rPr>
        <w:t>承建单位</w:t>
      </w:r>
      <w:r>
        <w:rPr>
          <w:rFonts w:hint="eastAsia" w:ascii="宋体" w:hAnsi="宋体" w:cs="宋体"/>
          <w:color w:val="000000" w:themeColor="text1"/>
          <w:sz w:val="24"/>
          <w14:textFill>
            <w14:solidFill>
              <w14:schemeClr w14:val="tx1"/>
            </w14:solidFill>
          </w14:textFill>
        </w:rPr>
        <w:t>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56</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采购清单第五十六项：其余配套手术室装饰安装部分</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lang w:val="en-US" w:eastAsia="zh-CN"/>
          <w14:textFill>
            <w14:solidFill>
              <w14:schemeClr w14:val="tx1"/>
            </w14:solidFill>
          </w14:textFill>
        </w:rPr>
        <w:t xml:space="preserve">建筑业 </w:t>
      </w:r>
      <w:r>
        <w:rPr>
          <w:rFonts w:hint="eastAsia" w:ascii="宋体" w:hAnsi="宋体" w:cs="宋体"/>
          <w:color w:val="000000" w:themeColor="text1"/>
          <w:sz w:val="24"/>
          <w14:textFill>
            <w14:solidFill>
              <w14:schemeClr w14:val="tx1"/>
            </w14:solidFill>
          </w14:textFill>
        </w:rPr>
        <w:t>行业 ；</w:t>
      </w:r>
      <w:r>
        <w:rPr>
          <w:rFonts w:hint="eastAsia" w:ascii="宋体" w:hAnsi="宋体" w:cs="宋体"/>
          <w:color w:val="000000" w:themeColor="text1"/>
          <w:sz w:val="24"/>
          <w:lang w:val="en-US" w:eastAsia="zh-CN"/>
          <w14:textFill>
            <w14:solidFill>
              <w14:schemeClr w14:val="tx1"/>
            </w14:solidFill>
          </w14:textFill>
        </w:rPr>
        <w:t>承建单位</w:t>
      </w:r>
      <w:r>
        <w:rPr>
          <w:rFonts w:hint="eastAsia" w:ascii="宋体" w:hAnsi="宋体" w:cs="宋体"/>
          <w:color w:val="000000" w:themeColor="text1"/>
          <w:sz w:val="24"/>
          <w14:textFill>
            <w14:solidFill>
              <w14:schemeClr w14:val="tx1"/>
            </w14:solidFill>
          </w14:textFill>
        </w:rPr>
        <w:t>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57</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采购清单第五十七项：其余配套电气部分工作</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lang w:val="en-US" w:eastAsia="zh-CN"/>
          <w14:textFill>
            <w14:solidFill>
              <w14:schemeClr w14:val="tx1"/>
            </w14:solidFill>
          </w14:textFill>
        </w:rPr>
        <w:t xml:space="preserve">建筑业 </w:t>
      </w:r>
      <w:r>
        <w:rPr>
          <w:rFonts w:hint="eastAsia" w:ascii="宋体" w:hAnsi="宋体" w:cs="宋体"/>
          <w:color w:val="000000" w:themeColor="text1"/>
          <w:sz w:val="24"/>
          <w14:textFill>
            <w14:solidFill>
              <w14:schemeClr w14:val="tx1"/>
            </w14:solidFill>
          </w14:textFill>
        </w:rPr>
        <w:t>行业 ；</w:t>
      </w:r>
      <w:r>
        <w:rPr>
          <w:rFonts w:hint="eastAsia" w:ascii="宋体" w:hAnsi="宋体" w:cs="宋体"/>
          <w:color w:val="000000" w:themeColor="text1"/>
          <w:sz w:val="24"/>
          <w:lang w:val="en-US" w:eastAsia="zh-CN"/>
          <w14:textFill>
            <w14:solidFill>
              <w14:schemeClr w14:val="tx1"/>
            </w14:solidFill>
          </w14:textFill>
        </w:rPr>
        <w:t>承建单位</w:t>
      </w:r>
      <w:r>
        <w:rPr>
          <w:rFonts w:hint="eastAsia" w:ascii="宋体" w:hAnsi="宋体" w:cs="宋体"/>
          <w:color w:val="000000" w:themeColor="text1"/>
          <w:sz w:val="24"/>
          <w14:textFill>
            <w14:solidFill>
              <w14:schemeClr w14:val="tx1"/>
            </w14:solidFill>
          </w14:textFill>
        </w:rPr>
        <w:t>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58</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采购清单第五十八项：其余配套暖通部分工作</w:t>
      </w:r>
      <w:r>
        <w:rPr>
          <w:rFonts w:hint="eastAsia" w:ascii="宋体" w:hAnsi="宋体" w:cs="宋体"/>
          <w:color w:val="000000" w:themeColor="text1"/>
          <w:sz w:val="24"/>
          <w14:textFill>
            <w14:solidFill>
              <w14:schemeClr w14:val="tx1"/>
            </w14:solidFill>
          </w14:textFill>
        </w:rPr>
        <w:t xml:space="preserve"> ，属于</w:t>
      </w:r>
      <w:r>
        <w:rPr>
          <w:rFonts w:hint="eastAsia" w:ascii="宋体" w:hAnsi="宋体" w:cs="宋体"/>
          <w:color w:val="000000" w:themeColor="text1"/>
          <w:sz w:val="24"/>
          <w:lang w:val="en-US" w:eastAsia="zh-CN"/>
          <w14:textFill>
            <w14:solidFill>
              <w14:schemeClr w14:val="tx1"/>
            </w14:solidFill>
          </w14:textFill>
        </w:rPr>
        <w:t xml:space="preserve">建筑业 </w:t>
      </w:r>
      <w:r>
        <w:rPr>
          <w:rFonts w:hint="eastAsia" w:ascii="宋体" w:hAnsi="宋体" w:cs="宋体"/>
          <w:color w:val="000000" w:themeColor="text1"/>
          <w:sz w:val="24"/>
          <w14:textFill>
            <w14:solidFill>
              <w14:schemeClr w14:val="tx1"/>
            </w14:solidFill>
          </w14:textFill>
        </w:rPr>
        <w:t>行业 ；</w:t>
      </w:r>
      <w:r>
        <w:rPr>
          <w:rFonts w:hint="eastAsia" w:ascii="宋体" w:hAnsi="宋体" w:cs="宋体"/>
          <w:color w:val="000000" w:themeColor="text1"/>
          <w:sz w:val="24"/>
          <w:lang w:val="en-US" w:eastAsia="zh-CN"/>
          <w14:textFill>
            <w14:solidFill>
              <w14:schemeClr w14:val="tx1"/>
            </w14:solidFill>
          </w14:textFill>
        </w:rPr>
        <w:t>承建单位</w:t>
      </w:r>
      <w:r>
        <w:rPr>
          <w:rFonts w:hint="eastAsia" w:ascii="宋体" w:hAnsi="宋体" w:cs="宋体"/>
          <w:color w:val="000000" w:themeColor="text1"/>
          <w:sz w:val="24"/>
          <w14:textFill>
            <w14:solidFill>
              <w14:schemeClr w14:val="tx1"/>
            </w14:solidFill>
          </w14:textFill>
        </w:rPr>
        <w:t>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59</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32"/>
          <w:u w:val="single"/>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采购清单第五十九项：其余配套医用气体部分工作</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lang w:val="en-US" w:eastAsia="zh-CN"/>
          <w14:textFill>
            <w14:solidFill>
              <w14:schemeClr w14:val="tx1"/>
            </w14:solidFill>
          </w14:textFill>
        </w:rPr>
        <w:t xml:space="preserve">建筑业 </w:t>
      </w:r>
      <w:r>
        <w:rPr>
          <w:rFonts w:hint="eastAsia" w:ascii="宋体" w:hAnsi="宋体" w:cs="宋体"/>
          <w:color w:val="000000" w:themeColor="text1"/>
          <w:sz w:val="24"/>
          <w14:textFill>
            <w14:solidFill>
              <w14:schemeClr w14:val="tx1"/>
            </w14:solidFill>
          </w14:textFill>
        </w:rPr>
        <w:t>行业 ；</w:t>
      </w:r>
      <w:r>
        <w:rPr>
          <w:rFonts w:hint="eastAsia" w:ascii="宋体" w:hAnsi="宋体" w:cs="宋体"/>
          <w:color w:val="000000" w:themeColor="text1"/>
          <w:sz w:val="24"/>
          <w:lang w:val="en-US" w:eastAsia="zh-CN"/>
          <w14:textFill>
            <w14:solidFill>
              <w14:schemeClr w14:val="tx1"/>
            </w14:solidFill>
          </w14:textFill>
        </w:rPr>
        <w:t>承建单位</w:t>
      </w:r>
      <w:r>
        <w:rPr>
          <w:rFonts w:hint="eastAsia" w:ascii="宋体" w:hAnsi="宋体" w:cs="宋体"/>
          <w:color w:val="000000" w:themeColor="text1"/>
          <w:sz w:val="24"/>
          <w14:textFill>
            <w14:solidFill>
              <w14:schemeClr w14:val="tx1"/>
            </w14:solidFill>
          </w14:textFill>
        </w:rPr>
        <w:t>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60</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szCs w:val="32"/>
          <w:u w:val="single"/>
          <w:lang w:val="en-US" w:eastAsia="zh-CN"/>
          <w14:textFill>
            <w14:solidFill>
              <w14:schemeClr w14:val="tx1"/>
            </w14:solidFill>
          </w14:textFill>
        </w:rPr>
        <w:t>采购清单第六十项：其他</w:t>
      </w:r>
      <w:r>
        <w:rPr>
          <w:rFonts w:hint="eastAsia" w:ascii="宋体" w:hAnsi="宋体" w:cs="宋体"/>
          <w:color w:val="000000" w:themeColor="text1"/>
          <w:sz w:val="24"/>
          <w14:textFill>
            <w14:solidFill>
              <w14:schemeClr w14:val="tx1"/>
            </w14:solidFill>
          </w14:textFill>
        </w:rPr>
        <w:t xml:space="preserve"> ，属于</w:t>
      </w:r>
      <w:r>
        <w:rPr>
          <w:rFonts w:hint="eastAsia" w:ascii="宋体" w:hAnsi="宋体" w:cs="宋体"/>
          <w:color w:val="000000" w:themeColor="text1"/>
          <w:sz w:val="24"/>
          <w:lang w:val="en-US" w:eastAsia="zh-CN"/>
          <w14:textFill>
            <w14:solidFill>
              <w14:schemeClr w14:val="tx1"/>
            </w14:solidFill>
          </w14:textFill>
        </w:rPr>
        <w:t xml:space="preserve">建筑业 </w:t>
      </w:r>
      <w:r>
        <w:rPr>
          <w:rFonts w:hint="eastAsia" w:ascii="宋体" w:hAnsi="宋体" w:cs="宋体"/>
          <w:color w:val="000000" w:themeColor="text1"/>
          <w:sz w:val="24"/>
          <w14:textFill>
            <w14:solidFill>
              <w14:schemeClr w14:val="tx1"/>
            </w14:solidFill>
          </w14:textFill>
        </w:rPr>
        <w:t>行业 ；</w:t>
      </w:r>
      <w:r>
        <w:rPr>
          <w:rFonts w:hint="eastAsia" w:ascii="宋体" w:hAnsi="宋体" w:cs="宋体"/>
          <w:color w:val="000000" w:themeColor="text1"/>
          <w:sz w:val="24"/>
          <w:lang w:val="en-US" w:eastAsia="zh-CN"/>
          <w14:textFill>
            <w14:solidFill>
              <w14:schemeClr w14:val="tx1"/>
            </w14:solidFill>
          </w14:textFill>
        </w:rPr>
        <w:t>承建单位</w:t>
      </w:r>
      <w:r>
        <w:rPr>
          <w:rFonts w:hint="eastAsia" w:ascii="宋体" w:hAnsi="宋体" w:cs="宋体"/>
          <w:color w:val="000000" w:themeColor="text1"/>
          <w:sz w:val="24"/>
          <w14:textFill>
            <w14:solidFill>
              <w14:schemeClr w14:val="tx1"/>
            </w14:solidFill>
          </w14:textFill>
        </w:rPr>
        <w:t>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w:t>
      </w:r>
    </w:p>
    <w:p>
      <w:pPr>
        <w:pStyle w:val="2"/>
        <w:rPr>
          <w:color w:val="000000" w:themeColor="text1"/>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本企业对上述声明内容的真实性负责。如有虚假，将依法承担相应责任。</w:t>
      </w:r>
    </w:p>
    <w:p>
      <w:pPr>
        <w:snapToGrid w:val="0"/>
        <w:spacing w:line="360" w:lineRule="auto"/>
        <w:ind w:firstLine="5160" w:firstLineChars="215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投标人名称(电子签名)：</w:t>
      </w:r>
    </w:p>
    <w:p>
      <w:pPr>
        <w:snapToGrid w:val="0"/>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w:t>
      </w:r>
      <w:r>
        <w:rPr>
          <w:rFonts w:hint="eastAsia" w:ascii="宋体" w:hAnsi="宋体" w:cs="宋体"/>
          <w:color w:val="000000" w:themeColor="text1"/>
          <w:kern w:val="0"/>
          <w:sz w:val="24"/>
          <w14:textFill>
            <w14:solidFill>
              <w14:schemeClr w14:val="tx1"/>
            </w14:solidFill>
          </w14:textFill>
        </w:rPr>
        <w:t xml:space="preserve">：  年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w:t>
      </w:r>
    </w:p>
    <w:p>
      <w:pPr>
        <w:spacing w:line="360" w:lineRule="auto"/>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从业人员、营业收入、资产总额填报上一年度数据，无上一年度数据的新成立企业可不填报。</w:t>
      </w:r>
    </w:p>
    <w:p>
      <w:pPr>
        <w:spacing w:line="360" w:lineRule="auto"/>
        <w:ind w:right="4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w:t>
      </w:r>
    </w:p>
    <w:p>
      <w:pPr>
        <w:spacing w:line="360" w:lineRule="auto"/>
        <w:ind w:right="4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firstLine="562" w:firstLineChars="200"/>
        <w:rPr>
          <w:rFonts w:hint="default" w:ascii="宋体" w:hAnsi="宋体" w:cs="宋体"/>
          <w:b/>
          <w:bCs/>
          <w:color w:val="000000" w:themeColor="text1"/>
          <w:sz w:val="28"/>
          <w:szCs w:val="28"/>
          <w:lang w:val="en-US"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3、本项目以上内容</w:t>
      </w:r>
      <w:r>
        <w:rPr>
          <w:rFonts w:hint="eastAsia" w:ascii="宋体" w:hAnsi="宋体" w:cs="宋体"/>
          <w:b/>
          <w:bCs/>
          <w:color w:val="000000" w:themeColor="text1"/>
          <w:sz w:val="28"/>
          <w:szCs w:val="28"/>
          <w14:textFill>
            <w14:solidFill>
              <w14:schemeClr w14:val="tx1"/>
            </w14:solidFill>
          </w14:textFill>
        </w:rPr>
        <w:t>中小企业合同金额应当达到</w:t>
      </w:r>
      <w:r>
        <w:rPr>
          <w:rFonts w:hint="eastAsia" w:ascii="宋体" w:hAnsi="宋体" w:cs="宋体"/>
          <w:b/>
          <w:bCs/>
          <w:color w:val="000000" w:themeColor="text1"/>
          <w:sz w:val="28"/>
          <w:szCs w:val="28"/>
          <w:lang w:val="en-US" w:eastAsia="zh-CN"/>
          <w14:textFill>
            <w14:solidFill>
              <w14:schemeClr w14:val="tx1"/>
            </w14:solidFill>
          </w14:textFill>
        </w:rPr>
        <w:t>40</w:t>
      </w:r>
      <w:r>
        <w:rPr>
          <w:rFonts w:hint="eastAsia" w:ascii="宋体" w:hAnsi="宋体" w:cs="宋体"/>
          <w:b/>
          <w:bCs/>
          <w:color w:val="000000" w:themeColor="text1"/>
          <w:sz w:val="28"/>
          <w:szCs w:val="28"/>
          <w14:textFill>
            <w14:solidFill>
              <w14:schemeClr w14:val="tx1"/>
            </w14:solidFill>
          </w14:textFill>
        </w:rPr>
        <w:t>%，其中小微企业合同金额应当达到</w:t>
      </w:r>
      <w:r>
        <w:rPr>
          <w:rFonts w:hint="eastAsia" w:ascii="宋体" w:hAnsi="宋体" w:cs="宋体"/>
          <w:b/>
          <w:bCs/>
          <w:color w:val="000000" w:themeColor="text1"/>
          <w:sz w:val="28"/>
          <w:szCs w:val="28"/>
          <w:lang w:val="en-US" w:eastAsia="zh-CN"/>
          <w14:textFill>
            <w14:solidFill>
              <w14:schemeClr w14:val="tx1"/>
            </w14:solidFill>
          </w14:textFill>
        </w:rPr>
        <w:t>70</w:t>
      </w:r>
      <w:r>
        <w:rPr>
          <w:rFonts w:hint="eastAsia" w:ascii="宋体" w:hAnsi="宋体" w:cs="宋体"/>
          <w:b/>
          <w:bCs/>
          <w:color w:val="000000" w:themeColor="text1"/>
          <w:sz w:val="28"/>
          <w:szCs w:val="28"/>
          <w14:textFill>
            <w14:solidFill>
              <w14:schemeClr w14:val="tx1"/>
            </w14:solidFill>
          </w14:textFill>
        </w:rPr>
        <w:t>%;</w:t>
      </w:r>
      <w:r>
        <w:rPr>
          <w:rFonts w:hint="eastAsia" w:ascii="宋体" w:hAnsi="宋体" w:cs="宋体"/>
          <w:b/>
          <w:bCs/>
          <w:color w:val="000000" w:themeColor="text1"/>
          <w:sz w:val="28"/>
          <w:szCs w:val="28"/>
          <w:lang w:val="en-US" w:eastAsia="zh-CN"/>
          <w14:textFill>
            <w14:solidFill>
              <w14:schemeClr w14:val="tx1"/>
            </w14:solidFill>
          </w14:textFill>
        </w:rPr>
        <w:t>请填报时仔细确认。</w:t>
      </w: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415" w:name="_Toc164085800"/>
    <w:bookmarkStart w:id="416" w:name="_Toc131845147"/>
    <w:bookmarkStart w:id="417" w:name="_Toc36110187"/>
    <w:bookmarkStart w:id="418" w:name="_Toc91899912"/>
    <w:r>
      <w:rPr>
        <w:rFonts w:hint="eastAsia" w:ascii="仿宋_GB2312" w:eastAsia="仿宋_GB2312"/>
        <w:kern w:val="0"/>
        <w:szCs w:val="21"/>
      </w:rPr>
      <w:t xml:space="preserve"> 页</w:t>
    </w:r>
    <w:bookmarkEnd w:id="415"/>
    <w:bookmarkEnd w:id="416"/>
    <w:bookmarkEnd w:id="417"/>
    <w:bookmarkEnd w:id="4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w:t>
    </w: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9AB778"/>
    <w:multiLevelType w:val="singleLevel"/>
    <w:tmpl w:val="A49AB778"/>
    <w:lvl w:ilvl="0" w:tentative="0">
      <w:start w:val="1"/>
      <w:numFmt w:val="decimal"/>
      <w:suff w:val="nothing"/>
      <w:lvlText w:val="%1、"/>
      <w:lvlJc w:val="left"/>
    </w:lvl>
  </w:abstractNum>
  <w:abstractNum w:abstractNumId="1">
    <w:nsid w:val="B0B2A25E"/>
    <w:multiLevelType w:val="singleLevel"/>
    <w:tmpl w:val="B0B2A25E"/>
    <w:lvl w:ilvl="0" w:tentative="0">
      <w:start w:val="1"/>
      <w:numFmt w:val="decimal"/>
      <w:suff w:val="nothing"/>
      <w:lvlText w:val="%1、"/>
      <w:lvlJc w:val="left"/>
    </w:lvl>
  </w:abstractNum>
  <w:abstractNum w:abstractNumId="2">
    <w:nsid w:val="B21D6FA6"/>
    <w:multiLevelType w:val="singleLevel"/>
    <w:tmpl w:val="B21D6FA6"/>
    <w:lvl w:ilvl="0" w:tentative="0">
      <w:start w:val="3"/>
      <w:numFmt w:val="decimal"/>
      <w:suff w:val="space"/>
      <w:lvlText w:val="%1)"/>
      <w:lvlJc w:val="left"/>
    </w:lvl>
  </w:abstractNum>
  <w:abstractNum w:abstractNumId="3">
    <w:nsid w:val="F8CBA988"/>
    <w:multiLevelType w:val="singleLevel"/>
    <w:tmpl w:val="F8CBA988"/>
    <w:lvl w:ilvl="0" w:tentative="0">
      <w:start w:val="1"/>
      <w:numFmt w:val="decimal"/>
      <w:suff w:val="nothing"/>
      <w:lvlText w:val="%1、"/>
      <w:lvlJc w:val="left"/>
    </w:lvl>
  </w:abstractNum>
  <w:abstractNum w:abstractNumId="4">
    <w:nsid w:val="03BF6B8F"/>
    <w:multiLevelType w:val="multilevel"/>
    <w:tmpl w:val="03BF6B8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5675EC2"/>
    <w:multiLevelType w:val="multilevel"/>
    <w:tmpl w:val="05675EC2"/>
    <w:lvl w:ilvl="0" w:tentative="0">
      <w:start w:val="1"/>
      <w:numFmt w:val="lowerLetter"/>
      <w:lvlText w:val="%1)"/>
      <w:lvlJc w:val="left"/>
      <w:pPr>
        <w:ind w:left="1050" w:hanging="420"/>
      </w:p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6">
    <w:nsid w:val="0A947599"/>
    <w:multiLevelType w:val="multilevel"/>
    <w:tmpl w:val="0A947599"/>
    <w:lvl w:ilvl="0" w:tentative="0">
      <w:start w:val="1"/>
      <w:numFmt w:val="decimalEnclosedCircle"/>
      <w:lvlText w:val="%1"/>
      <w:lvlJc w:val="left"/>
      <w:pPr>
        <w:ind w:left="420" w:hanging="420"/>
      </w:pPr>
      <w:rPr>
        <w:rFonts w:ascii="宋体" w:hAnsi="宋体" w:eastAsia="宋体" w:cs="Times New Roman"/>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FF0A9AE"/>
    <w:multiLevelType w:val="singleLevel"/>
    <w:tmpl w:val="3FF0A9AE"/>
    <w:lvl w:ilvl="0" w:tentative="0">
      <w:start w:val="4"/>
      <w:numFmt w:val="decimal"/>
      <w:suff w:val="nothing"/>
      <w:lvlText w:val="%1）"/>
      <w:lvlJc w:val="left"/>
    </w:lvl>
  </w:abstractNum>
  <w:abstractNum w:abstractNumId="8">
    <w:nsid w:val="4070BBD5"/>
    <w:multiLevelType w:val="singleLevel"/>
    <w:tmpl w:val="4070BBD5"/>
    <w:lvl w:ilvl="0" w:tentative="0">
      <w:start w:val="8"/>
      <w:numFmt w:val="decimal"/>
      <w:suff w:val="nothing"/>
      <w:lvlText w:val="%1）"/>
      <w:lvlJc w:val="left"/>
    </w:lvl>
  </w:abstractNum>
  <w:abstractNum w:abstractNumId="9">
    <w:nsid w:val="4B577ECA"/>
    <w:multiLevelType w:val="multilevel"/>
    <w:tmpl w:val="4B577ECA"/>
    <w:lvl w:ilvl="0" w:tentative="0">
      <w:start w:val="1"/>
      <w:numFmt w:val="decimalEnclosedCircle"/>
      <w:lvlText w:val="%1"/>
      <w:lvlJc w:val="left"/>
      <w:pPr>
        <w:ind w:left="420" w:hanging="420"/>
      </w:pPr>
      <w:rPr>
        <w:rFonts w:ascii="宋体" w:hAnsi="宋体" w:eastAsia="宋体" w:cs="Times New Roman"/>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EA609E1"/>
    <w:multiLevelType w:val="multilevel"/>
    <w:tmpl w:val="4EA609E1"/>
    <w:lvl w:ilvl="0" w:tentative="0">
      <w:start w:val="1"/>
      <w:numFmt w:val="ideographDigit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FFA666B"/>
    <w:multiLevelType w:val="multilevel"/>
    <w:tmpl w:val="4FFA666B"/>
    <w:lvl w:ilvl="0" w:tentative="0">
      <w:start w:val="1"/>
      <w:numFmt w:val="decimal"/>
      <w:lvlText w:val="%1．"/>
      <w:lvlJc w:val="left"/>
      <w:pPr>
        <w:tabs>
          <w:tab w:val="left" w:pos="720"/>
        </w:tabs>
        <w:ind w:left="720" w:hanging="363"/>
      </w:pPr>
      <w:rPr>
        <w:b/>
        <w:i w:val="0"/>
        <w:color w:val="000000"/>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571"/>
        </w:tabs>
        <w:ind w:left="1418" w:hanging="567"/>
      </w:pPr>
    </w:lvl>
    <w:lvl w:ilvl="3" w:tentative="0">
      <w:start w:val="1"/>
      <w:numFmt w:val="decimal"/>
      <w:lvlText w:val="%1.%2.%3.%4"/>
      <w:lvlJc w:val="left"/>
      <w:pPr>
        <w:tabs>
          <w:tab w:val="left" w:pos="2356"/>
        </w:tabs>
        <w:ind w:left="1984" w:hanging="708"/>
      </w:pPr>
    </w:lvl>
    <w:lvl w:ilvl="4" w:tentative="0">
      <w:start w:val="1"/>
      <w:numFmt w:val="decimal"/>
      <w:lvlText w:val="%1.%2.%3.%4.%5"/>
      <w:lvlJc w:val="left"/>
      <w:pPr>
        <w:tabs>
          <w:tab w:val="left" w:pos="3141"/>
        </w:tabs>
        <w:ind w:left="2551" w:hanging="850"/>
      </w:pPr>
    </w:lvl>
    <w:lvl w:ilvl="5" w:tentative="0">
      <w:start w:val="1"/>
      <w:numFmt w:val="decimal"/>
      <w:lvlText w:val="%1.%2.%3.%4.%5.%6"/>
      <w:lvlJc w:val="left"/>
      <w:pPr>
        <w:tabs>
          <w:tab w:val="left" w:pos="3926"/>
        </w:tabs>
        <w:ind w:left="3260" w:hanging="1134"/>
      </w:pPr>
    </w:lvl>
    <w:lvl w:ilvl="6" w:tentative="0">
      <w:start w:val="1"/>
      <w:numFmt w:val="decimal"/>
      <w:lvlText w:val="%1.%2.%3.%4.%5.%6.%7"/>
      <w:lvlJc w:val="left"/>
      <w:pPr>
        <w:tabs>
          <w:tab w:val="left" w:pos="4711"/>
        </w:tabs>
        <w:ind w:left="3827" w:hanging="1276"/>
      </w:pPr>
    </w:lvl>
    <w:lvl w:ilvl="7" w:tentative="0">
      <w:start w:val="1"/>
      <w:numFmt w:val="decimal"/>
      <w:lvlText w:val="%1.%2.%3.%4.%5.%6.%7.%8"/>
      <w:lvlJc w:val="left"/>
      <w:pPr>
        <w:tabs>
          <w:tab w:val="left" w:pos="5136"/>
        </w:tabs>
        <w:ind w:left="4394" w:hanging="1418"/>
      </w:pPr>
    </w:lvl>
    <w:lvl w:ilvl="8" w:tentative="0">
      <w:start w:val="1"/>
      <w:numFmt w:val="decimal"/>
      <w:lvlText w:val="%1.%2.%3.%4.%5.%6.%7.%8.%9"/>
      <w:lvlJc w:val="left"/>
      <w:pPr>
        <w:tabs>
          <w:tab w:val="left" w:pos="5922"/>
        </w:tabs>
        <w:ind w:left="5102" w:hanging="1700"/>
      </w:pPr>
    </w:lvl>
  </w:abstractNum>
  <w:abstractNum w:abstractNumId="12">
    <w:nsid w:val="60F57121"/>
    <w:multiLevelType w:val="multilevel"/>
    <w:tmpl w:val="60F57121"/>
    <w:lvl w:ilvl="0" w:tentative="0">
      <w:start w:val="1"/>
      <w:numFmt w:val="lowerLetter"/>
      <w:lvlText w:val="%1)"/>
      <w:lvlJc w:val="left"/>
      <w:pPr>
        <w:ind w:left="1050" w:hanging="420"/>
      </w:p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3">
    <w:nsid w:val="62BD8A56"/>
    <w:multiLevelType w:val="singleLevel"/>
    <w:tmpl w:val="62BD8A56"/>
    <w:lvl w:ilvl="0" w:tentative="0">
      <w:start w:val="1"/>
      <w:numFmt w:val="decimal"/>
      <w:suff w:val="nothing"/>
      <w:lvlText w:val="%1、"/>
      <w:lvlJc w:val="left"/>
    </w:lvl>
  </w:abstractNum>
  <w:abstractNum w:abstractNumId="14">
    <w:nsid w:val="79374550"/>
    <w:multiLevelType w:val="singleLevel"/>
    <w:tmpl w:val="79374550"/>
    <w:lvl w:ilvl="0" w:tentative="0">
      <w:start w:val="1"/>
      <w:numFmt w:val="decimal"/>
      <w:suff w:val="nothing"/>
      <w:lvlText w:val="%1）"/>
      <w:lvlJc w:val="left"/>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12"/>
  </w:num>
  <w:num w:numId="7">
    <w:abstractNumId w:val="7"/>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xMjJmNWQ1MTM3ODgwNDNmZTJiMzQwNmYwODBhZG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7A19B4"/>
    <w:rsid w:val="05A16594"/>
    <w:rsid w:val="05A7762D"/>
    <w:rsid w:val="060E5941"/>
    <w:rsid w:val="06110FAF"/>
    <w:rsid w:val="0641531B"/>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4D0D6E"/>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0FD3751C"/>
    <w:rsid w:val="0FEA2C69"/>
    <w:rsid w:val="10646583"/>
    <w:rsid w:val="107D4B15"/>
    <w:rsid w:val="108A3C80"/>
    <w:rsid w:val="10C26171"/>
    <w:rsid w:val="10F33360"/>
    <w:rsid w:val="10FC16EA"/>
    <w:rsid w:val="110F1D40"/>
    <w:rsid w:val="11266F33"/>
    <w:rsid w:val="118963A1"/>
    <w:rsid w:val="11A663E4"/>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066B03"/>
    <w:rsid w:val="18244F26"/>
    <w:rsid w:val="1830729E"/>
    <w:rsid w:val="1870062C"/>
    <w:rsid w:val="18817102"/>
    <w:rsid w:val="18830A15"/>
    <w:rsid w:val="18852B28"/>
    <w:rsid w:val="188B5321"/>
    <w:rsid w:val="19303D6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A0FF3"/>
    <w:rsid w:val="1F5771FF"/>
    <w:rsid w:val="1FD52574"/>
    <w:rsid w:val="1FE868A9"/>
    <w:rsid w:val="20034907"/>
    <w:rsid w:val="20173E4B"/>
    <w:rsid w:val="204E48BC"/>
    <w:rsid w:val="208921B3"/>
    <w:rsid w:val="20973DEB"/>
    <w:rsid w:val="20B26522"/>
    <w:rsid w:val="20B44310"/>
    <w:rsid w:val="211116EB"/>
    <w:rsid w:val="21224D81"/>
    <w:rsid w:val="216133FC"/>
    <w:rsid w:val="21D56769"/>
    <w:rsid w:val="21E52EF3"/>
    <w:rsid w:val="21FB5D7B"/>
    <w:rsid w:val="22015E94"/>
    <w:rsid w:val="220B1C3D"/>
    <w:rsid w:val="221D1D20"/>
    <w:rsid w:val="22334A87"/>
    <w:rsid w:val="22460F43"/>
    <w:rsid w:val="22626AB1"/>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5FC2F37"/>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EE42AE"/>
    <w:rsid w:val="2B437463"/>
    <w:rsid w:val="2B7807EE"/>
    <w:rsid w:val="2BA50BF7"/>
    <w:rsid w:val="2BBF00EC"/>
    <w:rsid w:val="2BC37CFD"/>
    <w:rsid w:val="2BD5237F"/>
    <w:rsid w:val="2BE536CE"/>
    <w:rsid w:val="2BE758D9"/>
    <w:rsid w:val="2BF346BB"/>
    <w:rsid w:val="2C09049E"/>
    <w:rsid w:val="2C0A653C"/>
    <w:rsid w:val="2C191F85"/>
    <w:rsid w:val="2CE82D6F"/>
    <w:rsid w:val="2D343236"/>
    <w:rsid w:val="2D575011"/>
    <w:rsid w:val="2DD15014"/>
    <w:rsid w:val="2DF72DE4"/>
    <w:rsid w:val="2E0220AF"/>
    <w:rsid w:val="2E4B082A"/>
    <w:rsid w:val="2E5D4E86"/>
    <w:rsid w:val="2E5D790B"/>
    <w:rsid w:val="2E7819D6"/>
    <w:rsid w:val="2E9A3C18"/>
    <w:rsid w:val="2EBB0FEE"/>
    <w:rsid w:val="2EC63002"/>
    <w:rsid w:val="2F0A6B38"/>
    <w:rsid w:val="2F946CCB"/>
    <w:rsid w:val="2FD25781"/>
    <w:rsid w:val="2FDC745C"/>
    <w:rsid w:val="2FFD7934"/>
    <w:rsid w:val="30733ACD"/>
    <w:rsid w:val="308C3862"/>
    <w:rsid w:val="308F4F27"/>
    <w:rsid w:val="309379D8"/>
    <w:rsid w:val="30A270F7"/>
    <w:rsid w:val="30DF1478"/>
    <w:rsid w:val="30EC586F"/>
    <w:rsid w:val="319C6071"/>
    <w:rsid w:val="31AC537E"/>
    <w:rsid w:val="31E3679B"/>
    <w:rsid w:val="31E732FD"/>
    <w:rsid w:val="31FE228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5D15DF"/>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BF21A63"/>
    <w:rsid w:val="3C105946"/>
    <w:rsid w:val="3C471448"/>
    <w:rsid w:val="3C5F759A"/>
    <w:rsid w:val="3C6C525A"/>
    <w:rsid w:val="3C8246C3"/>
    <w:rsid w:val="3C9E153B"/>
    <w:rsid w:val="3CCE23CB"/>
    <w:rsid w:val="3CD17D17"/>
    <w:rsid w:val="3D3C7F39"/>
    <w:rsid w:val="3D440F09"/>
    <w:rsid w:val="3D4504A0"/>
    <w:rsid w:val="3D8734BB"/>
    <w:rsid w:val="3D9A11D4"/>
    <w:rsid w:val="3DA16D89"/>
    <w:rsid w:val="3DA364BE"/>
    <w:rsid w:val="3DAC1FE6"/>
    <w:rsid w:val="3DE041CB"/>
    <w:rsid w:val="3E0D48F6"/>
    <w:rsid w:val="3E1868B4"/>
    <w:rsid w:val="3E377251"/>
    <w:rsid w:val="3E42664B"/>
    <w:rsid w:val="3E4C2DFA"/>
    <w:rsid w:val="3E5A7334"/>
    <w:rsid w:val="3E7B5D6B"/>
    <w:rsid w:val="3E843E66"/>
    <w:rsid w:val="3E8F51FE"/>
    <w:rsid w:val="3E926F87"/>
    <w:rsid w:val="3E9A59DE"/>
    <w:rsid w:val="3EAF4836"/>
    <w:rsid w:val="3EC33DFA"/>
    <w:rsid w:val="3ECA07D7"/>
    <w:rsid w:val="3F060E16"/>
    <w:rsid w:val="3F1D1096"/>
    <w:rsid w:val="3F1F7AF9"/>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7E1B79"/>
    <w:rsid w:val="46893F2B"/>
    <w:rsid w:val="46C4686E"/>
    <w:rsid w:val="473141B8"/>
    <w:rsid w:val="477B778F"/>
    <w:rsid w:val="478203EC"/>
    <w:rsid w:val="47B025FA"/>
    <w:rsid w:val="4809698F"/>
    <w:rsid w:val="4811697D"/>
    <w:rsid w:val="483B2CEB"/>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3315E3"/>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1FD0E10"/>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83C52"/>
    <w:rsid w:val="558931E1"/>
    <w:rsid w:val="55923347"/>
    <w:rsid w:val="55925180"/>
    <w:rsid w:val="55983B1B"/>
    <w:rsid w:val="55A8376B"/>
    <w:rsid w:val="55DC29B6"/>
    <w:rsid w:val="55DD4241"/>
    <w:rsid w:val="56613A30"/>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47229"/>
    <w:rsid w:val="57CD20C2"/>
    <w:rsid w:val="57D675AB"/>
    <w:rsid w:val="57D73717"/>
    <w:rsid w:val="57D95FDD"/>
    <w:rsid w:val="58917D2F"/>
    <w:rsid w:val="5894085C"/>
    <w:rsid w:val="58AE4F0C"/>
    <w:rsid w:val="58B85899"/>
    <w:rsid w:val="58E363A9"/>
    <w:rsid w:val="59166304"/>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922208"/>
    <w:rsid w:val="5EFC7377"/>
    <w:rsid w:val="5F06174D"/>
    <w:rsid w:val="5F3A3602"/>
    <w:rsid w:val="5F45733B"/>
    <w:rsid w:val="5F6277C6"/>
    <w:rsid w:val="5F6D0B1D"/>
    <w:rsid w:val="5F8D0B82"/>
    <w:rsid w:val="5FCC5339"/>
    <w:rsid w:val="5FE34A5B"/>
    <w:rsid w:val="5FFE1E36"/>
    <w:rsid w:val="60232584"/>
    <w:rsid w:val="606049A2"/>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6E35699"/>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8711F2"/>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32CB5"/>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E40ECD"/>
    <w:rsid w:val="70F5661B"/>
    <w:rsid w:val="71360107"/>
    <w:rsid w:val="713B688E"/>
    <w:rsid w:val="71D43752"/>
    <w:rsid w:val="71F1796A"/>
    <w:rsid w:val="72154626"/>
    <w:rsid w:val="72262B5D"/>
    <w:rsid w:val="72283FF7"/>
    <w:rsid w:val="722E7212"/>
    <w:rsid w:val="723A0474"/>
    <w:rsid w:val="725923E4"/>
    <w:rsid w:val="72864BF7"/>
    <w:rsid w:val="729023FC"/>
    <w:rsid w:val="733A46F4"/>
    <w:rsid w:val="73C0646E"/>
    <w:rsid w:val="742222F5"/>
    <w:rsid w:val="74464405"/>
    <w:rsid w:val="74476126"/>
    <w:rsid w:val="74706664"/>
    <w:rsid w:val="747F3682"/>
    <w:rsid w:val="749C4185"/>
    <w:rsid w:val="74D95CE0"/>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362F70"/>
    <w:rsid w:val="774670D8"/>
    <w:rsid w:val="77472422"/>
    <w:rsid w:val="777F31F2"/>
    <w:rsid w:val="77D1700D"/>
    <w:rsid w:val="77EC04CC"/>
    <w:rsid w:val="78775729"/>
    <w:rsid w:val="78A42DB0"/>
    <w:rsid w:val="78A656AB"/>
    <w:rsid w:val="78B2245C"/>
    <w:rsid w:val="78B449F8"/>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9279F6"/>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next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26"/>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199"/>
    <w:qFormat/>
    <w:uiPriority w:val="0"/>
    <w:pPr>
      <w:shd w:val="clear" w:color="auto" w:fill="000080"/>
    </w:pPr>
  </w:style>
  <w:style w:type="paragraph" w:styleId="20">
    <w:name w:val="annotation text"/>
    <w:basedOn w:val="1"/>
    <w:link w:val="341"/>
    <w:qFormat/>
    <w:uiPriority w:val="99"/>
    <w:pPr>
      <w:jc w:val="left"/>
    </w:pPr>
  </w:style>
  <w:style w:type="paragraph" w:styleId="21">
    <w:name w:val="Salutation"/>
    <w:basedOn w:val="1"/>
    <w:next w:val="1"/>
    <w:link w:val="295"/>
    <w:qFormat/>
    <w:uiPriority w:val="0"/>
    <w:rPr>
      <w:rFonts w:ascii="仿宋_GB2312" w:eastAsia="仿宋_GB2312"/>
      <w:sz w:val="28"/>
      <w:szCs w:val="20"/>
    </w:rPr>
  </w:style>
  <w:style w:type="paragraph" w:styleId="22">
    <w:name w:val="Body Text 3"/>
    <w:basedOn w:val="1"/>
    <w:link w:val="327"/>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1"/>
    <w:link w:val="427"/>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next w:val="16"/>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16"/>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3"/>
    <w:qFormat/>
    <w:uiPriority w:val="0"/>
    <w:rPr>
      <w:b/>
      <w:bCs/>
    </w:rPr>
  </w:style>
  <w:style w:type="paragraph" w:styleId="60">
    <w:name w:val="Body Text First Indent"/>
    <w:basedOn w:val="24"/>
    <w:link w:val="318"/>
    <w:qFormat/>
    <w:uiPriority w:val="0"/>
    <w:pPr>
      <w:ind w:firstLine="420"/>
    </w:pPr>
    <w:rPr>
      <w:rFonts w:hAnsi="Calibri" w:cs="Times New Roman"/>
      <w:snapToGrid/>
      <w:szCs w:val="20"/>
    </w:rPr>
  </w:style>
  <w:style w:type="paragraph" w:styleId="61">
    <w:name w:val="Body Text First Indent 2"/>
    <w:basedOn w:val="25"/>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0"/>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16"/>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9"/>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7"/>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1"/>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2"/>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0"/>
    <w:qFormat/>
    <w:uiPriority w:val="0"/>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6"/>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124</Pages>
  <Words>75073</Words>
  <Characters>80672</Characters>
  <Lines>279</Lines>
  <Paragraphs>78</Paragraphs>
  <TotalTime>30</TotalTime>
  <ScaleCrop>false</ScaleCrop>
  <LinksUpToDate>false</LinksUpToDate>
  <CharactersWithSpaces>88080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刘佳陇</cp:lastModifiedBy>
  <cp:lastPrinted>2021-12-27T11:06:00Z</cp:lastPrinted>
  <dcterms:modified xsi:type="dcterms:W3CDTF">2023-04-11T07:10:10Z</dcterms:modified>
  <dc:title>杭州市市民卡扩大发卡工程</dc:title>
  <cp:revision>342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