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180" w:type="dxa"/>
            <w:tcBorders>
              <w:top w:val="nil"/>
              <w:left w:val="nil"/>
              <w:bottom w:val="nil"/>
              <w:right w:val="nil"/>
            </w:tcBorders>
            <w:noWrap w:val="0"/>
            <w:vAlign w:val="top"/>
          </w:tcPr>
          <w:p>
            <w:pPr>
              <w:jc w:val="center"/>
              <w:rPr>
                <w:rFonts w:hint="eastAsia" w:ascii="宋体" w:hAnsi="宋体"/>
                <w:b/>
                <w:bCs/>
                <w:sz w:val="72"/>
              </w:rPr>
            </w:pPr>
            <w:bookmarkStart w:id="88" w:name="_GoBack"/>
            <w:bookmarkEnd w:id="88"/>
            <w:r>
              <w:rPr>
                <w:rFonts w:hint="eastAsia" w:ascii="宋体" w:hAnsi="宋体"/>
                <w:b/>
                <w:bCs/>
                <w:sz w:val="72"/>
              </w:rPr>
              <w:t>龙湾区政府采购</w:t>
            </w:r>
          </w:p>
          <w:p>
            <w:pPr>
              <w:jc w:val="center"/>
              <w:rPr>
                <w:rFonts w:hint="eastAsia" w:ascii="宋体" w:hAnsi="宋体"/>
                <w:b/>
                <w:bCs/>
                <w:sz w:val="72"/>
              </w:rPr>
            </w:pPr>
            <w:r>
              <w:rPr>
                <w:rFonts w:hint="eastAsia" w:ascii="宋体" w:hAnsi="宋体"/>
                <w:b/>
                <w:bCs/>
                <w:sz w:val="72"/>
              </w:rPr>
              <w:t>公开招标电子交易文件</w:t>
            </w:r>
          </w:p>
          <w:p>
            <w:pPr>
              <w:spacing w:line="460" w:lineRule="atLeast"/>
              <w:ind w:firstLine="1587" w:firstLineChars="496"/>
              <w:rPr>
                <w:rFonts w:hint="eastAsia" w:ascii="宋体" w:hAnsi="宋体"/>
                <w:b/>
                <w:bCs/>
                <w:sz w:val="32"/>
                <w:szCs w:val="32"/>
              </w:rPr>
            </w:pPr>
          </w:p>
          <w:p>
            <w:pPr>
              <w:jc w:val="center"/>
              <w:rPr>
                <w:rFonts w:hint="eastAsia" w:ascii="宋体" w:hAnsi="宋体"/>
                <w:b/>
                <w:bCs/>
                <w:sz w:val="72"/>
              </w:rPr>
            </w:pPr>
          </w:p>
          <w:p>
            <w:pPr>
              <w:spacing w:line="460" w:lineRule="atLeast"/>
              <w:ind w:left="2994" w:leftChars="710" w:hanging="1503" w:hangingChars="501"/>
              <w:rPr>
                <w:rFonts w:hint="eastAsia" w:ascii="宋体" w:hAnsi="宋体"/>
                <w:b/>
                <w:bCs/>
                <w:sz w:val="32"/>
                <w:szCs w:val="32"/>
              </w:rPr>
            </w:pPr>
            <w:r>
              <w:rPr>
                <w:rFonts w:hint="eastAsia" w:ascii="宋体" w:hAnsi="宋体"/>
                <w:b/>
                <w:bCs/>
                <w:sz w:val="30"/>
                <w:szCs w:val="30"/>
              </w:rPr>
              <w:t>项目名称：2020年龙湾区“雪亮工程”高位监控和简易监控及技术防护体系整体运行维护管理服务</w:t>
            </w:r>
          </w:p>
          <w:p>
            <w:pPr>
              <w:spacing w:line="460" w:lineRule="atLeast"/>
              <w:ind w:firstLine="1488" w:firstLineChars="496"/>
              <w:rPr>
                <w:rFonts w:hint="eastAsia" w:ascii="宋体" w:hAnsi="宋体"/>
                <w:b/>
                <w:bCs/>
                <w:sz w:val="30"/>
                <w:szCs w:val="30"/>
              </w:rPr>
            </w:pPr>
            <w:r>
              <w:rPr>
                <w:rFonts w:hint="eastAsia" w:ascii="宋体" w:hAnsi="宋体"/>
                <w:b/>
                <w:bCs/>
                <w:sz w:val="30"/>
                <w:szCs w:val="30"/>
              </w:rPr>
              <w:t>采购编号：</w:t>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"/plan/list/detail?id=1000000000002987687&amp;encrypt=89e03f92a1f15babb9454efd6310f951"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t>临[2020]728号</w:t>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"/plan/list/detail?id=1000000000002334026&amp;encrypt=89f738f3a08ed6f288ca5a60ab7d8ebc" </w:instrText>
            </w:r>
            <w:r>
              <w:rPr>
                <w:rFonts w:hint="eastAsia" w:ascii="宋体" w:hAnsi="宋体"/>
                <w:b/>
                <w:bCs/>
                <w:sz w:val="30"/>
                <w:szCs w:val="30"/>
              </w:rPr>
              <w:fldChar w:fldCharType="separate"/>
            </w:r>
            <w:r>
              <w:rPr>
                <w:rFonts w:hint="eastAsia" w:ascii="宋体" w:hAnsi="宋体"/>
                <w:b/>
                <w:bCs/>
                <w:sz w:val="30"/>
                <w:szCs w:val="30"/>
              </w:rPr>
              <w:fldChar w:fldCharType="end"/>
            </w:r>
          </w:p>
          <w:p>
            <w:pPr>
              <w:spacing w:line="460" w:lineRule="atLeast"/>
              <w:ind w:firstLine="1488" w:firstLineChars="496"/>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r>
              <w:rPr>
                <w:rFonts w:hint="eastAsia" w:ascii="宋体" w:hAnsi="宋体"/>
                <w:bCs/>
                <w:sz w:val="30"/>
                <w:szCs w:val="30"/>
              </w:rPr>
              <w:t xml:space="preserve">         采 购 人：温州市公安局龙湾区分局</w:t>
            </w:r>
          </w:p>
          <w:p>
            <w:pPr>
              <w:snapToGrid w:val="0"/>
              <w:spacing w:line="480" w:lineRule="atLeast"/>
              <w:rPr>
                <w:rFonts w:hint="eastAsia" w:ascii="宋体" w:hAnsi="宋体"/>
                <w:bCs/>
                <w:sz w:val="30"/>
                <w:szCs w:val="30"/>
              </w:rPr>
            </w:pPr>
            <w:r>
              <w:rPr>
                <w:rFonts w:hint="eastAsia" w:ascii="宋体" w:hAnsi="宋体"/>
                <w:bCs/>
                <w:sz w:val="30"/>
                <w:szCs w:val="30"/>
              </w:rPr>
              <w:t xml:space="preserve">         代理机构：杭州华旗招标代理有限公司</w:t>
            </w: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autoSpaceDE w:val="0"/>
              <w:autoSpaceDN w:val="0"/>
              <w:adjustRightInd w:val="0"/>
              <w:spacing w:line="460" w:lineRule="atLeast"/>
              <w:jc w:val="center"/>
              <w:rPr>
                <w:rFonts w:hint="eastAsia" w:ascii="宋体" w:hAnsi="宋体"/>
                <w:sz w:val="30"/>
                <w:szCs w:val="30"/>
              </w:rPr>
            </w:pPr>
          </w:p>
          <w:p>
            <w:pPr>
              <w:autoSpaceDE w:val="0"/>
              <w:autoSpaceDN w:val="0"/>
              <w:adjustRightInd w:val="0"/>
              <w:spacing w:line="460" w:lineRule="atLeast"/>
              <w:jc w:val="center"/>
              <w:rPr>
                <w:rFonts w:hint="eastAsia" w:ascii="宋体" w:hAnsi="宋体"/>
                <w:b/>
                <w:bCs/>
                <w:sz w:val="32"/>
                <w:szCs w:val="32"/>
              </w:rPr>
            </w:pPr>
            <w:r>
              <w:rPr>
                <w:rFonts w:hint="eastAsia" w:ascii="宋体" w:hAnsi="宋体"/>
                <w:b/>
                <w:bCs/>
                <w:sz w:val="30"/>
                <w:szCs w:val="30"/>
              </w:rPr>
              <w:t>二○二○年</w:t>
            </w:r>
            <w:r>
              <w:rPr>
                <w:rFonts w:hint="eastAsia" w:ascii="宋体" w:hAnsi="宋体"/>
                <w:b/>
                <w:bCs/>
                <w:sz w:val="30"/>
                <w:szCs w:val="30"/>
                <w:lang w:val="en-US" w:eastAsia="zh-CN"/>
              </w:rPr>
              <w:t>八</w:t>
            </w:r>
            <w:r>
              <w:rPr>
                <w:rFonts w:hint="eastAsia" w:ascii="宋体" w:hAnsi="宋体"/>
                <w:b/>
                <w:bCs/>
                <w:sz w:val="30"/>
                <w:szCs w:val="30"/>
              </w:rPr>
              <w:t>月</w:t>
            </w:r>
          </w:p>
          <w:p>
            <w:pPr>
              <w:autoSpaceDE w:val="0"/>
              <w:autoSpaceDN w:val="0"/>
              <w:adjustRightInd w:val="0"/>
              <w:spacing w:line="540" w:lineRule="exact"/>
              <w:ind w:left="4782"/>
              <w:jc w:val="center"/>
              <w:rPr>
                <w:rFonts w:hint="eastAsia" w:ascii="宋体" w:hAnsi="宋体"/>
                <w:b/>
                <w:bCs/>
                <w:sz w:val="32"/>
                <w:szCs w:val="32"/>
              </w:rPr>
            </w:pPr>
          </w:p>
        </w:tc>
      </w:tr>
    </w:tbl>
    <w:p>
      <w:pPr>
        <w:spacing w:before="312" w:beforeLines="100" w:after="156" w:afterLines="50" w:line="340" w:lineRule="exact"/>
        <w:jc w:val="center"/>
        <w:rPr>
          <w:rFonts w:hint="eastAsia" w:ascii="宋体" w:hAnsi="宋体"/>
          <w:b/>
          <w:bCs/>
          <w:sz w:val="36"/>
          <w:szCs w:val="36"/>
        </w:rPr>
        <w:sectPr>
          <w:headerReference r:id="rId5" w:type="first"/>
          <w:headerReference r:id="rId3" w:type="default"/>
          <w:footerReference r:id="rId6" w:type="default"/>
          <w:headerReference r:id="rId4" w:type="even"/>
          <w:footerReference r:id="rId7" w:type="even"/>
          <w:pgSz w:w="11906" w:h="16838"/>
          <w:pgMar w:top="1440" w:right="1622" w:bottom="1440" w:left="1287" w:header="851" w:footer="992" w:gutter="0"/>
          <w:pgNumType w:start="0"/>
          <w:cols w:space="720" w:num="1"/>
          <w:titlePg/>
          <w:docGrid w:type="linesAndChars" w:linePitch="312" w:charSpace="0"/>
        </w:sectPr>
      </w:pPr>
    </w:p>
    <w:p>
      <w:pPr>
        <w:autoSpaceDE w:val="0"/>
        <w:autoSpaceDN w:val="0"/>
        <w:adjustRightInd w:val="0"/>
        <w:spacing w:line="440" w:lineRule="atLeast"/>
        <w:jc w:val="center"/>
        <w:rPr>
          <w:rFonts w:hint="eastAsia" w:ascii="宋体" w:hAnsi="宋体"/>
          <w:b/>
          <w:bCs/>
          <w:sz w:val="36"/>
          <w:szCs w:val="36"/>
          <w:lang w:val="zh-CN"/>
        </w:rPr>
      </w:pPr>
      <w:r>
        <w:rPr>
          <w:rFonts w:hint="eastAsia" w:ascii="宋体" w:hAnsi="宋体"/>
          <w:b/>
          <w:bCs/>
          <w:sz w:val="36"/>
          <w:szCs w:val="36"/>
          <w:lang w:val="zh-CN"/>
        </w:rPr>
        <w:t>招标文件目录</w:t>
      </w:r>
    </w:p>
    <w:p>
      <w:pPr>
        <w:pStyle w:val="19"/>
        <w:tabs>
          <w:tab w:val="right" w:leader="dot" w:pos="9412"/>
        </w:tabs>
      </w:pPr>
      <w:r>
        <w:rPr>
          <w:rFonts w:hint="eastAsia" w:hAnsi="宋体" w:cs="宋体"/>
          <w:color w:val="000000"/>
          <w:lang w:val="zh-CN"/>
        </w:rPr>
        <w:fldChar w:fldCharType="begin"/>
      </w:r>
      <w:r>
        <w:rPr>
          <w:rFonts w:hint="eastAsia" w:hAnsi="宋体" w:cs="宋体"/>
          <w:color w:val="000000"/>
          <w:lang w:val="zh-CN"/>
        </w:rPr>
        <w:instrText xml:space="preserve"> TOC \o "1-1" \h \z \u </w:instrText>
      </w:r>
      <w:r>
        <w:rPr>
          <w:rFonts w:hint="eastAsia" w:hAnsi="宋体" w:cs="宋体"/>
          <w:color w:val="000000"/>
          <w:lang w:val="zh-CN"/>
        </w:rPr>
        <w:fldChar w:fldCharType="separate"/>
      </w:r>
      <w:r>
        <w:rPr>
          <w:rFonts w:hint="eastAsia" w:hAnsi="宋体" w:cs="宋体"/>
          <w:color w:val="000000"/>
          <w:lang w:val="zh-CN"/>
        </w:rPr>
        <w:fldChar w:fldCharType="begin"/>
      </w:r>
      <w:r>
        <w:rPr>
          <w:rFonts w:hint="eastAsia" w:hAnsi="宋体" w:cs="宋体"/>
          <w:lang w:val="zh-CN"/>
        </w:rPr>
        <w:instrText xml:space="preserve"> HYPERLINK \l _Toc7970 </w:instrText>
      </w:r>
      <w:r>
        <w:rPr>
          <w:rFonts w:hint="eastAsia" w:hAnsi="宋体" w:cs="宋体"/>
          <w:lang w:val="zh-CN"/>
        </w:rPr>
        <w:fldChar w:fldCharType="separate"/>
      </w:r>
      <w:r>
        <w:rPr>
          <w:rFonts w:hint="eastAsia" w:hAnsi="宋体" w:cs="宋体"/>
        </w:rPr>
        <w:t>关于2020年龙湾区“雪亮工程”高位监控和简易监控及技术防护体系整体运行维护管理服务公开招标电子交易公告</w:t>
      </w:r>
      <w:r>
        <w:tab/>
      </w:r>
      <w:r>
        <w:fldChar w:fldCharType="begin"/>
      </w:r>
      <w:r>
        <w:instrText xml:space="preserve"> PAGEREF _Toc7970 </w:instrText>
      </w:r>
      <w:r>
        <w:fldChar w:fldCharType="separate"/>
      </w:r>
      <w:r>
        <w:t>2</w:t>
      </w:r>
      <w:r>
        <w:fldChar w:fldCharType="end"/>
      </w:r>
      <w:r>
        <w:rPr>
          <w:rFonts w:hint="eastAsia" w:hAnsi="宋体" w:cs="宋体"/>
          <w:color w:val="00000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_Toc17766 </w:instrText>
      </w:r>
      <w:r>
        <w:rPr>
          <w:rFonts w:hint="eastAsia" w:hAnsi="宋体" w:cs="宋体"/>
          <w:bCs w:val="0"/>
          <w:lang w:val="zh-CN"/>
        </w:rPr>
        <w:fldChar w:fldCharType="separate"/>
      </w:r>
      <w:r>
        <w:rPr>
          <w:rFonts w:hint="eastAsia" w:hAnsi="宋体" w:cs="宋体"/>
          <w:lang w:val="zh-CN"/>
        </w:rPr>
        <w:t>第一部分   投标邀请函（投标须知前附表）</w:t>
      </w:r>
      <w:r>
        <w:tab/>
      </w:r>
      <w:r>
        <w:fldChar w:fldCharType="begin"/>
      </w:r>
      <w:r>
        <w:instrText xml:space="preserve"> PAGEREF _Toc17766 </w:instrText>
      </w:r>
      <w:r>
        <w:fldChar w:fldCharType="separate"/>
      </w:r>
      <w:r>
        <w:t>6</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_Toc8966 </w:instrText>
      </w:r>
      <w:r>
        <w:rPr>
          <w:rFonts w:hint="eastAsia" w:hAnsi="宋体" w:cs="宋体"/>
          <w:bCs w:val="0"/>
          <w:lang w:val="zh-CN"/>
        </w:rPr>
        <w:fldChar w:fldCharType="separate"/>
      </w:r>
      <w:r>
        <w:rPr>
          <w:rFonts w:hint="eastAsia" w:hAnsi="宋体" w:cs="宋体"/>
        </w:rPr>
        <w:t>第二部分 招标内容及要求</w:t>
      </w:r>
      <w:r>
        <w:tab/>
      </w:r>
      <w:r>
        <w:fldChar w:fldCharType="begin"/>
      </w:r>
      <w:r>
        <w:instrText xml:space="preserve"> PAGEREF _Toc8966 </w:instrText>
      </w:r>
      <w:r>
        <w:fldChar w:fldCharType="separate"/>
      </w:r>
      <w:r>
        <w:t>10</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_Toc20686 </w:instrText>
      </w:r>
      <w:r>
        <w:rPr>
          <w:rFonts w:hint="eastAsia" w:hAnsi="宋体" w:cs="宋体"/>
          <w:bCs w:val="0"/>
          <w:lang w:val="zh-CN"/>
        </w:rPr>
        <w:fldChar w:fldCharType="separate"/>
      </w:r>
      <w:r>
        <w:rPr>
          <w:rFonts w:hint="eastAsia" w:hAnsi="宋体"/>
        </w:rPr>
        <w:t>一、采购总说明</w:t>
      </w:r>
      <w:r>
        <w:tab/>
      </w:r>
      <w:r>
        <w:fldChar w:fldCharType="begin"/>
      </w:r>
      <w:r>
        <w:instrText xml:space="preserve"> PAGEREF _Toc20686 </w:instrText>
      </w:r>
      <w:r>
        <w:fldChar w:fldCharType="separate"/>
      </w:r>
      <w:r>
        <w:t>10</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_Toc2989 </w:instrText>
      </w:r>
      <w:r>
        <w:rPr>
          <w:rFonts w:hint="eastAsia" w:hAnsi="宋体" w:cs="宋体"/>
          <w:bCs w:val="0"/>
          <w:lang w:val="zh-CN"/>
        </w:rPr>
        <w:fldChar w:fldCharType="separate"/>
      </w:r>
      <w:r>
        <w:rPr>
          <w:rFonts w:hint="eastAsia" w:hAnsi="宋体" w:cs="宋体"/>
        </w:rPr>
        <w:t>第三部分 供应商须知</w:t>
      </w:r>
      <w:r>
        <w:tab/>
      </w:r>
      <w:r>
        <w:fldChar w:fldCharType="begin"/>
      </w:r>
      <w:r>
        <w:instrText xml:space="preserve"> PAGEREF _Toc2989 </w:instrText>
      </w:r>
      <w:r>
        <w:fldChar w:fldCharType="separate"/>
      </w:r>
      <w:r>
        <w:t>46</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_Toc1499 </w:instrText>
      </w:r>
      <w:r>
        <w:rPr>
          <w:rFonts w:hint="eastAsia" w:hAnsi="宋体" w:cs="宋体"/>
          <w:bCs w:val="0"/>
          <w:lang w:val="zh-CN"/>
        </w:rPr>
        <w:fldChar w:fldCharType="separate"/>
      </w:r>
      <w:r>
        <w:rPr>
          <w:rFonts w:hint="eastAsia" w:hAnsi="宋体" w:cs="宋体"/>
        </w:rPr>
        <w:t>一、说明</w:t>
      </w:r>
      <w:r>
        <w:tab/>
      </w:r>
      <w:r>
        <w:fldChar w:fldCharType="begin"/>
      </w:r>
      <w:r>
        <w:instrText xml:space="preserve"> PAGEREF _Toc1499 </w:instrText>
      </w:r>
      <w:r>
        <w:fldChar w:fldCharType="separate"/>
      </w:r>
      <w:r>
        <w:t>46</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_Toc28834 </w:instrText>
      </w:r>
      <w:r>
        <w:rPr>
          <w:rFonts w:hint="eastAsia" w:hAnsi="宋体" w:cs="宋体"/>
          <w:bCs w:val="0"/>
          <w:lang w:val="zh-CN"/>
        </w:rPr>
        <w:fldChar w:fldCharType="separate"/>
      </w:r>
      <w:r>
        <w:rPr>
          <w:rFonts w:hint="eastAsia" w:hAnsi="宋体" w:cs="宋体"/>
        </w:rPr>
        <w:t>二、招标文件</w:t>
      </w:r>
      <w:r>
        <w:tab/>
      </w:r>
      <w:r>
        <w:fldChar w:fldCharType="begin"/>
      </w:r>
      <w:r>
        <w:instrText xml:space="preserve"> PAGEREF _Toc28834 </w:instrText>
      </w:r>
      <w:r>
        <w:fldChar w:fldCharType="separate"/>
      </w:r>
      <w:r>
        <w:t>47</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_Toc22349 </w:instrText>
      </w:r>
      <w:r>
        <w:rPr>
          <w:rFonts w:hint="eastAsia" w:hAnsi="宋体" w:cs="宋体"/>
          <w:bCs w:val="0"/>
          <w:lang w:val="zh-CN"/>
        </w:rPr>
        <w:fldChar w:fldCharType="separate"/>
      </w:r>
      <w:r>
        <w:rPr>
          <w:rFonts w:hint="eastAsia" w:hAnsi="宋体" w:cs="宋体"/>
        </w:rPr>
        <w:t>三、投标文件</w:t>
      </w:r>
      <w:r>
        <w:tab/>
      </w:r>
      <w:r>
        <w:fldChar w:fldCharType="begin"/>
      </w:r>
      <w:r>
        <w:instrText xml:space="preserve"> PAGEREF _Toc22349 </w:instrText>
      </w:r>
      <w:r>
        <w:fldChar w:fldCharType="separate"/>
      </w:r>
      <w:r>
        <w:t>48</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_Toc21882 </w:instrText>
      </w:r>
      <w:r>
        <w:rPr>
          <w:rFonts w:hint="eastAsia" w:hAnsi="宋体" w:cs="宋体"/>
          <w:bCs w:val="0"/>
          <w:lang w:val="zh-CN"/>
        </w:rPr>
        <w:fldChar w:fldCharType="separate"/>
      </w:r>
      <w:r>
        <w:rPr>
          <w:rFonts w:hint="eastAsia" w:hAnsi="宋体" w:cs="宋体"/>
        </w:rPr>
        <w:t>四、投标文件的递交</w:t>
      </w:r>
      <w:r>
        <w:tab/>
      </w:r>
      <w:r>
        <w:fldChar w:fldCharType="begin"/>
      </w:r>
      <w:r>
        <w:instrText xml:space="preserve"> PAGEREF _Toc21882 </w:instrText>
      </w:r>
      <w:r>
        <w:fldChar w:fldCharType="separate"/>
      </w:r>
      <w:r>
        <w:t>53</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_Toc3796 </w:instrText>
      </w:r>
      <w:r>
        <w:rPr>
          <w:rFonts w:hint="eastAsia" w:hAnsi="宋体" w:cs="宋体"/>
          <w:bCs w:val="0"/>
          <w:lang w:val="zh-CN"/>
        </w:rPr>
        <w:fldChar w:fldCharType="separate"/>
      </w:r>
      <w:r>
        <w:rPr>
          <w:rFonts w:hint="eastAsia" w:hAnsi="宋体" w:cs="宋体"/>
        </w:rPr>
        <w:t>五、开标和评标</w:t>
      </w:r>
      <w:r>
        <w:tab/>
      </w:r>
      <w:r>
        <w:fldChar w:fldCharType="begin"/>
      </w:r>
      <w:r>
        <w:instrText xml:space="preserve"> PAGEREF _Toc3796 </w:instrText>
      </w:r>
      <w:r>
        <w:fldChar w:fldCharType="separate"/>
      </w:r>
      <w:r>
        <w:t>54</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_Toc10197 </w:instrText>
      </w:r>
      <w:r>
        <w:rPr>
          <w:rFonts w:hint="eastAsia" w:hAnsi="宋体" w:cs="宋体"/>
          <w:bCs w:val="0"/>
          <w:lang w:val="zh-CN"/>
        </w:rPr>
        <w:fldChar w:fldCharType="separate"/>
      </w:r>
      <w:r>
        <w:rPr>
          <w:rFonts w:hint="eastAsia" w:hAnsi="宋体" w:cs="宋体"/>
        </w:rPr>
        <w:t>六、授予合同</w:t>
      </w:r>
      <w:r>
        <w:tab/>
      </w:r>
      <w:r>
        <w:fldChar w:fldCharType="begin"/>
      </w:r>
      <w:r>
        <w:instrText xml:space="preserve"> PAGEREF _Toc10197 </w:instrText>
      </w:r>
      <w:r>
        <w:fldChar w:fldCharType="separate"/>
      </w:r>
      <w:r>
        <w:t>58</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_Toc11159 </w:instrText>
      </w:r>
      <w:r>
        <w:rPr>
          <w:rFonts w:hint="eastAsia" w:hAnsi="宋体" w:cs="宋体"/>
          <w:bCs w:val="0"/>
          <w:lang w:val="zh-CN"/>
        </w:rPr>
        <w:fldChar w:fldCharType="separate"/>
      </w:r>
      <w:r>
        <w:rPr>
          <w:rFonts w:hint="eastAsia" w:hAnsi="宋体" w:cs="宋体"/>
          <w:lang w:val="zh-CN"/>
        </w:rPr>
        <w:t>第四部分 政府采购政策功能相关说明</w:t>
      </w:r>
      <w:r>
        <w:tab/>
      </w:r>
      <w:r>
        <w:fldChar w:fldCharType="begin"/>
      </w:r>
      <w:r>
        <w:instrText xml:space="preserve"> PAGEREF _Toc11159 </w:instrText>
      </w:r>
      <w:r>
        <w:fldChar w:fldCharType="separate"/>
      </w:r>
      <w:r>
        <w:t>60</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_Toc6708 </w:instrText>
      </w:r>
      <w:r>
        <w:rPr>
          <w:rFonts w:hint="eastAsia" w:hAnsi="宋体" w:cs="宋体"/>
          <w:bCs w:val="0"/>
          <w:lang w:val="zh-CN"/>
        </w:rPr>
        <w:fldChar w:fldCharType="separate"/>
      </w:r>
      <w:r>
        <w:rPr>
          <w:rFonts w:hint="eastAsia" w:hAnsi="宋体" w:cs="宋体"/>
          <w:szCs w:val="24"/>
        </w:rPr>
        <w:t>三、政府采购信用融资政策</w:t>
      </w:r>
      <w:r>
        <w:tab/>
      </w:r>
      <w:r>
        <w:fldChar w:fldCharType="begin"/>
      </w:r>
      <w:r>
        <w:instrText xml:space="preserve"> PAGEREF _Toc6708 </w:instrText>
      </w:r>
      <w:r>
        <w:fldChar w:fldCharType="separate"/>
      </w:r>
      <w:r>
        <w:t>66</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_Toc28192 </w:instrText>
      </w:r>
      <w:r>
        <w:rPr>
          <w:rFonts w:hint="eastAsia" w:hAnsi="宋体" w:cs="宋体"/>
          <w:bCs w:val="0"/>
          <w:lang w:val="zh-CN"/>
        </w:rPr>
        <w:fldChar w:fldCharType="separate"/>
      </w:r>
      <w:r>
        <w:rPr>
          <w:rFonts w:hint="eastAsia" w:hAnsi="宋体" w:cs="宋体"/>
          <w:szCs w:val="24"/>
        </w:rPr>
        <w:t>中标单位如需要融资，可联系以下银行：</w:t>
      </w:r>
      <w:r>
        <w:tab/>
      </w:r>
      <w:r>
        <w:fldChar w:fldCharType="begin"/>
      </w:r>
      <w:r>
        <w:instrText xml:space="preserve"> PAGEREF _Toc28192 </w:instrText>
      </w:r>
      <w:r>
        <w:fldChar w:fldCharType="separate"/>
      </w:r>
      <w:r>
        <w:t>67</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_Toc10950 </w:instrText>
      </w:r>
      <w:r>
        <w:rPr>
          <w:rFonts w:hint="eastAsia" w:hAnsi="宋体" w:cs="宋体"/>
          <w:bCs w:val="0"/>
          <w:lang w:val="zh-CN"/>
        </w:rPr>
        <w:fldChar w:fldCharType="separate"/>
      </w:r>
      <w:r>
        <w:rPr>
          <w:rFonts w:hint="eastAsia" w:hAnsi="宋体" w:cs="宋体"/>
        </w:rPr>
        <w:t>第五部分 合同格式（参考格式）</w:t>
      </w:r>
      <w:r>
        <w:tab/>
      </w:r>
      <w:r>
        <w:fldChar w:fldCharType="begin"/>
      </w:r>
      <w:r>
        <w:instrText xml:space="preserve"> PAGEREF _Toc10950 </w:instrText>
      </w:r>
      <w:r>
        <w:fldChar w:fldCharType="separate"/>
      </w:r>
      <w:r>
        <w:t>70</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_Toc17542 </w:instrText>
      </w:r>
      <w:r>
        <w:rPr>
          <w:rFonts w:hint="eastAsia" w:hAnsi="宋体" w:cs="宋体"/>
          <w:bCs w:val="0"/>
          <w:lang w:val="zh-CN"/>
        </w:rPr>
        <w:fldChar w:fldCharType="separate"/>
      </w:r>
      <w:r>
        <w:rPr>
          <w:rFonts w:hint="eastAsia" w:hAnsi="宋体" w:cs="宋体"/>
        </w:rPr>
        <w:t>第六部分 投标文件格式</w:t>
      </w:r>
      <w:r>
        <w:tab/>
      </w:r>
      <w:r>
        <w:fldChar w:fldCharType="begin"/>
      </w:r>
      <w:r>
        <w:instrText xml:space="preserve"> PAGEREF _Toc17542 </w:instrText>
      </w:r>
      <w:r>
        <w:fldChar w:fldCharType="separate"/>
      </w:r>
      <w:r>
        <w:t>75</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_Toc23899 </w:instrText>
      </w:r>
      <w:r>
        <w:rPr>
          <w:rFonts w:hint="eastAsia" w:hAnsi="宋体" w:cs="宋体"/>
          <w:bCs w:val="0"/>
          <w:lang w:val="zh-CN"/>
        </w:rPr>
        <w:fldChar w:fldCharType="separate"/>
      </w:r>
      <w:r>
        <w:rPr>
          <w:rFonts w:hint="eastAsia" w:hAnsi="宋体" w:cs="宋体"/>
        </w:rPr>
        <w:t>一、资格投标文件组成部分</w:t>
      </w:r>
      <w:r>
        <w:tab/>
      </w:r>
      <w:r>
        <w:fldChar w:fldCharType="begin"/>
      </w:r>
      <w:r>
        <w:instrText xml:space="preserve"> PAGEREF _Toc23899 </w:instrText>
      </w:r>
      <w:r>
        <w:fldChar w:fldCharType="separate"/>
      </w:r>
      <w:r>
        <w:t>75</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_Toc8462 </w:instrText>
      </w:r>
      <w:r>
        <w:rPr>
          <w:rFonts w:hint="eastAsia" w:hAnsi="宋体" w:cs="宋体"/>
          <w:bCs w:val="0"/>
          <w:lang w:val="zh-CN"/>
        </w:rPr>
        <w:fldChar w:fldCharType="separate"/>
      </w:r>
      <w:r>
        <w:rPr>
          <w:rFonts w:hint="eastAsia" w:hAnsi="宋体" w:cs="宋体"/>
          <w:kern w:val="44"/>
        </w:rPr>
        <w:t>无</w:t>
      </w:r>
      <w:r>
        <w:tab/>
      </w:r>
      <w:r>
        <w:fldChar w:fldCharType="begin"/>
      </w:r>
      <w:r>
        <w:instrText xml:space="preserve"> PAGEREF _Toc8462 </w:instrText>
      </w:r>
      <w:r>
        <w:fldChar w:fldCharType="separate"/>
      </w:r>
      <w:r>
        <w:t>81</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_Toc10771 </w:instrText>
      </w:r>
      <w:r>
        <w:rPr>
          <w:rFonts w:hint="eastAsia" w:hAnsi="宋体" w:cs="宋体"/>
          <w:bCs w:val="0"/>
          <w:lang w:val="zh-CN"/>
        </w:rPr>
        <w:fldChar w:fldCharType="separate"/>
      </w:r>
      <w:r>
        <w:rPr>
          <w:rFonts w:hint="eastAsia" w:hAnsi="宋体" w:cs="宋体"/>
          <w:kern w:val="0"/>
          <w:szCs w:val="32"/>
        </w:rPr>
        <w:t>二、报价标部分</w:t>
      </w:r>
      <w:r>
        <w:rPr>
          <w:rFonts w:hint="eastAsia" w:hAnsi="宋体" w:cs="宋体"/>
        </w:rPr>
        <w:t>格式</w:t>
      </w:r>
      <w:r>
        <w:tab/>
      </w:r>
      <w:r>
        <w:fldChar w:fldCharType="begin"/>
      </w:r>
      <w:r>
        <w:instrText xml:space="preserve"> PAGEREF _Toc10771 </w:instrText>
      </w:r>
      <w:r>
        <w:fldChar w:fldCharType="separate"/>
      </w:r>
      <w:r>
        <w:t>82</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_Toc22163 </w:instrText>
      </w:r>
      <w:r>
        <w:rPr>
          <w:rFonts w:hint="eastAsia" w:hAnsi="宋体" w:cs="宋体"/>
          <w:bCs w:val="0"/>
          <w:lang w:val="zh-CN"/>
        </w:rPr>
        <w:fldChar w:fldCharType="separate"/>
      </w:r>
      <w:r>
        <w:rPr>
          <w:rFonts w:hint="eastAsia" w:hAnsi="宋体" w:cs="宋体"/>
          <w:lang w:val="zh-CN"/>
        </w:rPr>
        <w:t>附件一</w:t>
      </w:r>
      <w:r>
        <w:rPr>
          <w:rFonts w:hint="eastAsia" w:hAnsi="宋体" w:cs="宋体"/>
        </w:rPr>
        <w:t xml:space="preserve"> 开标一览表</w:t>
      </w:r>
      <w:r>
        <w:tab/>
      </w:r>
      <w:r>
        <w:fldChar w:fldCharType="begin"/>
      </w:r>
      <w:r>
        <w:instrText xml:space="preserve"> PAGEREF _Toc22163 </w:instrText>
      </w:r>
      <w:r>
        <w:fldChar w:fldCharType="separate"/>
      </w:r>
      <w:r>
        <w:t>82</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_Toc28310 </w:instrText>
      </w:r>
      <w:r>
        <w:rPr>
          <w:rFonts w:hint="eastAsia" w:hAnsi="宋体" w:cs="宋体"/>
          <w:bCs w:val="0"/>
          <w:lang w:val="zh-CN"/>
        </w:rPr>
        <w:fldChar w:fldCharType="separate"/>
      </w:r>
      <w:r>
        <w:rPr>
          <w:rFonts w:hint="eastAsia" w:hAnsi="宋体" w:cs="宋体"/>
        </w:rPr>
        <w:t>附件二  投标分项报价表</w:t>
      </w:r>
      <w:r>
        <w:tab/>
      </w:r>
      <w:r>
        <w:fldChar w:fldCharType="begin"/>
      </w:r>
      <w:r>
        <w:instrText xml:space="preserve"> PAGEREF _Toc28310 </w:instrText>
      </w:r>
      <w:r>
        <w:fldChar w:fldCharType="separate"/>
      </w:r>
      <w:r>
        <w:t>83</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_Toc12664 </w:instrText>
      </w:r>
      <w:r>
        <w:rPr>
          <w:rFonts w:hint="eastAsia" w:hAnsi="宋体" w:cs="宋体"/>
          <w:bCs w:val="0"/>
          <w:lang w:val="zh-CN"/>
        </w:rPr>
        <w:fldChar w:fldCharType="separate"/>
      </w:r>
      <w:r>
        <w:rPr>
          <w:rFonts w:hint="eastAsia" w:hAnsi="宋体" w:cs="宋体"/>
        </w:rPr>
        <w:t>三、商务技术标部分格式</w:t>
      </w:r>
      <w:r>
        <w:tab/>
      </w:r>
      <w:r>
        <w:fldChar w:fldCharType="begin"/>
      </w:r>
      <w:r>
        <w:instrText xml:space="preserve"> PAGEREF _Toc12664 </w:instrText>
      </w:r>
      <w:r>
        <w:fldChar w:fldCharType="separate"/>
      </w:r>
      <w:r>
        <w:t>85</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_Toc24004 </w:instrText>
      </w:r>
      <w:r>
        <w:rPr>
          <w:rFonts w:hint="eastAsia" w:hAnsi="宋体" w:cs="宋体"/>
          <w:bCs w:val="0"/>
          <w:lang w:val="zh-CN"/>
        </w:rPr>
        <w:fldChar w:fldCharType="separate"/>
      </w:r>
      <w:r>
        <w:rPr>
          <w:rFonts w:hint="eastAsia" w:hAnsi="宋体" w:cs="宋体"/>
          <w:lang w:val="zh-CN"/>
        </w:rPr>
        <w:t>附件</w:t>
      </w:r>
      <w:r>
        <w:rPr>
          <w:rFonts w:hint="eastAsia" w:hAnsi="宋体" w:cs="宋体"/>
        </w:rPr>
        <w:t>一  投标函</w:t>
      </w:r>
      <w:r>
        <w:tab/>
      </w:r>
      <w:r>
        <w:fldChar w:fldCharType="begin"/>
      </w:r>
      <w:r>
        <w:instrText xml:space="preserve"> PAGEREF _Toc24004 </w:instrText>
      </w:r>
      <w:r>
        <w:fldChar w:fldCharType="separate"/>
      </w:r>
      <w:r>
        <w:t>85</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_Toc30967 </w:instrText>
      </w:r>
      <w:r>
        <w:rPr>
          <w:rFonts w:hint="eastAsia" w:hAnsi="宋体" w:cs="宋体"/>
          <w:bCs w:val="0"/>
          <w:lang w:val="zh-CN"/>
        </w:rPr>
        <w:fldChar w:fldCharType="separate"/>
      </w:r>
      <w:r>
        <w:rPr>
          <w:rFonts w:hint="eastAsia" w:hAnsi="宋体" w:cs="宋体"/>
        </w:rPr>
        <w:t>附件二  法定代表人诚信投标承诺书</w:t>
      </w:r>
      <w:r>
        <w:tab/>
      </w:r>
      <w:r>
        <w:fldChar w:fldCharType="begin"/>
      </w:r>
      <w:r>
        <w:instrText xml:space="preserve"> PAGEREF _Toc30967 </w:instrText>
      </w:r>
      <w:r>
        <w:fldChar w:fldCharType="separate"/>
      </w:r>
      <w:r>
        <w:t>86</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_Toc2634 </w:instrText>
      </w:r>
      <w:r>
        <w:rPr>
          <w:rFonts w:hint="eastAsia" w:hAnsi="宋体" w:cs="宋体"/>
          <w:bCs w:val="0"/>
          <w:lang w:val="zh-CN"/>
        </w:rPr>
        <w:fldChar w:fldCharType="separate"/>
      </w:r>
      <w:r>
        <w:rPr>
          <w:rFonts w:hint="eastAsia" w:hAnsi="宋体" w:cs="宋体"/>
        </w:rPr>
        <w:t>附件三  供应商基本情况表</w:t>
      </w:r>
      <w:r>
        <w:tab/>
      </w:r>
      <w:r>
        <w:fldChar w:fldCharType="begin"/>
      </w:r>
      <w:r>
        <w:instrText xml:space="preserve"> PAGEREF _Toc2634 </w:instrText>
      </w:r>
      <w:r>
        <w:fldChar w:fldCharType="separate"/>
      </w:r>
      <w:r>
        <w:t>87</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_Toc9216 </w:instrText>
      </w:r>
      <w:r>
        <w:rPr>
          <w:rFonts w:hint="eastAsia" w:hAnsi="宋体" w:cs="宋体"/>
          <w:bCs w:val="0"/>
          <w:lang w:val="zh-CN"/>
        </w:rPr>
        <w:fldChar w:fldCharType="separate"/>
      </w:r>
      <w:r>
        <w:rPr>
          <w:rFonts w:hint="eastAsia" w:hAnsi="宋体" w:cs="宋体"/>
        </w:rPr>
        <w:t>附件三  同类项目业绩清单</w:t>
      </w:r>
      <w:r>
        <w:tab/>
      </w:r>
      <w:r>
        <w:fldChar w:fldCharType="begin"/>
      </w:r>
      <w:r>
        <w:instrText xml:space="preserve"> PAGEREF _Toc9216 </w:instrText>
      </w:r>
      <w:r>
        <w:fldChar w:fldCharType="separate"/>
      </w:r>
      <w:r>
        <w:t>88</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_Toc19070 </w:instrText>
      </w:r>
      <w:r>
        <w:rPr>
          <w:rFonts w:hint="eastAsia" w:hAnsi="宋体" w:cs="宋体"/>
          <w:bCs w:val="0"/>
          <w:lang w:val="zh-CN"/>
        </w:rPr>
        <w:fldChar w:fldCharType="separate"/>
      </w:r>
      <w:r>
        <w:rPr>
          <w:rFonts w:hint="eastAsia" w:hAnsi="宋体" w:cs="宋体"/>
          <w:lang w:val="zh-CN"/>
        </w:rPr>
        <w:t>附件</w:t>
      </w:r>
      <w:r>
        <w:rPr>
          <w:rFonts w:hint="eastAsia" w:hAnsi="宋体" w:cs="宋体"/>
        </w:rPr>
        <w:t>四  商务、技术偏离表</w:t>
      </w:r>
      <w:r>
        <w:tab/>
      </w:r>
      <w:r>
        <w:fldChar w:fldCharType="begin"/>
      </w:r>
      <w:r>
        <w:instrText xml:space="preserve"> PAGEREF _Toc19070 </w:instrText>
      </w:r>
      <w:r>
        <w:fldChar w:fldCharType="separate"/>
      </w:r>
      <w:r>
        <w:t>90</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_Toc9744 </w:instrText>
      </w:r>
      <w:r>
        <w:rPr>
          <w:rFonts w:hint="eastAsia" w:hAnsi="宋体" w:cs="宋体"/>
          <w:bCs w:val="0"/>
          <w:lang w:val="zh-CN"/>
        </w:rPr>
        <w:fldChar w:fldCharType="separate"/>
      </w:r>
      <w:r>
        <w:rPr>
          <w:rFonts w:hint="eastAsia" w:hAnsi="宋体" w:cs="宋体"/>
        </w:rPr>
        <w:t>附件五 投标产品配置清单</w:t>
      </w:r>
      <w:r>
        <w:tab/>
      </w:r>
      <w:r>
        <w:fldChar w:fldCharType="begin"/>
      </w:r>
      <w:r>
        <w:instrText xml:space="preserve"> PAGEREF _Toc9744 </w:instrText>
      </w:r>
      <w:r>
        <w:fldChar w:fldCharType="separate"/>
      </w:r>
      <w:r>
        <w:t>91</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_Toc26731 </w:instrText>
      </w:r>
      <w:r>
        <w:rPr>
          <w:rFonts w:hint="eastAsia" w:hAnsi="宋体" w:cs="宋体"/>
          <w:bCs w:val="0"/>
          <w:lang w:val="zh-CN"/>
        </w:rPr>
        <w:fldChar w:fldCharType="separate"/>
      </w:r>
      <w:r>
        <w:rPr>
          <w:rFonts w:hint="eastAsia" w:hAnsi="宋体" w:cs="宋体"/>
        </w:rPr>
        <w:t>附件六  供应商项目服务人员汇总表</w:t>
      </w:r>
      <w:r>
        <w:tab/>
      </w:r>
      <w:r>
        <w:fldChar w:fldCharType="begin"/>
      </w:r>
      <w:r>
        <w:instrText xml:space="preserve"> PAGEREF _Toc26731 </w:instrText>
      </w:r>
      <w:r>
        <w:fldChar w:fldCharType="separate"/>
      </w:r>
      <w:r>
        <w:t>92</w:t>
      </w:r>
      <w:r>
        <w:fldChar w:fldCharType="end"/>
      </w:r>
      <w:r>
        <w:rPr>
          <w:rFonts w:hint="eastAsia" w:hAnsi="宋体" w:cs="宋体"/>
          <w:bCs w:val="0"/>
          <w:lang w:val="zh-CN"/>
        </w:rPr>
        <w:fldChar w:fldCharType="end"/>
      </w:r>
    </w:p>
    <w:p>
      <w:pPr>
        <w:pStyle w:val="19"/>
        <w:tabs>
          <w:tab w:val="right" w:leader="dot" w:pos="9412"/>
        </w:tabs>
      </w:pPr>
      <w:r>
        <w:rPr>
          <w:rFonts w:hint="eastAsia" w:hAnsi="宋体" w:cs="宋体"/>
          <w:bCs w:val="0"/>
          <w:lang w:val="zh-CN"/>
        </w:rPr>
        <w:fldChar w:fldCharType="begin"/>
      </w:r>
      <w:r>
        <w:rPr>
          <w:rFonts w:hint="eastAsia" w:hAnsi="宋体" w:cs="宋体"/>
          <w:bCs w:val="0"/>
          <w:lang w:val="zh-CN"/>
        </w:rPr>
        <w:instrText xml:space="preserve"> HYPERLINK \l _Toc7066 </w:instrText>
      </w:r>
      <w:r>
        <w:rPr>
          <w:rFonts w:hint="eastAsia" w:hAnsi="宋体" w:cs="宋体"/>
          <w:bCs w:val="0"/>
          <w:lang w:val="zh-CN"/>
        </w:rPr>
        <w:fldChar w:fldCharType="separate"/>
      </w:r>
      <w:r>
        <w:rPr>
          <w:rFonts w:hint="eastAsia" w:hAnsi="宋体" w:cs="宋体"/>
        </w:rPr>
        <w:t>附 评标定标办法</w:t>
      </w:r>
      <w:r>
        <w:tab/>
      </w:r>
      <w:r>
        <w:fldChar w:fldCharType="begin"/>
      </w:r>
      <w:r>
        <w:instrText xml:space="preserve"> PAGEREF _Toc7066 </w:instrText>
      </w:r>
      <w:r>
        <w:fldChar w:fldCharType="separate"/>
      </w:r>
      <w:r>
        <w:t>94</w:t>
      </w:r>
      <w:r>
        <w:fldChar w:fldCharType="end"/>
      </w:r>
      <w:r>
        <w:rPr>
          <w:rFonts w:hint="eastAsia" w:hAnsi="宋体" w:cs="宋体"/>
          <w:bCs w:val="0"/>
          <w:lang w:val="zh-CN"/>
        </w:rPr>
        <w:fldChar w:fldCharType="end"/>
      </w:r>
    </w:p>
    <w:p>
      <w:pPr>
        <w:widowControl/>
        <w:spacing w:line="440" w:lineRule="exact"/>
        <w:jc w:val="left"/>
        <w:rPr>
          <w:rFonts w:hint="eastAsia" w:ascii="宋体" w:hAnsi="宋体"/>
          <w:bCs/>
          <w:lang w:val="zh-CN"/>
        </w:rPr>
      </w:pPr>
      <w:r>
        <w:rPr>
          <w:rFonts w:hint="eastAsia" w:ascii="宋体" w:hAnsi="宋体"/>
          <w:bCs/>
          <w:lang w:val="zh-CN"/>
        </w:rPr>
        <w:fldChar w:fldCharType="end"/>
      </w:r>
      <w:bookmarkStart w:id="0" w:name="_Toc26026"/>
      <w:bookmarkStart w:id="1" w:name="_Toc14738"/>
      <w:r>
        <w:rPr>
          <w:rFonts w:hint="eastAsia" w:ascii="宋体" w:hAnsi="宋体"/>
          <w:b/>
          <w:bCs/>
          <w:sz w:val="22"/>
          <w:u w:val="single"/>
        </w:rPr>
        <w:t>注：招标文件中有的条款及要求以加粗、加下划线或符号★、▲的形式强调，这些特别强调的条款及内容有些是重要条款，投标供应商对重要条款的响应程度将作为评审工作的主要依据之一。</w:t>
      </w:r>
    </w:p>
    <w:p>
      <w:pPr>
        <w:pStyle w:val="22"/>
        <w:rPr>
          <w:rFonts w:hint="eastAsia" w:ascii="宋体" w:hAnsi="宋体" w:cs="宋体"/>
          <w:bCs/>
          <w:lang w:val="zh-CN"/>
        </w:rPr>
      </w:pPr>
    </w:p>
    <w:p>
      <w:pPr>
        <w:pStyle w:val="22"/>
        <w:rPr>
          <w:rFonts w:hint="eastAsia" w:ascii="宋体" w:hAnsi="宋体" w:cs="宋体"/>
          <w:bCs/>
          <w:lang w:val="zh-CN"/>
        </w:rPr>
      </w:pPr>
    </w:p>
    <w:bookmarkEnd w:id="0"/>
    <w:bookmarkEnd w:id="1"/>
    <w:p>
      <w:pPr>
        <w:pStyle w:val="22"/>
        <w:snapToGrid w:val="0"/>
        <w:spacing w:line="440" w:lineRule="atLeast"/>
        <w:ind w:left="421" w:hanging="421" w:hangingChars="131"/>
        <w:rPr>
          <w:rFonts w:hint="eastAsia" w:ascii="宋体" w:hAnsi="宋体" w:cs="宋体"/>
          <w:b/>
          <w:bCs/>
        </w:rPr>
      </w:pPr>
      <w:bookmarkStart w:id="2" w:name="_Toc7970"/>
      <w:r>
        <w:rPr>
          <w:rFonts w:hint="eastAsia" w:ascii="宋体" w:hAnsi="宋体" w:cs="宋体"/>
          <w:b/>
          <w:bCs/>
        </w:rPr>
        <w:t>关于2020年龙湾区“雪亮工程”高位监控和简易监控及技术防护体系整体运行维护管理服务公开招标电子交易公告</w:t>
      </w:r>
      <w:bookmarkEnd w:id="2"/>
    </w:p>
    <w:p>
      <w:pPr>
        <w:pStyle w:val="21"/>
        <w:widowControl/>
        <w:numPr>
          <w:ilvl w:val="0"/>
          <w:numId w:val="1"/>
        </w:numPr>
        <w:spacing w:before="170" w:beforeAutospacing="0" w:after="170" w:afterAutospacing="0" w:line="320" w:lineRule="atLeast"/>
        <w:jc w:val="both"/>
        <w:rPr>
          <w:rStyle w:val="27"/>
          <w:rFonts w:hint="eastAsia" w:ascii="宋体" w:hAnsi="宋体" w:cs="宋体"/>
          <w:color w:val="000000"/>
          <w:sz w:val="21"/>
          <w:szCs w:val="21"/>
        </w:rPr>
      </w:pPr>
      <w:r>
        <w:rPr>
          <w:rStyle w:val="27"/>
          <w:rFonts w:hint="eastAsia" w:ascii="宋体" w:hAnsi="宋体" w:cs="宋体"/>
          <w:color w:val="000000"/>
          <w:sz w:val="21"/>
          <w:szCs w:val="21"/>
        </w:rPr>
        <w:t>项目基本情况</w:t>
      </w:r>
    </w:p>
    <w:p>
      <w:pPr>
        <w:pStyle w:val="21"/>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项目编号：</w:t>
      </w:r>
      <w:r>
        <w:rPr>
          <w:rFonts w:hint="eastAsia" w:ascii="宋体" w:hAnsi="宋体" w:cs="宋体"/>
          <w:b/>
          <w:sz w:val="22"/>
        </w:rPr>
        <w:fldChar w:fldCharType="begin"/>
      </w:r>
      <w:r>
        <w:rPr>
          <w:rFonts w:hint="eastAsia" w:ascii="宋体" w:hAnsi="宋体" w:cs="宋体"/>
          <w:b/>
          <w:sz w:val="22"/>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cs="宋体"/>
          <w:b/>
          <w:sz w:val="22"/>
        </w:rPr>
        <w:fldChar w:fldCharType="separate"/>
      </w:r>
      <w:r>
        <w:rPr>
          <w:rFonts w:hint="eastAsia" w:ascii="宋体" w:hAnsi="宋体" w:cs="宋体"/>
          <w:b/>
          <w:sz w:val="22"/>
        </w:rPr>
        <w:fldChar w:fldCharType="end"/>
      </w:r>
    </w:p>
    <w:p>
      <w:pPr>
        <w:pStyle w:val="21"/>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项目名称：</w:t>
      </w:r>
      <w:r>
        <w:rPr>
          <w:rFonts w:hint="eastAsia" w:ascii="宋体" w:hAnsi="宋体" w:cs="宋体"/>
          <w:b/>
          <w:bCs/>
        </w:rPr>
        <w:t>2020年龙湾区“雪亮工程”高位监控和简易监控及技术防护体系整体运行维护管理服务</w:t>
      </w:r>
    </w:p>
    <w:p>
      <w:pPr>
        <w:pStyle w:val="21"/>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预算金额：970万元</w:t>
      </w:r>
    </w:p>
    <w:p>
      <w:pPr>
        <w:pStyle w:val="21"/>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最高限价：同采购预算金额</w:t>
      </w:r>
    </w:p>
    <w:p>
      <w:pPr>
        <w:pStyle w:val="21"/>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采购需求：</w:t>
      </w:r>
    </w:p>
    <w:tbl>
      <w:tblPr>
        <w:tblStyle w:val="24"/>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645"/>
        <w:gridCol w:w="1224"/>
        <w:gridCol w:w="1767"/>
        <w:gridCol w:w="1211"/>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pPr>
              <w:widowControl/>
              <w:spacing w:line="440" w:lineRule="atLeast"/>
              <w:jc w:val="center"/>
              <w:rPr>
                <w:rFonts w:hint="eastAsia" w:ascii="宋体" w:hAnsi="宋体"/>
                <w:bCs/>
                <w:sz w:val="22"/>
              </w:rPr>
            </w:pPr>
            <w:r>
              <w:rPr>
                <w:rFonts w:hint="eastAsia" w:ascii="宋体" w:hAnsi="宋体"/>
                <w:bCs/>
                <w:sz w:val="22"/>
              </w:rPr>
              <w:t>标项序号</w:t>
            </w:r>
          </w:p>
        </w:tc>
        <w:tc>
          <w:tcPr>
            <w:tcW w:w="1645" w:type="dxa"/>
            <w:noWrap w:val="0"/>
            <w:vAlign w:val="center"/>
          </w:tcPr>
          <w:p>
            <w:pPr>
              <w:widowControl/>
              <w:spacing w:line="440" w:lineRule="atLeast"/>
              <w:jc w:val="center"/>
              <w:rPr>
                <w:rFonts w:hint="eastAsia" w:ascii="宋体" w:hAnsi="宋体"/>
                <w:bCs/>
                <w:sz w:val="22"/>
              </w:rPr>
            </w:pPr>
            <w:r>
              <w:rPr>
                <w:rFonts w:hint="eastAsia" w:ascii="宋体" w:hAnsi="宋体"/>
                <w:bCs/>
                <w:sz w:val="22"/>
              </w:rPr>
              <w:t>采购项目名称</w:t>
            </w:r>
          </w:p>
        </w:tc>
        <w:tc>
          <w:tcPr>
            <w:tcW w:w="1224" w:type="dxa"/>
            <w:noWrap w:val="0"/>
            <w:vAlign w:val="center"/>
          </w:tcPr>
          <w:p>
            <w:pPr>
              <w:widowControl/>
              <w:spacing w:line="440" w:lineRule="atLeast"/>
              <w:jc w:val="center"/>
              <w:rPr>
                <w:rFonts w:ascii="宋体" w:hAnsi="宋体"/>
                <w:bCs/>
                <w:sz w:val="22"/>
              </w:rPr>
            </w:pPr>
            <w:r>
              <w:rPr>
                <w:rFonts w:hint="eastAsia" w:ascii="宋体" w:hAnsi="宋体"/>
                <w:bCs/>
                <w:sz w:val="22"/>
              </w:rPr>
              <w:t>服务期限</w:t>
            </w:r>
          </w:p>
        </w:tc>
        <w:tc>
          <w:tcPr>
            <w:tcW w:w="1767" w:type="dxa"/>
            <w:noWrap w:val="0"/>
            <w:vAlign w:val="center"/>
          </w:tcPr>
          <w:p>
            <w:pPr>
              <w:widowControl/>
              <w:spacing w:line="440" w:lineRule="atLeast"/>
              <w:jc w:val="center"/>
              <w:rPr>
                <w:rFonts w:hint="eastAsia" w:ascii="宋体" w:hAnsi="宋体"/>
                <w:bCs/>
                <w:sz w:val="22"/>
              </w:rPr>
            </w:pPr>
            <w:r>
              <w:rPr>
                <w:rFonts w:hint="eastAsia" w:ascii="宋体" w:hAnsi="宋体"/>
                <w:bCs/>
                <w:sz w:val="22"/>
              </w:rPr>
              <w:t>简要规格或项目基本概况介绍</w:t>
            </w:r>
          </w:p>
        </w:tc>
        <w:tc>
          <w:tcPr>
            <w:tcW w:w="1211" w:type="dxa"/>
            <w:noWrap w:val="0"/>
            <w:vAlign w:val="center"/>
          </w:tcPr>
          <w:p>
            <w:pPr>
              <w:widowControl/>
              <w:spacing w:line="440" w:lineRule="atLeast"/>
              <w:jc w:val="center"/>
              <w:rPr>
                <w:rFonts w:hint="eastAsia" w:ascii="宋体" w:hAnsi="宋体"/>
                <w:bCs/>
                <w:sz w:val="22"/>
              </w:rPr>
            </w:pPr>
            <w:r>
              <w:rPr>
                <w:rFonts w:hint="eastAsia" w:ascii="宋体" w:hAnsi="宋体"/>
                <w:bCs/>
                <w:sz w:val="22"/>
              </w:rPr>
              <w:t>预算金额</w:t>
            </w:r>
          </w:p>
        </w:tc>
        <w:tc>
          <w:tcPr>
            <w:tcW w:w="3026" w:type="dxa"/>
            <w:noWrap w:val="0"/>
            <w:vAlign w:val="center"/>
          </w:tcPr>
          <w:p>
            <w:pPr>
              <w:widowControl/>
              <w:spacing w:line="440" w:lineRule="atLeast"/>
              <w:jc w:val="center"/>
              <w:rPr>
                <w:rFonts w:hint="eastAsia" w:ascii="宋体" w:hAnsi="宋体"/>
                <w:bCs/>
                <w:sz w:val="22"/>
              </w:rPr>
            </w:pPr>
            <w:r>
              <w:rPr>
                <w:rFonts w:hint="eastAsia" w:ascii="宋体" w:hAnsi="宋体"/>
                <w:bCs/>
                <w:sz w:val="22"/>
              </w:rPr>
              <w:t>需要落实的政府采购政策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pPr>
              <w:widowControl/>
              <w:spacing w:line="440" w:lineRule="atLeast"/>
              <w:jc w:val="center"/>
              <w:rPr>
                <w:rFonts w:hint="eastAsia" w:ascii="宋体" w:hAnsi="宋体"/>
                <w:bCs/>
                <w:sz w:val="22"/>
              </w:rPr>
            </w:pPr>
            <w:r>
              <w:rPr>
                <w:rFonts w:hint="eastAsia" w:ascii="宋体" w:hAnsi="宋体"/>
                <w:bCs/>
                <w:sz w:val="22"/>
              </w:rPr>
              <w:t>1</w:t>
            </w:r>
          </w:p>
        </w:tc>
        <w:tc>
          <w:tcPr>
            <w:tcW w:w="1645" w:type="dxa"/>
            <w:noWrap w:val="0"/>
            <w:vAlign w:val="center"/>
          </w:tcPr>
          <w:p>
            <w:pPr>
              <w:widowControl/>
              <w:spacing w:line="440" w:lineRule="atLeast"/>
              <w:jc w:val="center"/>
              <w:rPr>
                <w:rFonts w:hint="eastAsia" w:ascii="宋体" w:hAnsi="宋体"/>
                <w:bCs/>
                <w:sz w:val="22"/>
              </w:rPr>
            </w:pPr>
            <w:r>
              <w:rPr>
                <w:rFonts w:hint="eastAsia" w:ascii="宋体" w:hAnsi="宋体"/>
                <w:b/>
                <w:bCs/>
              </w:rPr>
              <w:t>2020年龙湾区“雪亮工程”高位监控和简易监控及技术防护体系整体运行维护管理服务</w:t>
            </w:r>
          </w:p>
        </w:tc>
        <w:tc>
          <w:tcPr>
            <w:tcW w:w="1224" w:type="dxa"/>
            <w:noWrap w:val="0"/>
            <w:vAlign w:val="center"/>
          </w:tcPr>
          <w:p>
            <w:pPr>
              <w:widowControl/>
              <w:spacing w:line="440" w:lineRule="atLeast"/>
              <w:jc w:val="center"/>
              <w:rPr>
                <w:rFonts w:hint="eastAsia" w:ascii="宋体" w:hAnsi="宋体"/>
                <w:bCs/>
                <w:sz w:val="22"/>
              </w:rPr>
            </w:pPr>
            <w:r>
              <w:rPr>
                <w:rFonts w:hint="eastAsia" w:ascii="宋体" w:hAnsi="宋体"/>
                <w:bCs/>
                <w:sz w:val="22"/>
              </w:rPr>
              <w:t xml:space="preserve">五年 </w:t>
            </w:r>
          </w:p>
        </w:tc>
        <w:tc>
          <w:tcPr>
            <w:tcW w:w="1767" w:type="dxa"/>
            <w:noWrap w:val="0"/>
            <w:vAlign w:val="center"/>
          </w:tcPr>
          <w:p>
            <w:pPr>
              <w:widowControl/>
              <w:spacing w:line="440" w:lineRule="atLeast"/>
              <w:jc w:val="center"/>
              <w:rPr>
                <w:rFonts w:hint="eastAsia" w:ascii="宋体" w:hAnsi="宋体"/>
                <w:bCs/>
                <w:sz w:val="22"/>
              </w:rPr>
            </w:pPr>
            <w:r>
              <w:rPr>
                <w:rFonts w:hint="eastAsia" w:ascii="宋体" w:hAnsi="宋体"/>
                <w:bCs/>
                <w:sz w:val="22"/>
              </w:rPr>
              <w:t>见招标文件“采购内容及要求”</w:t>
            </w:r>
          </w:p>
        </w:tc>
        <w:tc>
          <w:tcPr>
            <w:tcW w:w="1211" w:type="dxa"/>
            <w:noWrap w:val="0"/>
            <w:vAlign w:val="center"/>
          </w:tcPr>
          <w:p>
            <w:pPr>
              <w:widowControl/>
              <w:spacing w:line="440" w:lineRule="atLeast"/>
              <w:jc w:val="center"/>
              <w:rPr>
                <w:rFonts w:hint="eastAsia" w:ascii="宋体" w:hAnsi="宋体"/>
                <w:bCs/>
                <w:sz w:val="22"/>
              </w:rPr>
            </w:pPr>
            <w:r>
              <w:rPr>
                <w:rFonts w:hint="eastAsia" w:ascii="宋体" w:hAnsi="宋体"/>
                <w:color w:val="000000"/>
                <w:szCs w:val="21"/>
              </w:rPr>
              <w:t>970</w:t>
            </w:r>
            <w:r>
              <w:rPr>
                <w:rFonts w:hint="eastAsia" w:ascii="宋体" w:hAnsi="宋体"/>
                <w:bCs/>
                <w:sz w:val="22"/>
              </w:rPr>
              <w:t xml:space="preserve"> 万元</w:t>
            </w:r>
          </w:p>
        </w:tc>
        <w:tc>
          <w:tcPr>
            <w:tcW w:w="3026" w:type="dxa"/>
            <w:noWrap w:val="0"/>
            <w:vAlign w:val="center"/>
          </w:tcPr>
          <w:p>
            <w:pPr>
              <w:widowControl/>
              <w:numPr>
                <w:ilvl w:val="0"/>
                <w:numId w:val="3"/>
              </w:numPr>
              <w:spacing w:line="440" w:lineRule="atLeast"/>
              <w:jc w:val="left"/>
              <w:rPr>
                <w:rFonts w:hint="eastAsia"/>
              </w:rPr>
            </w:pPr>
            <w:r>
              <w:rPr>
                <w:rFonts w:hint="eastAsia"/>
              </w:rPr>
              <w:t>扶持中小企业政策：评审时小型和微型企业产品享受6%的价格折扣。监狱企业视同小型、微型企业。残疾人福利性单位视同小型、微型企业。不重复享受政策。</w:t>
            </w:r>
          </w:p>
          <w:p>
            <w:pPr>
              <w:pStyle w:val="2"/>
              <w:numPr>
                <w:ilvl w:val="0"/>
                <w:numId w:val="3"/>
              </w:numPr>
              <w:rPr>
                <w:rFonts w:hint="eastAsia"/>
              </w:rPr>
            </w:pPr>
            <w:r>
              <w:rPr>
                <w:rFonts w:hint="eastAsia"/>
                <w:lang w:val="en-US" w:eastAsia="zh-CN"/>
              </w:rPr>
              <w:t>对节能、环保产品优先采购。</w:t>
            </w:r>
          </w:p>
        </w:tc>
      </w:tr>
    </w:tbl>
    <w:p>
      <w:pPr>
        <w:spacing w:line="440" w:lineRule="atLeast"/>
        <w:rPr>
          <w:rFonts w:hint="eastAsia" w:ascii="宋体" w:hAnsi="宋体"/>
          <w:color w:val="000000"/>
          <w:szCs w:val="21"/>
        </w:rPr>
      </w:pPr>
      <w:r>
        <w:rPr>
          <w:rFonts w:hint="eastAsia" w:ascii="宋体" w:hAnsi="宋体"/>
          <w:color w:val="000000"/>
          <w:szCs w:val="21"/>
        </w:rPr>
        <w:t>6.合同履行期限：见采购内容及要求；</w:t>
      </w:r>
    </w:p>
    <w:p>
      <w:pPr>
        <w:spacing w:line="440" w:lineRule="atLeast"/>
        <w:rPr>
          <w:rFonts w:hint="eastAsia" w:ascii="宋体" w:hAnsi="宋体"/>
          <w:color w:val="000000"/>
          <w:szCs w:val="21"/>
        </w:rPr>
      </w:pPr>
      <w:r>
        <w:rPr>
          <w:rFonts w:hint="eastAsia" w:ascii="宋体" w:hAnsi="宋体"/>
          <w:color w:val="000000"/>
          <w:szCs w:val="21"/>
        </w:rPr>
        <w:t>7.是否接受联合体：本项目拒绝接受联合体投标。</w:t>
      </w:r>
    </w:p>
    <w:p>
      <w:pPr>
        <w:widowControl/>
        <w:snapToGrid w:val="0"/>
        <w:spacing w:line="460" w:lineRule="atLeast"/>
        <w:jc w:val="left"/>
        <w:rPr>
          <w:rFonts w:hint="eastAsia" w:ascii="宋体" w:hAnsi="宋体"/>
          <w:b/>
          <w:sz w:val="22"/>
        </w:rPr>
      </w:pPr>
      <w:r>
        <w:rPr>
          <w:rFonts w:hint="eastAsia" w:ascii="宋体" w:hAnsi="宋体"/>
          <w:b/>
          <w:sz w:val="22"/>
        </w:rPr>
        <w:t>二、</w:t>
      </w:r>
      <w:r>
        <w:rPr>
          <w:rStyle w:val="27"/>
          <w:rFonts w:hint="eastAsia" w:ascii="宋体" w:hAnsi="宋体"/>
          <w:color w:val="000000"/>
          <w:szCs w:val="21"/>
        </w:rPr>
        <w:t>申请人的资格要求：</w:t>
      </w:r>
    </w:p>
    <w:p>
      <w:pPr>
        <w:widowControl/>
        <w:spacing w:line="440" w:lineRule="atLeast"/>
        <w:ind w:firstLine="440" w:firstLineChars="200"/>
        <w:jc w:val="left"/>
        <w:rPr>
          <w:rFonts w:hint="eastAsia" w:ascii="宋体" w:hAnsi="宋体"/>
          <w:sz w:val="22"/>
        </w:rPr>
      </w:pPr>
      <w:r>
        <w:rPr>
          <w:rFonts w:hint="eastAsia" w:ascii="宋体" w:hAnsi="宋体"/>
          <w:sz w:val="22"/>
        </w:rPr>
        <w:t>1、满足《中华人民共和国政府采购法》第二十二条规定；</w:t>
      </w:r>
    </w:p>
    <w:p>
      <w:pPr>
        <w:widowControl/>
        <w:spacing w:line="440" w:lineRule="atLeast"/>
        <w:ind w:firstLine="440" w:firstLineChars="200"/>
        <w:jc w:val="left"/>
        <w:rPr>
          <w:rFonts w:hint="eastAsia" w:ascii="宋体" w:hAnsi="宋体"/>
          <w:sz w:val="22"/>
        </w:rPr>
      </w:pPr>
      <w:r>
        <w:rPr>
          <w:rFonts w:hint="eastAsia" w:ascii="宋体" w:hAnsi="宋体"/>
          <w:sz w:val="22"/>
        </w:rPr>
        <w:t>（1）具有独立承担民事责任的能力；</w:t>
      </w:r>
    </w:p>
    <w:p>
      <w:pPr>
        <w:widowControl/>
        <w:spacing w:line="440" w:lineRule="atLeast"/>
        <w:ind w:firstLine="440" w:firstLineChars="200"/>
        <w:jc w:val="left"/>
        <w:rPr>
          <w:rFonts w:hint="eastAsia" w:ascii="宋体" w:hAnsi="宋体"/>
          <w:sz w:val="22"/>
        </w:rPr>
      </w:pPr>
      <w:r>
        <w:rPr>
          <w:rFonts w:hint="eastAsia" w:ascii="宋体" w:hAnsi="宋体"/>
          <w:sz w:val="22"/>
        </w:rPr>
        <w:t>（2）具有良好的商业信誉和健全的财务会计制度；</w:t>
      </w:r>
    </w:p>
    <w:p>
      <w:pPr>
        <w:widowControl/>
        <w:spacing w:line="440" w:lineRule="atLeast"/>
        <w:ind w:firstLine="440" w:firstLineChars="200"/>
        <w:jc w:val="left"/>
        <w:rPr>
          <w:rFonts w:hint="eastAsia" w:ascii="宋体" w:hAnsi="宋体"/>
          <w:sz w:val="22"/>
        </w:rPr>
      </w:pPr>
      <w:r>
        <w:rPr>
          <w:rFonts w:hint="eastAsia" w:ascii="宋体" w:hAnsi="宋体"/>
          <w:sz w:val="22"/>
        </w:rPr>
        <w:t>（3）具有履行合同所必需的设备和专业技术能力；</w:t>
      </w:r>
    </w:p>
    <w:p>
      <w:pPr>
        <w:widowControl/>
        <w:spacing w:line="440" w:lineRule="atLeast"/>
        <w:ind w:firstLine="440" w:firstLineChars="200"/>
        <w:jc w:val="left"/>
        <w:rPr>
          <w:rFonts w:hint="eastAsia" w:ascii="宋体" w:hAnsi="宋体"/>
          <w:sz w:val="22"/>
        </w:rPr>
      </w:pPr>
      <w:r>
        <w:rPr>
          <w:rFonts w:hint="eastAsia" w:ascii="宋体" w:hAnsi="宋体"/>
          <w:sz w:val="22"/>
        </w:rPr>
        <w:t>（4）有依法缴纳税收和社会保障资金的良好记录；</w:t>
      </w:r>
    </w:p>
    <w:p>
      <w:pPr>
        <w:widowControl/>
        <w:spacing w:line="440" w:lineRule="atLeast"/>
        <w:ind w:firstLine="440" w:firstLineChars="200"/>
        <w:jc w:val="left"/>
        <w:rPr>
          <w:rFonts w:hint="eastAsia" w:ascii="宋体" w:hAnsi="宋体"/>
          <w:sz w:val="22"/>
        </w:rPr>
      </w:pPr>
      <w:r>
        <w:rPr>
          <w:rFonts w:hint="eastAsia" w:ascii="宋体" w:hAnsi="宋体"/>
          <w:sz w:val="22"/>
        </w:rPr>
        <w:t>（5）参加政府采购活动前三年内，在经营活动中没有重大违法记录；</w:t>
      </w:r>
    </w:p>
    <w:p>
      <w:pPr>
        <w:widowControl/>
        <w:spacing w:line="440" w:lineRule="atLeast"/>
        <w:ind w:firstLine="440" w:firstLineChars="200"/>
        <w:jc w:val="left"/>
        <w:rPr>
          <w:rFonts w:hint="eastAsia" w:ascii="宋体" w:hAnsi="宋体"/>
          <w:sz w:val="22"/>
        </w:rPr>
      </w:pPr>
      <w:r>
        <w:rPr>
          <w:rFonts w:hint="eastAsia" w:ascii="宋体" w:hAnsi="宋体"/>
          <w:sz w:val="22"/>
        </w:rPr>
        <w:t>2、供应商未被列入失信被执行人名单、重大税收违法案件当事人名单、政府采购严重违法失信行为记录名单，信用信息以投标截止日信用中国网站（www.creditchina.gov.cn）、中国政府采购网（www.ccgp.gov.cn）公布为准；</w:t>
      </w:r>
    </w:p>
    <w:p>
      <w:pPr>
        <w:widowControl/>
        <w:spacing w:line="440" w:lineRule="atLeast"/>
        <w:ind w:firstLine="440" w:firstLineChars="200"/>
        <w:jc w:val="left"/>
        <w:rPr>
          <w:rFonts w:hint="eastAsia" w:ascii="宋体" w:hAnsi="宋体"/>
          <w:sz w:val="22"/>
        </w:rPr>
      </w:pPr>
      <w:r>
        <w:rPr>
          <w:rFonts w:hint="eastAsia" w:ascii="宋体" w:hAnsi="宋体"/>
          <w:sz w:val="22"/>
        </w:rPr>
        <w:t>3、单位负责人为同一人或者存在直接控股、管理关系的不同供应商，不得参加同一合同项下的政府采购活动；</w:t>
      </w:r>
    </w:p>
    <w:p>
      <w:pPr>
        <w:pStyle w:val="11"/>
        <w:ind w:firstLine="440" w:firstLineChars="200"/>
        <w:rPr>
          <w:rFonts w:hint="eastAsia" w:ascii="宋体" w:hAnsi="宋体" w:cs="宋体"/>
          <w:color w:val="000000"/>
          <w:sz w:val="22"/>
          <w:szCs w:val="22"/>
          <w:shd w:val="clear" w:color="auto" w:fill="FFFFFF"/>
        </w:rPr>
      </w:pPr>
      <w:r>
        <w:rPr>
          <w:rFonts w:hint="eastAsia" w:ascii="宋体" w:hAnsi="宋体" w:cs="宋体"/>
          <w:sz w:val="22"/>
        </w:rPr>
        <w:t>4、</w:t>
      </w:r>
      <w:r>
        <w:rPr>
          <w:rFonts w:hint="eastAsia" w:ascii="宋体" w:hAnsi="宋体" w:cs="宋体"/>
          <w:color w:val="000000"/>
          <w:sz w:val="22"/>
          <w:szCs w:val="22"/>
          <w:shd w:val="clear" w:color="auto" w:fill="FFFFFF"/>
        </w:rPr>
        <w:t>政府采购云平台运营机构，以及与该机构有直接控股或者管理关系的任何单位和个人，不得参与本项目电子交易活动。</w:t>
      </w:r>
    </w:p>
    <w:p>
      <w:pPr>
        <w:widowControl/>
        <w:snapToGrid w:val="0"/>
        <w:spacing w:line="380" w:lineRule="exact"/>
        <w:ind w:firstLine="440" w:firstLineChars="200"/>
        <w:jc w:val="left"/>
        <w:rPr>
          <w:rFonts w:hint="eastAsia" w:ascii="宋体" w:hAnsi="宋体"/>
          <w:kern w:val="0"/>
          <w:sz w:val="22"/>
        </w:rPr>
      </w:pPr>
      <w:r>
        <w:rPr>
          <w:rFonts w:hint="eastAsia" w:ascii="宋体" w:hAnsi="宋体"/>
          <w:sz w:val="22"/>
        </w:rPr>
        <w:t>5、特定资格条件：须具有为系统整体运行、维护的自有管道光纤资源（或提供与运营商就本项目已签订的光纤资源使用协议，可中标后3日内提供）；</w:t>
      </w:r>
    </w:p>
    <w:p>
      <w:pPr>
        <w:widowControl/>
        <w:spacing w:line="460" w:lineRule="atLeast"/>
        <w:ind w:firstLine="440" w:firstLineChars="200"/>
        <w:jc w:val="left"/>
        <w:rPr>
          <w:rFonts w:hint="eastAsia" w:ascii="宋体" w:hAnsi="宋体"/>
          <w:sz w:val="22"/>
        </w:rPr>
      </w:pPr>
      <w:r>
        <w:rPr>
          <w:rFonts w:hint="eastAsia" w:ascii="宋体" w:hAnsi="宋体"/>
          <w:sz w:val="22"/>
        </w:rPr>
        <w:t>符合以上要求的供应商可自行登陆浙江省政府采购网或政府采购云平台填写资料进行招标文件合法的获取，无须上传资料。</w:t>
      </w:r>
    </w:p>
    <w:p>
      <w:pPr>
        <w:widowControl/>
        <w:numPr>
          <w:ilvl w:val="0"/>
          <w:numId w:val="4"/>
        </w:numPr>
        <w:spacing w:line="440" w:lineRule="atLeast"/>
        <w:jc w:val="left"/>
        <w:rPr>
          <w:rFonts w:hint="eastAsia" w:ascii="宋体" w:hAnsi="宋体"/>
          <w:b/>
          <w:sz w:val="22"/>
        </w:rPr>
      </w:pPr>
      <w:r>
        <w:rPr>
          <w:rFonts w:hint="eastAsia" w:ascii="宋体" w:hAnsi="宋体"/>
          <w:b/>
          <w:sz w:val="22"/>
        </w:rPr>
        <w:t>获取招标文件：</w:t>
      </w:r>
    </w:p>
    <w:p>
      <w:pPr>
        <w:widowControl/>
        <w:spacing w:line="440" w:lineRule="atLeast"/>
        <w:ind w:firstLine="420" w:firstLineChars="200"/>
        <w:jc w:val="left"/>
        <w:rPr>
          <w:rFonts w:hint="eastAsia" w:ascii="宋体" w:hAnsi="宋体"/>
          <w:color w:val="000000"/>
          <w:szCs w:val="21"/>
        </w:rPr>
      </w:pPr>
      <w:r>
        <w:rPr>
          <w:rFonts w:hint="eastAsia" w:ascii="宋体" w:hAnsi="宋体"/>
        </w:rPr>
        <w:t>1.时间：</w:t>
      </w:r>
      <w:r>
        <w:rPr>
          <w:rFonts w:hint="eastAsia" w:ascii="宋体" w:hAnsi="宋体"/>
          <w:lang w:val="en-US" w:eastAsia="zh-CN"/>
        </w:rPr>
        <w:t>至投标截止之前均可以获取，</w:t>
      </w:r>
      <w:r>
        <w:rPr>
          <w:rFonts w:hint="eastAsia" w:ascii="宋体" w:hAnsi="宋体"/>
          <w:color w:val="000000"/>
          <w:szCs w:val="21"/>
        </w:rPr>
        <w:t>每天上午</w:t>
      </w:r>
      <w:r>
        <w:rPr>
          <w:rFonts w:hint="eastAsia" w:ascii="宋体" w:hAnsi="宋体"/>
          <w:color w:val="000000"/>
          <w:szCs w:val="21"/>
          <w:u w:val="single"/>
        </w:rPr>
        <w:t> 00:00至12:00</w:t>
      </w:r>
      <w:r>
        <w:rPr>
          <w:rFonts w:hint="eastAsia" w:ascii="宋体" w:hAnsi="宋体"/>
          <w:color w:val="000000"/>
          <w:szCs w:val="21"/>
        </w:rPr>
        <w:t> ，下午</w:t>
      </w:r>
      <w:r>
        <w:rPr>
          <w:rFonts w:hint="eastAsia" w:ascii="宋体" w:hAnsi="宋体"/>
          <w:color w:val="000000"/>
          <w:szCs w:val="21"/>
          <w:u w:val="single"/>
        </w:rPr>
        <w:t> 12:00至23:59 </w:t>
      </w:r>
      <w:r>
        <w:rPr>
          <w:rFonts w:hint="eastAsia" w:ascii="宋体" w:hAnsi="宋体"/>
          <w:color w:val="000000"/>
          <w:szCs w:val="21"/>
        </w:rPr>
        <w:t>（北京时间，线上获取法定节假日均可，线下获取文件法定节假日除外）；</w:t>
      </w:r>
    </w:p>
    <w:p>
      <w:pPr>
        <w:widowControl/>
        <w:spacing w:line="440" w:lineRule="atLeast"/>
        <w:ind w:firstLine="420" w:firstLineChars="200"/>
        <w:jc w:val="left"/>
        <w:rPr>
          <w:rFonts w:hint="eastAsia" w:ascii="宋体" w:hAnsi="宋体"/>
        </w:rPr>
      </w:pPr>
      <w:r>
        <w:rPr>
          <w:rFonts w:hint="eastAsia" w:ascii="宋体" w:hAnsi="宋体"/>
          <w:color w:val="000000"/>
          <w:szCs w:val="21"/>
        </w:rPr>
        <w:t>2.地点:政采云平台；</w:t>
      </w:r>
    </w:p>
    <w:p>
      <w:pPr>
        <w:widowControl/>
        <w:spacing w:line="440" w:lineRule="atLeast"/>
        <w:ind w:firstLine="440" w:firstLineChars="200"/>
        <w:jc w:val="left"/>
        <w:rPr>
          <w:rFonts w:hint="eastAsia" w:ascii="宋体" w:hAnsi="宋体"/>
          <w:sz w:val="22"/>
        </w:rPr>
      </w:pPr>
      <w:r>
        <w:rPr>
          <w:rFonts w:hint="eastAsia" w:ascii="宋体" w:hAnsi="宋体"/>
          <w:sz w:val="22"/>
        </w:rPr>
        <w:t>3.获取方式:1)通过浙江省政府采购网的项目公告末尾的“潜在供应商”栏点击获取采购文件，登陆账号填写信息后获取；2）通过政府采购云平台登陆获取，具体为：进入账户后，选择“项目采购”应用，在获取采购文件菜单中选择项目，申请获取采购文件）；</w:t>
      </w:r>
    </w:p>
    <w:p>
      <w:pPr>
        <w:widowControl/>
        <w:snapToGrid w:val="0"/>
        <w:spacing w:line="440" w:lineRule="atLeast"/>
        <w:ind w:firstLine="440" w:firstLineChars="200"/>
        <w:jc w:val="left"/>
        <w:rPr>
          <w:rFonts w:hint="eastAsia" w:ascii="宋体" w:hAnsi="宋体"/>
          <w:kern w:val="0"/>
          <w:sz w:val="22"/>
        </w:rPr>
      </w:pPr>
      <w:r>
        <w:rPr>
          <w:rFonts w:hint="eastAsia" w:ascii="宋体" w:hAnsi="宋体"/>
          <w:sz w:val="22"/>
        </w:rPr>
        <w:t>4.售价(元)：0元；</w:t>
      </w:r>
    </w:p>
    <w:p>
      <w:pPr>
        <w:widowControl/>
        <w:snapToGrid w:val="0"/>
        <w:spacing w:line="440" w:lineRule="atLeast"/>
        <w:ind w:firstLine="440" w:firstLineChars="200"/>
        <w:jc w:val="left"/>
        <w:rPr>
          <w:rFonts w:hint="eastAsia" w:ascii="宋体" w:hAnsi="宋体"/>
          <w:kern w:val="0"/>
          <w:sz w:val="22"/>
        </w:rPr>
      </w:pPr>
      <w:r>
        <w:rPr>
          <w:rFonts w:hint="eastAsia" w:ascii="宋体" w:hAnsi="宋体"/>
          <w:kern w:val="0"/>
          <w:sz w:val="22"/>
        </w:rPr>
        <w:t>5.其他：供应商获取采购文件后不参加本项目投标的，须在投标截止24小时之前（上班时间）与代理公司予以书面声明确认；</w:t>
      </w:r>
    </w:p>
    <w:p>
      <w:pPr>
        <w:pStyle w:val="152"/>
        <w:ind w:firstLine="440" w:firstLineChars="200"/>
        <w:rPr>
          <w:rFonts w:hint="eastAsia" w:ascii="宋体" w:hAnsi="宋体"/>
        </w:rPr>
      </w:pPr>
      <w:r>
        <w:rPr>
          <w:rFonts w:hint="eastAsia" w:ascii="宋体" w:hAnsi="宋体"/>
          <w:sz w:val="22"/>
        </w:rPr>
        <w:t>6.注:</w:t>
      </w:r>
      <w:r>
        <w:rPr>
          <w:rFonts w:hint="eastAsia" w:ascii="宋体" w:hAnsi="宋体"/>
          <w:b/>
          <w:sz w:val="22"/>
        </w:rPr>
        <w:t>如果供应商没经过如上流程获取采购文件的，将不能参加后续的项目电子交易等流程.</w:t>
      </w:r>
    </w:p>
    <w:p>
      <w:pPr>
        <w:widowControl/>
        <w:spacing w:line="440" w:lineRule="atLeast"/>
        <w:jc w:val="left"/>
        <w:rPr>
          <w:rFonts w:hint="eastAsia" w:ascii="宋体" w:hAnsi="宋体"/>
          <w:bCs/>
          <w:sz w:val="22"/>
        </w:rPr>
      </w:pPr>
      <w:r>
        <w:rPr>
          <w:rFonts w:hint="eastAsia" w:ascii="宋体" w:hAnsi="宋体"/>
          <w:b/>
          <w:sz w:val="22"/>
        </w:rPr>
        <w:t>四、采购文件合法获取途径：按照以上要求获取的采购文件为合法获取，采购文件公告附件的采购文件仅供阅览使用。</w:t>
      </w:r>
    </w:p>
    <w:p>
      <w:pPr>
        <w:widowControl/>
        <w:snapToGrid w:val="0"/>
        <w:spacing w:line="460" w:lineRule="atLeast"/>
        <w:jc w:val="left"/>
        <w:rPr>
          <w:rFonts w:hint="eastAsia" w:ascii="宋体" w:hAnsi="宋体"/>
          <w:bCs/>
          <w:sz w:val="22"/>
        </w:rPr>
      </w:pPr>
      <w:r>
        <w:rPr>
          <w:rFonts w:hint="eastAsia" w:ascii="宋体" w:hAnsi="宋体"/>
          <w:b/>
          <w:sz w:val="22"/>
        </w:rPr>
        <w:t>五、投标截止时间、开标时间、地点：</w:t>
      </w:r>
    </w:p>
    <w:p>
      <w:pPr>
        <w:snapToGrid w:val="0"/>
        <w:spacing w:line="440" w:lineRule="atLeast"/>
        <w:ind w:firstLine="480"/>
        <w:rPr>
          <w:rFonts w:hint="eastAsia" w:ascii="宋体" w:hAnsi="宋体"/>
          <w:sz w:val="22"/>
        </w:rPr>
      </w:pPr>
      <w:r>
        <w:rPr>
          <w:rFonts w:hint="eastAsia" w:ascii="宋体" w:hAnsi="宋体"/>
          <w:sz w:val="22"/>
        </w:rPr>
        <w:t>1.投标截止时间：</w:t>
      </w:r>
      <w:r>
        <w:rPr>
          <w:rFonts w:hint="eastAsia" w:ascii="宋体" w:hAnsi="宋体"/>
          <w:b/>
          <w:sz w:val="22"/>
          <w:lang w:eastAsia="zh-CN"/>
        </w:rPr>
        <w:t>2020年8月25日　14:30</w:t>
      </w:r>
      <w:r>
        <w:rPr>
          <w:rFonts w:hint="eastAsia" w:ascii="宋体" w:hAnsi="宋体"/>
          <w:b/>
          <w:sz w:val="22"/>
        </w:rPr>
        <w:t xml:space="preserve"> ；</w:t>
      </w:r>
    </w:p>
    <w:p>
      <w:pPr>
        <w:snapToGrid w:val="0"/>
        <w:spacing w:line="440" w:lineRule="atLeast"/>
        <w:ind w:firstLine="480"/>
        <w:rPr>
          <w:rFonts w:hint="eastAsia" w:ascii="宋体" w:hAnsi="宋体"/>
          <w:b/>
          <w:bCs/>
          <w:kern w:val="0"/>
          <w:sz w:val="22"/>
          <w:u w:val="single"/>
        </w:rPr>
      </w:pPr>
      <w:r>
        <w:rPr>
          <w:rFonts w:hint="eastAsia" w:ascii="宋体" w:hAnsi="宋体"/>
          <w:sz w:val="22"/>
        </w:rPr>
        <w:t>2.投标平台：</w:t>
      </w:r>
      <w:r>
        <w:rPr>
          <w:rFonts w:hint="eastAsia" w:ascii="宋体" w:hAnsi="宋体"/>
          <w:b/>
          <w:bCs/>
          <w:kern w:val="0"/>
          <w:sz w:val="22"/>
          <w:u w:val="single"/>
        </w:rPr>
        <w:t>政府采购云平台；</w:t>
      </w:r>
    </w:p>
    <w:p>
      <w:pPr>
        <w:snapToGrid w:val="0"/>
        <w:spacing w:line="440" w:lineRule="atLeast"/>
        <w:ind w:firstLine="480"/>
        <w:rPr>
          <w:rFonts w:hint="eastAsia" w:ascii="宋体" w:hAnsi="宋体"/>
          <w:sz w:val="22"/>
        </w:rPr>
      </w:pPr>
      <w:r>
        <w:rPr>
          <w:rFonts w:hint="eastAsia" w:ascii="宋体" w:hAnsi="宋体"/>
          <w:sz w:val="22"/>
        </w:rPr>
        <w:t>3.投标文件递交形式：通过政采云平台</w:t>
      </w:r>
      <w:r>
        <w:rPr>
          <w:rFonts w:hint="eastAsia" w:ascii="宋体" w:hAnsi="宋体"/>
          <w:color w:val="000000"/>
          <w:sz w:val="22"/>
          <w:lang w:bidi="ar"/>
        </w:rPr>
        <w:t>“电子加密投标文件”后在线上传递交；</w:t>
      </w:r>
    </w:p>
    <w:p>
      <w:pPr>
        <w:snapToGrid w:val="0"/>
        <w:spacing w:line="440" w:lineRule="atLeast"/>
        <w:ind w:firstLine="480"/>
        <w:rPr>
          <w:rFonts w:hint="eastAsia" w:ascii="宋体" w:hAnsi="宋体"/>
          <w:b/>
          <w:sz w:val="22"/>
        </w:rPr>
      </w:pPr>
      <w:r>
        <w:rPr>
          <w:rFonts w:hint="eastAsia" w:ascii="宋体" w:hAnsi="宋体"/>
          <w:b/>
          <w:sz w:val="22"/>
        </w:rPr>
        <w:t>4.开标时间：</w:t>
      </w:r>
      <w:r>
        <w:rPr>
          <w:rFonts w:hint="eastAsia" w:ascii="宋体" w:hAnsi="宋体"/>
          <w:b/>
          <w:sz w:val="22"/>
          <w:lang w:eastAsia="zh-CN"/>
        </w:rPr>
        <w:t>2020年8月25日　14:30</w:t>
      </w:r>
      <w:r>
        <w:rPr>
          <w:rFonts w:hint="eastAsia" w:ascii="宋体" w:hAnsi="宋体"/>
          <w:b/>
          <w:sz w:val="22"/>
        </w:rPr>
        <w:t xml:space="preserve"> ；</w:t>
      </w:r>
    </w:p>
    <w:p>
      <w:pPr>
        <w:snapToGrid w:val="0"/>
        <w:spacing w:line="440" w:lineRule="atLeast"/>
        <w:ind w:firstLine="480"/>
        <w:rPr>
          <w:rFonts w:hint="eastAsia" w:ascii="宋体" w:hAnsi="宋体"/>
        </w:rPr>
      </w:pPr>
      <w:r>
        <w:rPr>
          <w:rFonts w:hint="eastAsia" w:ascii="宋体" w:hAnsi="宋体"/>
          <w:b/>
          <w:sz w:val="22"/>
        </w:rPr>
        <w:t>5</w:t>
      </w:r>
      <w:r>
        <w:rPr>
          <w:rFonts w:hint="eastAsia" w:ascii="宋体" w:hAnsi="宋体"/>
          <w:sz w:val="22"/>
        </w:rPr>
        <w:t>.开标地点：</w:t>
      </w:r>
      <w:r>
        <w:rPr>
          <w:rFonts w:hint="eastAsia" w:ascii="宋体" w:hAnsi="宋体"/>
          <w:b/>
          <w:bCs/>
          <w:kern w:val="0"/>
          <w:sz w:val="22"/>
          <w:u w:val="single"/>
        </w:rPr>
        <w:t>政府采购云平台；</w:t>
      </w:r>
    </w:p>
    <w:p>
      <w:pPr>
        <w:snapToGrid w:val="0"/>
        <w:spacing w:line="440" w:lineRule="atLeast"/>
        <w:ind w:firstLine="480"/>
        <w:rPr>
          <w:rFonts w:hint="eastAsia" w:ascii="宋体" w:hAnsi="宋体"/>
          <w:b/>
          <w:bCs/>
          <w:kern w:val="0"/>
          <w:sz w:val="22"/>
          <w:u w:val="single"/>
        </w:rPr>
      </w:pPr>
      <w:r>
        <w:rPr>
          <w:rFonts w:hint="eastAsia" w:ascii="宋体" w:hAnsi="宋体"/>
          <w:b/>
          <w:sz w:val="22"/>
        </w:rPr>
        <w:t>6.评审地点：</w:t>
      </w:r>
      <w:r>
        <w:rPr>
          <w:rFonts w:hint="eastAsia" w:ascii="宋体" w:hAnsi="宋体"/>
          <w:b/>
          <w:bCs/>
          <w:kern w:val="0"/>
          <w:sz w:val="22"/>
          <w:u w:val="single"/>
        </w:rPr>
        <w:t>龙湾区公共资源交易中心(温州市龙湾区永中街道府后路77号便民服务中心西裙楼四楼评标区)。</w:t>
      </w:r>
    </w:p>
    <w:p>
      <w:pPr>
        <w:snapToGrid w:val="0"/>
        <w:spacing w:line="440" w:lineRule="atLeast"/>
        <w:rPr>
          <w:rFonts w:hint="eastAsia" w:ascii="宋体" w:hAnsi="宋体"/>
          <w:b/>
          <w:sz w:val="22"/>
        </w:rPr>
      </w:pPr>
      <w:r>
        <w:rPr>
          <w:rFonts w:hint="eastAsia" w:ascii="宋体" w:hAnsi="宋体"/>
          <w:b/>
          <w:sz w:val="22"/>
        </w:rPr>
        <w:t>六、公告期限：</w:t>
      </w:r>
      <w:r>
        <w:rPr>
          <w:rFonts w:hint="eastAsia" w:ascii="宋体" w:hAnsi="宋体"/>
          <w:sz w:val="22"/>
        </w:rPr>
        <w:t>自本公告发布之日起5个工作日；</w:t>
      </w:r>
    </w:p>
    <w:p>
      <w:pPr>
        <w:widowControl/>
        <w:snapToGrid w:val="0"/>
        <w:spacing w:line="460" w:lineRule="atLeast"/>
        <w:jc w:val="left"/>
        <w:rPr>
          <w:rFonts w:hint="eastAsia" w:ascii="宋体" w:hAnsi="宋体"/>
          <w:b/>
          <w:sz w:val="22"/>
        </w:rPr>
      </w:pPr>
      <w:r>
        <w:rPr>
          <w:rFonts w:hint="eastAsia" w:ascii="宋体" w:hAnsi="宋体"/>
          <w:b/>
          <w:sz w:val="22"/>
        </w:rPr>
        <w:t>七、投标保证金：</w:t>
      </w:r>
    </w:p>
    <w:p>
      <w:pPr>
        <w:widowControl/>
        <w:snapToGrid w:val="0"/>
        <w:spacing w:line="460" w:lineRule="atLeast"/>
        <w:ind w:firstLine="440" w:firstLineChars="200"/>
        <w:jc w:val="left"/>
        <w:rPr>
          <w:rFonts w:hint="eastAsia" w:ascii="宋体" w:hAnsi="宋体"/>
          <w:sz w:val="22"/>
        </w:rPr>
      </w:pPr>
      <w:r>
        <w:rPr>
          <w:rFonts w:hint="eastAsia" w:ascii="宋体" w:hAnsi="宋体"/>
          <w:sz w:val="22"/>
        </w:rPr>
        <w:t>（本项目无需）</w:t>
      </w:r>
    </w:p>
    <w:p>
      <w:pPr>
        <w:widowControl/>
        <w:snapToGrid w:val="0"/>
        <w:spacing w:line="460" w:lineRule="atLeast"/>
        <w:jc w:val="left"/>
        <w:rPr>
          <w:rFonts w:hint="eastAsia" w:ascii="宋体" w:hAnsi="宋体"/>
          <w:sz w:val="22"/>
        </w:rPr>
      </w:pPr>
      <w:r>
        <w:rPr>
          <w:rFonts w:hint="eastAsia" w:ascii="宋体" w:hAnsi="宋体"/>
          <w:sz w:val="22"/>
        </w:rPr>
        <w:t>八、在线电子交易活动须知：</w:t>
      </w:r>
    </w:p>
    <w:p>
      <w:pPr>
        <w:snapToGrid w:val="0"/>
        <w:spacing w:line="440" w:lineRule="atLeast"/>
        <w:ind w:firstLine="440" w:firstLineChars="200"/>
        <w:rPr>
          <w:rFonts w:hint="eastAsia" w:ascii="宋体" w:hAnsi="宋体"/>
          <w:sz w:val="22"/>
        </w:rPr>
      </w:pPr>
      <w:r>
        <w:rPr>
          <w:rFonts w:hint="eastAsia" w:ascii="宋体" w:hAnsi="宋体"/>
          <w:sz w:val="22"/>
        </w:rPr>
        <w:t>1、实施本项目的电子交易平台为：“政府采购云平台”，如供应商要参与本项目电子交易，应先完成“政府采购云平台”的账号注册、办理CA、下载电子交易客户端后才能完成在线电子交易活动。</w:t>
      </w:r>
    </w:p>
    <w:p>
      <w:pPr>
        <w:snapToGrid w:val="0"/>
        <w:spacing w:line="440" w:lineRule="atLeast"/>
        <w:ind w:firstLine="440" w:firstLineChars="200"/>
        <w:rPr>
          <w:rFonts w:hint="eastAsia" w:ascii="宋体" w:hAnsi="宋体"/>
        </w:rPr>
      </w:pPr>
      <w:r>
        <w:rPr>
          <w:rFonts w:hint="eastAsia" w:ascii="宋体" w:hAnsi="宋体"/>
          <w:sz w:val="22"/>
        </w:rPr>
        <w:t>1.1供应商注册流程：请自行前往“浙江政府采购网-办事指南-供应商注册申请”进行查阅，中标供应商必须在签订合同前成为浙江政府采购网正式注册供应商。</w:t>
      </w:r>
    </w:p>
    <w:p>
      <w:pPr>
        <w:snapToGrid w:val="0"/>
        <w:spacing w:line="440" w:lineRule="atLeast"/>
        <w:ind w:firstLine="440" w:firstLineChars="200"/>
        <w:rPr>
          <w:rFonts w:hint="eastAsia" w:ascii="宋体" w:hAnsi="宋体"/>
          <w:sz w:val="22"/>
        </w:rPr>
      </w:pPr>
      <w:r>
        <w:rPr>
          <w:rFonts w:hint="eastAsia" w:ascii="宋体" w:hAnsi="宋体"/>
          <w:sz w:val="22"/>
        </w:rPr>
        <w:t>1.2办理CA流程：请自行前往“浙江政府采购网-下载专区-电子交易客户端-</w:t>
      </w:r>
      <w:r>
        <w:rPr>
          <w:rFonts w:hint="eastAsia" w:ascii="宋体" w:hAnsi="宋体"/>
          <w:sz w:val="22"/>
        </w:rPr>
        <w:fldChar w:fldCharType="begin"/>
      </w:r>
      <w:r>
        <w:rPr>
          <w:rFonts w:hint="eastAsia" w:ascii="宋体" w:hAnsi="宋体"/>
          <w:sz w:val="22"/>
        </w:rPr>
        <w:instrText xml:space="preserve"> HYPERLINK "http://www.zjzfcg.gov.cn/bidClientTemplate/2019-05-27/12945.html" \o "CA驱动和申领流程" \t "_blank" </w:instrText>
      </w:r>
      <w:r>
        <w:rPr>
          <w:rFonts w:hint="eastAsia" w:ascii="宋体" w:hAnsi="宋体"/>
          <w:sz w:val="22"/>
        </w:rPr>
        <w:fldChar w:fldCharType="separate"/>
      </w:r>
      <w:r>
        <w:rPr>
          <w:rFonts w:hint="eastAsia" w:ascii="宋体" w:hAnsi="宋体"/>
          <w:sz w:val="22"/>
        </w:rPr>
        <w:t>CA驱动和申领流程</w:t>
      </w:r>
      <w:r>
        <w:rPr>
          <w:rFonts w:hint="eastAsia" w:ascii="宋体" w:hAnsi="宋体"/>
          <w:sz w:val="22"/>
        </w:rPr>
        <w:fldChar w:fldCharType="end"/>
      </w:r>
      <w:r>
        <w:rPr>
          <w:rFonts w:hint="eastAsia" w:ascii="宋体" w:hAnsi="宋体"/>
          <w:sz w:val="22"/>
        </w:rPr>
        <w:t>”进行查阅；</w:t>
      </w:r>
      <w:r>
        <w:rPr>
          <w:rFonts w:hint="eastAsia" w:ascii="宋体" w:hAnsi="宋体"/>
          <w:sz w:val="22"/>
          <w:u w:val="wave"/>
        </w:rPr>
        <w:t>办理CA需要约一个星期，请自行预留时间。</w:t>
      </w:r>
    </w:p>
    <w:p>
      <w:pPr>
        <w:snapToGrid w:val="0"/>
        <w:spacing w:line="440" w:lineRule="atLeast"/>
        <w:ind w:firstLine="440" w:firstLineChars="200"/>
        <w:rPr>
          <w:rFonts w:hint="eastAsia" w:ascii="宋体" w:hAnsi="宋体"/>
          <w:sz w:val="22"/>
        </w:rPr>
      </w:pPr>
      <w:r>
        <w:rPr>
          <w:rFonts w:hint="eastAsia" w:ascii="宋体" w:hAnsi="宋体"/>
          <w:sz w:val="22"/>
        </w:rPr>
        <w:t>1.3电子交易客户端下载：请自行前往“浙江政府采购网-下载专区-电子交易客户端-</w:t>
      </w:r>
      <w:r>
        <w:rPr>
          <w:rFonts w:hint="eastAsia" w:ascii="宋体" w:hAnsi="宋体"/>
          <w:sz w:val="22"/>
        </w:rPr>
        <w:fldChar w:fldCharType="begin"/>
      </w:r>
      <w:r>
        <w:rPr>
          <w:rFonts w:hint="eastAsia" w:ascii="宋体" w:hAnsi="宋体"/>
          <w:sz w:val="22"/>
        </w:rPr>
        <w:instrText xml:space="preserve"> HYPERLINK "http://zfcg.czt.zj.gov.cn/bidClientTemplate/2019-09-24/12975.html" \o "20191010政采云电子交易客户端" \t "http://zfcg.czt.zj.gov.cn/download/_blank" </w:instrText>
      </w:r>
      <w:r>
        <w:rPr>
          <w:rFonts w:hint="eastAsia" w:ascii="宋体" w:hAnsi="宋体"/>
          <w:sz w:val="22"/>
        </w:rPr>
        <w:fldChar w:fldCharType="separate"/>
      </w:r>
      <w:r>
        <w:rPr>
          <w:rFonts w:hint="eastAsia" w:ascii="宋体" w:hAnsi="宋体"/>
          <w:sz w:val="22"/>
        </w:rPr>
        <w:t>政采云电子交易客户端</w:t>
      </w:r>
      <w:r>
        <w:rPr>
          <w:rFonts w:hint="eastAsia" w:ascii="宋体" w:hAnsi="宋体"/>
          <w:sz w:val="22"/>
        </w:rPr>
        <w:fldChar w:fldCharType="end"/>
      </w:r>
      <w:r>
        <w:rPr>
          <w:rFonts w:hint="eastAsia" w:ascii="宋体" w:hAnsi="宋体"/>
          <w:sz w:val="22"/>
        </w:rPr>
        <w:t>”下载。</w:t>
      </w:r>
    </w:p>
    <w:p>
      <w:pPr>
        <w:snapToGrid w:val="0"/>
        <w:spacing w:line="440" w:lineRule="atLeast"/>
        <w:ind w:firstLine="440" w:firstLineChars="200"/>
        <w:rPr>
          <w:rFonts w:hint="eastAsia" w:ascii="宋体" w:hAnsi="宋体"/>
        </w:rPr>
      </w:pPr>
      <w:r>
        <w:rPr>
          <w:rFonts w:hint="eastAsia" w:ascii="宋体" w:hAnsi="宋体"/>
          <w:sz w:val="22"/>
        </w:rPr>
        <w:t xml:space="preserve">2、建议电脑采用windows7以上的操作系统，为了避免页面存在兼容性问题，建议使用谷歌Chrome或360浏览器操作。 </w:t>
      </w:r>
    </w:p>
    <w:p>
      <w:pPr>
        <w:widowControl/>
        <w:spacing w:line="440" w:lineRule="atLeast"/>
        <w:ind w:firstLine="440" w:firstLineChars="200"/>
        <w:jc w:val="left"/>
        <w:rPr>
          <w:rFonts w:hint="eastAsia" w:ascii="宋体" w:hAnsi="宋体"/>
          <w:sz w:val="22"/>
        </w:rPr>
      </w:pPr>
      <w:r>
        <w:rPr>
          <w:rFonts w:hint="eastAsia" w:ascii="宋体" w:hAnsi="宋体"/>
          <w:sz w:val="22"/>
        </w:rPr>
        <w:t>3、政府采购云平台网址为：“</w:t>
      </w:r>
      <w:r>
        <w:rPr>
          <w:rFonts w:hint="eastAsia" w:ascii="宋体" w:hAnsi="宋体"/>
          <w:sz w:val="22"/>
        </w:rPr>
        <w:fldChar w:fldCharType="begin"/>
      </w:r>
      <w:r>
        <w:rPr>
          <w:rFonts w:hint="eastAsia" w:ascii="宋体" w:hAnsi="宋体"/>
          <w:sz w:val="22"/>
        </w:rPr>
        <w:instrText xml:space="preserve"> HYPERLINK "https://www.zcygov.cn/" </w:instrText>
      </w:r>
      <w:r>
        <w:rPr>
          <w:rFonts w:hint="eastAsia" w:ascii="宋体" w:hAnsi="宋体"/>
          <w:sz w:val="22"/>
        </w:rPr>
        <w:fldChar w:fldCharType="separate"/>
      </w:r>
      <w:r>
        <w:rPr>
          <w:rFonts w:hint="eastAsia" w:ascii="宋体" w:hAnsi="宋体"/>
          <w:sz w:val="22"/>
        </w:rPr>
        <w:t>https://www.zcygov.cn</w:t>
      </w:r>
      <w:r>
        <w:rPr>
          <w:rFonts w:hint="eastAsia" w:ascii="宋体" w:hAnsi="宋体"/>
          <w:sz w:val="22"/>
        </w:rPr>
        <w:fldChar w:fldCharType="end"/>
      </w:r>
      <w:r>
        <w:rPr>
          <w:rFonts w:hint="eastAsia" w:ascii="宋体" w:hAnsi="宋体"/>
          <w:sz w:val="22"/>
        </w:rPr>
        <w:t>”；</w:t>
      </w:r>
    </w:p>
    <w:p>
      <w:pPr>
        <w:widowControl/>
        <w:spacing w:line="440" w:lineRule="atLeast"/>
        <w:ind w:firstLine="440" w:firstLineChars="200"/>
        <w:jc w:val="left"/>
        <w:rPr>
          <w:rFonts w:hint="eastAsia" w:ascii="宋体" w:hAnsi="宋体"/>
          <w:sz w:val="22"/>
        </w:rPr>
      </w:pPr>
      <w:r>
        <w:rPr>
          <w:rFonts w:hint="eastAsia" w:ascii="宋体" w:hAnsi="宋体"/>
          <w:sz w:val="22"/>
        </w:rPr>
        <w:t>4、政府采购云平台登陆方法有三种：1）账号登陆，2）短信验证码登陆，3）CA登陆，如获取采购文件和制作投标文件只需要用1）和2）其一即可，如须在线对投标文件签章须采用CA登陆；</w:t>
      </w:r>
    </w:p>
    <w:p>
      <w:pPr>
        <w:widowControl/>
        <w:snapToGrid w:val="0"/>
        <w:spacing w:line="460" w:lineRule="atLeast"/>
        <w:jc w:val="left"/>
        <w:rPr>
          <w:rFonts w:hint="eastAsia" w:ascii="宋体" w:hAnsi="宋体"/>
          <w:b/>
          <w:sz w:val="22"/>
        </w:rPr>
      </w:pPr>
      <w:r>
        <w:rPr>
          <w:rFonts w:hint="eastAsia" w:ascii="宋体" w:hAnsi="宋体"/>
          <w:b/>
          <w:sz w:val="22"/>
        </w:rPr>
        <w:t>九、招标文件（含招标公告）质疑事项：</w:t>
      </w:r>
    </w:p>
    <w:p>
      <w:pPr>
        <w:widowControl/>
        <w:spacing w:line="440" w:lineRule="atLeast"/>
        <w:ind w:firstLine="440" w:firstLineChars="200"/>
        <w:jc w:val="left"/>
        <w:rPr>
          <w:rFonts w:hint="eastAsia" w:ascii="宋体" w:hAnsi="宋体"/>
          <w:sz w:val="22"/>
        </w:rPr>
      </w:pPr>
      <w:r>
        <w:rPr>
          <w:rFonts w:hint="eastAsia" w:ascii="宋体" w:hAnsi="宋体"/>
          <w:sz w:val="22"/>
          <w:lang w:val="en-US" w:eastAsia="zh-CN"/>
        </w:rPr>
        <w:t>1</w:t>
      </w:r>
      <w:r>
        <w:rPr>
          <w:rFonts w:hint="eastAsia" w:ascii="宋体" w:hAnsi="宋体"/>
          <w:sz w:val="22"/>
        </w:rPr>
        <w:t>、供应商知道或者应知其权益受到损害之日起七个工作日内，以书面形式向采购人（或采购代理机构）提出质疑。供应商应知其权益受到损害之日，是指：对可以质疑的招标文件提出质疑的，为收到招标文件之日或者招标文件公告期限届满之日（招标文件在招标文件公告期限后获得的，自招标文件公告期限届满之日起计算）；对采购过程提出质疑的，为各采购程序环节结束之日；对成交或者成交结果提出质疑的，为成交或者成交结果公告期限届满之日。</w:t>
      </w:r>
    </w:p>
    <w:p>
      <w:pPr>
        <w:widowControl/>
        <w:spacing w:line="440" w:lineRule="atLeast"/>
        <w:ind w:firstLine="440" w:firstLineChars="200"/>
        <w:jc w:val="left"/>
        <w:rPr>
          <w:rFonts w:hint="eastAsia" w:ascii="宋体" w:hAnsi="宋体"/>
          <w:sz w:val="22"/>
        </w:rPr>
      </w:pPr>
      <w:r>
        <w:rPr>
          <w:rFonts w:hint="eastAsia" w:ascii="宋体" w:hAnsi="宋体"/>
          <w:sz w:val="22"/>
          <w:lang w:val="en-US" w:eastAsia="zh-CN"/>
        </w:rPr>
        <w:t>2</w:t>
      </w:r>
      <w:r>
        <w:rPr>
          <w:rFonts w:hint="eastAsia" w:ascii="宋体" w:hAnsi="宋体"/>
          <w:sz w:val="22"/>
        </w:rPr>
        <w:t>、潜在供应商应当按照规定方式获取招标文件，未按照规定方式获取招标文件的，不得对招标文件提起质疑投诉。</w:t>
      </w:r>
    </w:p>
    <w:p>
      <w:pPr>
        <w:widowControl/>
        <w:spacing w:line="440" w:lineRule="atLeast"/>
        <w:ind w:firstLine="440" w:firstLineChars="200"/>
        <w:jc w:val="left"/>
        <w:rPr>
          <w:rFonts w:hint="eastAsia" w:ascii="宋体" w:hAnsi="宋体"/>
          <w:sz w:val="22"/>
        </w:rPr>
      </w:pPr>
      <w:r>
        <w:rPr>
          <w:rFonts w:hint="eastAsia" w:ascii="宋体" w:hAnsi="宋体"/>
          <w:sz w:val="22"/>
          <w:lang w:val="en-US" w:eastAsia="zh-CN"/>
        </w:rPr>
        <w:t>3</w:t>
      </w:r>
      <w:r>
        <w:rPr>
          <w:rFonts w:hint="eastAsia" w:ascii="宋体" w:hAnsi="宋体"/>
          <w:sz w:val="22"/>
        </w:rPr>
        <w:t>、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widowControl/>
        <w:snapToGrid w:val="0"/>
        <w:spacing w:line="460" w:lineRule="atLeast"/>
        <w:jc w:val="left"/>
        <w:rPr>
          <w:rFonts w:hint="eastAsia" w:ascii="宋体" w:hAnsi="宋体"/>
          <w:b/>
          <w:sz w:val="22"/>
        </w:rPr>
      </w:pPr>
      <w:r>
        <w:rPr>
          <w:rFonts w:hint="eastAsia" w:ascii="宋体" w:hAnsi="宋体"/>
          <w:b/>
          <w:sz w:val="22"/>
        </w:rPr>
        <w:t>十、联系方式</w:t>
      </w:r>
    </w:p>
    <w:p>
      <w:pPr>
        <w:widowControl/>
        <w:spacing w:line="440" w:lineRule="atLeast"/>
        <w:ind w:firstLine="442" w:firstLineChars="200"/>
        <w:jc w:val="left"/>
        <w:rPr>
          <w:rFonts w:hint="eastAsia" w:ascii="宋体" w:hAnsi="宋体"/>
        </w:rPr>
      </w:pPr>
      <w:r>
        <w:rPr>
          <w:rFonts w:hint="eastAsia" w:ascii="宋体" w:hAnsi="宋体"/>
          <w:b/>
          <w:sz w:val="22"/>
        </w:rPr>
        <w:t>1</w:t>
      </w:r>
      <w:r>
        <w:rPr>
          <w:rFonts w:hint="eastAsia" w:ascii="宋体" w:hAnsi="宋体"/>
          <w:sz w:val="22"/>
        </w:rPr>
        <w:t>.采购人信息</w:t>
      </w:r>
    </w:p>
    <w:p>
      <w:pPr>
        <w:widowControl/>
        <w:spacing w:line="440" w:lineRule="atLeast"/>
        <w:ind w:firstLine="440" w:firstLineChars="200"/>
        <w:jc w:val="left"/>
        <w:rPr>
          <w:rFonts w:hint="eastAsia" w:ascii="宋体" w:hAnsi="宋体"/>
          <w:sz w:val="22"/>
        </w:rPr>
      </w:pPr>
      <w:bookmarkStart w:id="3" w:name="B43_传真"/>
      <w:bookmarkEnd w:id="3"/>
      <w:r>
        <w:rPr>
          <w:rFonts w:hint="eastAsia" w:ascii="宋体" w:hAnsi="宋体"/>
          <w:sz w:val="22"/>
        </w:rPr>
        <w:t>采 购 人：温州市公安局龙湾区分局</w:t>
      </w:r>
    </w:p>
    <w:p>
      <w:pPr>
        <w:widowControl/>
        <w:spacing w:line="440" w:lineRule="atLeast"/>
        <w:ind w:firstLine="440" w:firstLineChars="200"/>
        <w:jc w:val="left"/>
        <w:rPr>
          <w:rFonts w:hint="eastAsia" w:ascii="宋体" w:hAnsi="宋体"/>
          <w:sz w:val="22"/>
        </w:rPr>
      </w:pPr>
      <w:r>
        <w:rPr>
          <w:rFonts w:hint="eastAsia" w:ascii="宋体" w:hAnsi="宋体"/>
          <w:sz w:val="22"/>
        </w:rPr>
        <w:t>地  址：龙湾区永宁西路518号      </w:t>
      </w:r>
    </w:p>
    <w:p>
      <w:pPr>
        <w:widowControl/>
        <w:spacing w:line="440" w:lineRule="atLeast"/>
        <w:ind w:firstLine="440" w:firstLineChars="200"/>
        <w:jc w:val="left"/>
        <w:rPr>
          <w:rFonts w:hint="eastAsia" w:ascii="宋体" w:hAnsi="宋体"/>
          <w:sz w:val="22"/>
        </w:rPr>
      </w:pPr>
      <w:r>
        <w:rPr>
          <w:rFonts w:hint="eastAsia" w:ascii="宋体" w:hAnsi="宋体"/>
          <w:sz w:val="22"/>
        </w:rPr>
        <w:t xml:space="preserve">项目联系人（询问）： </w:t>
      </w:r>
      <w:r>
        <w:rPr>
          <w:rFonts w:hint="eastAsia" w:ascii="宋体"/>
          <w:sz w:val="22"/>
        </w:rPr>
        <w:t>陈先生</w:t>
      </w:r>
      <w:r>
        <w:rPr>
          <w:rFonts w:hint="eastAsia" w:ascii="宋体" w:hAnsi="宋体"/>
          <w:sz w:val="22"/>
        </w:rPr>
        <w:t> 　　　　　　　　　　</w:t>
      </w:r>
    </w:p>
    <w:p>
      <w:pPr>
        <w:widowControl/>
        <w:spacing w:line="440" w:lineRule="atLeast"/>
        <w:ind w:firstLine="440" w:firstLineChars="200"/>
        <w:jc w:val="left"/>
        <w:rPr>
          <w:rFonts w:hint="eastAsia" w:ascii="宋体" w:hAnsi="宋体"/>
          <w:sz w:val="22"/>
        </w:rPr>
      </w:pPr>
      <w:r>
        <w:rPr>
          <w:rFonts w:hint="eastAsia" w:ascii="宋体" w:hAnsi="宋体"/>
          <w:sz w:val="22"/>
        </w:rPr>
        <w:t xml:space="preserve">项目联系方式（询问）： 0577-85880123 </w:t>
      </w:r>
    </w:p>
    <w:p>
      <w:pPr>
        <w:widowControl/>
        <w:spacing w:line="440" w:lineRule="atLeast"/>
        <w:ind w:firstLine="440" w:firstLineChars="200"/>
        <w:jc w:val="left"/>
        <w:rPr>
          <w:rFonts w:hint="eastAsia" w:ascii="宋体" w:hAnsi="宋体"/>
          <w:sz w:val="22"/>
        </w:rPr>
      </w:pPr>
      <w:r>
        <w:rPr>
          <w:rFonts w:hint="eastAsia" w:ascii="宋体" w:hAnsi="宋体"/>
          <w:sz w:val="22"/>
        </w:rPr>
        <w:t>质疑联系人：</w:t>
      </w:r>
      <w:r>
        <w:rPr>
          <w:rFonts w:hint="eastAsia" w:ascii="宋体"/>
          <w:sz w:val="22"/>
        </w:rPr>
        <w:t>陈先生</w:t>
      </w:r>
      <w:r>
        <w:rPr>
          <w:rFonts w:hint="eastAsia" w:ascii="宋体" w:hAnsi="宋体"/>
          <w:sz w:val="22"/>
        </w:rPr>
        <w:t> 　　　　　　　　　　</w:t>
      </w:r>
    </w:p>
    <w:p>
      <w:pPr>
        <w:widowControl/>
        <w:spacing w:line="440" w:lineRule="atLeast"/>
        <w:ind w:firstLine="440" w:firstLineChars="200"/>
        <w:jc w:val="left"/>
        <w:rPr>
          <w:rFonts w:hint="eastAsia" w:ascii="宋体" w:hAnsi="宋体"/>
          <w:sz w:val="22"/>
        </w:rPr>
      </w:pPr>
      <w:r>
        <w:rPr>
          <w:rFonts w:hint="eastAsia" w:ascii="宋体" w:hAnsi="宋体"/>
          <w:sz w:val="22"/>
        </w:rPr>
        <w:t xml:space="preserve">质疑联系方式： 0577-85880123 </w:t>
      </w:r>
    </w:p>
    <w:p>
      <w:pPr>
        <w:widowControl/>
        <w:spacing w:line="440" w:lineRule="atLeast"/>
        <w:ind w:firstLine="320" w:firstLineChars="200"/>
        <w:jc w:val="left"/>
        <w:rPr>
          <w:rFonts w:hint="eastAsia" w:ascii="宋体" w:hAnsi="宋体"/>
          <w:sz w:val="22"/>
        </w:rPr>
      </w:pPr>
      <w:r>
        <w:rPr>
          <w:rFonts w:hint="eastAsia" w:ascii="宋体" w:hAnsi="宋体"/>
          <w:color w:val="000000"/>
          <w:sz w:val="16"/>
          <w:szCs w:val="16"/>
        </w:rPr>
        <w:t> </w:t>
      </w:r>
      <w:r>
        <w:rPr>
          <w:rFonts w:hint="eastAsia" w:ascii="宋体" w:hAnsi="宋体"/>
          <w:color w:val="000000"/>
          <w:szCs w:val="21"/>
        </w:rPr>
        <w:t>2.采购代理机构信息</w:t>
      </w:r>
      <w:r>
        <w:rPr>
          <w:rFonts w:hint="eastAsia" w:ascii="宋体" w:hAnsi="宋体"/>
          <w:sz w:val="22"/>
        </w:rPr>
        <w:t>　　</w:t>
      </w:r>
    </w:p>
    <w:p>
      <w:pPr>
        <w:widowControl/>
        <w:spacing w:line="440" w:lineRule="atLeast"/>
        <w:ind w:firstLine="440" w:firstLineChars="200"/>
        <w:jc w:val="left"/>
        <w:rPr>
          <w:rFonts w:hint="eastAsia" w:ascii="宋体" w:hAnsi="宋体"/>
          <w:sz w:val="22"/>
        </w:rPr>
      </w:pPr>
      <w:r>
        <w:rPr>
          <w:rFonts w:hint="eastAsia" w:ascii="宋体" w:hAnsi="宋体"/>
          <w:sz w:val="22"/>
        </w:rPr>
        <w:t>采购代理机构：</w:t>
      </w:r>
      <w:bookmarkStart w:id="4" w:name="B38_采购代理机构名称"/>
      <w:r>
        <w:rPr>
          <w:rFonts w:hint="eastAsia" w:ascii="宋体" w:hAnsi="宋体"/>
          <w:sz w:val="22"/>
        </w:rPr>
        <w:t>杭州华旗招标代理有限公司</w:t>
      </w:r>
      <w:bookmarkEnd w:id="4"/>
    </w:p>
    <w:p>
      <w:pPr>
        <w:widowControl/>
        <w:spacing w:line="440" w:lineRule="atLeast"/>
        <w:ind w:firstLine="440" w:firstLineChars="200"/>
        <w:jc w:val="left"/>
        <w:rPr>
          <w:rFonts w:hint="eastAsia" w:ascii="宋体" w:hAnsi="宋体"/>
          <w:sz w:val="22"/>
        </w:rPr>
      </w:pPr>
      <w:r>
        <w:rPr>
          <w:rFonts w:hint="eastAsia" w:ascii="宋体" w:hAnsi="宋体"/>
          <w:sz w:val="22"/>
        </w:rPr>
        <w:t>地  址：温州市牛山北路13号牛山商务大厦9楼</w:t>
      </w:r>
    </w:p>
    <w:p>
      <w:pPr>
        <w:widowControl/>
        <w:spacing w:line="440" w:lineRule="atLeast"/>
        <w:ind w:firstLine="440" w:firstLineChars="200"/>
        <w:jc w:val="left"/>
        <w:rPr>
          <w:rFonts w:hint="eastAsia" w:ascii="宋体" w:hAnsi="宋体"/>
          <w:sz w:val="22"/>
        </w:rPr>
      </w:pPr>
      <w:r>
        <w:rPr>
          <w:rFonts w:hint="eastAsia" w:ascii="宋体" w:hAnsi="宋体"/>
          <w:sz w:val="22"/>
        </w:rPr>
        <w:t>传  真：0577-88113837　　</w:t>
      </w:r>
    </w:p>
    <w:p>
      <w:pPr>
        <w:widowControl/>
        <w:spacing w:line="440" w:lineRule="atLeast"/>
        <w:ind w:firstLine="440" w:firstLineChars="200"/>
        <w:jc w:val="left"/>
        <w:rPr>
          <w:rFonts w:hint="eastAsia" w:ascii="宋体" w:hAnsi="宋体"/>
          <w:sz w:val="22"/>
        </w:rPr>
      </w:pPr>
      <w:r>
        <w:rPr>
          <w:rFonts w:hint="eastAsia" w:ascii="宋体" w:hAnsi="宋体"/>
          <w:sz w:val="22"/>
        </w:rPr>
        <w:t>项目联系人（询问）：马女士     　　　　　　　　　　</w:t>
      </w:r>
    </w:p>
    <w:p>
      <w:pPr>
        <w:widowControl/>
        <w:spacing w:line="440" w:lineRule="atLeast"/>
        <w:ind w:firstLine="440" w:firstLineChars="200"/>
        <w:jc w:val="left"/>
        <w:rPr>
          <w:rFonts w:hint="eastAsia" w:ascii="宋体" w:hAnsi="宋体"/>
          <w:sz w:val="22"/>
        </w:rPr>
      </w:pPr>
      <w:r>
        <w:rPr>
          <w:rFonts w:hint="eastAsia" w:ascii="宋体" w:hAnsi="宋体"/>
          <w:sz w:val="22"/>
        </w:rPr>
        <w:t xml:space="preserve">项目联系方式（询问）：15825621907 </w:t>
      </w:r>
    </w:p>
    <w:p>
      <w:pPr>
        <w:widowControl/>
        <w:spacing w:line="440" w:lineRule="atLeast"/>
        <w:ind w:firstLine="440" w:firstLineChars="200"/>
        <w:jc w:val="left"/>
        <w:rPr>
          <w:rFonts w:hint="eastAsia" w:ascii="宋体" w:hAnsi="宋体"/>
          <w:sz w:val="22"/>
        </w:rPr>
      </w:pPr>
      <w:r>
        <w:rPr>
          <w:rFonts w:hint="eastAsia" w:ascii="宋体" w:hAnsi="宋体"/>
          <w:sz w:val="22"/>
        </w:rPr>
        <w:t>质疑联系人：郑先生 </w:t>
      </w:r>
    </w:p>
    <w:p>
      <w:pPr>
        <w:widowControl/>
        <w:spacing w:line="440" w:lineRule="atLeast"/>
        <w:ind w:firstLine="440" w:firstLineChars="200"/>
        <w:jc w:val="left"/>
        <w:rPr>
          <w:rFonts w:hint="eastAsia" w:ascii="宋体" w:hAnsi="宋体"/>
          <w:sz w:val="22"/>
        </w:rPr>
      </w:pPr>
      <w:r>
        <w:rPr>
          <w:rFonts w:hint="eastAsia" w:ascii="宋体" w:hAnsi="宋体"/>
          <w:sz w:val="22"/>
        </w:rPr>
        <w:t>质疑联系方式：15088589102 </w:t>
      </w:r>
    </w:p>
    <w:p>
      <w:pPr>
        <w:widowControl/>
        <w:spacing w:line="440" w:lineRule="atLeast"/>
        <w:ind w:firstLine="320" w:firstLineChars="200"/>
        <w:jc w:val="left"/>
        <w:rPr>
          <w:rFonts w:hint="eastAsia" w:ascii="宋体" w:hAnsi="宋体"/>
        </w:rPr>
      </w:pPr>
      <w:r>
        <w:rPr>
          <w:rFonts w:hint="eastAsia" w:ascii="宋体" w:hAnsi="宋体"/>
          <w:color w:val="000000"/>
          <w:sz w:val="16"/>
          <w:szCs w:val="16"/>
        </w:rPr>
        <w:t> </w:t>
      </w:r>
      <w:r>
        <w:rPr>
          <w:rFonts w:hint="eastAsia" w:ascii="宋体" w:hAnsi="宋体"/>
          <w:color w:val="000000"/>
          <w:szCs w:val="21"/>
        </w:rPr>
        <w:t>3.同级政府采购监督管理部门</w:t>
      </w:r>
    </w:p>
    <w:p>
      <w:pPr>
        <w:widowControl/>
        <w:spacing w:line="440" w:lineRule="atLeast"/>
        <w:ind w:firstLine="420" w:firstLineChars="200"/>
        <w:jc w:val="left"/>
        <w:rPr>
          <w:rFonts w:hint="eastAsia" w:ascii="宋体" w:hAnsi="宋体"/>
          <w:color w:val="000000"/>
          <w:sz w:val="22"/>
        </w:rPr>
      </w:pPr>
      <w:r>
        <w:rPr>
          <w:rFonts w:hint="eastAsia" w:ascii="宋体" w:hAnsi="宋体"/>
          <w:color w:val="000000"/>
          <w:szCs w:val="21"/>
        </w:rPr>
        <w:t>名   </w:t>
      </w:r>
      <w:r>
        <w:rPr>
          <w:rFonts w:hint="eastAsia" w:ascii="宋体" w:hAnsi="宋体"/>
          <w:color w:val="000000"/>
          <w:sz w:val="22"/>
        </w:rPr>
        <w:t xml:space="preserve"> 称：温州龙湾区财政局 　　　　　　　　　　　</w:t>
      </w:r>
    </w:p>
    <w:p>
      <w:pPr>
        <w:widowControl/>
        <w:spacing w:line="440" w:lineRule="atLeast"/>
        <w:ind w:firstLine="440" w:firstLineChars="200"/>
        <w:jc w:val="left"/>
        <w:rPr>
          <w:rFonts w:hint="eastAsia" w:ascii="宋体" w:hAnsi="宋体"/>
          <w:color w:val="000000"/>
          <w:sz w:val="22"/>
        </w:rPr>
      </w:pPr>
      <w:r>
        <w:rPr>
          <w:rFonts w:hint="eastAsia" w:ascii="宋体" w:hAnsi="宋体"/>
          <w:color w:val="000000"/>
          <w:sz w:val="22"/>
        </w:rPr>
        <w:t>地  址：温州市龙湾区永宁西路565号温州银行大楼16楼 　　　　　　　　　　　</w:t>
      </w:r>
    </w:p>
    <w:p>
      <w:pPr>
        <w:widowControl/>
        <w:spacing w:line="440" w:lineRule="atLeast"/>
        <w:ind w:firstLine="440" w:firstLineChars="200"/>
        <w:jc w:val="left"/>
        <w:rPr>
          <w:rFonts w:hint="eastAsia" w:ascii="宋体" w:hAnsi="宋体"/>
          <w:color w:val="000000"/>
          <w:sz w:val="22"/>
        </w:rPr>
      </w:pPr>
      <w:r>
        <w:rPr>
          <w:rFonts w:hint="eastAsia" w:ascii="宋体" w:hAnsi="宋体"/>
          <w:color w:val="000000"/>
          <w:sz w:val="22"/>
        </w:rPr>
        <w:t>传  真：0577-85600837 　　　   </w:t>
      </w:r>
    </w:p>
    <w:p>
      <w:pPr>
        <w:widowControl/>
        <w:spacing w:line="440" w:lineRule="atLeast"/>
        <w:ind w:firstLine="440" w:firstLineChars="200"/>
        <w:jc w:val="left"/>
        <w:rPr>
          <w:rFonts w:hint="eastAsia" w:ascii="宋体" w:hAnsi="宋体"/>
          <w:color w:val="000000"/>
          <w:sz w:val="22"/>
        </w:rPr>
      </w:pPr>
      <w:r>
        <w:rPr>
          <w:rFonts w:hint="eastAsia" w:ascii="宋体" w:hAnsi="宋体"/>
          <w:color w:val="000000"/>
          <w:sz w:val="22"/>
        </w:rPr>
        <w:t>联系人 ：许先生   　　　　　　　　　　　</w:t>
      </w:r>
    </w:p>
    <w:p>
      <w:pPr>
        <w:widowControl/>
        <w:snapToGrid w:val="0"/>
        <w:spacing w:line="460" w:lineRule="atLeast"/>
        <w:ind w:firstLine="440" w:firstLineChars="200"/>
        <w:jc w:val="left"/>
        <w:rPr>
          <w:rFonts w:hint="eastAsia" w:ascii="宋体" w:hAnsi="宋体"/>
          <w:sz w:val="22"/>
        </w:rPr>
      </w:pPr>
      <w:r>
        <w:rPr>
          <w:rFonts w:hint="eastAsia" w:ascii="宋体" w:hAnsi="宋体"/>
          <w:color w:val="000000"/>
          <w:sz w:val="22"/>
        </w:rPr>
        <w:t>监督投诉电话：0577-85600837 　</w:t>
      </w:r>
    </w:p>
    <w:p>
      <w:pPr>
        <w:widowControl/>
        <w:spacing w:line="440" w:lineRule="atLeast"/>
        <w:jc w:val="left"/>
        <w:rPr>
          <w:rFonts w:hint="eastAsia" w:ascii="宋体" w:hAnsi="宋体"/>
          <w:color w:val="000000"/>
          <w:sz w:val="22"/>
        </w:rPr>
      </w:pPr>
      <w:bookmarkStart w:id="5" w:name="_Toc483388386"/>
    </w:p>
    <w:p>
      <w:pPr>
        <w:widowControl/>
        <w:spacing w:line="440" w:lineRule="atLeast"/>
        <w:jc w:val="left"/>
        <w:rPr>
          <w:rFonts w:hint="eastAsia" w:ascii="宋体" w:hAnsi="宋体"/>
          <w:color w:val="000000"/>
          <w:sz w:val="22"/>
        </w:rPr>
      </w:pPr>
    </w:p>
    <w:p>
      <w:pPr>
        <w:widowControl/>
        <w:spacing w:line="440" w:lineRule="atLeast"/>
        <w:ind w:firstLine="440" w:firstLineChars="200"/>
        <w:jc w:val="left"/>
        <w:rPr>
          <w:rFonts w:hint="eastAsia" w:ascii="宋体" w:hAnsi="宋体"/>
          <w:color w:val="000000"/>
          <w:sz w:val="22"/>
        </w:rPr>
        <w:sectPr>
          <w:headerReference r:id="rId8" w:type="default"/>
          <w:footerReference r:id="rId9" w:type="default"/>
          <w:pgSz w:w="11906" w:h="16838"/>
          <w:pgMar w:top="1418" w:right="1418" w:bottom="1134" w:left="1134" w:header="851" w:footer="476" w:gutter="0"/>
          <w:cols w:space="720" w:num="1"/>
          <w:docGrid w:linePitch="312" w:charSpace="0"/>
        </w:sectPr>
      </w:pPr>
      <w:r>
        <w:rPr>
          <w:rFonts w:hint="eastAsia" w:ascii="宋体" w:hAnsi="宋体"/>
          <w:color w:val="000000"/>
          <w:sz w:val="22"/>
        </w:rPr>
        <w:t>若对项目采购电子交易系统操作有疑问，可登录政采云（https://www.zcygov.cn/），点击右侧咨询小采，获取采小蜜智能服务管家帮助，或拨打政采云服务热线400-881-7190获取热线服务帮助。</w:t>
      </w:r>
      <w:r>
        <w:rPr>
          <w:rFonts w:hint="eastAsia" w:ascii="宋体" w:hAnsi="宋体"/>
          <w:color w:val="000000"/>
          <w:sz w:val="22"/>
        </w:rPr>
        <w:br w:type="textWrapping"/>
      </w:r>
      <w:r>
        <w:rPr>
          <w:rFonts w:hint="eastAsia" w:ascii="宋体" w:hAnsi="宋体"/>
          <w:color w:val="000000"/>
          <w:sz w:val="22"/>
        </w:rPr>
        <w:t>CA问题联系电话（人工）：汇信CA 400-888-4636；天谷CA 400-087-8198。</w:t>
      </w:r>
    </w:p>
    <w:p>
      <w:pPr>
        <w:pStyle w:val="22"/>
        <w:snapToGrid w:val="0"/>
        <w:spacing w:line="440" w:lineRule="atLeast"/>
        <w:ind w:left="421" w:hanging="419" w:hangingChars="131"/>
        <w:rPr>
          <w:rFonts w:hint="eastAsia" w:ascii="宋体" w:hAnsi="宋体" w:cs="宋体"/>
          <w:b/>
          <w:bCs/>
        </w:rPr>
      </w:pPr>
      <w:bookmarkStart w:id="6" w:name="_Toc17766"/>
      <w:r>
        <w:rPr>
          <w:rFonts w:hint="eastAsia" w:ascii="宋体" w:hAnsi="宋体" w:cs="宋体"/>
          <w:b/>
          <w:bCs/>
          <w:lang w:val="zh-CN"/>
        </w:rPr>
        <w:t>第一部分   投标邀请函（投标须知前附表）</w:t>
      </w:r>
      <w:bookmarkEnd w:id="5"/>
      <w:bookmarkEnd w:id="6"/>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29"/>
        <w:gridCol w:w="1706"/>
        <w:gridCol w:w="7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47" w:hRule="atLeast"/>
          <w:jc w:val="center"/>
        </w:trPr>
        <w:tc>
          <w:tcPr>
            <w:tcW w:w="629" w:type="dxa"/>
            <w:noWrap w:val="0"/>
            <w:vAlign w:val="center"/>
          </w:tcPr>
          <w:p>
            <w:pPr>
              <w:spacing w:line="400" w:lineRule="atLeast"/>
              <w:ind w:right="220"/>
              <w:jc w:val="right"/>
              <w:rPr>
                <w:rFonts w:hint="eastAsia" w:ascii="宋体" w:hAnsi="宋体"/>
                <w:sz w:val="22"/>
              </w:rPr>
            </w:pPr>
            <w:r>
              <w:rPr>
                <w:rFonts w:hint="eastAsia" w:ascii="宋体" w:hAnsi="宋体"/>
                <w:sz w:val="22"/>
              </w:rPr>
              <w:t>序号</w:t>
            </w:r>
          </w:p>
        </w:tc>
        <w:tc>
          <w:tcPr>
            <w:tcW w:w="1706" w:type="dxa"/>
            <w:noWrap w:val="0"/>
            <w:vAlign w:val="center"/>
          </w:tcPr>
          <w:p>
            <w:pPr>
              <w:spacing w:line="400" w:lineRule="atLeast"/>
              <w:jc w:val="center"/>
              <w:rPr>
                <w:rFonts w:hint="eastAsia" w:ascii="宋体" w:hAnsi="宋体"/>
                <w:sz w:val="22"/>
              </w:rPr>
            </w:pPr>
            <w:r>
              <w:rPr>
                <w:rFonts w:hint="eastAsia" w:ascii="宋体" w:hAnsi="宋体"/>
                <w:sz w:val="22"/>
              </w:rPr>
              <w:t>内容</w:t>
            </w:r>
          </w:p>
        </w:tc>
        <w:tc>
          <w:tcPr>
            <w:tcW w:w="7205" w:type="dxa"/>
            <w:noWrap w:val="0"/>
            <w:vAlign w:val="center"/>
          </w:tcPr>
          <w:p>
            <w:pPr>
              <w:spacing w:line="400" w:lineRule="atLeast"/>
              <w:jc w:val="center"/>
              <w:rPr>
                <w:rFonts w:hint="eastAsia" w:ascii="宋体" w:hAnsi="宋体"/>
                <w:sz w:val="22"/>
              </w:rPr>
            </w:pPr>
            <w:r>
              <w:rPr>
                <w:rFonts w:hint="eastAsia" w:ascii="宋体" w:hAnsi="宋体"/>
                <w:sz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项目名称</w:t>
            </w:r>
          </w:p>
        </w:tc>
        <w:tc>
          <w:tcPr>
            <w:tcW w:w="7205" w:type="dxa"/>
            <w:noWrap w:val="0"/>
            <w:vAlign w:val="center"/>
          </w:tcPr>
          <w:p>
            <w:pPr>
              <w:rPr>
                <w:rFonts w:hint="eastAsia" w:ascii="宋体" w:hAnsi="宋体"/>
                <w:sz w:val="22"/>
              </w:rPr>
            </w:pPr>
            <w:r>
              <w:rPr>
                <w:rFonts w:hint="eastAsia" w:ascii="宋体" w:hAnsi="宋体"/>
                <w:sz w:val="22"/>
              </w:rPr>
              <w:t>2020年龙湾区“雪亮工程”高位监控和简易监控及技术防护体系整体运行维护管理服务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r>
              <w:rPr>
                <w:rFonts w:hint="eastAsia" w:ascii="宋体" w:hAnsi="宋体"/>
                <w:sz w:val="22"/>
              </w:rPr>
              <w:t xml:space="preserve"> </w:t>
            </w:r>
          </w:p>
        </w:tc>
        <w:tc>
          <w:tcPr>
            <w:tcW w:w="1706" w:type="dxa"/>
            <w:noWrap w:val="0"/>
            <w:vAlign w:val="center"/>
          </w:tcPr>
          <w:p>
            <w:pPr>
              <w:rPr>
                <w:rFonts w:hint="eastAsia" w:ascii="宋体" w:hAnsi="宋体"/>
                <w:sz w:val="22"/>
              </w:rPr>
            </w:pPr>
            <w:r>
              <w:rPr>
                <w:rFonts w:hint="eastAsia" w:ascii="宋体" w:hAnsi="宋体"/>
                <w:sz w:val="22"/>
              </w:rPr>
              <w:t>项目编号</w:t>
            </w:r>
          </w:p>
        </w:tc>
        <w:tc>
          <w:tcPr>
            <w:tcW w:w="7205" w:type="dxa"/>
            <w:noWrap w:val="0"/>
            <w:vAlign w:val="center"/>
          </w:tcPr>
          <w:p>
            <w:pPr>
              <w:rPr>
                <w:rFonts w:hint="eastAsia" w:ascii="宋体" w:hAnsi="宋体"/>
                <w:sz w:val="22"/>
              </w:rPr>
            </w:pPr>
            <w:r>
              <w:rPr>
                <w:rFonts w:hint="eastAsia" w:ascii="宋体" w:hAnsi="宋体"/>
                <w:sz w:val="22"/>
              </w:rPr>
              <w:fldChar w:fldCharType="begin"/>
            </w:r>
            <w:r>
              <w:rPr>
                <w:rFonts w:hint="eastAsia" w:ascii="宋体" w:hAnsi="宋体"/>
                <w:sz w:val="22"/>
              </w:rPr>
              <w:instrText xml:space="preserve"> HYPERLINK "https://pay.zcygov.cn/purchaseplan_front/" \l "/plan/list/detail?id=1000000000002987687&amp;encrypt=89e03f92a1f15babb9454efd6310f951" \t "https://www.zcygov.cn/bidding-entrust/" \l "/purchasePlans/_blank" </w:instrText>
            </w:r>
            <w:r>
              <w:rPr>
                <w:rFonts w:hint="eastAsia" w:ascii="宋体" w:hAnsi="宋体"/>
                <w:sz w:val="22"/>
              </w:rPr>
              <w:fldChar w:fldCharType="separate"/>
            </w:r>
            <w:r>
              <w:rPr>
                <w:rFonts w:hint="eastAsia" w:ascii="宋体" w:hAnsi="宋体"/>
                <w:sz w:val="22"/>
              </w:rPr>
              <w:t>临[2020]728号</w:t>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"/plan/list/detail?id=1000000000002334026&amp;encrypt=89f738f3a08ed6f288ca5a60ab7d8ebc" </w:instrText>
            </w:r>
            <w:r>
              <w:rPr>
                <w:rFonts w:hint="eastAsia" w:ascii="宋体" w:hAnsi="宋体"/>
                <w:sz w:val="22"/>
              </w:rPr>
              <w:fldChar w:fldCharType="separate"/>
            </w:r>
            <w:r>
              <w:rPr>
                <w:rFonts w:hint="eastAsia" w:ascii="宋体" w:hAnsi="宋体"/>
                <w:sz w:val="22"/>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资金来源</w:t>
            </w:r>
          </w:p>
        </w:tc>
        <w:tc>
          <w:tcPr>
            <w:tcW w:w="7205" w:type="dxa"/>
            <w:noWrap w:val="0"/>
            <w:vAlign w:val="center"/>
          </w:tcPr>
          <w:p>
            <w:pPr>
              <w:rPr>
                <w:rFonts w:hint="eastAsia" w:ascii="宋体" w:hAnsi="宋体"/>
                <w:sz w:val="22"/>
              </w:rPr>
            </w:pPr>
            <w:r>
              <w:rPr>
                <w:rFonts w:hint="eastAsia" w:ascii="宋体" w:hAnsi="宋体"/>
                <w:sz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采购方式</w:t>
            </w:r>
          </w:p>
        </w:tc>
        <w:tc>
          <w:tcPr>
            <w:tcW w:w="7205" w:type="dxa"/>
            <w:noWrap w:val="0"/>
            <w:vAlign w:val="center"/>
          </w:tcPr>
          <w:p>
            <w:pPr>
              <w:rPr>
                <w:rFonts w:hint="eastAsia" w:ascii="宋体" w:hAnsi="宋体"/>
                <w:sz w:val="22"/>
              </w:rPr>
            </w:pPr>
            <w:r>
              <w:rPr>
                <w:rFonts w:hint="eastAsia" w:ascii="宋体" w:hAnsi="宋体"/>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采购预算（最高限价）</w:t>
            </w:r>
          </w:p>
        </w:tc>
        <w:tc>
          <w:tcPr>
            <w:tcW w:w="7205" w:type="dxa"/>
            <w:noWrap w:val="0"/>
            <w:vAlign w:val="center"/>
          </w:tcPr>
          <w:p>
            <w:pPr>
              <w:rPr>
                <w:rFonts w:hint="eastAsia" w:ascii="宋体" w:hAnsi="宋体"/>
                <w:sz w:val="22"/>
              </w:rPr>
            </w:pPr>
            <w:r>
              <w:rPr>
                <w:rFonts w:hint="eastAsia" w:ascii="宋体" w:hAnsi="宋体"/>
                <w:sz w:val="22"/>
              </w:rPr>
              <w:t>见公告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09"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采购人</w:t>
            </w:r>
          </w:p>
        </w:tc>
        <w:tc>
          <w:tcPr>
            <w:tcW w:w="7205" w:type="dxa"/>
            <w:noWrap w:val="0"/>
            <w:vAlign w:val="center"/>
          </w:tcPr>
          <w:p>
            <w:pPr>
              <w:rPr>
                <w:rFonts w:hint="eastAsia" w:ascii="宋体" w:hAnsi="宋体"/>
                <w:sz w:val="22"/>
              </w:rPr>
            </w:pPr>
            <w:r>
              <w:rPr>
                <w:rFonts w:hint="eastAsia" w:ascii="宋体" w:hAnsi="宋体"/>
                <w:sz w:val="22"/>
              </w:rPr>
              <w:t>名称：温州市公安局龙湾区分局</w:t>
            </w:r>
          </w:p>
          <w:p>
            <w:pPr>
              <w:rPr>
                <w:rFonts w:hint="eastAsia" w:ascii="宋体" w:hAnsi="宋体"/>
                <w:sz w:val="22"/>
              </w:rPr>
            </w:pPr>
            <w:r>
              <w:rPr>
                <w:rFonts w:hint="eastAsia" w:ascii="宋体" w:hAnsi="宋体"/>
                <w:sz w:val="22"/>
              </w:rPr>
              <w:t>联 系 人：陈先生 　　　　　　　　　　</w:t>
            </w:r>
          </w:p>
          <w:p>
            <w:pPr>
              <w:rPr>
                <w:rFonts w:hint="eastAsia" w:ascii="宋体" w:hAnsi="宋体"/>
                <w:sz w:val="22"/>
              </w:rPr>
            </w:pPr>
            <w:r>
              <w:rPr>
                <w:rFonts w:hint="eastAsia" w:ascii="宋体" w:hAnsi="宋体"/>
                <w:sz w:val="22"/>
              </w:rPr>
              <w:t xml:space="preserve">联系方式： 0577-85880123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21" w:hRule="atLeast"/>
          <w:jc w:val="center"/>
        </w:trPr>
        <w:tc>
          <w:tcPr>
            <w:tcW w:w="629" w:type="dxa"/>
            <w:noWrap w:val="0"/>
            <w:vAlign w:val="center"/>
          </w:tcPr>
          <w:p>
            <w:pPr>
              <w:widowControl/>
              <w:numPr>
                <w:ilvl w:val="0"/>
                <w:numId w:val="5"/>
              </w:numPr>
              <w:tabs>
                <w:tab w:val="left" w:pos="420"/>
                <w:tab w:val="clear" w:pos="720"/>
              </w:tabs>
              <w:ind w:left="420" w:right="105" w:hanging="420"/>
              <w:jc w:val="right"/>
              <w:rPr>
                <w:rFonts w:hint="eastAsia" w:ascii="宋体" w:hAnsi="宋体"/>
                <w:sz w:val="22"/>
              </w:rPr>
            </w:pPr>
            <w:r>
              <w:rPr>
                <w:rFonts w:hint="eastAsia" w:ascii="宋体" w:hAnsi="宋体"/>
                <w:sz w:val="22"/>
              </w:rPr>
              <w:t xml:space="preserve"> </w:t>
            </w:r>
          </w:p>
        </w:tc>
        <w:tc>
          <w:tcPr>
            <w:tcW w:w="1706" w:type="dxa"/>
            <w:noWrap w:val="0"/>
            <w:vAlign w:val="center"/>
          </w:tcPr>
          <w:p>
            <w:pPr>
              <w:rPr>
                <w:rFonts w:hint="eastAsia" w:ascii="宋体" w:hAnsi="宋体"/>
                <w:sz w:val="22"/>
              </w:rPr>
            </w:pPr>
            <w:r>
              <w:rPr>
                <w:rFonts w:hint="eastAsia" w:ascii="宋体" w:hAnsi="宋体"/>
                <w:sz w:val="22"/>
              </w:rPr>
              <w:t>采购代理机构</w:t>
            </w:r>
          </w:p>
        </w:tc>
        <w:tc>
          <w:tcPr>
            <w:tcW w:w="7205" w:type="dxa"/>
            <w:noWrap w:val="0"/>
            <w:vAlign w:val="center"/>
          </w:tcPr>
          <w:p>
            <w:pPr>
              <w:rPr>
                <w:rFonts w:hint="eastAsia" w:ascii="宋体" w:hAnsi="宋体"/>
                <w:sz w:val="22"/>
              </w:rPr>
            </w:pPr>
            <w:r>
              <w:rPr>
                <w:rFonts w:hint="eastAsia" w:ascii="宋体" w:hAnsi="宋体"/>
                <w:sz w:val="22"/>
              </w:rPr>
              <w:t>名称：杭州华旗招标代理有限公司</w:t>
            </w:r>
          </w:p>
          <w:p>
            <w:pPr>
              <w:rPr>
                <w:rFonts w:hint="eastAsia" w:ascii="宋体" w:hAnsi="宋体"/>
                <w:sz w:val="22"/>
              </w:rPr>
            </w:pPr>
            <w:r>
              <w:rPr>
                <w:rFonts w:hint="eastAsia" w:ascii="宋体" w:hAnsi="宋体"/>
                <w:sz w:val="22"/>
              </w:rPr>
              <w:t>地址：温州市鹿城区牛山北路13号牛山商务大厦9楼</w:t>
            </w:r>
          </w:p>
          <w:p>
            <w:pPr>
              <w:rPr>
                <w:rFonts w:hint="eastAsia" w:ascii="宋体" w:hAnsi="宋体"/>
                <w:sz w:val="22"/>
              </w:rPr>
            </w:pPr>
            <w:r>
              <w:rPr>
                <w:rFonts w:hint="eastAsia" w:ascii="宋体" w:hAnsi="宋体"/>
                <w:sz w:val="22"/>
              </w:rPr>
              <w:t>项目负责人：马女士</w:t>
            </w:r>
          </w:p>
          <w:p>
            <w:pPr>
              <w:rPr>
                <w:rFonts w:hint="eastAsia" w:ascii="宋体" w:hAnsi="宋体"/>
                <w:sz w:val="22"/>
              </w:rPr>
            </w:pPr>
            <w:r>
              <w:rPr>
                <w:rFonts w:hint="eastAsia" w:ascii="宋体" w:hAnsi="宋体"/>
                <w:sz w:val="22"/>
              </w:rPr>
              <w:t>手机：15825621907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5"/>
              </w:numPr>
              <w:tabs>
                <w:tab w:val="left" w:pos="420"/>
                <w:tab w:val="clear" w:pos="720"/>
              </w:tabs>
              <w:ind w:left="420" w:right="105"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评标办法</w:t>
            </w:r>
          </w:p>
        </w:tc>
        <w:tc>
          <w:tcPr>
            <w:tcW w:w="7205" w:type="dxa"/>
            <w:noWrap w:val="0"/>
            <w:vAlign w:val="center"/>
          </w:tcPr>
          <w:p>
            <w:pPr>
              <w:adjustRightInd w:val="0"/>
              <w:rPr>
                <w:rFonts w:hint="eastAsia" w:ascii="宋体" w:hAnsi="宋体"/>
                <w:sz w:val="22"/>
              </w:rPr>
            </w:pPr>
            <w:r>
              <w:rPr>
                <w:rFonts w:hint="eastAsia" w:ascii="宋体" w:hAnsi="宋体"/>
                <w:sz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招标内容</w:t>
            </w:r>
          </w:p>
        </w:tc>
        <w:tc>
          <w:tcPr>
            <w:tcW w:w="7205" w:type="dxa"/>
            <w:noWrap w:val="0"/>
            <w:vAlign w:val="center"/>
          </w:tcPr>
          <w:p>
            <w:pPr>
              <w:adjustRightInd w:val="0"/>
              <w:rPr>
                <w:rFonts w:hint="eastAsia" w:ascii="宋体" w:hAnsi="宋体"/>
                <w:sz w:val="22"/>
              </w:rPr>
            </w:pPr>
            <w:r>
              <w:rPr>
                <w:rFonts w:hint="eastAsia" w:ascii="宋体" w:hAnsi="宋体"/>
                <w:sz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投标供应商</w:t>
            </w:r>
          </w:p>
          <w:p>
            <w:pPr>
              <w:rPr>
                <w:rFonts w:hint="eastAsia" w:ascii="宋体" w:hAnsi="宋体"/>
                <w:sz w:val="22"/>
              </w:rPr>
            </w:pPr>
            <w:r>
              <w:rPr>
                <w:rFonts w:hint="eastAsia" w:ascii="宋体" w:hAnsi="宋体"/>
                <w:sz w:val="22"/>
              </w:rPr>
              <w:t>资格要求</w:t>
            </w:r>
          </w:p>
        </w:tc>
        <w:tc>
          <w:tcPr>
            <w:tcW w:w="7205" w:type="dxa"/>
            <w:noWrap w:val="0"/>
            <w:vAlign w:val="center"/>
          </w:tcPr>
          <w:p>
            <w:pPr>
              <w:widowControl/>
              <w:rPr>
                <w:rFonts w:hint="eastAsia" w:ascii="宋体" w:hAnsi="宋体"/>
                <w:kern w:val="28"/>
                <w:sz w:val="22"/>
              </w:rPr>
            </w:pPr>
            <w:r>
              <w:rPr>
                <w:rFonts w:hint="eastAsia" w:ascii="宋体" w:hAnsi="宋体"/>
                <w:kern w:val="28"/>
                <w:sz w:val="22"/>
              </w:rPr>
              <w:t>见公告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是否接受联合体投标</w:t>
            </w:r>
          </w:p>
        </w:tc>
        <w:tc>
          <w:tcPr>
            <w:tcW w:w="7205" w:type="dxa"/>
            <w:noWrap w:val="0"/>
            <w:vAlign w:val="center"/>
          </w:tcPr>
          <w:p>
            <w:pPr>
              <w:adjustRightInd w:val="0"/>
              <w:rPr>
                <w:rFonts w:hint="eastAsia"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i/>
                <w:sz w:val="22"/>
              </w:rPr>
              <w:t>不接受</w:t>
            </w:r>
          </w:p>
          <w:p>
            <w:pPr>
              <w:adjustRightInd w:val="0"/>
              <w:rPr>
                <w:rFonts w:hint="eastAsia" w:ascii="宋体" w:hAnsi="宋体"/>
                <w:i/>
                <w:sz w:val="22"/>
              </w:rPr>
            </w:pPr>
            <w:r>
              <w:rPr>
                <w:rFonts w:hint="eastAsia" w:ascii="宋体" w:hAnsi="宋体"/>
                <w:sz w:val="22"/>
              </w:rPr>
              <w:t>□</w:t>
            </w:r>
            <w:r>
              <w:rPr>
                <w:rFonts w:hint="eastAsia" w:ascii="宋体" w:hAnsi="宋体"/>
                <w:i/>
                <w:sz w:val="22"/>
              </w:rPr>
              <w:t xml:space="preserve">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踏勘现场</w:t>
            </w:r>
          </w:p>
        </w:tc>
        <w:tc>
          <w:tcPr>
            <w:tcW w:w="7205" w:type="dxa"/>
            <w:noWrap w:val="0"/>
            <w:vAlign w:val="center"/>
          </w:tcPr>
          <w:p>
            <w:pPr>
              <w:adjustRightInd w:val="0"/>
              <w:rPr>
                <w:rFonts w:hint="eastAsia"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i/>
                <w:sz w:val="22"/>
              </w:rPr>
              <w:t>不组织</w:t>
            </w:r>
          </w:p>
          <w:p>
            <w:pPr>
              <w:adjustRightInd w:val="0"/>
              <w:rPr>
                <w:rFonts w:hint="eastAsia" w:ascii="宋体" w:hAnsi="宋体"/>
                <w:i/>
                <w:sz w:val="22"/>
              </w:rPr>
            </w:pPr>
            <w:r>
              <w:rPr>
                <w:rFonts w:hint="eastAsia" w:ascii="宋体" w:hAnsi="宋体"/>
                <w:sz w:val="22"/>
              </w:rPr>
              <w:t>□</w:t>
            </w:r>
            <w:r>
              <w:rPr>
                <w:rFonts w:hint="eastAsia" w:ascii="宋体" w:hAnsi="宋体"/>
                <w:i/>
                <w:sz w:val="22"/>
              </w:rPr>
              <w:t>组</w:t>
            </w:r>
            <w:r>
              <w:rPr>
                <w:rFonts w:hint="eastAsia" w:ascii="宋体" w:hAnsi="宋体"/>
                <w:sz w:val="22"/>
              </w:rPr>
              <w:t>织</w:t>
            </w:r>
            <w:r>
              <w:rPr>
                <w:rFonts w:hint="eastAsia" w:ascii="宋体" w:hAnsi="宋体"/>
                <w:i/>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是否允许递交备选投标方案</w:t>
            </w:r>
          </w:p>
        </w:tc>
        <w:tc>
          <w:tcPr>
            <w:tcW w:w="7205" w:type="dxa"/>
            <w:noWrap w:val="0"/>
            <w:vAlign w:val="center"/>
          </w:tcPr>
          <w:p>
            <w:pPr>
              <w:adjustRightInd w:val="0"/>
              <w:rPr>
                <w:rFonts w:hint="eastAsia"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 xml:space="preserve"> </w:t>
            </w:r>
            <w:r>
              <w:rPr>
                <w:rFonts w:hint="eastAsia" w:ascii="宋体" w:hAnsi="宋体"/>
                <w:i/>
                <w:sz w:val="22"/>
              </w:rPr>
              <w:t>不允许</w:t>
            </w:r>
          </w:p>
          <w:p>
            <w:pPr>
              <w:adjustRightInd w:val="0"/>
              <w:rPr>
                <w:rFonts w:hint="eastAsia" w:ascii="宋体" w:hAnsi="宋体"/>
                <w:sz w:val="22"/>
              </w:rPr>
            </w:pPr>
            <w:r>
              <w:rPr>
                <w:rFonts w:hint="eastAsia" w:ascii="宋体" w:hAnsi="宋体"/>
                <w:sz w:val="22"/>
              </w:rPr>
              <w:t xml:space="preserve">□ </w:t>
            </w:r>
            <w:r>
              <w:rPr>
                <w:rFonts w:hint="eastAsia" w:ascii="宋体" w:hAnsi="宋体"/>
                <w:i/>
                <w:sz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bCs/>
                <w:sz w:val="22"/>
              </w:rPr>
            </w:pPr>
            <w:r>
              <w:rPr>
                <w:rFonts w:hint="eastAsia" w:ascii="宋体" w:hAnsi="宋体"/>
                <w:bCs/>
                <w:sz w:val="22"/>
              </w:rPr>
              <w:t>是否允许转包、分包</w:t>
            </w:r>
          </w:p>
        </w:tc>
        <w:tc>
          <w:tcPr>
            <w:tcW w:w="7205" w:type="dxa"/>
            <w:noWrap w:val="0"/>
            <w:vAlign w:val="center"/>
          </w:tcPr>
          <w:p>
            <w:pPr>
              <w:adjustRightInd w:val="0"/>
              <w:rPr>
                <w:rFonts w:hint="eastAsia" w:ascii="宋体" w:hAnsi="宋体"/>
                <w:bCs/>
                <w:sz w:val="22"/>
              </w:rPr>
            </w:pPr>
            <w:r>
              <w:rPr>
                <w:rFonts w:hint="eastAsia" w:ascii="宋体" w:hAnsi="宋体"/>
                <w:bCs/>
                <w:sz w:val="22"/>
              </w:rPr>
              <w:fldChar w:fldCharType="begin"/>
            </w:r>
            <w:r>
              <w:rPr>
                <w:rFonts w:hint="eastAsia" w:ascii="宋体" w:hAnsi="宋体"/>
                <w:bCs/>
                <w:sz w:val="22"/>
              </w:rPr>
              <w:instrText xml:space="preserve"> eq \o\ac(</w:instrText>
            </w:r>
            <w:r>
              <w:rPr>
                <w:rFonts w:hint="eastAsia" w:ascii="宋体" w:hAnsi="宋体"/>
                <w:bCs/>
                <w:position w:val="-4"/>
                <w:sz w:val="33"/>
              </w:rPr>
              <w:instrText xml:space="preserve">□</w:instrText>
            </w:r>
            <w:r>
              <w:rPr>
                <w:rFonts w:hint="eastAsia" w:ascii="宋体" w:hAnsi="宋体"/>
                <w:bCs/>
                <w:sz w:val="22"/>
              </w:rPr>
              <w:instrText xml:space="preserve">,√)</w:instrText>
            </w:r>
            <w:r>
              <w:rPr>
                <w:rFonts w:hint="eastAsia" w:ascii="宋体" w:hAnsi="宋体"/>
                <w:bCs/>
                <w:sz w:val="22"/>
              </w:rPr>
              <w:fldChar w:fldCharType="end"/>
            </w:r>
            <w:r>
              <w:rPr>
                <w:rFonts w:hint="eastAsia" w:ascii="宋体" w:hAnsi="宋体"/>
                <w:bCs/>
                <w:sz w:val="22"/>
              </w:rPr>
              <w:t xml:space="preserve"> 不允许</w:t>
            </w:r>
          </w:p>
          <w:p>
            <w:pPr>
              <w:adjustRightInd w:val="0"/>
              <w:rPr>
                <w:rFonts w:hint="eastAsia" w:ascii="宋体" w:hAnsi="宋体"/>
                <w:bCs/>
                <w:sz w:val="22"/>
              </w:rPr>
            </w:pPr>
            <w:r>
              <w:rPr>
                <w:rFonts w:hint="eastAsia" w:ascii="宋体" w:hAnsi="宋体"/>
                <w:bCs/>
                <w:sz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投标货币</w:t>
            </w:r>
          </w:p>
        </w:tc>
        <w:tc>
          <w:tcPr>
            <w:tcW w:w="7205" w:type="dxa"/>
            <w:noWrap w:val="0"/>
            <w:vAlign w:val="center"/>
          </w:tcPr>
          <w:p>
            <w:pPr>
              <w:adjustRightInd w:val="0"/>
              <w:rPr>
                <w:rFonts w:hint="eastAsia" w:ascii="宋体" w:hAnsi="宋体"/>
                <w:sz w:val="22"/>
              </w:rPr>
            </w:pPr>
            <w:r>
              <w:rPr>
                <w:rFonts w:hint="eastAsia" w:ascii="宋体" w:hAnsi="宋体"/>
                <w:sz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投标语言</w:t>
            </w:r>
          </w:p>
        </w:tc>
        <w:tc>
          <w:tcPr>
            <w:tcW w:w="7205" w:type="dxa"/>
            <w:noWrap w:val="0"/>
            <w:vAlign w:val="center"/>
          </w:tcPr>
          <w:p>
            <w:pPr>
              <w:adjustRightInd w:val="0"/>
              <w:rPr>
                <w:rFonts w:hint="eastAsia" w:ascii="宋体" w:hAnsi="宋体"/>
                <w:sz w:val="22"/>
              </w:rPr>
            </w:pPr>
            <w:r>
              <w:rPr>
                <w:rFonts w:hint="eastAsia" w:ascii="宋体" w:hAnsi="宋体"/>
                <w:sz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授权委托</w:t>
            </w:r>
          </w:p>
        </w:tc>
        <w:tc>
          <w:tcPr>
            <w:tcW w:w="7205" w:type="dxa"/>
            <w:noWrap w:val="0"/>
            <w:vAlign w:val="center"/>
          </w:tcPr>
          <w:p>
            <w:pPr>
              <w:adjustRightInd w:val="0"/>
              <w:jc w:val="left"/>
              <w:rPr>
                <w:rFonts w:hint="eastAsia" w:ascii="宋体" w:hAnsi="宋体"/>
                <w:sz w:val="22"/>
              </w:rPr>
            </w:pPr>
            <w:r>
              <w:rPr>
                <w:rFonts w:hint="eastAsia" w:ascii="宋体" w:hAnsi="宋体"/>
                <w:sz w:val="22"/>
              </w:rPr>
              <w:t>投标人代表不是投标人的法定代表人的，应有授权委托书，并附双方身份证明。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投标文件递交形式</w:t>
            </w:r>
          </w:p>
        </w:tc>
        <w:tc>
          <w:tcPr>
            <w:tcW w:w="7205" w:type="dxa"/>
            <w:noWrap w:val="0"/>
            <w:vAlign w:val="center"/>
          </w:tcPr>
          <w:p>
            <w:pPr>
              <w:adjustRightInd w:val="0"/>
              <w:jc w:val="left"/>
              <w:rPr>
                <w:rFonts w:hint="eastAsia" w:ascii="宋体" w:hAnsi="宋体"/>
                <w:sz w:val="22"/>
              </w:rPr>
            </w:pPr>
            <w:r>
              <w:rPr>
                <w:rFonts w:hint="eastAsia" w:ascii="宋体" w:hAnsi="宋体"/>
                <w:bCs/>
                <w:color w:val="000000"/>
                <w:sz w:val="22"/>
                <w:u w:val="wave"/>
              </w:rPr>
              <w:t>在投标截止时间前，投标文件应在“政府采购云平台”以“电子加密投标文件”形式上传递交。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投标文件递交份数及保密要求</w:t>
            </w:r>
          </w:p>
        </w:tc>
        <w:tc>
          <w:tcPr>
            <w:tcW w:w="7205" w:type="dxa"/>
            <w:noWrap w:val="0"/>
            <w:vAlign w:val="center"/>
          </w:tcPr>
          <w:p>
            <w:pPr>
              <w:pStyle w:val="19"/>
              <w:tabs>
                <w:tab w:val="right" w:leader="dot" w:pos="9118"/>
              </w:tabs>
              <w:rPr>
                <w:rFonts w:hint="eastAsia" w:hAnsi="宋体" w:cs="宋体"/>
              </w:rPr>
            </w:pPr>
            <w:r>
              <w:rPr>
                <w:rFonts w:hint="eastAsia" w:hAnsi="宋体" w:cs="宋体"/>
              </w:rPr>
              <w:t>“电子加密投标文件”在线上传递交、一份。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投标有效期</w:t>
            </w:r>
          </w:p>
        </w:tc>
        <w:tc>
          <w:tcPr>
            <w:tcW w:w="7205" w:type="dxa"/>
            <w:noWrap w:val="0"/>
            <w:vAlign w:val="center"/>
          </w:tcPr>
          <w:p>
            <w:pPr>
              <w:rPr>
                <w:rFonts w:hint="eastAsia" w:ascii="宋体" w:hAnsi="宋体"/>
                <w:i/>
                <w:sz w:val="22"/>
              </w:rPr>
            </w:pPr>
            <w:r>
              <w:rPr>
                <w:rFonts w:hint="eastAsia" w:ascii="宋体" w:hAnsi="宋体"/>
                <w:i/>
                <w:sz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签字或盖章要求</w:t>
            </w:r>
          </w:p>
        </w:tc>
        <w:tc>
          <w:tcPr>
            <w:tcW w:w="7205" w:type="dxa"/>
            <w:noWrap w:val="0"/>
            <w:vAlign w:val="center"/>
          </w:tcPr>
          <w:p>
            <w:pPr>
              <w:jc w:val="left"/>
              <w:rPr>
                <w:rFonts w:hint="eastAsia" w:ascii="宋体" w:hAnsi="宋体"/>
                <w:sz w:val="22"/>
              </w:rPr>
            </w:pPr>
            <w:r>
              <w:rPr>
                <w:rFonts w:hint="eastAsia" w:ascii="宋体" w:hAnsi="宋体"/>
                <w:sz w:val="22"/>
              </w:rPr>
              <w:t>本招标文件中所指的加盖单位公章</w:t>
            </w:r>
            <w:r>
              <w:rPr>
                <w:rFonts w:hint="eastAsia" w:ascii="宋体" w:hAnsi="宋体"/>
                <w:color w:val="000000"/>
                <w:sz w:val="22"/>
              </w:rPr>
              <w:t>均要求为加盖供应商CA电子签章</w:t>
            </w:r>
            <w:r>
              <w:rPr>
                <w:rFonts w:hint="eastAsia" w:ascii="宋体" w:hAnsi="宋体"/>
                <w:sz w:val="22"/>
              </w:rPr>
              <w:t>（系统的电子签章等同于公章）</w:t>
            </w:r>
            <w:r>
              <w:rPr>
                <w:rFonts w:hint="eastAsia" w:ascii="宋体" w:hAnsi="宋体"/>
                <w:color w:val="000000"/>
                <w:sz w:val="22"/>
              </w:rPr>
              <w:t>。</w:t>
            </w:r>
          </w:p>
          <w:p>
            <w:pPr>
              <w:rPr>
                <w:rFonts w:hint="eastAsia" w:ascii="宋体" w:hAnsi="宋体"/>
                <w:sz w:val="22"/>
              </w:rPr>
            </w:pPr>
            <w:r>
              <w:rPr>
                <w:rFonts w:hint="eastAsia" w:ascii="宋体" w:hAnsi="宋体"/>
                <w:sz w:val="22"/>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投标样品</w:t>
            </w:r>
          </w:p>
        </w:tc>
        <w:tc>
          <w:tcPr>
            <w:tcW w:w="7205" w:type="dxa"/>
            <w:noWrap w:val="0"/>
            <w:vAlign w:val="center"/>
          </w:tcPr>
          <w:p>
            <w:pPr>
              <w:rPr>
                <w:rFonts w:hint="eastAsia" w:ascii="宋体" w:hAnsi="宋体"/>
                <w:sz w:val="22"/>
              </w:rPr>
            </w:pPr>
            <w:r>
              <w:rPr>
                <w:rFonts w:hint="eastAsia" w:ascii="宋体" w:hAnsi="宋体"/>
                <w:sz w:val="22"/>
              </w:rPr>
              <w:sym w:font="Wingdings 2" w:char="0052"/>
            </w:r>
            <w:r>
              <w:rPr>
                <w:rFonts w:hint="eastAsia" w:ascii="宋体" w:hAnsi="宋体"/>
                <w:sz w:val="22"/>
              </w:rPr>
              <w:t>不需要</w:t>
            </w:r>
          </w:p>
          <w:p>
            <w:pPr>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需要   详见</w:t>
            </w:r>
            <w:r>
              <w:rPr>
                <w:rFonts w:hint="eastAsia" w:ascii="宋体" w:hAnsi="宋体"/>
                <w:bCs/>
                <w:sz w:val="22"/>
              </w:rPr>
              <w:t>见采购内容及要求的具体要求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投标保证金</w:t>
            </w:r>
          </w:p>
        </w:tc>
        <w:tc>
          <w:tcPr>
            <w:tcW w:w="7205" w:type="dxa"/>
            <w:noWrap w:val="0"/>
            <w:vAlign w:val="center"/>
          </w:tcPr>
          <w:p>
            <w:pPr>
              <w:rPr>
                <w:rFonts w:hint="eastAsia" w:ascii="宋体" w:hAnsi="宋体"/>
                <w:sz w:val="22"/>
              </w:rPr>
            </w:pPr>
            <w:r>
              <w:rPr>
                <w:rFonts w:hint="eastAsia" w:ascii="宋体" w:hAnsi="宋体"/>
                <w:sz w:val="22"/>
              </w:rPr>
              <w:t>（本项目无需）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sz w:val="22"/>
              </w:rPr>
            </w:pPr>
            <w:r>
              <w:rPr>
                <w:rFonts w:hint="eastAsia" w:ascii="宋体" w:hAnsi="宋体"/>
                <w:sz w:val="22"/>
              </w:rPr>
              <w:t>履约担保</w:t>
            </w:r>
          </w:p>
        </w:tc>
        <w:tc>
          <w:tcPr>
            <w:tcW w:w="7205" w:type="dxa"/>
            <w:noWrap w:val="0"/>
            <w:vAlign w:val="center"/>
          </w:tcPr>
          <w:p>
            <w:pPr>
              <w:rPr>
                <w:rFonts w:hint="eastAsia" w:ascii="宋体" w:hAnsi="宋体"/>
                <w:sz w:val="22"/>
              </w:rPr>
            </w:pPr>
            <w:r>
              <w:rPr>
                <w:rFonts w:hint="eastAsia" w:ascii="宋体" w:hAnsi="宋体"/>
                <w:sz w:val="22"/>
              </w:rPr>
              <w:sym w:font="Wingdings 2" w:char="0052"/>
            </w:r>
            <w:r>
              <w:rPr>
                <w:rFonts w:hint="eastAsia" w:ascii="宋体" w:hAnsi="宋体"/>
                <w:sz w:val="22"/>
              </w:rPr>
              <w:t>不需要</w:t>
            </w:r>
          </w:p>
          <w:p>
            <w:pPr>
              <w:adjustRightInd w:val="0"/>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 xml:space="preserve">需要 </w:t>
            </w:r>
            <w:r>
              <w:rPr>
                <w:rFonts w:hint="eastAsia" w:ascii="宋体" w:hAnsi="宋体"/>
                <w:bCs/>
                <w:sz w:val="22"/>
              </w:rPr>
              <w:t xml:space="preserve"> 具体见采购内容及要求的具体要求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50"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招标文件发售时间及获取方式</w:t>
            </w:r>
          </w:p>
        </w:tc>
        <w:tc>
          <w:tcPr>
            <w:tcW w:w="7205" w:type="dxa"/>
            <w:noWrap w:val="0"/>
            <w:vAlign w:val="center"/>
          </w:tcPr>
          <w:p>
            <w:pPr>
              <w:rPr>
                <w:rFonts w:hint="eastAsia" w:ascii="宋体" w:hAnsi="宋体"/>
                <w:sz w:val="22"/>
              </w:rPr>
            </w:pPr>
            <w:r>
              <w:rPr>
                <w:rFonts w:hint="eastAsia" w:ascii="宋体" w:hAnsi="宋体"/>
                <w:sz w:val="22"/>
              </w:rPr>
              <w:t>按照采购公告规定的时间获取。</w:t>
            </w:r>
          </w:p>
          <w:p>
            <w:pPr>
              <w:rPr>
                <w:rFonts w:hint="eastAsia" w:ascii="宋体" w:hAnsi="宋体"/>
                <w:sz w:val="22"/>
              </w:rPr>
            </w:pPr>
            <w:r>
              <w:rPr>
                <w:rFonts w:hint="eastAsia" w:ascii="宋体" w:hAnsi="宋体"/>
                <w:sz w:val="22"/>
              </w:rPr>
              <w:sym w:font="Wingdings 2" w:char="0052"/>
            </w:r>
            <w:r>
              <w:rPr>
                <w:rFonts w:hint="eastAsia" w:ascii="宋体" w:hAnsi="宋体"/>
                <w:sz w:val="22"/>
              </w:rPr>
              <w:t>网上填写信息后点击获取下载；</w:t>
            </w:r>
          </w:p>
          <w:p>
            <w:pPr>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资料发至邮箱登记后招标文件发至邮箱获取</w:t>
            </w:r>
            <w:r>
              <w:rPr>
                <w:rFonts w:hint="eastAsia" w:ascii="宋体" w:hAnsi="宋体"/>
                <w:b/>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投标截止时间</w:t>
            </w:r>
          </w:p>
        </w:tc>
        <w:tc>
          <w:tcPr>
            <w:tcW w:w="7205" w:type="dxa"/>
            <w:noWrap w:val="0"/>
            <w:vAlign w:val="center"/>
          </w:tcPr>
          <w:p>
            <w:pPr>
              <w:rPr>
                <w:rFonts w:hint="eastAsia" w:ascii="宋体" w:hAnsi="宋体"/>
                <w:sz w:val="22"/>
              </w:rPr>
            </w:pPr>
            <w:r>
              <w:rPr>
                <w:rFonts w:hint="eastAsia" w:ascii="宋体" w:hAnsi="宋体"/>
                <w:b/>
                <w:sz w:val="22"/>
                <w:lang w:eastAsia="zh-CN"/>
              </w:rPr>
              <w:t>2020年8月25日　14:30</w:t>
            </w:r>
            <w:r>
              <w:rPr>
                <w:rFonts w:hint="eastAsia" w:ascii="宋体" w:hAnsi="宋体"/>
                <w:i/>
                <w:sz w:val="22"/>
              </w:rPr>
              <w:t>截</w:t>
            </w:r>
            <w:r>
              <w:rPr>
                <w:rFonts w:hint="eastAsia" w:ascii="宋体" w:hAnsi="宋体"/>
                <w:sz w:val="22"/>
              </w:rPr>
              <w:t>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5"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投标文件递交时间及地点</w:t>
            </w:r>
          </w:p>
        </w:tc>
        <w:tc>
          <w:tcPr>
            <w:tcW w:w="7205" w:type="dxa"/>
            <w:noWrap w:val="0"/>
            <w:vAlign w:val="center"/>
          </w:tcPr>
          <w:p>
            <w:pPr>
              <w:rPr>
                <w:rFonts w:hint="eastAsia" w:ascii="宋体" w:hAnsi="宋体"/>
                <w:i/>
                <w:sz w:val="22"/>
              </w:rPr>
            </w:pPr>
            <w:r>
              <w:rPr>
                <w:rFonts w:hint="eastAsia" w:ascii="宋体" w:hAnsi="宋体"/>
                <w:i/>
                <w:sz w:val="22"/>
              </w:rPr>
              <w:t>在投标截止时间之前递交均可 ；</w:t>
            </w:r>
          </w:p>
          <w:p>
            <w:pPr>
              <w:rPr>
                <w:rFonts w:hint="eastAsia" w:ascii="宋体" w:hAnsi="宋体"/>
                <w:sz w:val="22"/>
              </w:rPr>
            </w:pPr>
            <w:r>
              <w:rPr>
                <w:rFonts w:hint="eastAsia" w:ascii="宋体" w:hAnsi="宋体"/>
                <w:bCs/>
                <w:sz w:val="22"/>
              </w:rPr>
              <w:t>投标文件递交地点：政采云平台。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9"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开标时间</w:t>
            </w:r>
          </w:p>
          <w:p>
            <w:pPr>
              <w:jc w:val="center"/>
              <w:rPr>
                <w:rFonts w:hint="eastAsia" w:ascii="宋体" w:hAnsi="宋体"/>
                <w:sz w:val="22"/>
              </w:rPr>
            </w:pPr>
            <w:r>
              <w:rPr>
                <w:rFonts w:hint="eastAsia" w:ascii="宋体" w:hAnsi="宋体"/>
                <w:sz w:val="22"/>
              </w:rPr>
              <w:t>开标地点</w:t>
            </w:r>
          </w:p>
          <w:p>
            <w:pPr>
              <w:jc w:val="center"/>
              <w:rPr>
                <w:rFonts w:hint="eastAsia" w:ascii="宋体" w:hAnsi="宋体"/>
                <w:sz w:val="22"/>
              </w:rPr>
            </w:pPr>
            <w:r>
              <w:rPr>
                <w:rFonts w:hint="eastAsia" w:ascii="宋体" w:hAnsi="宋体"/>
                <w:sz w:val="22"/>
              </w:rPr>
              <w:t>注意事项</w:t>
            </w:r>
          </w:p>
        </w:tc>
        <w:tc>
          <w:tcPr>
            <w:tcW w:w="7205" w:type="dxa"/>
            <w:noWrap w:val="0"/>
            <w:vAlign w:val="center"/>
          </w:tcPr>
          <w:p>
            <w:pPr>
              <w:rPr>
                <w:rFonts w:hint="eastAsia" w:ascii="宋体" w:hAnsi="宋体"/>
                <w:sz w:val="22"/>
              </w:rPr>
            </w:pPr>
            <w:r>
              <w:rPr>
                <w:rFonts w:hint="eastAsia" w:ascii="宋体" w:hAnsi="宋体"/>
                <w:sz w:val="22"/>
              </w:rPr>
              <w:t>开标时间：</w:t>
            </w:r>
            <w:r>
              <w:rPr>
                <w:rFonts w:hint="eastAsia" w:ascii="宋体" w:hAnsi="宋体"/>
                <w:b/>
                <w:sz w:val="22"/>
                <w:lang w:eastAsia="zh-CN"/>
              </w:rPr>
              <w:t>2020年8月25日　14:30</w:t>
            </w:r>
            <w:r>
              <w:rPr>
                <w:rFonts w:hint="eastAsia" w:ascii="宋体" w:hAnsi="宋体"/>
                <w:i/>
                <w:sz w:val="22"/>
              </w:rPr>
              <w:t xml:space="preserve">正 </w:t>
            </w:r>
            <w:r>
              <w:rPr>
                <w:rFonts w:hint="eastAsia" w:ascii="宋体" w:hAnsi="宋体"/>
                <w:sz w:val="22"/>
              </w:rPr>
              <w:t>(北京时间)</w:t>
            </w:r>
          </w:p>
          <w:p>
            <w:pPr>
              <w:rPr>
                <w:rFonts w:hint="eastAsia" w:ascii="宋体" w:hAnsi="宋体"/>
                <w:sz w:val="22"/>
              </w:rPr>
            </w:pPr>
            <w:r>
              <w:rPr>
                <w:rFonts w:hint="eastAsia" w:ascii="宋体" w:hAnsi="宋体"/>
                <w:sz w:val="22"/>
              </w:rPr>
              <w:t>评审地点</w:t>
            </w:r>
            <w:r>
              <w:rPr>
                <w:rFonts w:hint="eastAsia" w:ascii="宋体" w:hAnsi="宋体"/>
                <w:bCs/>
                <w:sz w:val="22"/>
              </w:rPr>
              <w:t>：</w:t>
            </w:r>
            <w:r>
              <w:rPr>
                <w:rFonts w:hint="eastAsia" w:ascii="宋体" w:hAnsi="宋体"/>
                <w:b/>
                <w:bCs/>
                <w:kern w:val="0"/>
                <w:sz w:val="22"/>
                <w:u w:val="single"/>
              </w:rPr>
              <w:t>龙湾区公共资源交易中心(温州市龙湾区永中街道府后路77号便民服务中心主楼四楼评标室)</w:t>
            </w:r>
            <w:r>
              <w:rPr>
                <w:rFonts w:hint="eastAsia" w:ascii="宋体" w:hAnsi="宋体"/>
                <w:bCs/>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9"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电子加密投标文件的解密和异常情况处理</w:t>
            </w:r>
          </w:p>
        </w:tc>
        <w:tc>
          <w:tcPr>
            <w:tcW w:w="7205" w:type="dxa"/>
            <w:noWrap w:val="0"/>
            <w:vAlign w:val="center"/>
          </w:tcPr>
          <w:p>
            <w:pPr>
              <w:jc w:val="left"/>
              <w:rPr>
                <w:rFonts w:hint="eastAsia" w:ascii="宋体" w:hAnsi="宋体"/>
              </w:rPr>
            </w:pPr>
            <w:r>
              <w:rPr>
                <w:rFonts w:hint="eastAsia" w:ascii="宋体" w:hAnsi="宋体"/>
                <w:sz w:val="22"/>
              </w:rPr>
              <w:t>（1）开标开始后，采购组织机构将向各投标供应商发出“电子加密投标文件”的解密通知，各投标供应商代表应当在接到解密通知后30分钟内自行完成“电子加密投标文件”的在线解密。</w:t>
            </w:r>
          </w:p>
          <w:p>
            <w:pPr>
              <w:jc w:val="left"/>
              <w:rPr>
                <w:rFonts w:hint="eastAsia" w:ascii="宋体" w:hAnsi="宋体"/>
                <w:sz w:val="22"/>
              </w:rPr>
            </w:pPr>
            <w:r>
              <w:rPr>
                <w:rFonts w:hint="eastAsia" w:ascii="宋体" w:hAnsi="宋体"/>
                <w:sz w:val="22"/>
              </w:rPr>
              <w:t>（2）通过“政府采购云平台”成功上传递交的“电子加密投标文件”没有按时解密的，视为投标文件撤回。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9"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left"/>
              <w:rPr>
                <w:rFonts w:hint="eastAsia" w:ascii="宋体" w:hAnsi="宋体"/>
                <w:sz w:val="22"/>
              </w:rPr>
            </w:pPr>
            <w:r>
              <w:rPr>
                <w:rFonts w:hint="eastAsia" w:ascii="宋体" w:hAnsi="宋体"/>
                <w:sz w:val="22"/>
              </w:rPr>
              <w:t>注意事项</w:t>
            </w:r>
          </w:p>
        </w:tc>
        <w:tc>
          <w:tcPr>
            <w:tcW w:w="7205" w:type="dxa"/>
            <w:noWrap w:val="0"/>
            <w:vAlign w:val="center"/>
          </w:tcPr>
          <w:p>
            <w:pPr>
              <w:jc w:val="left"/>
              <w:rPr>
                <w:rFonts w:hint="eastAsia" w:ascii="宋体" w:hAnsi="宋体"/>
                <w:color w:val="000000"/>
                <w:sz w:val="22"/>
                <w:u w:val="wave"/>
              </w:rPr>
            </w:pPr>
            <w:r>
              <w:rPr>
                <w:rFonts w:hint="eastAsia" w:ascii="宋体" w:hAnsi="宋体"/>
                <w:color w:val="000000"/>
                <w:sz w:val="22"/>
                <w:u w:val="wave"/>
              </w:rPr>
              <w:t>1.请务必确保投标文件制作客户端为最新版本，旧版本可能导致投标文件解密失败。</w:t>
            </w:r>
          </w:p>
          <w:p>
            <w:pPr>
              <w:jc w:val="left"/>
              <w:rPr>
                <w:rFonts w:hint="eastAsia" w:ascii="宋体" w:hAnsi="宋体"/>
                <w:sz w:val="22"/>
              </w:rPr>
            </w:pPr>
            <w:r>
              <w:rPr>
                <w:rFonts w:hint="eastAsia" w:ascii="宋体" w:hAnsi="宋体"/>
                <w:color w:val="000000"/>
                <w:sz w:val="22"/>
                <w:u w:val="wave"/>
              </w:rPr>
              <w:t>2.请务必确保投标文件制作时所用的 CA 锁与投标文件解密时的 CA 锁为同一把，否则可能导致投标文件解密失败。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14"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电子交易程序</w:t>
            </w:r>
          </w:p>
        </w:tc>
        <w:tc>
          <w:tcPr>
            <w:tcW w:w="7205" w:type="dxa"/>
            <w:noWrap w:val="0"/>
            <w:vAlign w:val="center"/>
          </w:tcPr>
          <w:p>
            <w:pPr>
              <w:pStyle w:val="12"/>
              <w:ind w:left="0" w:leftChars="0"/>
              <w:rPr>
                <w:rFonts w:hint="eastAsia" w:ascii="宋体" w:hAnsi="宋体" w:cs="宋体"/>
                <w:sz w:val="22"/>
              </w:rPr>
            </w:pPr>
            <w:r>
              <w:rPr>
                <w:rFonts w:hint="eastAsia" w:ascii="宋体" w:hAnsi="宋体" w:cs="宋体"/>
                <w:sz w:val="22"/>
              </w:rPr>
              <w:t>（1）代理组织机构通过电子交易平台发起投标文件签收、解密；</w:t>
            </w:r>
          </w:p>
          <w:p>
            <w:pPr>
              <w:pStyle w:val="12"/>
              <w:ind w:left="0" w:leftChars="0"/>
              <w:rPr>
                <w:rFonts w:hint="eastAsia" w:ascii="宋体" w:hAnsi="宋体" w:cs="宋体"/>
                <w:sz w:val="22"/>
              </w:rPr>
            </w:pPr>
            <w:r>
              <w:rPr>
                <w:rFonts w:hint="eastAsia" w:ascii="宋体" w:hAnsi="宋体" w:cs="宋体"/>
                <w:sz w:val="22"/>
              </w:rPr>
              <w:t>（2）供应商在规定时限内解密投标文件；</w:t>
            </w:r>
          </w:p>
          <w:p>
            <w:pPr>
              <w:pStyle w:val="12"/>
              <w:ind w:left="0" w:leftChars="0"/>
              <w:rPr>
                <w:rFonts w:hint="eastAsia" w:ascii="宋体" w:hAnsi="宋体" w:cs="宋体"/>
                <w:sz w:val="22"/>
              </w:rPr>
            </w:pPr>
            <w:r>
              <w:rPr>
                <w:rFonts w:hint="eastAsia" w:ascii="宋体" w:hAnsi="宋体" w:cs="宋体"/>
                <w:sz w:val="22"/>
              </w:rPr>
              <w:t>（3）采购人或代理机构对解密成功的供应商进行资格性审查；</w:t>
            </w:r>
          </w:p>
          <w:p>
            <w:pPr>
              <w:pStyle w:val="12"/>
              <w:ind w:left="0" w:leftChars="0"/>
              <w:rPr>
                <w:rFonts w:hint="eastAsia" w:ascii="宋体" w:hAnsi="宋体" w:cs="宋体"/>
                <w:sz w:val="22"/>
              </w:rPr>
            </w:pPr>
            <w:r>
              <w:rPr>
                <w:rFonts w:hint="eastAsia" w:ascii="宋体" w:hAnsi="宋体" w:cs="宋体"/>
                <w:sz w:val="22"/>
              </w:rPr>
              <w:t>（4）评标委员会对通过资格审查的供应商的商务技术标进行评审；</w:t>
            </w:r>
          </w:p>
          <w:p>
            <w:pPr>
              <w:pStyle w:val="12"/>
              <w:ind w:left="0" w:leftChars="0"/>
              <w:rPr>
                <w:rFonts w:hint="eastAsia" w:ascii="宋体" w:hAnsi="宋体" w:cs="宋体"/>
                <w:sz w:val="22"/>
              </w:rPr>
            </w:pPr>
            <w:r>
              <w:rPr>
                <w:rFonts w:hint="eastAsia" w:ascii="宋体" w:hAnsi="宋体" w:cs="宋体"/>
                <w:sz w:val="22"/>
              </w:rPr>
              <w:t>（5）对通过商务技术审查的供应商开启报价文件；</w:t>
            </w:r>
          </w:p>
          <w:p>
            <w:pPr>
              <w:pStyle w:val="12"/>
              <w:ind w:left="0" w:leftChars="0"/>
              <w:rPr>
                <w:rFonts w:hint="eastAsia" w:ascii="宋体" w:hAnsi="宋体" w:cs="宋体"/>
                <w:sz w:val="22"/>
              </w:rPr>
            </w:pPr>
            <w:r>
              <w:rPr>
                <w:rFonts w:hint="eastAsia" w:ascii="宋体" w:hAnsi="宋体" w:cs="宋体"/>
                <w:sz w:val="22"/>
              </w:rPr>
              <w:t>（6）评标委员会对报价文件进行评审；</w:t>
            </w:r>
          </w:p>
          <w:p>
            <w:pPr>
              <w:rPr>
                <w:rFonts w:hint="eastAsia" w:ascii="宋体" w:hAnsi="宋体"/>
                <w:sz w:val="22"/>
              </w:rPr>
            </w:pPr>
            <w:r>
              <w:rPr>
                <w:rFonts w:hint="eastAsia" w:ascii="宋体" w:hAnsi="宋体"/>
                <w:sz w:val="22"/>
              </w:rPr>
              <w:t>（7） 公布采购结果；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评审委员会的</w:t>
            </w:r>
          </w:p>
          <w:p>
            <w:pPr>
              <w:jc w:val="center"/>
              <w:rPr>
                <w:rFonts w:hint="eastAsia" w:ascii="宋体" w:hAnsi="宋体"/>
                <w:sz w:val="22"/>
              </w:rPr>
            </w:pPr>
            <w:r>
              <w:rPr>
                <w:rFonts w:hint="eastAsia" w:ascii="宋体" w:hAnsi="宋体"/>
                <w:sz w:val="22"/>
              </w:rPr>
              <w:t>组建</w:t>
            </w:r>
          </w:p>
        </w:tc>
        <w:tc>
          <w:tcPr>
            <w:tcW w:w="7205" w:type="dxa"/>
            <w:noWrap w:val="0"/>
            <w:vAlign w:val="center"/>
          </w:tcPr>
          <w:p>
            <w:pPr>
              <w:rPr>
                <w:rFonts w:hint="eastAsia" w:ascii="宋体" w:hAnsi="宋体"/>
                <w:sz w:val="22"/>
              </w:rPr>
            </w:pPr>
            <w:r>
              <w:rPr>
                <w:rFonts w:hint="eastAsia" w:ascii="宋体" w:hAnsi="宋体"/>
                <w:sz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sz w:val="22"/>
              </w:rPr>
            </w:pPr>
            <w:r>
              <w:rPr>
                <w:rFonts w:hint="eastAsia" w:ascii="宋体" w:hAnsi="宋体"/>
                <w:sz w:val="22"/>
              </w:rPr>
              <w:t>政府采购</w:t>
            </w:r>
          </w:p>
          <w:p>
            <w:pPr>
              <w:adjustRightInd w:val="0"/>
              <w:jc w:val="center"/>
              <w:rPr>
                <w:rFonts w:hint="eastAsia" w:ascii="宋体" w:hAnsi="宋体"/>
                <w:sz w:val="22"/>
              </w:rPr>
            </w:pPr>
            <w:r>
              <w:rPr>
                <w:rFonts w:hint="eastAsia" w:ascii="宋体" w:hAnsi="宋体"/>
                <w:sz w:val="22"/>
              </w:rPr>
              <w:t>扶持政策</w:t>
            </w:r>
          </w:p>
        </w:tc>
        <w:tc>
          <w:tcPr>
            <w:tcW w:w="7205" w:type="dxa"/>
            <w:noWrap w:val="0"/>
            <w:vAlign w:val="center"/>
          </w:tcPr>
          <w:p>
            <w:pPr>
              <w:rPr>
                <w:rFonts w:hint="eastAsia" w:ascii="宋体" w:hAnsi="宋体"/>
                <w:sz w:val="22"/>
              </w:rPr>
            </w:pPr>
            <w:r>
              <w:rPr>
                <w:rFonts w:hint="eastAsia" w:ascii="宋体" w:hAnsi="宋体"/>
                <w:sz w:val="22"/>
              </w:rPr>
              <w:t>1、对符合财政扶持政策的小微企业（或监狱企业、或残疾人福利性单位）给予评标价格折扣。供应商企业属于以上多种性质的，不重复享受扶持政策。</w:t>
            </w:r>
          </w:p>
          <w:p>
            <w:pPr>
              <w:rPr>
                <w:rFonts w:hint="eastAsia" w:ascii="宋体" w:hAnsi="宋体"/>
                <w:sz w:val="22"/>
              </w:rPr>
            </w:pPr>
            <w:r>
              <w:rPr>
                <w:rFonts w:hint="eastAsia" w:ascii="宋体" w:hAnsi="宋体"/>
                <w:sz w:val="22"/>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供应商信用查询</w:t>
            </w:r>
          </w:p>
        </w:tc>
        <w:tc>
          <w:tcPr>
            <w:tcW w:w="7205" w:type="dxa"/>
            <w:noWrap w:val="0"/>
            <w:vAlign w:val="center"/>
          </w:tcPr>
          <w:p>
            <w:pPr>
              <w:rPr>
                <w:rFonts w:hint="eastAsia" w:ascii="宋体" w:hAnsi="宋体"/>
                <w:sz w:val="22"/>
              </w:rPr>
            </w:pPr>
            <w:r>
              <w:rPr>
                <w:rFonts w:hint="eastAsia" w:ascii="宋体" w:hAnsi="宋体"/>
                <w:sz w:val="22"/>
              </w:rPr>
              <w:t>1.投标供应商信用信息查询的查询渠道：“信用中国”(</w:t>
            </w:r>
            <w:r>
              <w:rPr>
                <w:rFonts w:hint="eastAsia" w:ascii="宋体" w:hAnsi="宋体"/>
              </w:rPr>
              <w:fldChar w:fldCharType="begin"/>
            </w:r>
            <w:r>
              <w:rPr>
                <w:rFonts w:hint="eastAsia" w:ascii="宋体" w:hAnsi="宋体"/>
              </w:rPr>
              <w:instrText xml:space="preserve">HYPERLINK "http://www.creditchina.gov.cn"</w:instrText>
            </w:r>
            <w:r>
              <w:rPr>
                <w:rFonts w:hint="eastAsia" w:ascii="宋体" w:hAnsi="宋体"/>
              </w:rPr>
              <w:fldChar w:fldCharType="separate"/>
            </w:r>
            <w:r>
              <w:rPr>
                <w:rFonts w:hint="eastAsia" w:ascii="宋体" w:hAnsi="宋体"/>
                <w:sz w:val="22"/>
              </w:rPr>
              <w:t>www.creditchina.gov.cn</w:t>
            </w:r>
            <w:r>
              <w:rPr>
                <w:rFonts w:hint="eastAsia" w:ascii="宋体" w:hAnsi="宋体"/>
              </w:rPr>
              <w:fldChar w:fldCharType="end"/>
            </w:r>
            <w:r>
              <w:rPr>
                <w:rFonts w:hint="eastAsia" w:ascii="宋体" w:hAnsi="宋体"/>
                <w:sz w:val="22"/>
              </w:rPr>
              <w:t>)；“中国政府采购网”（http://www.ccgp.gov.cn/）；</w:t>
            </w:r>
          </w:p>
          <w:p>
            <w:pPr>
              <w:rPr>
                <w:rFonts w:hint="eastAsia" w:ascii="宋体" w:hAnsi="宋体"/>
                <w:sz w:val="22"/>
              </w:rPr>
            </w:pPr>
            <w:r>
              <w:rPr>
                <w:rFonts w:hint="eastAsia" w:ascii="宋体" w:hAnsi="宋体"/>
                <w:sz w:val="22"/>
              </w:rPr>
              <w:t>2.投标供应商信用信息查询截止时点：采购公告至本项目投标截止时间前均可。</w:t>
            </w:r>
          </w:p>
          <w:p>
            <w:pPr>
              <w:rPr>
                <w:rFonts w:hint="eastAsia" w:ascii="宋体" w:hAnsi="宋体"/>
                <w:sz w:val="22"/>
              </w:rPr>
            </w:pPr>
            <w:r>
              <w:rPr>
                <w:rFonts w:hint="eastAsia" w:ascii="宋体" w:hAnsi="宋体"/>
                <w:sz w:val="22"/>
              </w:rPr>
              <w:t>3.投标供应商信用信息查询记录和证据留存的具体方式：网页截图打印；</w:t>
            </w:r>
          </w:p>
          <w:p>
            <w:pPr>
              <w:rPr>
                <w:rFonts w:hint="eastAsia" w:ascii="宋体" w:hAnsi="宋体"/>
                <w:sz w:val="22"/>
              </w:rPr>
            </w:pPr>
            <w:r>
              <w:rPr>
                <w:rFonts w:hint="eastAsia" w:ascii="宋体" w:hAnsi="宋体"/>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0"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合同备案</w:t>
            </w:r>
          </w:p>
        </w:tc>
        <w:tc>
          <w:tcPr>
            <w:tcW w:w="7205" w:type="dxa"/>
            <w:noWrap w:val="0"/>
            <w:vAlign w:val="center"/>
          </w:tcPr>
          <w:p>
            <w:pPr>
              <w:rPr>
                <w:rFonts w:hint="eastAsia" w:ascii="宋体" w:hAnsi="宋体"/>
                <w:sz w:val="22"/>
              </w:rPr>
            </w:pPr>
            <w:r>
              <w:rPr>
                <w:rFonts w:hint="eastAsia" w:ascii="宋体" w:hAnsi="宋体"/>
                <w:sz w:val="22"/>
              </w:rPr>
              <w:t>1、中标供应商须在发出中标通知书之日起30日历天内与采购人签订合同。</w:t>
            </w:r>
          </w:p>
          <w:p>
            <w:pPr>
              <w:rPr>
                <w:rFonts w:hint="eastAsia" w:ascii="宋体" w:hAnsi="宋体"/>
                <w:sz w:val="22"/>
              </w:rPr>
            </w:pPr>
            <w:r>
              <w:rPr>
                <w:rFonts w:hint="eastAsia" w:ascii="宋体" w:hAnsi="宋体"/>
                <w:sz w:val="22"/>
              </w:rPr>
              <w:t>2、中标供应商与采购人签订合同后，2日历天内将合同原件交杭州华旗招标代理有限公司备案。合同原件扫描件电子版发给杭州华旗招标代理有限公司：邮箱：</w:t>
            </w:r>
            <w:r>
              <w:rPr>
                <w:rFonts w:hint="eastAsia" w:ascii="宋体" w:hAnsi="宋体"/>
                <w:sz w:val="22"/>
              </w:rPr>
              <w:fldChar w:fldCharType="begin"/>
            </w:r>
            <w:r>
              <w:rPr>
                <w:rFonts w:hint="eastAsia" w:ascii="宋体" w:hAnsi="宋体"/>
                <w:sz w:val="22"/>
              </w:rPr>
              <w:instrText xml:space="preserve"> HYPERLINK "mailto:250453502@qq.com" </w:instrText>
            </w:r>
            <w:r>
              <w:rPr>
                <w:rFonts w:hint="eastAsia" w:ascii="宋体" w:hAnsi="宋体"/>
                <w:sz w:val="22"/>
              </w:rPr>
              <w:fldChar w:fldCharType="separate"/>
            </w:r>
            <w:r>
              <w:rPr>
                <w:rStyle w:val="31"/>
                <w:rFonts w:hint="eastAsia" w:ascii="宋体" w:hAnsi="宋体"/>
                <w:sz w:val="22"/>
              </w:rPr>
              <w:t>250453502 @qq.com</w:t>
            </w:r>
            <w:r>
              <w:rPr>
                <w:rFonts w:hint="eastAsia" w:ascii="宋体" w:hAnsi="宋体"/>
                <w:sz w:val="22"/>
              </w:rPr>
              <w:fldChar w:fldCharType="end"/>
            </w:r>
            <w:r>
              <w:rPr>
                <w:rFonts w:hint="eastAsia" w:ascii="宋体" w:hAnsi="宋体"/>
                <w:sz w:val="22"/>
              </w:rPr>
              <w:t>；</w:t>
            </w:r>
          </w:p>
          <w:p>
            <w:pPr>
              <w:rPr>
                <w:rFonts w:hint="eastAsia" w:ascii="宋体" w:hAnsi="宋体"/>
                <w:sz w:val="22"/>
              </w:rPr>
            </w:pPr>
            <w:r>
              <w:rPr>
                <w:rFonts w:hint="eastAsia" w:ascii="宋体" w:hAnsi="宋体"/>
                <w:sz w:val="22"/>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合同履约管理</w:t>
            </w:r>
          </w:p>
        </w:tc>
        <w:tc>
          <w:tcPr>
            <w:tcW w:w="7205" w:type="dxa"/>
            <w:noWrap w:val="0"/>
            <w:vAlign w:val="center"/>
          </w:tcPr>
          <w:p>
            <w:pPr>
              <w:rPr>
                <w:rFonts w:hint="eastAsia" w:ascii="宋体" w:hAnsi="宋体"/>
                <w:sz w:val="22"/>
              </w:rPr>
            </w:pPr>
            <w:r>
              <w:rPr>
                <w:rFonts w:hint="eastAsia" w:ascii="宋体" w:hAnsi="宋体"/>
                <w:sz w:val="22"/>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0"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免责声明</w:t>
            </w:r>
          </w:p>
        </w:tc>
        <w:tc>
          <w:tcPr>
            <w:tcW w:w="7205" w:type="dxa"/>
            <w:noWrap w:val="0"/>
            <w:vAlign w:val="center"/>
          </w:tcPr>
          <w:p>
            <w:pPr>
              <w:rPr>
                <w:rFonts w:hint="eastAsia" w:ascii="宋体" w:hAnsi="宋体"/>
                <w:sz w:val="22"/>
              </w:rPr>
            </w:pPr>
            <w:r>
              <w:rPr>
                <w:rFonts w:hint="eastAsia" w:ascii="宋体" w:hAnsi="宋体"/>
                <w:sz w:val="22"/>
              </w:rPr>
              <w:t>1、投标供应商自行承担投标过程中产生的费用。无论何种因素导致采购项目延期开标、废标（流标）、投标供应商未中标、项目终止采购的，采购人与代理机构均不承担供应商投标费用。</w:t>
            </w:r>
          </w:p>
          <w:p>
            <w:pPr>
              <w:rPr>
                <w:rFonts w:hint="eastAsia" w:ascii="宋体" w:hAnsi="宋体"/>
                <w:sz w:val="22"/>
              </w:rPr>
            </w:pPr>
            <w:r>
              <w:rPr>
                <w:rFonts w:hint="eastAsia" w:ascii="宋体" w:hAnsi="宋体"/>
                <w:sz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4"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解释权</w:t>
            </w:r>
          </w:p>
        </w:tc>
        <w:tc>
          <w:tcPr>
            <w:tcW w:w="7205" w:type="dxa"/>
            <w:noWrap w:val="0"/>
            <w:vAlign w:val="center"/>
          </w:tcPr>
          <w:p>
            <w:pPr>
              <w:rPr>
                <w:rFonts w:hint="eastAsia" w:ascii="宋体" w:hAnsi="宋体"/>
                <w:sz w:val="22"/>
              </w:rPr>
            </w:pPr>
            <w:r>
              <w:rPr>
                <w:rFonts w:hint="eastAsia" w:ascii="宋体" w:hAnsi="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pStyle w:val="22"/>
        <w:rPr>
          <w:rFonts w:hint="eastAsia" w:ascii="宋体" w:hAnsi="宋体" w:cs="宋体"/>
          <w:b/>
          <w:sz w:val="22"/>
        </w:rPr>
      </w:pPr>
      <w:r>
        <w:rPr>
          <w:rFonts w:hint="eastAsia" w:ascii="宋体" w:hAnsi="宋体" w:cs="宋体"/>
          <w:b/>
          <w:sz w:val="22"/>
        </w:rPr>
        <w:t xml:space="preserve">    </w:t>
      </w: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bCs/>
        </w:rPr>
        <w:sectPr>
          <w:pgSz w:w="11906" w:h="16838"/>
          <w:pgMar w:top="1417" w:right="1417" w:bottom="1134" w:left="1134" w:header="851" w:footer="992" w:gutter="0"/>
          <w:cols w:space="720" w:num="1"/>
          <w:titlePg/>
          <w:docGrid w:type="linesAndChars" w:linePitch="312" w:charSpace="0"/>
        </w:sectPr>
      </w:pPr>
    </w:p>
    <w:p>
      <w:pPr>
        <w:pStyle w:val="22"/>
        <w:rPr>
          <w:rFonts w:hint="eastAsia" w:ascii="宋体" w:hAnsi="宋体" w:cs="宋体"/>
          <w:b/>
          <w:bCs/>
        </w:rPr>
      </w:pPr>
      <w:bookmarkStart w:id="7" w:name="_Toc8966"/>
      <w:r>
        <w:rPr>
          <w:rFonts w:hint="eastAsia" w:ascii="宋体" w:hAnsi="宋体" w:cs="宋体"/>
          <w:b/>
          <w:bCs/>
        </w:rPr>
        <w:t>第二部分 招标内容及要求</w:t>
      </w:r>
      <w:bookmarkEnd w:id="7"/>
    </w:p>
    <w:p>
      <w:pPr>
        <w:pStyle w:val="13"/>
        <w:adjustRightInd w:val="0"/>
        <w:snapToGrid w:val="0"/>
        <w:spacing w:line="440" w:lineRule="atLeast"/>
        <w:outlineLvl w:val="0"/>
        <w:rPr>
          <w:rFonts w:hAnsi="宋体"/>
          <w:color w:val="auto"/>
          <w:sz w:val="22"/>
        </w:rPr>
      </w:pPr>
      <w:bookmarkStart w:id="8" w:name="_Toc298418715"/>
      <w:bookmarkStart w:id="9" w:name="_Toc27720"/>
      <w:bookmarkStart w:id="10" w:name="_Toc20686"/>
      <w:r>
        <w:rPr>
          <w:rFonts w:hint="eastAsia" w:hAnsi="宋体" w:eastAsia="宋体"/>
          <w:color w:val="auto"/>
          <w:sz w:val="22"/>
        </w:rPr>
        <w:t>一、采购总说明</w:t>
      </w:r>
      <w:bookmarkEnd w:id="8"/>
      <w:bookmarkEnd w:id="9"/>
      <w:bookmarkEnd w:id="10"/>
    </w:p>
    <w:p>
      <w:pPr>
        <w:spacing w:line="460" w:lineRule="exact"/>
        <w:ind w:firstLine="539" w:firstLineChars="245"/>
        <w:rPr>
          <w:rFonts w:ascii="宋体" w:hAnsi="宋体"/>
          <w:sz w:val="22"/>
        </w:rPr>
      </w:pPr>
      <w:r>
        <w:rPr>
          <w:rFonts w:hint="eastAsia" w:ascii="宋体" w:hAnsi="宋体"/>
          <w:sz w:val="22"/>
        </w:rPr>
        <w:t>1.技术规格只是设备及安装的一些原则性规定，并不是详尽的要求，投标人有责任对该设备设计符合技术规格书要求负责。</w:t>
      </w:r>
    </w:p>
    <w:p>
      <w:pPr>
        <w:spacing w:line="460" w:lineRule="exact"/>
        <w:ind w:firstLine="539" w:firstLineChars="245"/>
        <w:rPr>
          <w:rFonts w:ascii="宋体" w:hAnsi="宋体"/>
          <w:sz w:val="22"/>
        </w:rPr>
      </w:pPr>
      <w:r>
        <w:rPr>
          <w:rFonts w:hint="eastAsia" w:ascii="宋体" w:hAnsi="宋体"/>
          <w:sz w:val="22"/>
        </w:rPr>
        <w:t>2.本次系统建设按照温州市公安局《视频监控建设五年规划（2008－2012）》、《温州市市本级视频监控系统规划方案（2010-2012）》和《温州市公安安全技术防范体系建设三年规划（2013-2015）》的要求。</w:t>
      </w:r>
    </w:p>
    <w:p>
      <w:pPr>
        <w:spacing w:line="460" w:lineRule="exact"/>
        <w:ind w:firstLine="539" w:firstLineChars="245"/>
        <w:rPr>
          <w:rFonts w:ascii="宋体" w:hAnsi="宋体"/>
          <w:sz w:val="22"/>
        </w:rPr>
      </w:pPr>
      <w:r>
        <w:rPr>
          <w:rFonts w:hint="eastAsia" w:ascii="宋体" w:hAnsi="宋体"/>
          <w:sz w:val="22"/>
        </w:rPr>
        <w:t>3.本次采购的设备必须选用民安视频监控专业设备。有良好的图像采集能力，支持星光级照度、超宽动态、强光抑制功能，有良好的网络适应能力，在网络质量较差的时候也能获得流畅清晰的视频；有良好的可靠性，可在室外恶劣环境下长时间、稳定工作，具备抗环境干扰能力与防雷电浪涌能力。有良好的用户界面，支持网管、远程监测、远程操作、集中控制，提高故障发现、诊断能力与运维工作效率。</w:t>
      </w:r>
    </w:p>
    <w:p>
      <w:pPr>
        <w:spacing w:line="460" w:lineRule="exact"/>
        <w:ind w:firstLine="539" w:firstLineChars="245"/>
        <w:rPr>
          <w:rFonts w:ascii="宋体" w:hAnsi="宋体"/>
          <w:sz w:val="22"/>
        </w:rPr>
      </w:pPr>
      <w:r>
        <w:rPr>
          <w:rFonts w:hint="eastAsia" w:ascii="宋体" w:hAnsi="宋体"/>
          <w:sz w:val="22"/>
        </w:rPr>
        <w:t>4.投标人必须具备整体系统的设计能力，在审核招标文件过程中发现设备数量、参数指标不匹配或无法达到招标文件的总体要求，必须在规定时间内向招标人提出合理化建议。本采购文件所列设备清单为基准清单，投标单位中标后要根据实际点位环境、系统要求、所投设备的性能指标配合招标人作进一步的细化设计，细化设计与基准清单不符的，以细化设计为准并按照规定要求办理变更手续，以确保整体系统效果能符合实际需求。</w:t>
      </w:r>
    </w:p>
    <w:p>
      <w:pPr>
        <w:spacing w:line="460" w:lineRule="exact"/>
        <w:ind w:firstLine="539" w:firstLineChars="245"/>
        <w:rPr>
          <w:rFonts w:ascii="宋体" w:hAnsi="宋体"/>
          <w:sz w:val="22"/>
        </w:rPr>
      </w:pPr>
      <w:r>
        <w:rPr>
          <w:rFonts w:hint="eastAsia" w:ascii="宋体" w:hAnsi="宋体"/>
          <w:sz w:val="22"/>
        </w:rPr>
        <w:t>5.采购的设备所涉及的产品标准、规范，验收标准、规范，应符合国家有关条例及规范，如：如有新的标准应采纳新标准，如是国外相应标准应征得招标人认可。</w:t>
      </w:r>
      <w:r>
        <w:rPr>
          <w:rFonts w:hint="eastAsia" w:ascii="宋体" w:hAnsi="宋体"/>
          <w:sz w:val="22"/>
          <w:u w:val="single"/>
        </w:rPr>
        <w:t>主要设备（摄像机【含抓拍摄像机】）必须通过省厅检测，符合《浙江公安图像信息系统建设总体技术要求》和《浙江省公安视频信息共享解码插件管理规定》、《温州市安全防范视频监控联网系统信息传输交换控制技术要求》的相关要求，必须兼容温州公安现有视频监控系统及设备，能够与温州市公安局视频监控（卡口）平台无缝对接，平台对接若遇有技术性问题由中标方自行解决。</w:t>
      </w:r>
    </w:p>
    <w:p>
      <w:pPr>
        <w:spacing w:line="460" w:lineRule="exact"/>
        <w:ind w:firstLine="539" w:firstLineChars="245"/>
        <w:rPr>
          <w:rFonts w:ascii="宋体" w:hAnsi="宋体"/>
          <w:sz w:val="22"/>
          <w:u w:val="single"/>
        </w:rPr>
      </w:pPr>
      <w:r>
        <w:rPr>
          <w:rFonts w:hint="eastAsia" w:ascii="宋体" w:hAnsi="宋体"/>
          <w:sz w:val="22"/>
        </w:rPr>
        <w:t>6.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w:t>
      </w:r>
      <w:r>
        <w:rPr>
          <w:rFonts w:hint="eastAsia" w:ascii="宋体" w:hAnsi="宋体"/>
          <w:sz w:val="22"/>
          <w:u w:val="single"/>
        </w:rPr>
        <w:t>任何含糊不清的表述对评标结果的影响将是投标人的责任。</w:t>
      </w:r>
    </w:p>
    <w:p>
      <w:pPr>
        <w:spacing w:line="460" w:lineRule="exact"/>
        <w:ind w:firstLine="539" w:firstLineChars="245"/>
        <w:rPr>
          <w:rFonts w:ascii="宋体" w:hAnsi="宋体"/>
          <w:sz w:val="22"/>
        </w:rPr>
      </w:pPr>
      <w:r>
        <w:rPr>
          <w:rFonts w:hint="eastAsia" w:ascii="宋体" w:hAnsi="宋体"/>
          <w:sz w:val="22"/>
        </w:rPr>
        <w:t>7.投标人应根据招标文件所提出的技术规格、参数、数量和服务要求，综合考虑货物的适应性，选择具有最佳性能价格比的货物前来报价。投标人应以精良的货物、优良的服务和优惠的价格，充分显示自身的竞争实力。</w:t>
      </w:r>
    </w:p>
    <w:p>
      <w:pPr>
        <w:spacing w:line="460" w:lineRule="exact"/>
        <w:ind w:firstLine="539" w:firstLineChars="245"/>
        <w:rPr>
          <w:rFonts w:ascii="宋体" w:hAnsi="宋体"/>
          <w:sz w:val="22"/>
        </w:rPr>
      </w:pPr>
      <w:r>
        <w:rPr>
          <w:rFonts w:hint="eastAsia" w:ascii="宋体" w:hAnsi="宋体"/>
          <w:sz w:val="22"/>
        </w:rPr>
        <w:t>8.本采购项目包括设备的供货、系统集成、安装调试、技术服务及售后服务等。投标人必须根据自己的技术和商务优势对此项目的全部内容进行投标，不得只投其中一部分内容，谢绝联合体投标。</w:t>
      </w:r>
    </w:p>
    <w:p>
      <w:pPr>
        <w:spacing w:line="460" w:lineRule="exact"/>
        <w:ind w:firstLine="539" w:firstLineChars="245"/>
        <w:rPr>
          <w:rFonts w:ascii="宋体" w:hAnsi="宋体"/>
          <w:sz w:val="22"/>
          <w:u w:val="single"/>
        </w:rPr>
      </w:pPr>
      <w:r>
        <w:rPr>
          <w:rFonts w:hint="eastAsia" w:ascii="宋体" w:hAnsi="宋体"/>
          <w:sz w:val="22"/>
        </w:rPr>
        <w:t>9.投标人所投产品及主要部件的名称、品牌、型号、技术参数、性能、数量、单价、合价、厂商、产地、质保期等应在投标文件中明确，对采购文件的技术条款及要求应予以实质性响应，如有偏离应在偏离表中注明。对于设备列表中所列的设备指标与服务说明均为基本、关键性指标，所有指标必须为实标参数，支持随时随机抽检。</w:t>
      </w:r>
      <w:r>
        <w:rPr>
          <w:rFonts w:hint="eastAsia" w:ascii="宋体" w:hAnsi="宋体"/>
          <w:sz w:val="22"/>
          <w:u w:val="single"/>
        </w:rPr>
        <w:t>如在审核招标文件发现因目前技术限制无法满足或者严重偏离客观实际的，必须在在标书发出之日起7个工作日内向招标人提出质疑，不得以任何行业规则、惯例、成本等原因不实质响应招标文件内容或者为响应招标文件虚标设备参数，对于认为文字描述不够具体或者意思表达不是很清楚的可以向招标人咨询，对于所提供产品的实际技术指标不确定的，投标人必须先自行检测。</w:t>
      </w:r>
    </w:p>
    <w:p>
      <w:pPr>
        <w:spacing w:line="460" w:lineRule="exact"/>
        <w:ind w:firstLine="539" w:firstLineChars="245"/>
        <w:rPr>
          <w:rFonts w:ascii="宋体" w:hAnsi="宋体"/>
          <w:sz w:val="22"/>
        </w:rPr>
      </w:pPr>
      <w:r>
        <w:rPr>
          <w:rFonts w:hint="eastAsia" w:ascii="宋体" w:hAnsi="宋体"/>
          <w:sz w:val="22"/>
        </w:rPr>
        <w:t>10.</w:t>
      </w:r>
      <w:r>
        <w:rPr>
          <w:rFonts w:hint="eastAsia" w:ascii="宋体" w:hAnsi="宋体"/>
          <w:sz w:val="22"/>
          <w:u w:val="single"/>
        </w:rPr>
        <w:t>主要设备厂商（如：摄像机、存储）在温州必须有固定的服务点，并提供足够的备品、备件，投标人不能因备品、备件的提供问题影响维修时效；在维修或使用过程中发现某款产品的验收后第一年故障率不得高于10%，故障率每年递增不得超过2%，服务期内实际性能指标不得低于标称指标的95%，否则招标人有权要求投标人全部更换该设备，所有费用由投标人承担。</w:t>
      </w:r>
    </w:p>
    <w:p>
      <w:pPr>
        <w:spacing w:line="460" w:lineRule="exact"/>
        <w:ind w:firstLine="539" w:firstLineChars="245"/>
        <w:rPr>
          <w:rFonts w:ascii="宋体" w:hAnsi="宋体"/>
          <w:sz w:val="22"/>
        </w:rPr>
      </w:pPr>
      <w:r>
        <w:rPr>
          <w:rFonts w:hint="eastAsia" w:ascii="宋体" w:hAnsi="宋体"/>
          <w:sz w:val="22"/>
        </w:rPr>
        <w:t>11.</w:t>
      </w:r>
      <w:r>
        <w:rPr>
          <w:rFonts w:hint="eastAsia" w:ascii="宋体" w:hAnsi="宋体"/>
          <w:sz w:val="22"/>
          <w:u w:val="single"/>
        </w:rPr>
        <w:t>如招标文件中遗漏了必须具备的设备、配件或服务，请投标人在投标文件中指出，并提出解决方案供招标人、采购机构参考；中标人有义务保证招标人系统的完整性，如项目实施过程中因缺少设备、配件或服务导致招标人系统无法正常运行，中标人须承诺免费提供。</w:t>
      </w:r>
    </w:p>
    <w:p>
      <w:pPr>
        <w:spacing w:line="460" w:lineRule="exact"/>
        <w:ind w:firstLine="539" w:firstLineChars="245"/>
        <w:rPr>
          <w:rFonts w:ascii="宋体" w:hAnsi="宋体"/>
          <w:sz w:val="22"/>
          <w:u w:val="single"/>
        </w:rPr>
      </w:pPr>
      <w:r>
        <w:rPr>
          <w:rFonts w:hint="eastAsia" w:ascii="宋体" w:hAnsi="宋体"/>
          <w:sz w:val="22"/>
          <w:u w:val="single"/>
        </w:rPr>
        <w:t>12.本工程为交钥匙工程，中标人不得以其它理由增加费用。项目实施过程中可能涉及的所有财务成本已经包含投标总报价之中。中标人自行负责道路开挖审批手续，招标人仅提供道路开挖审批证明材料，由此产生的费用已经包含投标总报价之中。</w:t>
      </w:r>
    </w:p>
    <w:p>
      <w:pPr>
        <w:spacing w:line="460" w:lineRule="exact"/>
        <w:ind w:firstLine="539" w:firstLineChars="245"/>
        <w:rPr>
          <w:rFonts w:ascii="宋体" w:hAnsi="宋体"/>
          <w:sz w:val="22"/>
          <w:u w:val="single"/>
        </w:rPr>
      </w:pPr>
      <w:r>
        <w:rPr>
          <w:rFonts w:hint="eastAsia" w:ascii="宋体" w:hAnsi="宋体"/>
          <w:sz w:val="22"/>
          <w:u w:val="single"/>
        </w:rPr>
        <w:t>13.此项目整体（包括所有设备及服务）保修5年，中标人在保修期间应严格按照相关标准及双方的约定做好维保服务工作，如服务未能达到考核要求或不能满足的运维实战需求，招标人有权要求中标人更换维保人员并接受由招标人选择维保人员。运维考核细则在招标的原则框架下由双方具体协商细化。</w:t>
      </w:r>
    </w:p>
    <w:p>
      <w:pPr>
        <w:spacing w:line="460" w:lineRule="exact"/>
        <w:ind w:firstLine="539" w:firstLineChars="245"/>
        <w:rPr>
          <w:rFonts w:ascii="宋体" w:hAnsi="宋体"/>
          <w:sz w:val="22"/>
          <w:u w:val="single"/>
        </w:rPr>
      </w:pPr>
      <w:r>
        <w:rPr>
          <w:rFonts w:hint="eastAsia" w:ascii="宋体" w:hAnsi="宋体"/>
          <w:sz w:val="22"/>
          <w:u w:val="single"/>
        </w:rPr>
        <w:t>14.要求投标人提供应急预案，以支撑招标人在应急情况下的增加点位、移机、应急解决故障等。</w:t>
      </w:r>
    </w:p>
    <w:p>
      <w:pPr>
        <w:spacing w:line="460" w:lineRule="atLeast"/>
        <w:rPr>
          <w:rFonts w:ascii="宋体" w:hAnsi="宋体"/>
          <w:sz w:val="22"/>
        </w:rPr>
      </w:pPr>
      <w:r>
        <w:rPr>
          <w:rFonts w:hint="eastAsia" w:ascii="宋体" w:hAnsi="宋体"/>
          <w:sz w:val="22"/>
        </w:rPr>
        <w:t xml:space="preserve">二、采购内容及要求  </w:t>
      </w:r>
    </w:p>
    <w:p>
      <w:pPr>
        <w:spacing w:line="440" w:lineRule="exact"/>
        <w:ind w:left="417" w:leftChars="199"/>
        <w:rPr>
          <w:rFonts w:ascii="宋体" w:hAnsi="宋体"/>
          <w:sz w:val="22"/>
        </w:rPr>
      </w:pPr>
      <w:r>
        <w:rPr>
          <w:rFonts w:hint="eastAsia" w:ascii="宋体" w:hAnsi="宋体"/>
          <w:sz w:val="22"/>
        </w:rPr>
        <w:t>1、项目背景</w:t>
      </w:r>
    </w:p>
    <w:p>
      <w:pPr>
        <w:spacing w:line="440" w:lineRule="exact"/>
        <w:ind w:firstLine="440" w:firstLineChars="200"/>
        <w:rPr>
          <w:rFonts w:hint="eastAsia" w:ascii="宋体" w:hAnsi="宋体"/>
          <w:sz w:val="22"/>
        </w:rPr>
      </w:pPr>
      <w:r>
        <w:rPr>
          <w:rFonts w:hint="eastAsia" w:ascii="宋体" w:hAnsi="宋体"/>
          <w:sz w:val="22"/>
        </w:rPr>
        <w:t>2003年以来，温州市龙湾区治安动态网络视频监控系统的建设和应用取得了较大的成效，但是，监控点的面不够广、点不够多，社会监控资源整合度不高，监控盲区较大，监控录像清晰度不够高，导致目前已有的监控系统远远不能满足公安实战需求。同时，随着经济建设和各项社会事业均快速发展，外地人员流动人口不断增多，社会治安复杂。</w:t>
      </w:r>
    </w:p>
    <w:p>
      <w:pPr>
        <w:spacing w:line="440" w:lineRule="exact"/>
        <w:ind w:firstLine="440" w:firstLineChars="200"/>
        <w:rPr>
          <w:rFonts w:ascii="宋体" w:hAnsi="宋体"/>
          <w:sz w:val="22"/>
        </w:rPr>
      </w:pPr>
      <w:r>
        <w:rPr>
          <w:rFonts w:hint="eastAsia" w:ascii="宋体" w:hAnsi="宋体"/>
          <w:sz w:val="22"/>
        </w:rPr>
        <w:t>针对公安行业的网络需求，本系统应设计为一个开放式、可集成的监控系统，采用国际先进技术，即可独立工作，又可与其它系统实现集成联动，并实现信息交换、信息共享，以实现公安局整个治安系统的安全、高效、智能、节能。系统的具体设计应以“实用性、可靠性、先进性、可扩展性”为指导思想。</w:t>
      </w:r>
    </w:p>
    <w:p>
      <w:pPr>
        <w:spacing w:line="440" w:lineRule="exact"/>
        <w:ind w:left="417" w:leftChars="199"/>
        <w:rPr>
          <w:rFonts w:ascii="宋体" w:hAnsi="宋体"/>
          <w:sz w:val="22"/>
        </w:rPr>
      </w:pPr>
      <w:bookmarkStart w:id="11" w:name="_Toc242937910"/>
      <w:bookmarkEnd w:id="11"/>
      <w:r>
        <w:rPr>
          <w:rFonts w:hint="eastAsia" w:ascii="宋体" w:hAnsi="宋体"/>
          <w:sz w:val="22"/>
        </w:rPr>
        <w:t>2、项目需求说明</w:t>
      </w:r>
    </w:p>
    <w:p>
      <w:pPr>
        <w:spacing w:line="440" w:lineRule="exact"/>
        <w:ind w:left="25" w:leftChars="12" w:firstLine="431" w:firstLineChars="196"/>
        <w:rPr>
          <w:rFonts w:ascii="宋体" w:hAnsi="宋体"/>
          <w:sz w:val="22"/>
        </w:rPr>
      </w:pPr>
      <w:r>
        <w:rPr>
          <w:rFonts w:hint="eastAsia" w:ascii="宋体" w:hAnsi="宋体"/>
          <w:sz w:val="22"/>
        </w:rPr>
        <w:t>2.1.1、本项目主要在温州市龙湾区建设网络视频监控系统，可以直观地了解和掌握监控区域的治安动态情况，弥补人防不足，有效打击、预防街面犯罪，方便事后调查取证和专案侦察，最大限度压缩犯罪空间，增强威慑力，提高社会治安管理水平。</w:t>
      </w:r>
    </w:p>
    <w:p>
      <w:pPr>
        <w:spacing w:line="440" w:lineRule="exact"/>
        <w:ind w:firstLine="440" w:firstLineChars="200"/>
        <w:rPr>
          <w:rFonts w:ascii="宋体" w:hAnsi="宋体"/>
          <w:sz w:val="22"/>
          <w:u w:val="single"/>
        </w:rPr>
      </w:pPr>
      <w:r>
        <w:rPr>
          <w:rFonts w:hint="eastAsia" w:ascii="宋体" w:hAnsi="宋体"/>
          <w:sz w:val="22"/>
        </w:rPr>
        <w:t>2.1.2、</w:t>
      </w:r>
      <w:r>
        <w:rPr>
          <w:rFonts w:hint="eastAsia" w:ascii="宋体" w:hAnsi="宋体"/>
          <w:sz w:val="22"/>
          <w:u w:val="single"/>
        </w:rPr>
        <w:t>为保证工程建设及售后服务质量，要求投标方总体报价不得明显低于成本价。</w:t>
      </w:r>
    </w:p>
    <w:p>
      <w:pPr>
        <w:spacing w:line="440" w:lineRule="exact"/>
        <w:ind w:firstLine="440" w:firstLineChars="200"/>
        <w:rPr>
          <w:rFonts w:ascii="宋体" w:hAnsi="宋体"/>
          <w:sz w:val="22"/>
        </w:rPr>
      </w:pPr>
      <w:bookmarkStart w:id="12" w:name="_Toc242937911"/>
      <w:bookmarkEnd w:id="12"/>
      <w:r>
        <w:rPr>
          <w:rFonts w:hint="eastAsia" w:ascii="宋体" w:hAnsi="宋体"/>
          <w:sz w:val="22"/>
        </w:rPr>
        <w:t>2.2、</w:t>
      </w:r>
      <w:r>
        <w:rPr>
          <w:rFonts w:hint="eastAsia" w:ascii="宋体" w:hAnsi="宋体" w:cs="Arial"/>
          <w:sz w:val="22"/>
        </w:rPr>
        <w:t>▲</w:t>
      </w:r>
      <w:r>
        <w:rPr>
          <w:rFonts w:hint="eastAsia" w:ascii="宋体" w:hAnsi="宋体"/>
          <w:sz w:val="22"/>
        </w:rPr>
        <w:t>系统建设基本要求</w:t>
      </w:r>
    </w:p>
    <w:p>
      <w:pPr>
        <w:autoSpaceDE w:val="0"/>
        <w:autoSpaceDN w:val="0"/>
        <w:adjustRightInd w:val="0"/>
        <w:snapToGrid w:val="0"/>
        <w:spacing w:line="460" w:lineRule="atLeast"/>
        <w:ind w:firstLine="440" w:firstLineChars="200"/>
        <w:textAlignment w:val="bottom"/>
        <w:rPr>
          <w:rFonts w:ascii="宋体" w:hAnsi="宋体"/>
          <w:sz w:val="22"/>
        </w:rPr>
      </w:pPr>
      <w:r>
        <w:rPr>
          <w:rFonts w:hint="eastAsia" w:ascii="宋体" w:hAnsi="宋体"/>
          <w:sz w:val="22"/>
        </w:rPr>
        <w:t>2.2.1、高清网络视频监控的数据通过光纤传输到中心机房网存储系统进行集中存储， 25fps/4Mbps码流/30天*24小时，支持断网续传功能。不同监控点可选择不同时间长度、不同录像方式进行录像，且可动态更改。</w:t>
      </w:r>
    </w:p>
    <w:p>
      <w:pPr>
        <w:autoSpaceDE w:val="0"/>
        <w:autoSpaceDN w:val="0"/>
        <w:adjustRightInd w:val="0"/>
        <w:snapToGrid w:val="0"/>
        <w:spacing w:line="460" w:lineRule="atLeast"/>
        <w:ind w:firstLine="440" w:firstLineChars="200"/>
        <w:textAlignment w:val="bottom"/>
        <w:rPr>
          <w:rFonts w:ascii="宋体" w:hAnsi="宋体"/>
          <w:sz w:val="22"/>
        </w:rPr>
      </w:pPr>
      <w:r>
        <w:rPr>
          <w:rFonts w:hint="eastAsia" w:ascii="宋体" w:hAnsi="宋体"/>
          <w:sz w:val="22"/>
        </w:rPr>
        <w:t>2.2.2、为了保证存储系统的可靠运行，前端设备输出的数字视频数据采用直接写入存储阵列方式。视频存储功能与监控平台无关，即在视频监控平台出现故障时，不会影响系统的存储功能。</w:t>
      </w:r>
    </w:p>
    <w:p>
      <w:pPr>
        <w:autoSpaceDE w:val="0"/>
        <w:autoSpaceDN w:val="0"/>
        <w:adjustRightInd w:val="0"/>
        <w:snapToGrid w:val="0"/>
        <w:spacing w:line="460" w:lineRule="atLeast"/>
        <w:ind w:firstLine="440" w:firstLineChars="200"/>
        <w:textAlignment w:val="bottom"/>
        <w:rPr>
          <w:rFonts w:ascii="宋体" w:hAnsi="宋体"/>
          <w:b/>
          <w:bCs/>
          <w:sz w:val="22"/>
        </w:rPr>
      </w:pPr>
      <w:r>
        <w:rPr>
          <w:rFonts w:hint="eastAsia" w:ascii="宋体" w:hAnsi="宋体"/>
          <w:b/>
          <w:bCs/>
          <w:sz w:val="22"/>
        </w:rPr>
        <w:t>3、设备清单及要求</w:t>
      </w:r>
    </w:p>
    <w:p>
      <w:pPr>
        <w:spacing w:line="440" w:lineRule="exact"/>
        <w:ind w:left="27" w:leftChars="13" w:firstLine="440" w:firstLineChars="200"/>
        <w:rPr>
          <w:rFonts w:ascii="宋体" w:hAnsi="宋体"/>
          <w:b/>
          <w:bCs/>
          <w:sz w:val="22"/>
          <w:u w:val="single"/>
        </w:rPr>
      </w:pPr>
      <w:r>
        <w:rPr>
          <w:rFonts w:hint="eastAsia" w:ascii="宋体" w:hAnsi="宋体"/>
          <w:b/>
          <w:bCs/>
          <w:sz w:val="22"/>
        </w:rPr>
        <w:t>1）</w:t>
      </w:r>
      <w:r>
        <w:rPr>
          <w:rFonts w:hint="eastAsia" w:ascii="宋体" w:hAnsi="宋体" w:cs="Arial"/>
          <w:b/>
          <w:bCs/>
          <w:sz w:val="22"/>
          <w:u w:val="single"/>
        </w:rPr>
        <w:t>▲</w:t>
      </w:r>
      <w:r>
        <w:rPr>
          <w:rFonts w:hint="eastAsia" w:ascii="宋体" w:hAnsi="宋体"/>
          <w:b/>
          <w:bCs/>
          <w:sz w:val="22"/>
          <w:u w:val="single"/>
        </w:rPr>
        <w:t>本项目要求新建、加装的250个标准监控点位及新建、加装30个简易监控等：（具体点位采购方根据实际工作需求勘点后确认，中标方需无条件接受，中标方安装点位附近10米已存在监控点位的一律视为加装点位，按清单内标准人脸设备加装或简易人脸设备加装结算）。</w:t>
      </w:r>
    </w:p>
    <w:p>
      <w:pPr>
        <w:spacing w:line="460" w:lineRule="exact"/>
        <w:ind w:firstLine="431" w:firstLineChars="196"/>
        <w:rPr>
          <w:rFonts w:hint="eastAsia" w:ascii="宋体" w:hAnsi="宋体" w:cs="Arial"/>
          <w:b/>
          <w:bCs/>
          <w:sz w:val="22"/>
          <w:u w:val="single"/>
        </w:rPr>
      </w:pPr>
      <w:r>
        <w:rPr>
          <w:rFonts w:hint="eastAsia" w:ascii="宋体" w:hAnsi="宋体"/>
          <w:b/>
          <w:bCs/>
          <w:sz w:val="22"/>
        </w:rPr>
        <w:t>2）</w:t>
      </w:r>
      <w:r>
        <w:rPr>
          <w:rFonts w:hint="eastAsia" w:ascii="宋体" w:hAnsi="宋体" w:cs="Arial"/>
          <w:b/>
          <w:bCs/>
          <w:sz w:val="22"/>
          <w:u w:val="single"/>
        </w:rPr>
        <w:t>▲</w:t>
      </w:r>
      <w:r>
        <w:rPr>
          <w:rFonts w:hint="eastAsia" w:ascii="宋体" w:hAnsi="宋体"/>
          <w:b/>
          <w:bCs/>
          <w:sz w:val="22"/>
          <w:u w:val="single"/>
        </w:rPr>
        <w:t>新建、加装的250个标准监控点位及新建、加装30个简易监控等等</w:t>
      </w:r>
      <w:r>
        <w:rPr>
          <w:rFonts w:hint="eastAsia" w:ascii="宋体" w:hAnsi="宋体" w:cs="Arial"/>
          <w:b/>
          <w:bCs/>
          <w:sz w:val="22"/>
          <w:u w:val="single"/>
        </w:rPr>
        <w:t>主要设备技术要求</w:t>
      </w:r>
    </w:p>
    <w:p>
      <w:pPr>
        <w:pStyle w:val="2"/>
        <w:rPr>
          <w:rFonts w:hint="eastAsia"/>
        </w:rPr>
      </w:pPr>
    </w:p>
    <w:tbl>
      <w:tblPr>
        <w:tblStyle w:val="24"/>
        <w:tblW w:w="9006" w:type="dxa"/>
        <w:tblInd w:w="103" w:type="dxa"/>
        <w:tblLayout w:type="autofit"/>
        <w:tblCellMar>
          <w:top w:w="0" w:type="dxa"/>
          <w:left w:w="108" w:type="dxa"/>
          <w:bottom w:w="0" w:type="dxa"/>
          <w:right w:w="108" w:type="dxa"/>
        </w:tblCellMar>
      </w:tblPr>
      <w:tblGrid>
        <w:gridCol w:w="580"/>
        <w:gridCol w:w="980"/>
        <w:gridCol w:w="6040"/>
        <w:gridCol w:w="766"/>
        <w:gridCol w:w="640"/>
      </w:tblGrid>
      <w:tr>
        <w:tblPrEx>
          <w:tblCellMar>
            <w:top w:w="0" w:type="dxa"/>
            <w:left w:w="108" w:type="dxa"/>
            <w:bottom w:w="0" w:type="dxa"/>
            <w:right w:w="108" w:type="dxa"/>
          </w:tblCellMar>
        </w:tblPrEx>
        <w:trPr>
          <w:wBefore w:w="0" w:type="dxa"/>
          <w:wAfter w:w="0" w:type="dxa"/>
          <w:trHeight w:val="270"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rPr>
            </w:pPr>
            <w:r>
              <w:rPr>
                <w:rFonts w:hint="eastAsia" w:ascii="宋体" w:hAnsi="宋体"/>
                <w:color w:val="000000"/>
                <w:kern w:val="0"/>
                <w:sz w:val="22"/>
              </w:rPr>
              <w:t>序号</w:t>
            </w:r>
          </w:p>
        </w:tc>
        <w:tc>
          <w:tcPr>
            <w:tcW w:w="98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2"/>
              </w:rPr>
            </w:pPr>
            <w:r>
              <w:rPr>
                <w:rFonts w:hint="eastAsia" w:ascii="宋体" w:hAnsi="宋体"/>
                <w:color w:val="000000"/>
                <w:kern w:val="0"/>
                <w:sz w:val="22"/>
              </w:rPr>
              <w:t>名称</w:t>
            </w:r>
          </w:p>
        </w:tc>
        <w:tc>
          <w:tcPr>
            <w:tcW w:w="604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2"/>
              </w:rPr>
            </w:pPr>
            <w:r>
              <w:rPr>
                <w:rFonts w:hint="eastAsia" w:ascii="宋体" w:hAnsi="宋体"/>
                <w:color w:val="000000"/>
                <w:kern w:val="0"/>
                <w:sz w:val="22"/>
              </w:rPr>
              <w:t>参数</w:t>
            </w:r>
          </w:p>
        </w:tc>
        <w:tc>
          <w:tcPr>
            <w:tcW w:w="76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2"/>
              </w:rPr>
            </w:pPr>
            <w:r>
              <w:rPr>
                <w:rFonts w:hint="eastAsia" w:ascii="宋体" w:hAnsi="宋体"/>
                <w:color w:val="000000"/>
                <w:kern w:val="0"/>
                <w:sz w:val="22"/>
              </w:rPr>
              <w:t>数量</w:t>
            </w:r>
          </w:p>
        </w:tc>
        <w:tc>
          <w:tcPr>
            <w:tcW w:w="64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2"/>
              </w:rPr>
            </w:pPr>
            <w:r>
              <w:rPr>
                <w:rFonts w:hint="eastAsia" w:ascii="宋体" w:hAnsi="宋体"/>
                <w:color w:val="000000"/>
                <w:kern w:val="0"/>
                <w:sz w:val="22"/>
              </w:rPr>
              <w:t>单位</w:t>
            </w:r>
          </w:p>
        </w:tc>
      </w:tr>
      <w:tr>
        <w:tblPrEx>
          <w:tblCellMar>
            <w:top w:w="0" w:type="dxa"/>
            <w:left w:w="108" w:type="dxa"/>
            <w:bottom w:w="0" w:type="dxa"/>
            <w:right w:w="108" w:type="dxa"/>
          </w:tblCellMar>
        </w:tblPrEx>
        <w:trPr>
          <w:wBefore w:w="0" w:type="dxa"/>
          <w:wAfter w:w="0" w:type="dxa"/>
          <w:trHeight w:val="2747"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图像抓拍摄像机（枪机）</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1.图像抓拍摄像机（含镜头、支架、护罩）（核心设备） 800万像素全结构化智能枪机，含可变焦镜头、安装附件等配件，焦距范围：11-40mm，具体可根据实际场景选择，靶面尺寸≥1/1.8"，内置GPU芯片。</w:t>
            </w:r>
            <w:r>
              <w:rPr>
                <w:rFonts w:hint="eastAsia" w:ascii="宋体" w:hAnsi="宋体"/>
                <w:kern w:val="0"/>
                <w:sz w:val="22"/>
              </w:rPr>
              <w:br w:type="textWrapping"/>
            </w:r>
            <w:r>
              <w:rPr>
                <w:rFonts w:hint="eastAsia" w:ascii="宋体" w:hAnsi="宋体"/>
                <w:kern w:val="0"/>
                <w:sz w:val="22"/>
              </w:rPr>
              <w:t>2.最低照度彩色：0.0002 lx，黑白:0.0001 lx，最大亮度鉴别等级（灰度等级）不小于11级；宽动态≥120dB；信噪比不小于58dB</w:t>
            </w:r>
            <w:r>
              <w:rPr>
                <w:rFonts w:hint="eastAsia" w:ascii="宋体" w:hAnsi="宋体"/>
                <w:kern w:val="0"/>
                <w:sz w:val="22"/>
              </w:rPr>
              <w:br w:type="textWrapping"/>
            </w:r>
            <w:r>
              <w:rPr>
                <w:rFonts w:hint="eastAsia" w:ascii="宋体" w:hAnsi="宋体"/>
                <w:kern w:val="0"/>
                <w:sz w:val="22"/>
              </w:rPr>
              <w:t>3.支持三码流以上技术；支持H.264、H.265、MJPEG视频编码协议，支持网络自适应，在丢包率为20%的网络环境下，可正常显示监视画面，支持SNMP网管协议远程监测、管理，支持NTP校时，支持远程升级；</w:t>
            </w:r>
            <w:r>
              <w:rPr>
                <w:rFonts w:hint="eastAsia" w:ascii="宋体" w:hAnsi="宋体"/>
                <w:kern w:val="0"/>
                <w:sz w:val="22"/>
              </w:rPr>
              <w:br w:type="textWrapping"/>
            </w:r>
            <w:r>
              <w:rPr>
                <w:rFonts w:hint="eastAsia" w:ascii="宋体" w:hAnsi="宋体"/>
                <w:kern w:val="0"/>
                <w:sz w:val="22"/>
              </w:rPr>
              <w:t>4.自带补光灯，可定时开启，白光补光距离≥于50m；</w:t>
            </w:r>
            <w:r>
              <w:rPr>
                <w:rFonts w:hint="eastAsia" w:ascii="宋体" w:hAnsi="宋体"/>
                <w:kern w:val="0"/>
                <w:sz w:val="22"/>
              </w:rPr>
              <w:br w:type="textWrapping"/>
            </w:r>
            <w:r>
              <w:rPr>
                <w:rFonts w:hint="eastAsia" w:ascii="宋体" w:hAnsi="宋体"/>
                <w:kern w:val="0"/>
                <w:sz w:val="22"/>
              </w:rPr>
              <w:t>5.支持混合抓拍模式，可同时对行人、非机动车、机动车进行检测、跟踪及抓拍。</w:t>
            </w:r>
            <w:r>
              <w:rPr>
                <w:rFonts w:hint="eastAsia" w:ascii="宋体" w:hAnsi="宋体"/>
                <w:kern w:val="0"/>
                <w:sz w:val="22"/>
              </w:rPr>
              <w:br w:type="textWrapping"/>
            </w:r>
            <w:r>
              <w:rPr>
                <w:rFonts w:hint="eastAsia" w:ascii="宋体" w:hAnsi="宋体"/>
                <w:kern w:val="0"/>
                <w:sz w:val="22"/>
              </w:rPr>
              <w:t>在混合抓拍模式下，行人、非机动车和机动车目标捕获率不低于99%。</w:t>
            </w:r>
            <w:r>
              <w:rPr>
                <w:rFonts w:hint="eastAsia" w:ascii="宋体" w:hAnsi="宋体"/>
                <w:kern w:val="0"/>
                <w:sz w:val="22"/>
              </w:rPr>
              <w:br w:type="textWrapping"/>
            </w:r>
            <w:r>
              <w:rPr>
                <w:rFonts w:hint="eastAsia" w:ascii="宋体" w:hAnsi="宋体"/>
                <w:kern w:val="0"/>
                <w:sz w:val="22"/>
              </w:rPr>
              <w:t>在混合抓拍模式下，支持行人、非机动车和机动车的分类计数。</w:t>
            </w:r>
            <w:r>
              <w:rPr>
                <w:rFonts w:hint="eastAsia" w:ascii="宋体" w:hAnsi="宋体"/>
                <w:kern w:val="0"/>
                <w:sz w:val="22"/>
              </w:rPr>
              <w:br w:type="textWrapping"/>
            </w:r>
            <w:r>
              <w:rPr>
                <w:rFonts w:hint="eastAsia" w:ascii="宋体" w:hAnsi="宋体"/>
                <w:kern w:val="0"/>
                <w:sz w:val="22"/>
              </w:rPr>
              <w:t>在混合抓拍模式下，支持将人脸与人体、车牌与车辆进行关联。</w:t>
            </w:r>
            <w:r>
              <w:rPr>
                <w:rFonts w:hint="eastAsia" w:ascii="宋体" w:hAnsi="宋体"/>
                <w:kern w:val="0"/>
                <w:sz w:val="22"/>
              </w:rPr>
              <w:br w:type="textWrapping"/>
            </w:r>
            <w:r>
              <w:rPr>
                <w:rFonts w:hint="eastAsia" w:ascii="宋体" w:hAnsi="宋体"/>
                <w:kern w:val="0"/>
                <w:sz w:val="22"/>
              </w:rPr>
              <w:t>支持行人、非机动车属性提取。</w:t>
            </w:r>
            <w:r>
              <w:rPr>
                <w:rFonts w:hint="eastAsia" w:ascii="宋体" w:hAnsi="宋体"/>
                <w:kern w:val="0"/>
                <w:sz w:val="22"/>
              </w:rPr>
              <w:br w:type="textWrapping"/>
            </w:r>
            <w:r>
              <w:rPr>
                <w:rFonts w:hint="eastAsia" w:ascii="宋体" w:hAnsi="宋体"/>
                <w:kern w:val="0"/>
                <w:sz w:val="22"/>
              </w:rPr>
              <w:t>支持检出两眼瞳距20像素点以上的人脸图片。</w:t>
            </w:r>
            <w:r>
              <w:rPr>
                <w:rFonts w:hint="eastAsia" w:ascii="宋体" w:hAnsi="宋体"/>
                <w:kern w:val="0"/>
                <w:sz w:val="22"/>
              </w:rPr>
              <w:br w:type="textWrapping"/>
            </w:r>
            <w:r>
              <w:rPr>
                <w:rFonts w:hint="eastAsia" w:ascii="宋体" w:hAnsi="宋体"/>
                <w:kern w:val="0"/>
                <w:sz w:val="22"/>
              </w:rPr>
              <w:t>支持单场景同时检出不少于40张人脸图片，并支持面部跟踪。</w:t>
            </w:r>
            <w:r>
              <w:rPr>
                <w:rFonts w:hint="eastAsia" w:ascii="宋体" w:hAnsi="宋体"/>
                <w:kern w:val="0"/>
                <w:sz w:val="22"/>
              </w:rPr>
              <w:br w:type="textWrapping"/>
            </w:r>
            <w:r>
              <w:rPr>
                <w:rFonts w:hint="eastAsia" w:ascii="宋体" w:hAnsi="宋体"/>
                <w:kern w:val="0"/>
                <w:sz w:val="22"/>
              </w:rPr>
              <w:t>人脸检出率不小于99%。</w:t>
            </w:r>
            <w:r>
              <w:rPr>
                <w:rFonts w:hint="eastAsia" w:ascii="宋体" w:hAnsi="宋体"/>
                <w:kern w:val="0"/>
                <w:sz w:val="22"/>
              </w:rPr>
              <w:br w:type="textWrapping"/>
            </w:r>
            <w:r>
              <w:rPr>
                <w:rFonts w:hint="eastAsia" w:ascii="宋体" w:hAnsi="宋体"/>
                <w:kern w:val="0"/>
                <w:sz w:val="22"/>
              </w:rPr>
              <w:t>支持人脸区域自动曝光功能，可根据外部不同场景和光照变化自动调节人脸区域曝光参数。</w:t>
            </w:r>
            <w:r>
              <w:rPr>
                <w:rFonts w:hint="eastAsia" w:ascii="宋体" w:hAnsi="宋体"/>
                <w:kern w:val="0"/>
                <w:sz w:val="22"/>
              </w:rPr>
              <w:br w:type="textWrapping"/>
            </w:r>
            <w:r>
              <w:rPr>
                <w:rFonts w:hint="eastAsia" w:ascii="宋体" w:hAnsi="宋体"/>
                <w:kern w:val="0"/>
                <w:sz w:val="22"/>
              </w:rPr>
              <w:t>支持前端人脸比对，支持最多3个人脸库的管理，支持最多9万张人脸的导入。</w:t>
            </w:r>
            <w:r>
              <w:rPr>
                <w:rFonts w:hint="eastAsia" w:ascii="宋体" w:hAnsi="宋体"/>
                <w:kern w:val="0"/>
                <w:sz w:val="22"/>
              </w:rPr>
              <w:br w:type="textWrapping"/>
            </w:r>
            <w:r>
              <w:rPr>
                <w:rFonts w:hint="eastAsia" w:ascii="宋体" w:hAnsi="宋体"/>
                <w:kern w:val="0"/>
                <w:sz w:val="22"/>
              </w:rPr>
              <w:t>可识别不低于170种车辆品牌。</w:t>
            </w:r>
            <w:r>
              <w:rPr>
                <w:rFonts w:hint="eastAsia" w:ascii="宋体" w:hAnsi="宋体"/>
                <w:kern w:val="0"/>
                <w:sz w:val="22"/>
              </w:rPr>
              <w:br w:type="textWrapping"/>
            </w:r>
            <w:r>
              <w:rPr>
                <w:rFonts w:hint="eastAsia" w:ascii="宋体" w:hAnsi="宋体"/>
                <w:kern w:val="0"/>
                <w:sz w:val="22"/>
              </w:rPr>
              <w:t>车辆品牌识别白天准确率大于99%，晚上准确率大于97%。</w:t>
            </w:r>
            <w:r>
              <w:rPr>
                <w:rFonts w:hint="eastAsia" w:ascii="宋体" w:hAnsi="宋体"/>
                <w:kern w:val="0"/>
                <w:sz w:val="22"/>
              </w:rPr>
              <w:br w:type="textWrapping"/>
            </w:r>
            <w:r>
              <w:rPr>
                <w:rFonts w:hint="eastAsia" w:ascii="宋体" w:hAnsi="宋体"/>
                <w:kern w:val="0"/>
                <w:sz w:val="22"/>
              </w:rPr>
              <w:t>可识别不低于3600种车辆子品牌。</w:t>
            </w:r>
            <w:r>
              <w:rPr>
                <w:rFonts w:hint="eastAsia" w:ascii="宋体" w:hAnsi="宋体"/>
                <w:kern w:val="0"/>
                <w:sz w:val="22"/>
              </w:rPr>
              <w:br w:type="textWrapping"/>
            </w:r>
            <w:r>
              <w:rPr>
                <w:rFonts w:hint="eastAsia" w:ascii="宋体" w:hAnsi="宋体"/>
                <w:kern w:val="0"/>
                <w:sz w:val="22"/>
              </w:rPr>
              <w:t>车辆子品牌识别白天准确率大于97%，晚上准确率大于93%。</w:t>
            </w:r>
            <w:r>
              <w:rPr>
                <w:rFonts w:hint="eastAsia" w:ascii="宋体" w:hAnsi="宋体"/>
                <w:kern w:val="0"/>
                <w:sz w:val="22"/>
              </w:rPr>
              <w:br w:type="textWrapping"/>
            </w:r>
            <w:r>
              <w:rPr>
                <w:rFonts w:hint="eastAsia" w:ascii="宋体" w:hAnsi="宋体"/>
                <w:kern w:val="0"/>
                <w:sz w:val="22"/>
              </w:rPr>
              <w:t>可识别11种车辆颜色。</w:t>
            </w:r>
            <w:r>
              <w:rPr>
                <w:rFonts w:hint="eastAsia" w:ascii="宋体" w:hAnsi="宋体"/>
                <w:kern w:val="0"/>
                <w:sz w:val="22"/>
              </w:rPr>
              <w:br w:type="textWrapping"/>
            </w:r>
            <w:r>
              <w:rPr>
                <w:rFonts w:hint="eastAsia" w:ascii="宋体" w:hAnsi="宋体"/>
                <w:kern w:val="0"/>
                <w:sz w:val="22"/>
              </w:rPr>
              <w:t>车辆车身颜色识别准确率大于95%。</w:t>
            </w:r>
            <w:r>
              <w:rPr>
                <w:rFonts w:hint="eastAsia" w:ascii="宋体" w:hAnsi="宋体"/>
                <w:kern w:val="0"/>
                <w:sz w:val="22"/>
              </w:rPr>
              <w:br w:type="textWrapping"/>
            </w:r>
            <w:r>
              <w:rPr>
                <w:rFonts w:hint="eastAsia" w:ascii="宋体" w:hAnsi="宋体"/>
                <w:kern w:val="0"/>
                <w:sz w:val="22"/>
              </w:rPr>
              <w:t>可识别10种车型，包括轿车、小型轿车、微型轿车、客车、中型客车、面包车、大货车、小货车、SUV-MPV、皮卡。</w:t>
            </w:r>
            <w:r>
              <w:rPr>
                <w:rFonts w:hint="eastAsia" w:ascii="宋体" w:hAnsi="宋体"/>
                <w:kern w:val="0"/>
                <w:sz w:val="22"/>
              </w:rPr>
              <w:br w:type="textWrapping"/>
            </w:r>
            <w:r>
              <w:rPr>
                <w:rFonts w:hint="eastAsia" w:ascii="宋体" w:hAnsi="宋体"/>
                <w:kern w:val="0"/>
                <w:sz w:val="22"/>
              </w:rPr>
              <w:t>车型识别白天准确率大于99%，晚上准确率大于95%。</w:t>
            </w:r>
            <w:r>
              <w:rPr>
                <w:rFonts w:hint="eastAsia" w:ascii="宋体" w:hAnsi="宋体"/>
                <w:kern w:val="0"/>
                <w:sz w:val="22"/>
              </w:rPr>
              <w:br w:type="textWrapping"/>
            </w:r>
            <w:r>
              <w:rPr>
                <w:rFonts w:hint="eastAsia" w:ascii="宋体" w:hAnsi="宋体"/>
                <w:kern w:val="0"/>
                <w:sz w:val="22"/>
              </w:rPr>
              <w:t>支持捕获、识别新能源汽车专用号牌。</w:t>
            </w:r>
            <w:r>
              <w:rPr>
                <w:rFonts w:hint="eastAsia" w:ascii="宋体" w:hAnsi="宋体"/>
                <w:kern w:val="0"/>
                <w:sz w:val="22"/>
              </w:rPr>
              <w:br w:type="textWrapping"/>
            </w:r>
            <w:r>
              <w:rPr>
                <w:rFonts w:hint="eastAsia" w:ascii="宋体" w:hAnsi="宋体"/>
                <w:kern w:val="0"/>
                <w:sz w:val="22"/>
              </w:rPr>
              <w:t>6.支持本地SD卡存储，最大支持256G，并支持存储卡损坏程度显示；</w:t>
            </w:r>
            <w:r>
              <w:rPr>
                <w:rFonts w:hint="eastAsia" w:ascii="宋体" w:hAnsi="宋体"/>
                <w:kern w:val="0"/>
                <w:sz w:val="22"/>
              </w:rPr>
              <w:br w:type="textWrapping"/>
            </w:r>
            <w:r>
              <w:rPr>
                <w:rFonts w:hint="eastAsia" w:ascii="宋体" w:hAnsi="宋体"/>
                <w:kern w:val="0"/>
                <w:sz w:val="22"/>
              </w:rPr>
              <w:t>7.在前端具备存储能力的情况下，应能在网络中断时存储所采集的视频和图片数据，故障排除后应能自动上传比对；</w:t>
            </w:r>
            <w:r>
              <w:rPr>
                <w:rFonts w:hint="eastAsia" w:ascii="宋体" w:hAnsi="宋体"/>
                <w:kern w:val="0"/>
                <w:sz w:val="22"/>
              </w:rPr>
              <w:br w:type="textWrapping"/>
            </w:r>
            <w:r>
              <w:rPr>
                <w:rFonts w:hint="eastAsia" w:ascii="宋体" w:hAnsi="宋体"/>
                <w:kern w:val="0"/>
                <w:sz w:val="22"/>
              </w:rPr>
              <w:t xml:space="preserve">8.可在-30~60摄氏度，湿度小于95%环境下稳定工作；    </w:t>
            </w:r>
            <w:r>
              <w:rPr>
                <w:rFonts w:hint="eastAsia" w:ascii="宋体" w:hAnsi="宋体"/>
                <w:kern w:val="0"/>
                <w:sz w:val="22"/>
              </w:rPr>
              <w:br w:type="textWrapping"/>
            </w:r>
            <w:r>
              <w:rPr>
                <w:rFonts w:hint="eastAsia" w:ascii="宋体" w:hAnsi="宋体"/>
                <w:kern w:val="0"/>
                <w:sz w:val="22"/>
              </w:rPr>
              <w:t xml:space="preserve">9.支持AC24V供电，支持长时间±20％宽范围电压输入；  </w:t>
            </w:r>
            <w:r>
              <w:rPr>
                <w:rFonts w:hint="eastAsia" w:ascii="宋体" w:hAnsi="宋体"/>
                <w:kern w:val="0"/>
                <w:sz w:val="22"/>
              </w:rPr>
              <w:br w:type="textWrapping"/>
            </w:r>
            <w:r>
              <w:rPr>
                <w:rFonts w:hint="eastAsia" w:ascii="宋体" w:hAnsi="宋体"/>
                <w:kern w:val="0"/>
                <w:sz w:val="22"/>
              </w:rPr>
              <w:t>10.支持IP67防尘防水等级。</w:t>
            </w:r>
            <w:r>
              <w:rPr>
                <w:rFonts w:hint="eastAsia" w:ascii="宋体" w:hAnsi="宋体"/>
                <w:kern w:val="0"/>
                <w:sz w:val="22"/>
              </w:rPr>
              <w:br w:type="textWrapping"/>
            </w:r>
            <w:r>
              <w:rPr>
                <w:rFonts w:hint="eastAsia" w:ascii="宋体" w:hAnsi="宋体"/>
                <w:kern w:val="0"/>
                <w:sz w:val="22"/>
              </w:rPr>
              <w:t>11.支持北斗等定位功能，精确返回设备亚米级经纬度信息；</w:t>
            </w:r>
            <w:r>
              <w:rPr>
                <w:rFonts w:hint="eastAsia" w:ascii="宋体" w:hAnsi="宋体"/>
                <w:kern w:val="0"/>
                <w:sz w:val="22"/>
              </w:rPr>
              <w:br w:type="textWrapping"/>
            </w:r>
            <w:r>
              <w:rPr>
                <w:rFonts w:hint="eastAsia" w:ascii="宋体" w:hAnsi="宋体"/>
                <w:kern w:val="0"/>
                <w:sz w:val="22"/>
              </w:rPr>
              <w:t>12.符合最新GB/T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kern w:val="0"/>
                <w:sz w:val="22"/>
              </w:rPr>
              <w:br w:type="textWrapping"/>
            </w:r>
            <w:r>
              <w:rPr>
                <w:rFonts w:hint="eastAsia" w:ascii="宋体" w:hAnsi="宋体"/>
                <w:kern w:val="0"/>
                <w:sz w:val="22"/>
              </w:rPr>
              <w:t>13.提供完善的SDK开发包及示例源代码，合同期内免费提供软件功能升级与需求定制服务。</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80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台</w:t>
            </w:r>
          </w:p>
        </w:tc>
      </w:tr>
      <w:tr>
        <w:tblPrEx>
          <w:tblCellMar>
            <w:top w:w="0" w:type="dxa"/>
            <w:left w:w="108" w:type="dxa"/>
            <w:bottom w:w="0" w:type="dxa"/>
            <w:right w:w="108" w:type="dxa"/>
          </w:tblCellMar>
        </w:tblPrEx>
        <w:trPr>
          <w:wBefore w:w="0" w:type="dxa"/>
          <w:wAfter w:w="0" w:type="dxa"/>
          <w:trHeight w:val="2511"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图像抓拍摄像机（球机）</w:t>
            </w:r>
          </w:p>
        </w:tc>
        <w:tc>
          <w:tcPr>
            <w:tcW w:w="6040" w:type="dxa"/>
            <w:tcBorders>
              <w:top w:val="nil"/>
              <w:left w:val="nil"/>
              <w:bottom w:val="single" w:color="auto" w:sz="4" w:space="0"/>
              <w:right w:val="single" w:color="auto" w:sz="4" w:space="0"/>
            </w:tcBorders>
            <w:noWrap w:val="0"/>
            <w:vAlign w:val="center"/>
          </w:tcPr>
          <w:p>
            <w:pPr>
              <w:widowControl/>
              <w:spacing w:after="240"/>
              <w:jc w:val="left"/>
              <w:rPr>
                <w:rFonts w:ascii="宋体" w:hAnsi="宋体"/>
                <w:kern w:val="0"/>
                <w:sz w:val="22"/>
              </w:rPr>
            </w:pPr>
            <w:r>
              <w:rPr>
                <w:rFonts w:hint="eastAsia" w:ascii="宋体" w:hAnsi="宋体"/>
                <w:kern w:val="0"/>
                <w:sz w:val="22"/>
              </w:rPr>
              <w:t>1.含400万星光级8寸红外网络高清高速智能球机（无半球形透明罩），安装附件；靶面尺寸≥1/1.8"；内置GPU芯片；摄像机内置镜头，不小于32倍光学变倍，镜头最大焦距不小于192mm；红外照射距离≥200米。</w:t>
            </w:r>
            <w:r>
              <w:rPr>
                <w:rFonts w:hint="eastAsia" w:ascii="宋体" w:hAnsi="宋体"/>
                <w:kern w:val="0"/>
                <w:sz w:val="22"/>
              </w:rPr>
              <w:br w:type="textWrapping"/>
            </w:r>
            <w:r>
              <w:rPr>
                <w:rFonts w:hint="eastAsia" w:ascii="宋体" w:hAnsi="宋体"/>
                <w:kern w:val="0"/>
                <w:sz w:val="22"/>
              </w:rPr>
              <w:t>2.支持最低照度可达彩色0.0002Lux，黑白0.0001Lux,照度适应范围不小于145dB，宽动态能力综合得分不小于139，信噪比不小于64dB。</w:t>
            </w:r>
            <w:r>
              <w:rPr>
                <w:rFonts w:hint="eastAsia" w:ascii="宋体" w:hAnsi="宋体"/>
                <w:kern w:val="0"/>
                <w:sz w:val="22"/>
              </w:rPr>
              <w:br w:type="textWrapping"/>
            </w:r>
            <w:r>
              <w:rPr>
                <w:rFonts w:hint="eastAsia" w:ascii="宋体" w:hAnsi="宋体"/>
                <w:kern w:val="0"/>
                <w:sz w:val="22"/>
              </w:rPr>
              <w:t>3.支持三码流以上技术；支持H.265、H.264/MJPEG编码协议，支持网络自适应，在丢包率为20%的网络环境下，可正常显示监视画面，支持SNMP网管协议远程监测、管理，支持NTP校时，支持远程升级；</w:t>
            </w:r>
            <w:r>
              <w:rPr>
                <w:rFonts w:hint="eastAsia" w:ascii="宋体" w:hAnsi="宋体"/>
                <w:kern w:val="0"/>
                <w:sz w:val="22"/>
              </w:rPr>
              <w:br w:type="textWrapping"/>
            </w:r>
            <w:r>
              <w:rPr>
                <w:rFonts w:hint="eastAsia" w:ascii="宋体" w:hAnsi="宋体"/>
                <w:kern w:val="0"/>
                <w:sz w:val="22"/>
              </w:rPr>
              <w:t>4.在混合目标检测模式下，可同时对行人、非机动车、机动车进行检测、跟踪及抓拍</w:t>
            </w:r>
            <w:r>
              <w:rPr>
                <w:rFonts w:hint="eastAsia" w:ascii="宋体" w:hAnsi="宋体"/>
                <w:kern w:val="0"/>
                <w:sz w:val="22"/>
              </w:rPr>
              <w:br w:type="textWrapping"/>
            </w:r>
            <w:r>
              <w:rPr>
                <w:rFonts w:hint="eastAsia" w:ascii="宋体" w:hAnsi="宋体"/>
                <w:kern w:val="0"/>
                <w:sz w:val="22"/>
              </w:rPr>
              <w:t>在混合目标检测模式下，可同时对行人、非机动车、机动车进行分类计数。</w:t>
            </w:r>
            <w:r>
              <w:rPr>
                <w:rFonts w:hint="eastAsia" w:ascii="宋体" w:hAnsi="宋体"/>
                <w:kern w:val="0"/>
                <w:sz w:val="22"/>
              </w:rPr>
              <w:br w:type="textWrapping"/>
            </w:r>
            <w:r>
              <w:rPr>
                <w:rFonts w:hint="eastAsia" w:ascii="宋体" w:hAnsi="宋体"/>
                <w:kern w:val="0"/>
                <w:sz w:val="22"/>
              </w:rPr>
              <w:t>在混合目标检测模式下，对监视区域中的行人、非机动车和机动车的目标捕获率不低于99%</w:t>
            </w:r>
            <w:r>
              <w:rPr>
                <w:rFonts w:hint="eastAsia" w:ascii="宋体" w:hAnsi="宋体"/>
                <w:kern w:val="0"/>
                <w:sz w:val="22"/>
              </w:rPr>
              <w:br w:type="textWrapping"/>
            </w:r>
            <w:r>
              <w:rPr>
                <w:rFonts w:hint="eastAsia" w:ascii="宋体" w:hAnsi="宋体"/>
                <w:kern w:val="0"/>
                <w:sz w:val="22"/>
              </w:rPr>
              <w:t>在混合目标检测模式下，可支持人脸与人体、车牌与车辆的关联显示。</w:t>
            </w:r>
            <w:r>
              <w:rPr>
                <w:rFonts w:hint="eastAsia" w:ascii="宋体" w:hAnsi="宋体"/>
                <w:kern w:val="0"/>
                <w:sz w:val="22"/>
              </w:rPr>
              <w:br w:type="textWrapping"/>
            </w:r>
            <w:r>
              <w:rPr>
                <w:rFonts w:hint="eastAsia" w:ascii="宋体" w:hAnsi="宋体"/>
                <w:kern w:val="0"/>
                <w:sz w:val="22"/>
              </w:rPr>
              <w:t>设备可显示行人、非机动车的属性。</w:t>
            </w:r>
            <w:r>
              <w:rPr>
                <w:rFonts w:hint="eastAsia" w:ascii="宋体" w:hAnsi="宋体"/>
                <w:kern w:val="0"/>
                <w:sz w:val="22"/>
              </w:rPr>
              <w:br w:type="textWrapping"/>
            </w:r>
            <w:r>
              <w:rPr>
                <w:rFonts w:hint="eastAsia" w:ascii="宋体" w:hAnsi="宋体"/>
                <w:kern w:val="0"/>
                <w:sz w:val="22"/>
              </w:rPr>
              <w:t>可抓拍距设备100米处的人脸，可抓拍距设备150米处的人体及车辆。</w:t>
            </w:r>
            <w:r>
              <w:rPr>
                <w:rFonts w:hint="eastAsia" w:ascii="宋体" w:hAnsi="宋体"/>
                <w:kern w:val="0"/>
                <w:sz w:val="22"/>
              </w:rPr>
              <w:br w:type="textWrapping"/>
            </w:r>
            <w:r>
              <w:rPr>
                <w:rFonts w:hint="eastAsia" w:ascii="宋体" w:hAnsi="宋体"/>
                <w:kern w:val="0"/>
                <w:sz w:val="22"/>
              </w:rPr>
              <w:t>5.支持快速聚焦功能，当设备跟踪行人或机动车等移动目标并录像时，单帧回放录像文件，每1帧画面均应清晰可见；支持水平旋转范围为360°连续旋转，垂直旋转范围为-20°~90°；可通过IE浏览器设置8个场景进行人脸抓拍，可设置每个场景的布防时间；当通过IE浏览器手动点击或框选预览画面中的人脸时，设备能通过PTZ转动将人脸置于画面中心，并对人脸进行抓拍；可通过IE浏览器实时预览设备抓拍的人脸图片，并可在历史记录中存储不小于100张人脸抓拍图片；可对监视画面中不小于40个人脸进行检测、跟踪和抓拍。</w:t>
            </w:r>
            <w:r>
              <w:rPr>
                <w:rFonts w:hint="eastAsia" w:ascii="宋体" w:hAnsi="宋体"/>
                <w:kern w:val="0"/>
                <w:sz w:val="22"/>
              </w:rPr>
              <w:br w:type="textWrapping"/>
            </w:r>
            <w:r>
              <w:rPr>
                <w:rFonts w:hint="eastAsia" w:ascii="宋体" w:hAnsi="宋体"/>
                <w:kern w:val="0"/>
                <w:sz w:val="22"/>
              </w:rPr>
              <w:t>6.支持AC24V供电，支持长时间±20％宽范围电压输入；</w:t>
            </w:r>
            <w:r>
              <w:rPr>
                <w:rFonts w:hint="eastAsia" w:ascii="宋体" w:hAnsi="宋体"/>
                <w:kern w:val="0"/>
                <w:sz w:val="22"/>
              </w:rPr>
              <w:br w:type="textWrapping"/>
            </w:r>
            <w:r>
              <w:rPr>
                <w:rFonts w:hint="eastAsia" w:ascii="宋体" w:hAnsi="宋体"/>
                <w:kern w:val="0"/>
                <w:sz w:val="22"/>
              </w:rPr>
              <w:t xml:space="preserve">7.可在-40~70摄氏度，湿度小于90%环境下稳定工作； </w:t>
            </w:r>
            <w:r>
              <w:rPr>
                <w:rFonts w:hint="eastAsia" w:ascii="宋体" w:hAnsi="宋体"/>
                <w:kern w:val="0"/>
                <w:sz w:val="22"/>
              </w:rPr>
              <w:br w:type="textWrapping"/>
            </w:r>
            <w:r>
              <w:rPr>
                <w:rFonts w:hint="eastAsia" w:ascii="宋体" w:hAnsi="宋体"/>
                <w:kern w:val="0"/>
                <w:sz w:val="22"/>
              </w:rPr>
              <w:t>8.支持IP67防尘防水等级。</w:t>
            </w:r>
            <w:r>
              <w:rPr>
                <w:rFonts w:hint="eastAsia" w:ascii="宋体" w:hAnsi="宋体"/>
                <w:kern w:val="0"/>
                <w:sz w:val="22"/>
              </w:rPr>
              <w:br w:type="textWrapping"/>
            </w:r>
            <w:r>
              <w:rPr>
                <w:rFonts w:hint="eastAsia" w:ascii="宋体" w:hAnsi="宋体"/>
                <w:kern w:val="0"/>
                <w:sz w:val="22"/>
              </w:rPr>
              <w:t>9.支持北斗等定位功能，精确返回设备亚米级经纬度信息；</w:t>
            </w:r>
            <w:r>
              <w:rPr>
                <w:rFonts w:hint="eastAsia" w:ascii="宋体" w:hAnsi="宋体"/>
                <w:kern w:val="0"/>
                <w:sz w:val="22"/>
              </w:rPr>
              <w:br w:type="textWrapping"/>
            </w:r>
            <w:r>
              <w:rPr>
                <w:rFonts w:hint="eastAsia" w:ascii="宋体" w:hAnsi="宋体"/>
                <w:kern w:val="0"/>
                <w:sz w:val="22"/>
              </w:rPr>
              <w:t>10.符合最新GB/T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kern w:val="0"/>
                <w:sz w:val="22"/>
              </w:rPr>
              <w:br w:type="textWrapping"/>
            </w:r>
            <w:r>
              <w:rPr>
                <w:rFonts w:hint="eastAsia" w:ascii="宋体" w:hAnsi="宋体"/>
                <w:kern w:val="0"/>
                <w:sz w:val="22"/>
              </w:rPr>
              <w:t>11.提供完善的SDK开发包及示例源代码，合同期内免费提供软件功能升级与需求定制服务。</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60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台</w:t>
            </w:r>
          </w:p>
        </w:tc>
      </w:tr>
      <w:tr>
        <w:tblPrEx>
          <w:tblCellMar>
            <w:top w:w="0" w:type="dxa"/>
            <w:left w:w="108" w:type="dxa"/>
            <w:bottom w:w="0" w:type="dxa"/>
            <w:right w:w="108" w:type="dxa"/>
          </w:tblCellMar>
        </w:tblPrEx>
        <w:trPr>
          <w:wBefore w:w="0" w:type="dxa"/>
          <w:wAfter w:w="0" w:type="dxa"/>
          <w:trHeight w:val="313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星光级高位网络球机</w:t>
            </w:r>
          </w:p>
        </w:tc>
        <w:tc>
          <w:tcPr>
            <w:tcW w:w="6040" w:type="dxa"/>
            <w:tcBorders>
              <w:top w:val="nil"/>
              <w:left w:val="nil"/>
              <w:bottom w:val="single" w:color="auto" w:sz="4" w:space="0"/>
              <w:right w:val="single" w:color="auto" w:sz="4" w:space="0"/>
            </w:tcBorders>
            <w:noWrap w:val="0"/>
            <w:vAlign w:val="center"/>
          </w:tcPr>
          <w:p>
            <w:pPr>
              <w:widowControl/>
              <w:spacing w:after="240"/>
              <w:jc w:val="left"/>
              <w:rPr>
                <w:rFonts w:ascii="宋体" w:hAnsi="宋体"/>
                <w:kern w:val="0"/>
                <w:sz w:val="22"/>
              </w:rPr>
            </w:pPr>
            <w:r>
              <w:rPr>
                <w:rFonts w:hint="eastAsia" w:ascii="宋体" w:hAnsi="宋体"/>
                <w:kern w:val="0"/>
                <w:sz w:val="22"/>
              </w:rPr>
              <w:t>1.含200万星光级8寸红外网络高清高速智能球机（无半球形透明罩），安装附件；靶面尺寸≥1/1.8"；内置GPU芯片；摄像机内置镜头，不小于48倍光学变倍，焦距范围5.7-273.6mm ；</w:t>
            </w:r>
            <w:r>
              <w:rPr>
                <w:rFonts w:hint="eastAsia" w:ascii="宋体" w:hAnsi="宋体"/>
                <w:kern w:val="0"/>
                <w:sz w:val="22"/>
              </w:rPr>
              <w:br w:type="textWrapping"/>
            </w:r>
            <w:r>
              <w:rPr>
                <w:rFonts w:hint="eastAsia" w:ascii="宋体" w:hAnsi="宋体"/>
                <w:kern w:val="0"/>
                <w:sz w:val="22"/>
              </w:rPr>
              <w:t>2.支持最低照度可达彩色0.0002Lux，黑白0.0001Lux,照度适应范围不小于145dB，宽动态能力综合得分不小于139，信噪比不小于64dB。</w:t>
            </w:r>
            <w:r>
              <w:rPr>
                <w:rFonts w:hint="eastAsia" w:ascii="宋体" w:hAnsi="宋体"/>
                <w:kern w:val="0"/>
                <w:sz w:val="22"/>
              </w:rPr>
              <w:br w:type="textWrapping"/>
            </w:r>
            <w:r>
              <w:rPr>
                <w:rFonts w:hint="eastAsia" w:ascii="宋体" w:hAnsi="宋体"/>
                <w:kern w:val="0"/>
                <w:sz w:val="22"/>
              </w:rPr>
              <w:t>3.支持三码流以上技术；支持H.265、H.264/MJPEG编码协议，支持网络自适应，在丢包率为20%的网络环境下，可正常显示监视画面，支持SNMP网管协议远程监测、管理，支持NTP校时，支持远程升级；</w:t>
            </w:r>
            <w:r>
              <w:rPr>
                <w:rFonts w:hint="eastAsia" w:ascii="宋体" w:hAnsi="宋体"/>
                <w:kern w:val="0"/>
                <w:sz w:val="22"/>
              </w:rPr>
              <w:br w:type="textWrapping"/>
            </w:r>
            <w:r>
              <w:rPr>
                <w:rFonts w:hint="eastAsia" w:ascii="宋体" w:hAnsi="宋体"/>
                <w:kern w:val="0"/>
                <w:sz w:val="22"/>
              </w:rPr>
              <w:t>4.支持水平手控速度不小于800°/S,垂直手控速度不小于300°/s。水平旋转范围为360°连续旋转，垂直旋转范围为-20°~90°。</w:t>
            </w:r>
            <w:r>
              <w:rPr>
                <w:rFonts w:hint="eastAsia" w:ascii="宋体" w:hAnsi="宋体"/>
                <w:kern w:val="0"/>
                <w:sz w:val="22"/>
              </w:rPr>
              <w:br w:type="textWrapping"/>
            </w:r>
            <w:r>
              <w:rPr>
                <w:rFonts w:hint="eastAsia" w:ascii="宋体" w:hAnsi="宋体"/>
                <w:kern w:val="0"/>
                <w:sz w:val="22"/>
              </w:rPr>
              <w:t>5.支持300个预置位，可按照所设置的预置位完成不小于8条巡航路径，每条巡航路径可设置不小于32个预置点。支持预置位视频冻结功能；支持优先控制功能。</w:t>
            </w:r>
            <w:r>
              <w:rPr>
                <w:rFonts w:hint="eastAsia" w:ascii="宋体" w:hAnsi="宋体"/>
                <w:kern w:val="0"/>
                <w:sz w:val="22"/>
              </w:rPr>
              <w:br w:type="textWrapping"/>
            </w:r>
            <w:r>
              <w:rPr>
                <w:rFonts w:hint="eastAsia" w:ascii="宋体" w:hAnsi="宋体"/>
                <w:kern w:val="0"/>
                <w:sz w:val="22"/>
              </w:rPr>
              <w:t>6.具有三种滤光片，在白天、夜晚及有雾情况下可自动切换不同的滤光片进行成像。滤光片透过率不小于95%</w:t>
            </w:r>
            <w:r>
              <w:rPr>
                <w:rFonts w:hint="eastAsia" w:ascii="宋体" w:hAnsi="宋体"/>
                <w:kern w:val="0"/>
                <w:sz w:val="22"/>
              </w:rPr>
              <w:br w:type="textWrapping"/>
            </w:r>
            <w:r>
              <w:rPr>
                <w:rFonts w:hint="eastAsia" w:ascii="宋体" w:hAnsi="宋体"/>
                <w:kern w:val="0"/>
                <w:sz w:val="22"/>
              </w:rPr>
              <w:t>7.支持快速聚焦功能，当设备跟踪行人或机动车等移动目标并录像时，单帧回放录像文件，每1帧画面均应清晰可见。</w:t>
            </w:r>
            <w:r>
              <w:rPr>
                <w:rFonts w:hint="eastAsia" w:ascii="宋体" w:hAnsi="宋体"/>
                <w:kern w:val="0"/>
                <w:sz w:val="22"/>
              </w:rPr>
              <w:br w:type="textWrapping"/>
            </w:r>
            <w:r>
              <w:rPr>
                <w:rFonts w:hint="eastAsia" w:ascii="宋体" w:hAnsi="宋体"/>
                <w:kern w:val="0"/>
                <w:sz w:val="22"/>
              </w:rPr>
              <w:t>8.具有自动、关闭、开启光学透雾设置选项，透雾等级0-100可调。当检测到雾的浓度达到设定的阈值时，可自动在算法透雾和光学透雾之间进行切换。</w:t>
            </w:r>
            <w:r>
              <w:rPr>
                <w:rFonts w:hint="eastAsia" w:ascii="宋体" w:hAnsi="宋体"/>
                <w:kern w:val="0"/>
                <w:sz w:val="22"/>
              </w:rPr>
              <w:br w:type="textWrapping"/>
            </w:r>
            <w:r>
              <w:rPr>
                <w:rFonts w:hint="eastAsia" w:ascii="宋体" w:hAnsi="宋体"/>
                <w:kern w:val="0"/>
                <w:sz w:val="22"/>
              </w:rPr>
              <w:t>9.可识别不低于170种车辆品牌，车辆品牌识别白天准确率大于98%，晚上准确率大于97%；可识别不低于3600种车辆子品牌，车辆子品牌识别白天准确率大于96%，晚上准确率大于93%；可识别11种车辆颜色，车辆车身颜色识别准确率大于97%；可识别10种车型，包括轿车、小型轿车、微型轿车、客车、中型客车、面包车、大货车、小货车、SUV-MPV、皮卡，车型识别白天准确率大于98%，晚上准确率大于97%。</w:t>
            </w:r>
            <w:r>
              <w:rPr>
                <w:rFonts w:hint="eastAsia" w:ascii="宋体" w:hAnsi="宋体"/>
                <w:kern w:val="0"/>
                <w:sz w:val="22"/>
              </w:rPr>
              <w:br w:type="textWrapping"/>
            </w:r>
            <w:r>
              <w:rPr>
                <w:rFonts w:hint="eastAsia" w:ascii="宋体" w:hAnsi="宋体"/>
                <w:kern w:val="0"/>
                <w:sz w:val="22"/>
              </w:rPr>
              <w:t>支持区域入侵、越界入侵、徘徊、物品遗留、物品移除、人员聚集、快速移动、进入区域、离开区域等行为分析功能；人脸检测功能；音频异常侦测功能。</w:t>
            </w:r>
            <w:r>
              <w:rPr>
                <w:rFonts w:hint="eastAsia" w:ascii="宋体" w:hAnsi="宋体"/>
                <w:kern w:val="0"/>
                <w:sz w:val="22"/>
              </w:rPr>
              <w:br w:type="textWrapping"/>
            </w:r>
            <w:r>
              <w:rPr>
                <w:rFonts w:hint="eastAsia" w:ascii="宋体" w:hAnsi="宋体"/>
                <w:kern w:val="0"/>
                <w:sz w:val="22"/>
              </w:rPr>
              <w:t>10.支持AC24V供电，支持长时间±20％宽范围电压输入；</w:t>
            </w:r>
            <w:r>
              <w:rPr>
                <w:rFonts w:hint="eastAsia" w:ascii="宋体" w:hAnsi="宋体"/>
                <w:kern w:val="0"/>
                <w:sz w:val="22"/>
              </w:rPr>
              <w:br w:type="textWrapping"/>
            </w:r>
            <w:r>
              <w:rPr>
                <w:rFonts w:hint="eastAsia" w:ascii="宋体" w:hAnsi="宋体"/>
                <w:kern w:val="0"/>
                <w:sz w:val="22"/>
              </w:rPr>
              <w:t xml:space="preserve">11.可在-45~70摄氏度，湿度小于90%环境下稳定工作； </w:t>
            </w:r>
            <w:r>
              <w:rPr>
                <w:rFonts w:hint="eastAsia" w:ascii="宋体" w:hAnsi="宋体"/>
                <w:kern w:val="0"/>
                <w:sz w:val="22"/>
              </w:rPr>
              <w:br w:type="textWrapping"/>
            </w:r>
            <w:r>
              <w:rPr>
                <w:rFonts w:hint="eastAsia" w:ascii="宋体" w:hAnsi="宋体"/>
                <w:kern w:val="0"/>
                <w:sz w:val="22"/>
              </w:rPr>
              <w:t>12.具备较好防护性能，支持IP67；具备较好的电磁兼容性，支持空气放电20KV，接触放电10KV，15KV防浪涌。</w:t>
            </w:r>
            <w:r>
              <w:rPr>
                <w:rFonts w:hint="eastAsia" w:ascii="宋体" w:hAnsi="宋体"/>
                <w:kern w:val="0"/>
                <w:sz w:val="22"/>
              </w:rPr>
              <w:br w:type="textWrapping"/>
            </w:r>
            <w:r>
              <w:rPr>
                <w:rFonts w:hint="eastAsia" w:ascii="宋体" w:hAnsi="宋体"/>
                <w:kern w:val="0"/>
                <w:sz w:val="22"/>
              </w:rPr>
              <w:t>13.支持北斗等定位功能，精确返回设备亚米级经纬度信息；</w:t>
            </w:r>
            <w:r>
              <w:rPr>
                <w:rFonts w:hint="eastAsia" w:ascii="宋体" w:hAnsi="宋体"/>
                <w:kern w:val="0"/>
                <w:sz w:val="22"/>
              </w:rPr>
              <w:br w:type="textWrapping"/>
            </w:r>
            <w:r>
              <w:rPr>
                <w:rFonts w:hint="eastAsia" w:ascii="宋体" w:hAnsi="宋体"/>
                <w:kern w:val="0"/>
                <w:sz w:val="22"/>
              </w:rPr>
              <w:t>14.符合最新GB/T 28181标准及补充规定，通过省厅规范检测，必须兼容温州公安现有视频监控系统及设备，必须符合《温州市安全防范视频监控联网系统信息传输交换控制技术要求》。</w:t>
            </w:r>
            <w:r>
              <w:rPr>
                <w:rFonts w:hint="eastAsia" w:ascii="宋体" w:hAnsi="宋体"/>
                <w:kern w:val="0"/>
                <w:sz w:val="22"/>
              </w:rPr>
              <w:br w:type="textWrapping"/>
            </w:r>
            <w:r>
              <w:rPr>
                <w:rFonts w:hint="eastAsia" w:ascii="宋体" w:hAnsi="宋体"/>
                <w:kern w:val="0"/>
                <w:sz w:val="22"/>
              </w:rPr>
              <w:t>15.提供完善的SDK开发包及示例源代码，合同期内免费提供软件功能升级与需求定制服务。</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台</w:t>
            </w:r>
          </w:p>
        </w:tc>
      </w:tr>
      <w:tr>
        <w:tblPrEx>
          <w:tblCellMar>
            <w:top w:w="0" w:type="dxa"/>
            <w:left w:w="108" w:type="dxa"/>
            <w:bottom w:w="0" w:type="dxa"/>
            <w:right w:w="108" w:type="dxa"/>
          </w:tblCellMar>
        </w:tblPrEx>
        <w:trPr>
          <w:wBefore w:w="0" w:type="dxa"/>
          <w:wAfter w:w="0" w:type="dxa"/>
          <w:trHeight w:val="558"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全景一体式鹰眼摄像机（360度）</w:t>
            </w:r>
          </w:p>
        </w:tc>
        <w:tc>
          <w:tcPr>
            <w:tcW w:w="6040" w:type="dxa"/>
            <w:tcBorders>
              <w:top w:val="nil"/>
              <w:left w:val="nil"/>
              <w:bottom w:val="single" w:color="auto" w:sz="4" w:space="0"/>
              <w:right w:val="single" w:color="auto" w:sz="4" w:space="0"/>
            </w:tcBorders>
            <w:noWrap w:val="0"/>
            <w:vAlign w:val="center"/>
          </w:tcPr>
          <w:p>
            <w:pPr>
              <w:widowControl/>
              <w:spacing w:after="240"/>
              <w:jc w:val="left"/>
              <w:rPr>
                <w:rFonts w:ascii="宋体" w:hAnsi="宋体"/>
                <w:kern w:val="0"/>
                <w:sz w:val="22"/>
              </w:rPr>
            </w:pPr>
            <w:r>
              <w:rPr>
                <w:rFonts w:hint="eastAsia" w:ascii="宋体" w:hAnsi="宋体"/>
                <w:kern w:val="0"/>
                <w:sz w:val="22"/>
              </w:rPr>
              <w:t>1.1600万像素，360°全景一体式网络高清摄像机</w:t>
            </w:r>
            <w:r>
              <w:rPr>
                <w:rFonts w:hint="eastAsia" w:ascii="宋体" w:hAnsi="宋体"/>
                <w:kern w:val="0"/>
                <w:sz w:val="22"/>
              </w:rPr>
              <w:br w:type="textWrapping"/>
            </w:r>
            <w:r>
              <w:rPr>
                <w:rFonts w:hint="eastAsia" w:ascii="宋体" w:hAnsi="宋体"/>
                <w:kern w:val="0"/>
                <w:sz w:val="22"/>
              </w:rPr>
              <w:t>2. 内置GPU芯片，设备自带镜头，另配8个图像采集模块，可输出1路主视频图像和8路辅视频图像； 全景摄像机和细节跟踪摄像机均采用1/1.8" 2MP  CMOS。</w:t>
            </w:r>
            <w:r>
              <w:rPr>
                <w:rFonts w:hint="eastAsia" w:ascii="宋体" w:hAnsi="宋体"/>
                <w:kern w:val="0"/>
                <w:sz w:val="22"/>
              </w:rPr>
              <w:br w:type="textWrapping"/>
            </w:r>
            <w:r>
              <w:rPr>
                <w:rFonts w:hint="eastAsia" w:ascii="宋体" w:hAnsi="宋体"/>
                <w:kern w:val="0"/>
                <w:sz w:val="22"/>
              </w:rPr>
              <w:t>3.主视频图像：1920×1080@25fps，辅视频图像：4096×1800@30fps，其中主视频图像分辨力不小于1100线。</w:t>
            </w:r>
            <w:r>
              <w:rPr>
                <w:rFonts w:hint="eastAsia" w:ascii="宋体" w:hAnsi="宋体"/>
                <w:kern w:val="0"/>
                <w:sz w:val="22"/>
              </w:rPr>
              <w:br w:type="textWrapping"/>
            </w:r>
            <w:r>
              <w:rPr>
                <w:rFonts w:hint="eastAsia" w:ascii="宋体" w:hAnsi="宋体"/>
                <w:kern w:val="0"/>
                <w:sz w:val="22"/>
              </w:rPr>
              <w:t>4.主视频支持不小于37倍光学变倍，镜头最大焦距不小于208mm，彩色：0.0003lux；黑白：0.0001lux。</w:t>
            </w:r>
            <w:r>
              <w:rPr>
                <w:rFonts w:hint="eastAsia" w:ascii="宋体" w:hAnsi="宋体"/>
                <w:kern w:val="0"/>
                <w:sz w:val="22"/>
              </w:rPr>
              <w:br w:type="textWrapping"/>
            </w:r>
            <w:r>
              <w:rPr>
                <w:rFonts w:hint="eastAsia" w:ascii="宋体" w:hAnsi="宋体"/>
                <w:kern w:val="0"/>
                <w:sz w:val="22"/>
              </w:rPr>
              <w:t>5.网络传输能力满足发送2000个数据包，重复测试3次，无丢包。</w:t>
            </w:r>
            <w:r>
              <w:rPr>
                <w:rFonts w:hint="eastAsia" w:ascii="宋体" w:hAnsi="宋体"/>
                <w:kern w:val="0"/>
                <w:sz w:val="22"/>
              </w:rPr>
              <w:br w:type="textWrapping"/>
            </w:r>
            <w:r>
              <w:rPr>
                <w:rFonts w:hint="eastAsia" w:ascii="宋体" w:hAnsi="宋体"/>
                <w:kern w:val="0"/>
                <w:sz w:val="22"/>
              </w:rPr>
              <w:t>6.支持水平手控速度不小于240°/S，云台定位精度为不大于0.1°。垂直手控速度不小于200°/S。</w:t>
            </w:r>
            <w:r>
              <w:rPr>
                <w:rFonts w:hint="eastAsia" w:ascii="宋体" w:hAnsi="宋体"/>
                <w:kern w:val="0"/>
                <w:sz w:val="22"/>
              </w:rPr>
              <w:br w:type="textWrapping"/>
            </w:r>
            <w:r>
              <w:rPr>
                <w:rFonts w:hint="eastAsia" w:ascii="宋体" w:hAnsi="宋体"/>
                <w:kern w:val="0"/>
                <w:sz w:val="22"/>
              </w:rPr>
              <w:t>7.水平连续360°旋转。垂直旋转范围为-20°~90°</w:t>
            </w:r>
            <w:r>
              <w:rPr>
                <w:rFonts w:hint="eastAsia" w:ascii="宋体" w:hAnsi="宋体"/>
                <w:kern w:val="0"/>
                <w:sz w:val="22"/>
              </w:rPr>
              <w:br w:type="textWrapping"/>
            </w:r>
            <w:r>
              <w:rPr>
                <w:rFonts w:hint="eastAsia" w:ascii="宋体" w:hAnsi="宋体"/>
                <w:kern w:val="0"/>
                <w:sz w:val="22"/>
              </w:rPr>
              <w:t>8.产品支持定位联动、自动跟踪、手动跟踪、混合跟踪功能，在辅视频图像中跟踪目标的灵敏度及时间可设；并且自动跟踪模式下，最多对60个目标进行检测并抓拍。</w:t>
            </w:r>
            <w:r>
              <w:rPr>
                <w:rFonts w:hint="eastAsia" w:ascii="宋体" w:hAnsi="宋体"/>
                <w:kern w:val="0"/>
                <w:sz w:val="22"/>
              </w:rPr>
              <w:br w:type="textWrapping"/>
            </w:r>
            <w:r>
              <w:rPr>
                <w:rFonts w:hint="eastAsia" w:ascii="宋体" w:hAnsi="宋体"/>
                <w:kern w:val="0"/>
                <w:sz w:val="22"/>
              </w:rPr>
              <w:t>9.可进行框选显示设置，可对正在跟踪的目标及其他移动目标分别进行不同颜色的框选显示，并可通过客户端软件或IE浏览器设置是否对检测到的移动目标进行框选显示。</w:t>
            </w:r>
            <w:r>
              <w:rPr>
                <w:rFonts w:hint="eastAsia" w:ascii="宋体" w:hAnsi="宋体"/>
                <w:kern w:val="0"/>
                <w:sz w:val="22"/>
              </w:rPr>
              <w:br w:type="textWrapping"/>
            </w:r>
            <w:r>
              <w:rPr>
                <w:rFonts w:hint="eastAsia" w:ascii="宋体" w:hAnsi="宋体"/>
                <w:kern w:val="0"/>
                <w:sz w:val="22"/>
              </w:rPr>
              <w:t>10.电源具有较强适应性，电源电压在DC36V±47%范围内变化时，摄像机可以正常工作。</w:t>
            </w:r>
            <w:r>
              <w:rPr>
                <w:rFonts w:hint="eastAsia" w:ascii="宋体" w:hAnsi="宋体"/>
                <w:kern w:val="0"/>
                <w:sz w:val="22"/>
              </w:rPr>
              <w:br w:type="textWrapping"/>
            </w:r>
            <w:r>
              <w:rPr>
                <w:rFonts w:hint="eastAsia" w:ascii="宋体" w:hAnsi="宋体"/>
                <w:kern w:val="0"/>
                <w:sz w:val="22"/>
              </w:rPr>
              <w:t>11.具备较好防护性能和环境适应性，支持IP67，10KV防浪涌，工作温度范围可达-45℃-75℃。</w:t>
            </w:r>
            <w:r>
              <w:rPr>
                <w:rFonts w:hint="eastAsia" w:ascii="宋体" w:hAnsi="宋体"/>
                <w:kern w:val="0"/>
                <w:sz w:val="22"/>
              </w:rPr>
              <w:br w:type="textWrapping"/>
            </w:r>
            <w:r>
              <w:rPr>
                <w:rFonts w:hint="eastAsia" w:ascii="宋体" w:hAnsi="宋体"/>
                <w:kern w:val="0"/>
                <w:sz w:val="22"/>
              </w:rPr>
              <w:t>12.红外灯开启时，样机可根据被摄物的距离自动调节红外灯功率密度。红外夜视距离：可识别距离样机550m外人体轮廓。</w:t>
            </w:r>
            <w:r>
              <w:rPr>
                <w:rFonts w:hint="eastAsia" w:ascii="宋体" w:hAnsi="宋体"/>
                <w:kern w:val="0"/>
                <w:sz w:val="22"/>
              </w:rPr>
              <w:br w:type="textWrapping"/>
            </w:r>
            <w:r>
              <w:rPr>
                <w:rFonts w:hint="eastAsia" w:ascii="宋体" w:hAnsi="宋体"/>
                <w:kern w:val="0"/>
                <w:sz w:val="22"/>
              </w:rPr>
              <w:t>13.当样机检测到雾的浓度达到设定的阈值时，可自动在算法透雾和光学透雾之间进行切换。具有三种滤光片，在白天、夜晚及有雾情况下可自动切换不同的滤光片进行成像。三片滤光片透过率均不小于95%。</w:t>
            </w:r>
            <w:r>
              <w:rPr>
                <w:rFonts w:hint="eastAsia" w:ascii="宋体" w:hAnsi="宋体"/>
                <w:kern w:val="0"/>
                <w:sz w:val="22"/>
              </w:rPr>
              <w:br w:type="textWrapping"/>
            </w:r>
            <w:r>
              <w:rPr>
                <w:rFonts w:hint="eastAsia" w:ascii="宋体" w:hAnsi="宋体"/>
                <w:kern w:val="0"/>
                <w:sz w:val="22"/>
              </w:rPr>
              <w:t>14.可对距设备100米处的人脸进行抓拍。</w:t>
            </w:r>
            <w:r>
              <w:rPr>
                <w:rFonts w:hint="eastAsia" w:ascii="宋体" w:hAnsi="宋体"/>
                <w:kern w:val="0"/>
                <w:sz w:val="22"/>
              </w:rPr>
              <w:br w:type="textWrapping"/>
            </w:r>
            <w:r>
              <w:rPr>
                <w:rFonts w:hint="eastAsia" w:ascii="宋体" w:hAnsi="宋体"/>
                <w:kern w:val="0"/>
                <w:sz w:val="22"/>
              </w:rPr>
              <w:t>15.可通过IE浏览器设置8个场景进行人脸抓拍，可设置每个场景的布防时间。</w:t>
            </w:r>
            <w:r>
              <w:rPr>
                <w:rFonts w:hint="eastAsia" w:ascii="宋体" w:hAnsi="宋体"/>
                <w:kern w:val="0"/>
                <w:sz w:val="22"/>
              </w:rPr>
              <w:br w:type="textWrapping"/>
            </w:r>
            <w:r>
              <w:rPr>
                <w:rFonts w:hint="eastAsia" w:ascii="宋体" w:hAnsi="宋体"/>
                <w:kern w:val="0"/>
                <w:sz w:val="22"/>
              </w:rPr>
              <w:t>16.当通过IE浏览器手动点击或框选预览画面中的人脸时，设备能通过PTZ转动将人脸置于画面中心，并对人脸进行抓拍。</w:t>
            </w:r>
            <w:r>
              <w:rPr>
                <w:rFonts w:hint="eastAsia" w:ascii="宋体" w:hAnsi="宋体"/>
                <w:kern w:val="0"/>
                <w:sz w:val="22"/>
              </w:rPr>
              <w:br w:type="textWrapping"/>
            </w:r>
            <w:r>
              <w:rPr>
                <w:rFonts w:hint="eastAsia" w:ascii="宋体" w:hAnsi="宋体"/>
                <w:kern w:val="0"/>
                <w:sz w:val="22"/>
              </w:rPr>
              <w:t>17.可通过IE浏览器实时预览设备抓拍的人脸图片，并可在历史记录中存储不小于100张人脸抓拍图片。</w:t>
            </w:r>
            <w:r>
              <w:rPr>
                <w:rFonts w:hint="eastAsia" w:ascii="宋体" w:hAnsi="宋体"/>
                <w:kern w:val="0"/>
                <w:sz w:val="22"/>
              </w:rPr>
              <w:br w:type="textWrapping"/>
            </w:r>
            <w:r>
              <w:rPr>
                <w:rFonts w:hint="eastAsia" w:ascii="宋体" w:hAnsi="宋体"/>
                <w:kern w:val="0"/>
                <w:sz w:val="22"/>
              </w:rPr>
              <w:t>18.符合最新GB/T 28181标准及补充规定，通过省厅规范检测，必须兼容温州公安现有视频监控系统及设备，必须符合《温州市安全防范视频监控联网系统信息传输交换控制技术要求》。</w:t>
            </w:r>
            <w:r>
              <w:rPr>
                <w:rFonts w:hint="eastAsia" w:ascii="宋体" w:hAnsi="宋体"/>
                <w:kern w:val="0"/>
                <w:sz w:val="22"/>
              </w:rPr>
              <w:br w:type="textWrapping"/>
            </w:r>
            <w:r>
              <w:rPr>
                <w:rFonts w:hint="eastAsia" w:ascii="宋体" w:hAnsi="宋体"/>
                <w:kern w:val="0"/>
                <w:sz w:val="22"/>
              </w:rPr>
              <w:t>19.提供完善的SDK开发包及示例源代码，合同期内免费提供软件功能升级与需求定制服务。</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5</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台</w:t>
            </w:r>
          </w:p>
        </w:tc>
      </w:tr>
      <w:tr>
        <w:tblPrEx>
          <w:tblCellMar>
            <w:top w:w="0" w:type="dxa"/>
            <w:left w:w="108" w:type="dxa"/>
            <w:bottom w:w="0" w:type="dxa"/>
            <w:right w:w="108" w:type="dxa"/>
          </w:tblCellMar>
        </w:tblPrEx>
        <w:trPr>
          <w:wBefore w:w="0" w:type="dxa"/>
          <w:wAfter w:w="0" w:type="dxa"/>
          <w:trHeight w:val="5944"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5</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枪球一体化智能摄像机</w:t>
            </w:r>
          </w:p>
        </w:tc>
        <w:tc>
          <w:tcPr>
            <w:tcW w:w="6040" w:type="dxa"/>
            <w:tcBorders>
              <w:top w:val="nil"/>
              <w:left w:val="nil"/>
              <w:bottom w:val="single" w:color="auto" w:sz="4" w:space="0"/>
              <w:right w:val="single" w:color="auto" w:sz="4" w:space="0"/>
            </w:tcBorders>
            <w:noWrap w:val="0"/>
            <w:vAlign w:val="center"/>
          </w:tcPr>
          <w:p>
            <w:pPr>
              <w:widowControl/>
              <w:spacing w:after="240"/>
              <w:jc w:val="left"/>
              <w:rPr>
                <w:rFonts w:ascii="宋体" w:hAnsi="宋体"/>
                <w:kern w:val="0"/>
                <w:sz w:val="22"/>
              </w:rPr>
            </w:pPr>
            <w:r>
              <w:rPr>
                <w:rFonts w:hint="eastAsia" w:ascii="宋体" w:hAnsi="宋体"/>
                <w:kern w:val="0"/>
                <w:sz w:val="22"/>
              </w:rPr>
              <w:t>1.400万+400万枪球一体机</w:t>
            </w:r>
            <w:r>
              <w:rPr>
                <w:rFonts w:hint="eastAsia" w:ascii="宋体" w:hAnsi="宋体"/>
                <w:kern w:val="0"/>
                <w:sz w:val="22"/>
              </w:rPr>
              <w:br w:type="textWrapping"/>
            </w:r>
            <w:r>
              <w:rPr>
                <w:rFonts w:hint="eastAsia" w:ascii="宋体" w:hAnsi="宋体"/>
                <w:kern w:val="0"/>
                <w:sz w:val="22"/>
              </w:rPr>
              <w:t>2.采用一体化设计，由双镜头相机与2颗高性能GPU模块组成，聚合多种专为复杂场景设计的深度学习算法，实现全结构化数据精准采集，具备多场景数据融合分析能力，实现全方位态势感知。</w:t>
            </w:r>
            <w:r>
              <w:rPr>
                <w:rFonts w:hint="eastAsia" w:ascii="宋体" w:hAnsi="宋体"/>
                <w:kern w:val="0"/>
                <w:sz w:val="22"/>
              </w:rPr>
              <w:br w:type="textWrapping"/>
            </w:r>
            <w:r>
              <w:rPr>
                <w:rFonts w:hint="eastAsia" w:ascii="宋体" w:hAnsi="宋体"/>
                <w:kern w:val="0"/>
                <w:sz w:val="22"/>
              </w:rPr>
              <w:t>3.支持人员布控、车辆布控、混合目标检测、行为分析+混合目标检测。</w:t>
            </w:r>
            <w:r>
              <w:rPr>
                <w:rFonts w:hint="eastAsia" w:ascii="宋体" w:hAnsi="宋体"/>
                <w:kern w:val="0"/>
                <w:sz w:val="22"/>
              </w:rPr>
              <w:br w:type="textWrapping"/>
            </w:r>
            <w:r>
              <w:rPr>
                <w:rFonts w:hint="eastAsia" w:ascii="宋体" w:hAnsi="宋体"/>
                <w:kern w:val="0"/>
                <w:sz w:val="22"/>
              </w:rPr>
              <w:t>a)人员布控：支持前端实时建模比对，对人脸及人体进行布控跟踪，跟踪过程中目标经纬度信息实时上传，构建时空域场景。</w:t>
            </w:r>
            <w:r>
              <w:rPr>
                <w:rFonts w:hint="eastAsia" w:ascii="宋体" w:hAnsi="宋体"/>
                <w:kern w:val="0"/>
                <w:sz w:val="22"/>
              </w:rPr>
              <w:br w:type="textWrapping"/>
            </w:r>
            <w:r>
              <w:rPr>
                <w:rFonts w:hint="eastAsia" w:ascii="宋体" w:hAnsi="宋体"/>
                <w:kern w:val="0"/>
                <w:sz w:val="22"/>
              </w:rPr>
              <w:t>b)车辆布控：支持前端实时建模比对，对黑白名单车辆进行布控跟踪，跟踪过程中目标经纬度信息实时上传，构建时空域场景。</w:t>
            </w:r>
            <w:r>
              <w:rPr>
                <w:rFonts w:hint="eastAsia" w:ascii="宋体" w:hAnsi="宋体"/>
                <w:kern w:val="0"/>
                <w:sz w:val="22"/>
              </w:rPr>
              <w:br w:type="textWrapping"/>
            </w:r>
            <w:r>
              <w:rPr>
                <w:rFonts w:hint="eastAsia" w:ascii="宋体" w:hAnsi="宋体"/>
                <w:kern w:val="0"/>
                <w:sz w:val="22"/>
              </w:rPr>
              <w:t>c)混合目标检测：支持双路卡口式混合目标检测，对检测区域内的人、车进行抓拍上传。</w:t>
            </w:r>
            <w:r>
              <w:rPr>
                <w:rFonts w:hint="eastAsia" w:ascii="宋体" w:hAnsi="宋体"/>
                <w:kern w:val="0"/>
                <w:sz w:val="22"/>
              </w:rPr>
              <w:br w:type="textWrapping"/>
            </w:r>
            <w:r>
              <w:rPr>
                <w:rFonts w:hint="eastAsia" w:ascii="宋体" w:hAnsi="宋体"/>
                <w:kern w:val="0"/>
                <w:sz w:val="22"/>
              </w:rPr>
              <w:t>d)行为分析+混合目标检测：支持全景摄像机进行人员聚集和打架斗殴检测，当检测到报警后，联动细节摄像机对该区域进行人脸/人体抓拍。</w:t>
            </w:r>
            <w:r>
              <w:rPr>
                <w:rFonts w:hint="eastAsia" w:ascii="宋体" w:hAnsi="宋体"/>
                <w:kern w:val="0"/>
                <w:sz w:val="22"/>
              </w:rPr>
              <w:br w:type="textWrapping"/>
            </w:r>
            <w:r>
              <w:rPr>
                <w:rFonts w:hint="eastAsia" w:ascii="宋体" w:hAnsi="宋体"/>
                <w:kern w:val="0"/>
                <w:sz w:val="22"/>
              </w:rPr>
              <w:t>行为分析最远检测距离可达50米。</w:t>
            </w:r>
            <w:r>
              <w:rPr>
                <w:rFonts w:hint="eastAsia" w:ascii="宋体" w:hAnsi="宋体"/>
                <w:kern w:val="0"/>
                <w:sz w:val="22"/>
              </w:rPr>
              <w:br w:type="textWrapping"/>
            </w:r>
            <w:r>
              <w:rPr>
                <w:rFonts w:hint="eastAsia" w:ascii="宋体" w:hAnsi="宋体"/>
                <w:kern w:val="0"/>
                <w:sz w:val="22"/>
              </w:rPr>
              <w:t>4.支持人脸人体车辆同时抓拍，人脸人体关联输出，并实现对人脸、人体、车辆结构化属性特征信息提取。</w:t>
            </w:r>
            <w:r>
              <w:rPr>
                <w:rFonts w:hint="eastAsia" w:ascii="宋体" w:hAnsi="宋体"/>
                <w:kern w:val="0"/>
                <w:sz w:val="22"/>
              </w:rPr>
              <w:br w:type="textWrapping"/>
            </w:r>
            <w:r>
              <w:rPr>
                <w:rFonts w:hint="eastAsia" w:ascii="宋体" w:hAnsi="宋体"/>
                <w:kern w:val="0"/>
                <w:sz w:val="22"/>
              </w:rPr>
              <w:t>5.支持自动标定：内嵌多套枪机视场角参数和畸变参数，枪机在任意角度，任意焦距位置，均可以进行自动标定。支持混合防抖。</w:t>
            </w:r>
            <w:r>
              <w:rPr>
                <w:rFonts w:hint="eastAsia" w:ascii="宋体" w:hAnsi="宋体"/>
                <w:kern w:val="0"/>
                <w:sz w:val="22"/>
              </w:rPr>
              <w:br w:type="textWrapping"/>
            </w:r>
            <w:r>
              <w:rPr>
                <w:rFonts w:hint="eastAsia" w:ascii="宋体" w:hAnsi="宋体"/>
                <w:kern w:val="0"/>
                <w:sz w:val="22"/>
              </w:rPr>
              <w:t>6.采用一体化设计，单IP、单网线、单电源、免服务器，安装便捷</w:t>
            </w:r>
            <w:r>
              <w:rPr>
                <w:rFonts w:hint="eastAsia" w:ascii="宋体" w:hAnsi="宋体"/>
                <w:kern w:val="0"/>
                <w:sz w:val="22"/>
              </w:rPr>
              <w:br w:type="textWrapping"/>
            </w:r>
            <w:r>
              <w:rPr>
                <w:rFonts w:hint="eastAsia" w:ascii="宋体" w:hAnsi="宋体"/>
                <w:kern w:val="0"/>
                <w:sz w:val="22"/>
              </w:rPr>
              <w:t xml:space="preserve">7.传感器类型: </w:t>
            </w:r>
            <w:r>
              <w:rPr>
                <w:rFonts w:hint="eastAsia" w:ascii="宋体" w:hAnsi="宋体"/>
                <w:kern w:val="0"/>
                <w:sz w:val="22"/>
              </w:rPr>
              <w:br w:type="textWrapping"/>
            </w:r>
            <w:r>
              <w:rPr>
                <w:rFonts w:hint="eastAsia" w:ascii="宋体" w:hAnsi="宋体"/>
                <w:kern w:val="0"/>
                <w:sz w:val="22"/>
              </w:rPr>
              <w:t>【全景】1/1.8＂ progressive scan CMOS</w:t>
            </w:r>
            <w:r>
              <w:rPr>
                <w:rFonts w:hint="eastAsia" w:ascii="宋体" w:hAnsi="宋体"/>
                <w:kern w:val="0"/>
                <w:sz w:val="22"/>
              </w:rPr>
              <w:br w:type="textWrapping"/>
            </w:r>
            <w:r>
              <w:rPr>
                <w:rFonts w:hint="eastAsia" w:ascii="宋体" w:hAnsi="宋体"/>
                <w:kern w:val="0"/>
                <w:sz w:val="22"/>
              </w:rPr>
              <w:t>【细节】1/1.8＂ progressive scan CMOS</w:t>
            </w:r>
            <w:r>
              <w:rPr>
                <w:rFonts w:hint="eastAsia" w:ascii="宋体" w:hAnsi="宋体"/>
                <w:kern w:val="0"/>
                <w:sz w:val="22"/>
              </w:rPr>
              <w:br w:type="textWrapping"/>
            </w:r>
            <w:r>
              <w:rPr>
                <w:rFonts w:hint="eastAsia" w:ascii="宋体" w:hAnsi="宋体"/>
                <w:kern w:val="0"/>
                <w:sz w:val="22"/>
              </w:rPr>
              <w:t xml:space="preserve">8.最低照度: </w:t>
            </w:r>
            <w:r>
              <w:rPr>
                <w:rFonts w:hint="eastAsia" w:ascii="宋体" w:hAnsi="宋体"/>
                <w:kern w:val="0"/>
                <w:sz w:val="22"/>
              </w:rPr>
              <w:br w:type="textWrapping"/>
            </w:r>
            <w:r>
              <w:rPr>
                <w:rFonts w:hint="eastAsia" w:ascii="宋体" w:hAnsi="宋体"/>
                <w:kern w:val="0"/>
                <w:sz w:val="22"/>
              </w:rPr>
              <w:t>【全景】彩色 0.0005Lux @ (F1.4，AGC ON)，黑白0.0001Lux @(F1.4，AGC ON)，0Lux with IR</w:t>
            </w:r>
            <w:r>
              <w:rPr>
                <w:rFonts w:hint="eastAsia" w:ascii="宋体" w:hAnsi="宋体"/>
                <w:kern w:val="0"/>
                <w:sz w:val="22"/>
              </w:rPr>
              <w:br w:type="textWrapping"/>
            </w:r>
            <w:r>
              <w:rPr>
                <w:rFonts w:hint="eastAsia" w:ascii="宋体" w:hAnsi="宋体"/>
                <w:kern w:val="0"/>
                <w:sz w:val="22"/>
              </w:rPr>
              <w:t>【细节】彩色 0.0005Lux @ (F1.2，AGC ON)，黑白0.0001Lux @(F1.2，AGC ON)，0Lux with IR</w:t>
            </w:r>
            <w:r>
              <w:rPr>
                <w:rFonts w:hint="eastAsia" w:ascii="宋体" w:hAnsi="宋体"/>
                <w:kern w:val="0"/>
                <w:sz w:val="22"/>
              </w:rPr>
              <w:br w:type="textWrapping"/>
            </w:r>
            <w:r>
              <w:rPr>
                <w:rFonts w:hint="eastAsia" w:ascii="宋体" w:hAnsi="宋体"/>
                <w:kern w:val="0"/>
                <w:sz w:val="22"/>
              </w:rPr>
              <w:t>9.宽动态: 120dB超宽动态</w:t>
            </w:r>
            <w:r>
              <w:rPr>
                <w:rFonts w:hint="eastAsia" w:ascii="宋体" w:hAnsi="宋体"/>
                <w:kern w:val="0"/>
                <w:sz w:val="22"/>
              </w:rPr>
              <w:br w:type="textWrapping"/>
            </w:r>
            <w:r>
              <w:rPr>
                <w:rFonts w:hint="eastAsia" w:ascii="宋体" w:hAnsi="宋体"/>
                <w:kern w:val="0"/>
                <w:sz w:val="22"/>
              </w:rPr>
              <w:t>10.光学变倍:【细节】40倍</w:t>
            </w:r>
            <w:r>
              <w:rPr>
                <w:rFonts w:hint="eastAsia" w:ascii="宋体" w:hAnsi="宋体"/>
                <w:kern w:val="0"/>
                <w:sz w:val="22"/>
              </w:rPr>
              <w:br w:type="textWrapping"/>
            </w:r>
            <w:r>
              <w:rPr>
                <w:rFonts w:hint="eastAsia" w:ascii="宋体" w:hAnsi="宋体"/>
                <w:kern w:val="0"/>
                <w:sz w:val="22"/>
              </w:rPr>
              <w:t>11.焦距: 【全景】2.8-12mm；【细节】6.0-240mm</w:t>
            </w:r>
            <w:r>
              <w:rPr>
                <w:rFonts w:hint="eastAsia" w:ascii="宋体" w:hAnsi="宋体"/>
                <w:kern w:val="0"/>
                <w:sz w:val="22"/>
              </w:rPr>
              <w:br w:type="textWrapping"/>
            </w:r>
            <w:r>
              <w:rPr>
                <w:rFonts w:hint="eastAsia" w:ascii="宋体" w:hAnsi="宋体"/>
                <w:kern w:val="0"/>
                <w:sz w:val="22"/>
              </w:rPr>
              <w:t>12.水平范围: 【全景】0-90°；【细节】0-360°</w:t>
            </w:r>
            <w:r>
              <w:rPr>
                <w:rFonts w:hint="eastAsia" w:ascii="宋体" w:hAnsi="宋体"/>
                <w:kern w:val="0"/>
                <w:sz w:val="22"/>
              </w:rPr>
              <w:br w:type="textWrapping"/>
            </w:r>
            <w:r>
              <w:rPr>
                <w:rFonts w:hint="eastAsia" w:ascii="宋体" w:hAnsi="宋体"/>
                <w:kern w:val="0"/>
                <w:sz w:val="22"/>
              </w:rPr>
              <w:t>13.垂直范围: 【全景】-5-30°；【细节】-20-90°</w:t>
            </w:r>
            <w:r>
              <w:rPr>
                <w:rFonts w:hint="eastAsia" w:ascii="宋体" w:hAnsi="宋体"/>
                <w:kern w:val="0"/>
                <w:sz w:val="22"/>
              </w:rPr>
              <w:br w:type="textWrapping"/>
            </w:r>
            <w:r>
              <w:rPr>
                <w:rFonts w:hint="eastAsia" w:ascii="宋体" w:hAnsi="宋体"/>
                <w:kern w:val="0"/>
                <w:sz w:val="22"/>
              </w:rPr>
              <w:t xml:space="preserve">14.水平速度: </w:t>
            </w:r>
            <w:r>
              <w:rPr>
                <w:rFonts w:hint="eastAsia" w:ascii="宋体" w:hAnsi="宋体"/>
                <w:kern w:val="0"/>
                <w:sz w:val="22"/>
              </w:rPr>
              <w:br w:type="textWrapping"/>
            </w:r>
            <w:r>
              <w:rPr>
                <w:rFonts w:hint="eastAsia" w:ascii="宋体" w:hAnsi="宋体"/>
                <w:kern w:val="0"/>
                <w:sz w:val="22"/>
              </w:rPr>
              <w:t>【全景】 水平监控速度：0.1°-20°/s，速度可设</w:t>
            </w:r>
            <w:r>
              <w:rPr>
                <w:rFonts w:hint="eastAsia" w:ascii="宋体" w:hAnsi="宋体"/>
                <w:kern w:val="0"/>
                <w:sz w:val="22"/>
              </w:rPr>
              <w:br w:type="textWrapping"/>
            </w:r>
            <w:r>
              <w:rPr>
                <w:rFonts w:hint="eastAsia" w:ascii="宋体" w:hAnsi="宋体"/>
                <w:kern w:val="0"/>
                <w:sz w:val="22"/>
              </w:rPr>
              <w:t>【细节】水平键控速度：0.1°-210°/s，速度可设，水平预置点速度：280°/s</w:t>
            </w:r>
            <w:r>
              <w:rPr>
                <w:rFonts w:hint="eastAsia" w:ascii="宋体" w:hAnsi="宋体"/>
                <w:kern w:val="0"/>
                <w:sz w:val="22"/>
              </w:rPr>
              <w:br w:type="textWrapping"/>
            </w:r>
            <w:r>
              <w:rPr>
                <w:rFonts w:hint="eastAsia" w:ascii="宋体" w:hAnsi="宋体"/>
                <w:kern w:val="0"/>
                <w:sz w:val="22"/>
              </w:rPr>
              <w:t>15.垂直速度:</w:t>
            </w:r>
            <w:r>
              <w:rPr>
                <w:rFonts w:hint="eastAsia" w:ascii="宋体" w:hAnsi="宋体"/>
                <w:kern w:val="0"/>
                <w:sz w:val="22"/>
              </w:rPr>
              <w:br w:type="textWrapping"/>
            </w:r>
            <w:r>
              <w:rPr>
                <w:rFonts w:hint="eastAsia" w:ascii="宋体" w:hAnsi="宋体"/>
                <w:kern w:val="0"/>
                <w:sz w:val="22"/>
              </w:rPr>
              <w:t>【全景】垂直键控速度：0.1°-20°/s,速度可设</w:t>
            </w:r>
            <w:r>
              <w:rPr>
                <w:rFonts w:hint="eastAsia" w:ascii="宋体" w:hAnsi="宋体"/>
                <w:kern w:val="0"/>
                <w:sz w:val="22"/>
              </w:rPr>
              <w:br w:type="textWrapping"/>
            </w:r>
            <w:r>
              <w:rPr>
                <w:rFonts w:hint="eastAsia" w:ascii="宋体" w:hAnsi="宋体"/>
                <w:kern w:val="0"/>
                <w:sz w:val="22"/>
              </w:rPr>
              <w:t>【细节】垂直键控速度：0.1°-150°/s，速度可设；垂直预置点速度：250°/s</w:t>
            </w:r>
            <w:r>
              <w:rPr>
                <w:rFonts w:hint="eastAsia" w:ascii="宋体" w:hAnsi="宋体"/>
                <w:kern w:val="0"/>
                <w:sz w:val="22"/>
              </w:rPr>
              <w:br w:type="textWrapping"/>
            </w:r>
            <w:r>
              <w:rPr>
                <w:rFonts w:hint="eastAsia" w:ascii="宋体" w:hAnsi="宋体"/>
                <w:kern w:val="0"/>
                <w:sz w:val="22"/>
              </w:rPr>
              <w:t>16.主码流帧率分辨率: 50Hz: 25/50fps（2560*1440）；60Hz: 30/60fps（2560*1440）</w:t>
            </w:r>
            <w:r>
              <w:rPr>
                <w:rFonts w:hint="eastAsia" w:ascii="宋体" w:hAnsi="宋体"/>
                <w:kern w:val="0"/>
                <w:sz w:val="22"/>
              </w:rPr>
              <w:br w:type="textWrapping"/>
            </w:r>
            <w:r>
              <w:rPr>
                <w:rFonts w:hint="eastAsia" w:ascii="宋体" w:hAnsi="宋体"/>
                <w:kern w:val="0"/>
                <w:sz w:val="22"/>
              </w:rPr>
              <w:t>17.视频压缩标准: H.265,H.264,MJPEG</w:t>
            </w:r>
            <w:r>
              <w:rPr>
                <w:rFonts w:hint="eastAsia" w:ascii="宋体" w:hAnsi="宋体"/>
                <w:kern w:val="0"/>
                <w:sz w:val="22"/>
              </w:rPr>
              <w:br w:type="textWrapping"/>
            </w:r>
            <w:r>
              <w:rPr>
                <w:rFonts w:hint="eastAsia" w:ascii="宋体" w:hAnsi="宋体"/>
                <w:kern w:val="0"/>
                <w:sz w:val="22"/>
              </w:rPr>
              <w:t>18.网络接口: RJ45网口,自适应网络数据,支持1000M网络数据</w:t>
            </w:r>
            <w:r>
              <w:rPr>
                <w:rFonts w:hint="eastAsia" w:ascii="宋体" w:hAnsi="宋体"/>
                <w:kern w:val="0"/>
                <w:sz w:val="22"/>
              </w:rPr>
              <w:br w:type="textWrapping"/>
            </w:r>
            <w:r>
              <w:rPr>
                <w:rFonts w:hint="eastAsia" w:ascii="宋体" w:hAnsi="宋体"/>
                <w:kern w:val="0"/>
                <w:sz w:val="22"/>
              </w:rPr>
              <w:t>19.SD卡扩展: 支持内置Micro SD卡槽</w:t>
            </w:r>
            <w:r>
              <w:rPr>
                <w:rFonts w:hint="eastAsia" w:ascii="宋体" w:hAnsi="宋体"/>
                <w:kern w:val="0"/>
                <w:sz w:val="22"/>
              </w:rPr>
              <w:br w:type="textWrapping"/>
            </w:r>
            <w:r>
              <w:rPr>
                <w:rFonts w:hint="eastAsia" w:ascii="宋体" w:hAnsi="宋体"/>
                <w:kern w:val="0"/>
                <w:sz w:val="22"/>
              </w:rPr>
              <w:t>20.红外照射距离: 【全景】50米；【细节】200米</w:t>
            </w:r>
            <w:r>
              <w:rPr>
                <w:rFonts w:hint="eastAsia" w:ascii="宋体" w:hAnsi="宋体"/>
                <w:kern w:val="0"/>
                <w:sz w:val="22"/>
              </w:rPr>
              <w:br w:type="textWrapping"/>
            </w:r>
            <w:r>
              <w:rPr>
                <w:rFonts w:hint="eastAsia" w:ascii="宋体" w:hAnsi="宋体"/>
                <w:kern w:val="0"/>
                <w:sz w:val="22"/>
              </w:rPr>
              <w:t>21.工作温湿度: -40℃-70℃；湿度小于95%</w:t>
            </w:r>
            <w:r>
              <w:rPr>
                <w:rFonts w:hint="eastAsia" w:ascii="宋体" w:hAnsi="宋体"/>
                <w:kern w:val="0"/>
                <w:sz w:val="22"/>
              </w:rPr>
              <w:br w:type="textWrapping"/>
            </w:r>
            <w:r>
              <w:rPr>
                <w:rFonts w:hint="eastAsia" w:ascii="宋体" w:hAnsi="宋体"/>
                <w:kern w:val="0"/>
                <w:sz w:val="22"/>
              </w:rPr>
              <w:t>22.符合最新GB/T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kern w:val="0"/>
                <w:sz w:val="22"/>
              </w:rPr>
              <w:br w:type="textWrapping"/>
            </w:r>
            <w:r>
              <w:rPr>
                <w:rFonts w:hint="eastAsia" w:ascii="宋体" w:hAnsi="宋体"/>
                <w:kern w:val="0"/>
                <w:sz w:val="22"/>
              </w:rPr>
              <w:t>23.提供完善的SDK开发包及示例源代码，合同期内免费提供软件功能升级与需求定制服务。</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25</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台</w:t>
            </w:r>
          </w:p>
        </w:tc>
      </w:tr>
      <w:tr>
        <w:tblPrEx>
          <w:tblCellMar>
            <w:top w:w="0" w:type="dxa"/>
            <w:left w:w="108" w:type="dxa"/>
            <w:bottom w:w="0" w:type="dxa"/>
            <w:right w:w="108" w:type="dxa"/>
          </w:tblCellMar>
        </w:tblPrEx>
        <w:trPr>
          <w:wBefore w:w="0" w:type="dxa"/>
          <w:wAfter w:w="0" w:type="dxa"/>
          <w:trHeight w:val="885"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6</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立杆</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立杆基础符合DB33/T 502—2004，所有立杆、支架需防锈、镀锌处理；本项目摄像机安装位置一般3米或6米，具体规格尺寸依现场环境定制，投标人报价时需自行考虑风险。</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套</w:t>
            </w:r>
          </w:p>
        </w:tc>
      </w:tr>
      <w:tr>
        <w:tblPrEx>
          <w:tblCellMar>
            <w:top w:w="0" w:type="dxa"/>
            <w:left w:w="108" w:type="dxa"/>
            <w:bottom w:w="0" w:type="dxa"/>
            <w:right w:w="108" w:type="dxa"/>
          </w:tblCellMar>
        </w:tblPrEx>
        <w:trPr>
          <w:wBefore w:w="0" w:type="dxa"/>
          <w:wAfter w:w="0" w:type="dxa"/>
          <w:trHeight w:val="66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7</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支架</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根据现场情况定制，不立杆点位摄像机支架，所有立杆、支架需防锈、镀锌处理；</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180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套</w:t>
            </w:r>
          </w:p>
        </w:tc>
      </w:tr>
      <w:tr>
        <w:tblPrEx>
          <w:tblCellMar>
            <w:top w:w="0" w:type="dxa"/>
            <w:left w:w="108" w:type="dxa"/>
            <w:bottom w:w="0" w:type="dxa"/>
            <w:right w:w="108" w:type="dxa"/>
          </w:tblCellMar>
        </w:tblPrEx>
        <w:trPr>
          <w:wBefore w:w="0" w:type="dxa"/>
          <w:wAfter w:w="0" w:type="dxa"/>
          <w:trHeight w:val="2117"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8</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补光灯</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1. 专业定制：根据监控摄像机配套定制，能与摄像机完美匹配，夜间成像效果良好；</w:t>
            </w:r>
            <w:r>
              <w:rPr>
                <w:rFonts w:hint="eastAsia" w:ascii="宋体" w:hAnsi="宋体"/>
                <w:kern w:val="0"/>
                <w:sz w:val="22"/>
              </w:rPr>
              <w:br w:type="textWrapping"/>
            </w:r>
            <w:r>
              <w:rPr>
                <w:rFonts w:hint="eastAsia" w:ascii="宋体" w:hAnsi="宋体"/>
                <w:kern w:val="0"/>
                <w:sz w:val="22"/>
              </w:rPr>
              <w:t>2.多种发光模式：不同的发光模式匹配不同场景的补光需求。</w:t>
            </w:r>
            <w:r>
              <w:rPr>
                <w:rFonts w:hint="eastAsia" w:ascii="宋体" w:hAnsi="宋体"/>
                <w:kern w:val="0"/>
                <w:sz w:val="22"/>
              </w:rPr>
              <w:br w:type="textWrapping"/>
            </w:r>
            <w:r>
              <w:rPr>
                <w:rFonts w:hint="eastAsia" w:ascii="宋体" w:hAnsi="宋体"/>
                <w:kern w:val="0"/>
                <w:sz w:val="22"/>
              </w:rPr>
              <w:t>3.智能功率控制：智能调整LED补光灯不同发光模式的电源功率，将LED的光效设定在最佳状态，在保证LED长寿命同时让灯的亮度最大；</w:t>
            </w:r>
            <w:r>
              <w:rPr>
                <w:rFonts w:hint="eastAsia" w:ascii="宋体" w:hAnsi="宋体"/>
                <w:kern w:val="0"/>
                <w:sz w:val="22"/>
              </w:rPr>
              <w:br w:type="textWrapping"/>
            </w:r>
            <w:r>
              <w:rPr>
                <w:rFonts w:hint="eastAsia" w:ascii="宋体" w:hAnsi="宋体"/>
                <w:kern w:val="0"/>
                <w:sz w:val="22"/>
              </w:rPr>
              <w:t>4.可靠的散热设计：高效的导热、散热设计，严格控制温升降低光衰延长使用寿命，正常工作温升不超过20℃；</w:t>
            </w:r>
            <w:r>
              <w:rPr>
                <w:rFonts w:hint="eastAsia" w:ascii="宋体" w:hAnsi="宋体"/>
                <w:kern w:val="0"/>
                <w:sz w:val="22"/>
              </w:rPr>
              <w:br w:type="textWrapping"/>
            </w:r>
            <w:r>
              <w:rPr>
                <w:rFonts w:hint="eastAsia" w:ascii="宋体" w:hAnsi="宋体"/>
                <w:kern w:val="0"/>
                <w:sz w:val="22"/>
              </w:rPr>
              <w:t>5.远程亮度可调，可在后端根据需求无极调光；</w:t>
            </w:r>
            <w:r>
              <w:rPr>
                <w:rFonts w:hint="eastAsia" w:ascii="宋体" w:hAnsi="宋体"/>
                <w:kern w:val="0"/>
                <w:sz w:val="22"/>
              </w:rPr>
              <w:br w:type="textWrapping"/>
            </w:r>
            <w:r>
              <w:rPr>
                <w:rFonts w:hint="eastAsia" w:ascii="宋体" w:hAnsi="宋体"/>
                <w:kern w:val="0"/>
                <w:sz w:val="22"/>
              </w:rPr>
              <w:t>6.工作状态远程回传，可根据需要回传工作状态、工作电流</w:t>
            </w:r>
            <w:r>
              <w:rPr>
                <w:rFonts w:hint="eastAsia" w:ascii="宋体" w:hAnsi="宋体"/>
                <w:kern w:val="0"/>
                <w:sz w:val="22"/>
              </w:rPr>
              <w:br w:type="textWrapping"/>
            </w:r>
            <w:r>
              <w:rPr>
                <w:rFonts w:hint="eastAsia" w:ascii="宋体" w:hAnsi="宋体"/>
                <w:kern w:val="0"/>
                <w:sz w:val="22"/>
              </w:rPr>
              <w:t>7.高效节能：选用原装进口大品牌LED晶圆，最大光效不小于150LM/W，出光角度10°-45°可选，响应时间&lt;=40us, 待机功率&lt;=3W，工作功率&gt;=30W，额定功率&gt;=75W；</w:t>
            </w:r>
            <w:r>
              <w:rPr>
                <w:rFonts w:hint="eastAsia" w:ascii="宋体" w:hAnsi="宋体"/>
                <w:kern w:val="0"/>
                <w:sz w:val="22"/>
              </w:rPr>
              <w:br w:type="textWrapping"/>
            </w:r>
            <w:r>
              <w:rPr>
                <w:rFonts w:hint="eastAsia" w:ascii="宋体" w:hAnsi="宋体"/>
                <w:kern w:val="0"/>
                <w:sz w:val="22"/>
              </w:rPr>
              <w:t>8.白天调试方案：提供白天调试方案，让施工人员在白天就可以调整补光范围，避免夜间带电施工的安全隐患。</w:t>
            </w:r>
            <w:r>
              <w:rPr>
                <w:rFonts w:hint="eastAsia" w:ascii="宋体" w:hAnsi="宋体"/>
                <w:kern w:val="0"/>
                <w:sz w:val="22"/>
              </w:rPr>
              <w:br w:type="textWrapping"/>
            </w:r>
            <w:r>
              <w:rPr>
                <w:rFonts w:hint="eastAsia" w:ascii="宋体" w:hAnsi="宋体"/>
                <w:kern w:val="0"/>
                <w:sz w:val="22"/>
              </w:rPr>
              <w:t>9.输入电源兼容AC220V/50Hz±10%与DC24V±10%，防水等级IP65，工作温度-20~+60℃。</w:t>
            </w:r>
            <w:r>
              <w:rPr>
                <w:rFonts w:hint="eastAsia" w:ascii="宋体" w:hAnsi="宋体"/>
                <w:kern w:val="0"/>
                <w:sz w:val="22"/>
              </w:rPr>
              <w:br w:type="textWrapping"/>
            </w:r>
            <w:r>
              <w:rPr>
                <w:rFonts w:hint="eastAsia" w:ascii="宋体" w:hAnsi="宋体"/>
                <w:kern w:val="0"/>
                <w:sz w:val="22"/>
              </w:rPr>
              <w:t>10.免费提供SDK对接代码程序，需兼容对接智能运维平台控制系统实现设备全程感知、全程控制、智能运维（包含设备开关、亮度调整、时控设置等）。1年内损坏必须免费换新服务不维修。</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套</w:t>
            </w:r>
          </w:p>
        </w:tc>
      </w:tr>
      <w:tr>
        <w:tblPrEx>
          <w:tblCellMar>
            <w:top w:w="0" w:type="dxa"/>
            <w:left w:w="108" w:type="dxa"/>
            <w:bottom w:w="0" w:type="dxa"/>
            <w:right w:w="108" w:type="dxa"/>
          </w:tblCellMar>
        </w:tblPrEx>
        <w:trPr>
          <w:wBefore w:w="0" w:type="dxa"/>
          <w:wAfter w:w="0" w:type="dxa"/>
          <w:trHeight w:val="1833"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9</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前端智能管理单元（含配套定制化抱箍）</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1、一体化智能管理单元，包含一体化电源模块以及前端设备联网的光网设备(端口数不少于4端口并可满足招标方实际需求)；</w:t>
            </w:r>
            <w:r>
              <w:rPr>
                <w:rFonts w:hint="eastAsia" w:ascii="宋体" w:hAnsi="宋体"/>
                <w:kern w:val="0"/>
                <w:sz w:val="22"/>
              </w:rPr>
              <w:br w:type="textWrapping"/>
            </w:r>
            <w:r>
              <w:rPr>
                <w:rFonts w:hint="eastAsia" w:ascii="宋体" w:hAnsi="宋体"/>
                <w:kern w:val="0"/>
                <w:sz w:val="22"/>
              </w:rPr>
              <w:t>2、含空气开关、防浪涌保护器（40KA）；</w:t>
            </w:r>
            <w:r>
              <w:rPr>
                <w:rFonts w:hint="eastAsia" w:ascii="宋体" w:hAnsi="宋体"/>
                <w:kern w:val="0"/>
                <w:sz w:val="22"/>
              </w:rPr>
              <w:br w:type="textWrapping"/>
            </w:r>
            <w:r>
              <w:rPr>
                <w:rFonts w:hint="eastAsia" w:ascii="宋体" w:hAnsi="宋体"/>
                <w:kern w:val="0"/>
                <w:sz w:val="22"/>
              </w:rPr>
              <w:t>3、一路AC220V输入，最大电流40A，三路AC220V输出，每路最大电流20A；</w:t>
            </w:r>
            <w:r>
              <w:rPr>
                <w:rFonts w:hint="eastAsia" w:ascii="宋体" w:hAnsi="宋体"/>
                <w:kern w:val="0"/>
                <w:sz w:val="22"/>
              </w:rPr>
              <w:br w:type="textWrapping"/>
            </w:r>
            <w:r>
              <w:rPr>
                <w:rFonts w:hint="eastAsia" w:ascii="宋体" w:hAnsi="宋体"/>
                <w:kern w:val="0"/>
                <w:sz w:val="22"/>
              </w:rPr>
              <w:t>4、每一路AC220V输出，具备时控功能，同时可手动远程控制通断；</w:t>
            </w:r>
            <w:r>
              <w:rPr>
                <w:rFonts w:hint="eastAsia" w:ascii="宋体" w:hAnsi="宋体"/>
                <w:kern w:val="0"/>
                <w:sz w:val="22"/>
              </w:rPr>
              <w:br w:type="textWrapping"/>
            </w:r>
            <w:r>
              <w:rPr>
                <w:rFonts w:hint="eastAsia" w:ascii="宋体" w:hAnsi="宋体"/>
                <w:kern w:val="0"/>
                <w:sz w:val="22"/>
              </w:rPr>
              <w:t>5、两路DC12V输出，总的电流不少于2.5A,带延时功能，延时不少于160ms，可供给光猫和交换机；</w:t>
            </w:r>
            <w:r>
              <w:rPr>
                <w:rFonts w:hint="eastAsia" w:ascii="宋体" w:hAnsi="宋体"/>
                <w:kern w:val="0"/>
                <w:sz w:val="22"/>
              </w:rPr>
              <w:br w:type="textWrapping"/>
            </w:r>
            <w:r>
              <w:rPr>
                <w:rFonts w:hint="eastAsia" w:ascii="宋体" w:hAnsi="宋体"/>
                <w:kern w:val="0"/>
                <w:sz w:val="22"/>
              </w:rPr>
              <w:t>6、一路门禁报警输入、一路水浸报警输入、一个RS-232、一个RS-485透传接口、8路GPIO口、一路10M-100M自适应可选电口；</w:t>
            </w:r>
            <w:r>
              <w:rPr>
                <w:rFonts w:hint="eastAsia" w:ascii="宋体" w:hAnsi="宋体"/>
                <w:kern w:val="0"/>
                <w:sz w:val="22"/>
              </w:rPr>
              <w:br w:type="textWrapping"/>
            </w:r>
            <w:r>
              <w:rPr>
                <w:rFonts w:hint="eastAsia" w:ascii="宋体" w:hAnsi="宋体"/>
                <w:kern w:val="0"/>
                <w:sz w:val="22"/>
              </w:rPr>
              <w:t>7、具备UPS接口，可外接UPS，断电时切换UPS供电、智能充电，充满自动停止，有效保护电池，延长寿命。</w:t>
            </w:r>
            <w:r>
              <w:rPr>
                <w:rFonts w:hint="eastAsia" w:ascii="宋体" w:hAnsi="宋体"/>
                <w:kern w:val="0"/>
                <w:sz w:val="22"/>
              </w:rPr>
              <w:br w:type="textWrapping"/>
            </w:r>
            <w:r>
              <w:rPr>
                <w:rFonts w:hint="eastAsia" w:ascii="宋体" w:hAnsi="宋体"/>
                <w:kern w:val="0"/>
                <w:sz w:val="22"/>
              </w:rPr>
              <w:t>8、具备断电告警功能，设备具有在外部供电中断时，实时将断电信息回传至平台或客户端并报警；</w:t>
            </w:r>
            <w:r>
              <w:rPr>
                <w:rFonts w:hint="eastAsia" w:ascii="宋体" w:hAnsi="宋体"/>
                <w:kern w:val="0"/>
                <w:sz w:val="22"/>
              </w:rPr>
              <w:br w:type="textWrapping"/>
            </w:r>
            <w:r>
              <w:rPr>
                <w:rFonts w:hint="eastAsia" w:ascii="宋体" w:hAnsi="宋体"/>
                <w:kern w:val="0"/>
                <w:sz w:val="22"/>
              </w:rPr>
              <w:t>9、支持工作状态监测，实时发送每一路电流/电压值、时控状态、门开关状态、水浸状态等状态至相关平台；</w:t>
            </w:r>
            <w:r>
              <w:rPr>
                <w:rFonts w:hint="eastAsia" w:ascii="宋体" w:hAnsi="宋体"/>
                <w:kern w:val="0"/>
                <w:sz w:val="22"/>
              </w:rPr>
              <w:br w:type="textWrapping"/>
            </w:r>
            <w:r>
              <w:rPr>
                <w:rFonts w:hint="eastAsia" w:ascii="宋体" w:hAnsi="宋体"/>
                <w:kern w:val="0"/>
                <w:sz w:val="22"/>
              </w:rPr>
              <w:t>10、当设备电流/电压等数据超出设定范围时、机箱门处于开启状态时，具有报警功能，报警包上传客户端。具备自动控制风扇功能，在温度超过或低于预定值时，自动开启或关闭风扇功能；</w:t>
            </w:r>
            <w:r>
              <w:rPr>
                <w:rFonts w:hint="eastAsia" w:ascii="宋体" w:hAnsi="宋体"/>
                <w:kern w:val="0"/>
                <w:sz w:val="22"/>
              </w:rPr>
              <w:br w:type="textWrapping"/>
            </w:r>
            <w:r>
              <w:rPr>
                <w:rFonts w:hint="eastAsia" w:ascii="宋体" w:hAnsi="宋体"/>
                <w:kern w:val="0"/>
                <w:sz w:val="22"/>
              </w:rPr>
              <w:t>11、设备具有直接接入网络功能，可单独设置IP，并可通过IE浏览器或客户端软件登录管理设备，远程修改配置各项参数；</w:t>
            </w:r>
            <w:r>
              <w:rPr>
                <w:rFonts w:hint="eastAsia" w:ascii="宋体" w:hAnsi="宋体"/>
                <w:kern w:val="0"/>
                <w:sz w:val="22"/>
              </w:rPr>
              <w:br w:type="textWrapping"/>
            </w:r>
            <w:r>
              <w:rPr>
                <w:rFonts w:hint="eastAsia" w:ascii="宋体" w:hAnsi="宋体"/>
                <w:kern w:val="0"/>
                <w:sz w:val="22"/>
              </w:rPr>
              <w:t>12、专业定制网络，采用304不锈钢或者稳定性相当的材质，板材厚度不少于1.2mm。机箱表面进行白色喷塑处理，至少5年内不会出现明显的锈蚀或老化现象；</w:t>
            </w:r>
            <w:r>
              <w:rPr>
                <w:rFonts w:hint="eastAsia" w:ascii="宋体" w:hAnsi="宋体"/>
                <w:kern w:val="0"/>
                <w:sz w:val="22"/>
              </w:rPr>
              <w:br w:type="textWrapping"/>
            </w:r>
            <w:r>
              <w:rPr>
                <w:rFonts w:hint="eastAsia" w:ascii="宋体" w:hAnsi="宋体"/>
                <w:kern w:val="0"/>
                <w:sz w:val="22"/>
              </w:rPr>
              <w:t>13、机箱防护等级不低于IP54，机箱正面警徽、民安工程、网络箱编号的颜色鲜艳、清晰，保证5年内雨淋、日晒不脱落、不会明显褪色；</w:t>
            </w:r>
            <w:r>
              <w:rPr>
                <w:rFonts w:hint="eastAsia" w:ascii="宋体" w:hAnsi="宋体"/>
                <w:kern w:val="0"/>
                <w:sz w:val="22"/>
              </w:rPr>
              <w:br w:type="textWrapping"/>
            </w:r>
            <w:r>
              <w:rPr>
                <w:rFonts w:hint="eastAsia" w:ascii="宋体" w:hAnsi="宋体"/>
                <w:kern w:val="0"/>
                <w:sz w:val="22"/>
              </w:rPr>
              <w:t>14、结构按照上面所列设备的规格进行定制，提供定制的光纤盘位、电源模组安装位、空开和防雷设备安装位，隔热、散热、防护良好，布局合理、模块化清晰，强电部分进行区域绝缘隔离，让日常运维更安全，配备三眼插座，便于调试人员临时取电；</w:t>
            </w:r>
            <w:r>
              <w:rPr>
                <w:rFonts w:hint="eastAsia" w:ascii="宋体" w:hAnsi="宋体"/>
                <w:kern w:val="0"/>
                <w:sz w:val="22"/>
              </w:rPr>
              <w:br w:type="textWrapping"/>
            </w:r>
            <w:r>
              <w:rPr>
                <w:rFonts w:hint="eastAsia" w:ascii="宋体" w:hAnsi="宋体"/>
                <w:kern w:val="0"/>
                <w:sz w:val="22"/>
              </w:rPr>
              <w:t xml:space="preserve">15、机箱门采用天地连杆锁，解决时间长门锁松动导致进水的问题。 </w:t>
            </w:r>
            <w:r>
              <w:rPr>
                <w:rFonts w:hint="eastAsia" w:ascii="宋体" w:hAnsi="宋体"/>
                <w:kern w:val="0"/>
                <w:sz w:val="22"/>
              </w:rPr>
              <w:br w:type="textWrapping"/>
            </w:r>
            <w:r>
              <w:rPr>
                <w:rFonts w:hint="eastAsia" w:ascii="宋体" w:hAnsi="宋体"/>
                <w:kern w:val="0"/>
                <w:sz w:val="22"/>
              </w:rPr>
              <w:t>16、免费提供SDK对接代码程序，需兼容对接智能运维平台控制系统实现设备全程感知、全程控制、智能运维。1年内损坏必须换新服务，不维修。</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个</w:t>
            </w:r>
          </w:p>
        </w:tc>
      </w:tr>
      <w:tr>
        <w:tblPrEx>
          <w:tblCellMar>
            <w:top w:w="0" w:type="dxa"/>
            <w:left w:w="108" w:type="dxa"/>
            <w:bottom w:w="0" w:type="dxa"/>
            <w:right w:w="108" w:type="dxa"/>
          </w:tblCellMar>
        </w:tblPrEx>
        <w:trPr>
          <w:wBefore w:w="0" w:type="dxa"/>
          <w:wAfter w:w="0" w:type="dxa"/>
          <w:trHeight w:val="264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10</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平台接入、系统集成</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 xml:space="preserve">1.要求监控点接入龙湾公安分局视频共享平台，并符合温州市局所有相关技术规范，可实现省、市、县三级互联、互通、互控。      </w:t>
            </w:r>
            <w:r>
              <w:rPr>
                <w:rFonts w:hint="eastAsia" w:ascii="宋体" w:hAnsi="宋体"/>
                <w:kern w:val="0"/>
                <w:sz w:val="22"/>
              </w:rPr>
              <w:br w:type="textWrapping"/>
            </w:r>
            <w:r>
              <w:rPr>
                <w:rFonts w:hint="eastAsia" w:ascii="宋体" w:hAnsi="宋体"/>
                <w:kern w:val="0"/>
                <w:sz w:val="22"/>
              </w:rPr>
              <w:t>2.本项目中支持车辆抓拍的摄像头要求接入龙湾公安卡口汇聚平台。</w:t>
            </w:r>
            <w:r>
              <w:rPr>
                <w:rFonts w:hint="eastAsia" w:ascii="宋体" w:hAnsi="宋体"/>
                <w:kern w:val="0"/>
                <w:sz w:val="22"/>
              </w:rPr>
              <w:br w:type="textWrapping"/>
            </w:r>
            <w:r>
              <w:rPr>
                <w:rFonts w:hint="eastAsia" w:ascii="宋体" w:hAnsi="宋体"/>
                <w:kern w:val="0"/>
                <w:sz w:val="22"/>
              </w:rPr>
              <w:t>3.本项目中支持人脸抓拍的摄像头要求接入龙湾公安人像汇聚平台。</w:t>
            </w:r>
            <w:r>
              <w:rPr>
                <w:rFonts w:hint="eastAsia" w:ascii="宋体" w:hAnsi="宋体"/>
                <w:kern w:val="0"/>
                <w:sz w:val="22"/>
              </w:rPr>
              <w:br w:type="textWrapping"/>
            </w:r>
            <w:r>
              <w:rPr>
                <w:rFonts w:hint="eastAsia" w:ascii="宋体" w:hAnsi="宋体"/>
                <w:kern w:val="0"/>
                <w:sz w:val="22"/>
              </w:rPr>
              <w:t>4.要求保证该批监控点位在现有龙湾公安视频专网及公安网下的良好运行（投标方可到龙湾公安分局了解现有网络情况，联系方式详见投标邀请函）。</w:t>
            </w:r>
            <w:r>
              <w:rPr>
                <w:rFonts w:hint="eastAsia" w:ascii="宋体" w:hAnsi="宋体"/>
                <w:kern w:val="0"/>
                <w:sz w:val="22"/>
              </w:rPr>
              <w:br w:type="textWrapping"/>
            </w:r>
            <w:r>
              <w:rPr>
                <w:rFonts w:hint="eastAsia" w:ascii="宋体" w:hAnsi="宋体"/>
                <w:kern w:val="0"/>
                <w:sz w:val="22"/>
              </w:rPr>
              <w:t>5.若本项目视频监控点位接入现有平台，需要对现有公安视频监控平台进行软硬件扩容（如需要增加服务器、交换机、软件授权等），由供货商根据本项目实际需求自行解决，采购方不再增加额外费用。</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559"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11</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高清存储</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1.符合浙江省公安厅“双网双平台”建设要求，并能够与前端摄像机设备结合实现存储注册直写；同时符合《温州市安全防范视频监控联网系统信息传输交换控制技术要求》的技术架构标准（五层架构）；能够通过云存储管理节点接入温州市公安局视频监控平台云存储系统；</w:t>
            </w:r>
            <w:r>
              <w:rPr>
                <w:rFonts w:hint="eastAsia" w:ascii="宋体" w:hAnsi="宋体"/>
                <w:kern w:val="0"/>
                <w:sz w:val="22"/>
              </w:rPr>
              <w:br w:type="textWrapping"/>
            </w:r>
            <w:r>
              <w:rPr>
                <w:rFonts w:hint="eastAsia" w:ascii="宋体" w:hAnsi="宋体"/>
                <w:kern w:val="0"/>
                <w:sz w:val="22"/>
              </w:rPr>
              <w:t>2.支持RAID0/1/5/6/10/50/60等标准，支持热备盘模式，RAID重建过程中对业务不中断、不卡顿；</w:t>
            </w:r>
            <w:r>
              <w:rPr>
                <w:rFonts w:hint="eastAsia" w:ascii="宋体" w:hAnsi="宋体"/>
                <w:kern w:val="0"/>
                <w:sz w:val="22"/>
              </w:rPr>
              <w:br w:type="textWrapping"/>
            </w:r>
            <w:r>
              <w:rPr>
                <w:rFonts w:hint="eastAsia" w:ascii="宋体" w:hAnsi="宋体"/>
                <w:kern w:val="0"/>
                <w:sz w:val="22"/>
              </w:rPr>
              <w:t>3.高清网络视频监控的数据通过光纤传输到中心机房网存储系统进行集中存储，25fps/4Mbps码流/30天*24小时，支持断网续传功能；</w:t>
            </w:r>
            <w:r>
              <w:rPr>
                <w:rFonts w:hint="eastAsia" w:ascii="宋体" w:hAnsi="宋体"/>
                <w:kern w:val="0"/>
                <w:sz w:val="22"/>
              </w:rPr>
              <w:br w:type="textWrapping"/>
            </w:r>
            <w:r>
              <w:rPr>
                <w:rFonts w:hint="eastAsia" w:ascii="宋体" w:hAnsi="宋体"/>
                <w:kern w:val="0"/>
                <w:sz w:val="22"/>
              </w:rPr>
              <w:t>4.摄像机采用直接写入存储阵列方式，视频存储功能与监控平台无关，即在视频监控平台出现故障时，不影响整个视频监控系统的存储功能；</w:t>
            </w:r>
            <w:r>
              <w:rPr>
                <w:rFonts w:hint="eastAsia" w:ascii="宋体" w:hAnsi="宋体"/>
                <w:kern w:val="0"/>
                <w:sz w:val="22"/>
              </w:rPr>
              <w:br w:type="textWrapping"/>
            </w:r>
            <w:r>
              <w:rPr>
                <w:rFonts w:hint="eastAsia" w:ascii="宋体" w:hAnsi="宋体"/>
                <w:kern w:val="0"/>
                <w:sz w:val="22"/>
              </w:rPr>
              <w:t>5.具备负载均衡机制和容灾备份功能；</w:t>
            </w:r>
            <w:r>
              <w:rPr>
                <w:rFonts w:hint="eastAsia" w:ascii="宋体" w:hAnsi="宋体"/>
                <w:kern w:val="0"/>
                <w:sz w:val="22"/>
              </w:rPr>
              <w:br w:type="textWrapping"/>
            </w:r>
            <w:r>
              <w:rPr>
                <w:rFonts w:hint="eastAsia" w:ascii="宋体" w:hAnsi="宋体"/>
                <w:kern w:val="0"/>
                <w:sz w:val="22"/>
              </w:rPr>
              <w:t>6.支持DB33-Part6(SNMP)网管协议，在一个管理界面中可以管理多台存储设备；</w:t>
            </w:r>
            <w:r>
              <w:rPr>
                <w:rFonts w:hint="eastAsia" w:ascii="宋体" w:hAnsi="宋体"/>
                <w:kern w:val="0"/>
                <w:sz w:val="22"/>
              </w:rPr>
              <w:br w:type="textWrapping"/>
            </w:r>
            <w:r>
              <w:rPr>
                <w:rFonts w:hint="eastAsia" w:ascii="宋体" w:hAnsi="宋体"/>
                <w:kern w:val="0"/>
                <w:sz w:val="22"/>
              </w:rPr>
              <w:t>7.提供完善的SDK开发包及示例源代码，合同期内免费提供软件功能升级与需求定制服务。</w:t>
            </w:r>
            <w:r>
              <w:rPr>
                <w:rFonts w:hint="eastAsia" w:ascii="宋体" w:hAnsi="宋体"/>
                <w:kern w:val="0"/>
                <w:sz w:val="22"/>
              </w:rPr>
              <w:br w:type="textWrapping"/>
            </w:r>
            <w:r>
              <w:rPr>
                <w:rFonts w:hint="eastAsia" w:ascii="宋体" w:hAnsi="宋体"/>
                <w:kern w:val="0"/>
                <w:sz w:val="22"/>
              </w:rPr>
              <w:t>8.若本项目视频监控点位接入云存储管理节点，需要对现有云存储管理节点进行软硬件扩容或需新建云存储管理节点（如需要增加服务器、交换机、软件授权等），由供货商根据本项目实际需求自行解决，采购方不再增加额外费用。</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192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12</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简易监控</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含室外400万像素人脸抓拍摄像机（400万像素人脸抓拍筒机，采用高性能智能芯片、安装附件等配件；定焦镜头：3.6mm、6mm、8mm、12mm、16mm、具体可根据实际场景选择；靶面尺寸≥1/2.7"；自带白光或红外补光；最低照度：0.001Lux(彩色模式) 0.0001Lux(黑白模式)；本地存储：支持Micro SD/SDHC/SDXC卡(128G)，支持断网续传；电源输入：DC12V±20%；防护等级：IP67）、VPN链路（5年）、存储设备（2Mbps码流/15天*24小时）、配套设备及辅材、施工费、电费（5年）、运维费（5年），要求连入龙湾公安分局指定的监控平台</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6452"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13</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超融合异构一体机</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国内知名品牌，采用linux存储专用操作系统，拥有自主知识产权，不接受OEM或联合品牌产品</w:t>
            </w:r>
            <w:r>
              <w:rPr>
                <w:rFonts w:hint="eastAsia" w:ascii="宋体" w:hAnsi="宋体"/>
                <w:kern w:val="0"/>
                <w:sz w:val="22"/>
              </w:rPr>
              <w:br w:type="textWrapping"/>
            </w:r>
            <w:r>
              <w:rPr>
                <w:rFonts w:hint="eastAsia" w:ascii="宋体" w:hAnsi="宋体"/>
                <w:kern w:val="0"/>
                <w:sz w:val="22"/>
              </w:rPr>
              <w:t xml:space="preserve">全对称分布式架构，数据均衡分布无需专门的元数据服务器，无需配置单独的管理服务器； </w:t>
            </w:r>
            <w:r>
              <w:rPr>
                <w:rFonts w:hint="eastAsia" w:ascii="宋体" w:hAnsi="宋体"/>
                <w:kern w:val="0"/>
                <w:sz w:val="22"/>
              </w:rPr>
              <w:br w:type="textWrapping"/>
            </w:r>
            <w:r>
              <w:rPr>
                <w:rFonts w:hint="eastAsia" w:ascii="宋体" w:hAnsi="宋体"/>
                <w:kern w:val="0"/>
                <w:sz w:val="22"/>
              </w:rPr>
              <w:t>单控支持单节点部署，可以无缝扩容到集群</w:t>
            </w:r>
            <w:r>
              <w:rPr>
                <w:rFonts w:hint="eastAsia" w:ascii="宋体" w:hAnsi="宋体"/>
                <w:kern w:val="0"/>
                <w:sz w:val="22"/>
              </w:rPr>
              <w:br w:type="textWrapping"/>
            </w:r>
            <w:r>
              <w:rPr>
                <w:rFonts w:hint="eastAsia" w:ascii="宋体" w:hAnsi="宋体"/>
                <w:kern w:val="0"/>
                <w:sz w:val="22"/>
              </w:rPr>
              <w:t>支持在线横向扩展，性能、容量随节点数增加而线性增加，系统支持≥128节点线性扩展；</w:t>
            </w:r>
            <w:r>
              <w:rPr>
                <w:rFonts w:hint="eastAsia" w:ascii="宋体" w:hAnsi="宋体"/>
                <w:kern w:val="0"/>
                <w:sz w:val="22"/>
              </w:rPr>
              <w:br w:type="textWrapping"/>
            </w:r>
            <w:r>
              <w:rPr>
                <w:rFonts w:hint="eastAsia" w:ascii="宋体" w:hAnsi="宋体"/>
                <w:kern w:val="0"/>
                <w:sz w:val="22"/>
              </w:rPr>
              <w:t>统一存储架构，支持NAS、IPSAN、FCSAN融合组网功能，非SAN控制器+NAS机头模式；</w:t>
            </w:r>
            <w:r>
              <w:rPr>
                <w:rFonts w:hint="eastAsia" w:ascii="宋体" w:hAnsi="宋体"/>
                <w:kern w:val="0"/>
                <w:sz w:val="22"/>
              </w:rPr>
              <w:br w:type="textWrapping"/>
            </w:r>
            <w:r>
              <w:rPr>
                <w:rFonts w:hint="eastAsia" w:ascii="宋体" w:hAnsi="宋体"/>
                <w:kern w:val="0"/>
                <w:sz w:val="22"/>
              </w:rPr>
              <w:t>支持统一命名空间，并以一个IP地址对外提供存储服务；</w:t>
            </w:r>
            <w:r>
              <w:rPr>
                <w:rFonts w:hint="eastAsia" w:ascii="宋体" w:hAnsi="宋体"/>
                <w:kern w:val="0"/>
                <w:sz w:val="22"/>
              </w:rPr>
              <w:br w:type="textWrapping"/>
            </w:r>
            <w:r>
              <w:rPr>
                <w:rFonts w:hint="eastAsia" w:ascii="宋体" w:hAnsi="宋体"/>
                <w:kern w:val="0"/>
                <w:sz w:val="22"/>
              </w:rPr>
              <w:t>4U高度，采用双64位多核CPU、内存≥64GB，单机支持≥24盘位</w:t>
            </w:r>
            <w:r>
              <w:rPr>
                <w:rFonts w:hint="eastAsia" w:ascii="宋体" w:hAnsi="宋体"/>
                <w:kern w:val="0"/>
                <w:sz w:val="22"/>
              </w:rPr>
              <w:br w:type="textWrapping"/>
            </w:r>
            <w:r>
              <w:rPr>
                <w:rFonts w:hint="eastAsia" w:ascii="宋体" w:hAnsi="宋体"/>
                <w:kern w:val="0"/>
                <w:sz w:val="22"/>
              </w:rPr>
              <w:t>单控标配6个网口，最大支持14个千兆、8个万兆、8个FC端口</w:t>
            </w:r>
            <w:r>
              <w:rPr>
                <w:rFonts w:hint="eastAsia" w:ascii="宋体" w:hAnsi="宋体"/>
                <w:kern w:val="0"/>
                <w:sz w:val="22"/>
              </w:rPr>
              <w:br w:type="textWrapping"/>
            </w:r>
            <w:r>
              <w:rPr>
                <w:rFonts w:hint="eastAsia" w:ascii="宋体" w:hAnsi="宋体"/>
                <w:kern w:val="0"/>
                <w:sz w:val="22"/>
              </w:rPr>
              <w:t>系统配置全冗余模块化体系结构，系统没有单点故障；</w:t>
            </w:r>
            <w:r>
              <w:rPr>
                <w:rFonts w:hint="eastAsia" w:ascii="宋体" w:hAnsi="宋体"/>
                <w:kern w:val="0"/>
                <w:sz w:val="22"/>
              </w:rPr>
              <w:br w:type="textWrapping"/>
            </w:r>
            <w:r>
              <w:rPr>
                <w:rFonts w:hint="eastAsia" w:ascii="宋体" w:hAnsi="宋体"/>
                <w:kern w:val="0"/>
                <w:sz w:val="22"/>
              </w:rPr>
              <w:t>支持2.5、3.5寸磁盘，支持SATA、SSD、SAS或NL-SAS硬盘类型，支持不同容量和转速的同类型磁盘的混插扩容；</w:t>
            </w:r>
            <w:r>
              <w:rPr>
                <w:rFonts w:hint="eastAsia" w:ascii="宋体" w:hAnsi="宋体"/>
                <w:kern w:val="0"/>
                <w:sz w:val="22"/>
              </w:rPr>
              <w:br w:type="textWrapping"/>
            </w:r>
            <w:r>
              <w:rPr>
                <w:rFonts w:hint="eastAsia" w:ascii="宋体" w:hAnsi="宋体"/>
                <w:kern w:val="0"/>
                <w:sz w:val="22"/>
              </w:rPr>
              <w:t>可选支持BBU掉电保护，支持UPS掉电保护；</w:t>
            </w:r>
            <w:r>
              <w:rPr>
                <w:rFonts w:hint="eastAsia" w:ascii="宋体" w:hAnsi="宋体"/>
                <w:kern w:val="0"/>
                <w:sz w:val="22"/>
              </w:rPr>
              <w:br w:type="textWrapping"/>
            </w:r>
            <w:r>
              <w:rPr>
                <w:rFonts w:hint="eastAsia" w:ascii="宋体" w:hAnsi="宋体"/>
                <w:kern w:val="0"/>
                <w:sz w:val="22"/>
              </w:rPr>
              <w:t>支持跨节点的N+M纠删码数据保护，支持最多同时坏4个节点数据不丢失，业务不停止，支持磁盘利用率最高为97.9%的高利用率模式；</w:t>
            </w:r>
            <w:r>
              <w:rPr>
                <w:rFonts w:hint="eastAsia" w:ascii="宋体" w:hAnsi="宋体"/>
                <w:kern w:val="0"/>
                <w:sz w:val="22"/>
              </w:rPr>
              <w:br w:type="textWrapping"/>
            </w:r>
            <w:r>
              <w:rPr>
                <w:rFonts w:hint="eastAsia" w:ascii="宋体" w:hAnsi="宋体"/>
                <w:kern w:val="0"/>
                <w:sz w:val="22"/>
              </w:rPr>
              <w:t>针对录像应用，在硬盘丢失超过数据冗余保护时，无需等待丢失盘恢复，可以在剩余的硬盘中的数据可正常读出，且新数据可正常写入；</w:t>
            </w:r>
            <w:r>
              <w:rPr>
                <w:rFonts w:hint="eastAsia" w:ascii="宋体" w:hAnsi="宋体"/>
                <w:kern w:val="0"/>
                <w:sz w:val="22"/>
              </w:rPr>
              <w:br w:type="textWrapping"/>
            </w:r>
            <w:r>
              <w:rPr>
                <w:rFonts w:hint="eastAsia" w:ascii="宋体" w:hAnsi="宋体"/>
                <w:kern w:val="0"/>
                <w:sz w:val="22"/>
              </w:rPr>
              <w:t>支持1~8副本的部署方式，并提供检测报告支持；</w:t>
            </w:r>
            <w:r>
              <w:rPr>
                <w:rFonts w:hint="eastAsia" w:ascii="宋体" w:hAnsi="宋体"/>
                <w:kern w:val="0"/>
                <w:sz w:val="22"/>
              </w:rPr>
              <w:br w:type="textWrapping"/>
            </w:r>
            <w:r>
              <w:rPr>
                <w:rFonts w:hint="eastAsia" w:ascii="宋体" w:hAnsi="宋体"/>
                <w:kern w:val="0"/>
                <w:sz w:val="22"/>
              </w:rPr>
              <w:t>支持数据归档功能，可将录像、文件直接归档到磁带库，无需单独备份软件；</w:t>
            </w:r>
            <w:r>
              <w:rPr>
                <w:rFonts w:hint="eastAsia" w:ascii="宋体" w:hAnsi="宋体"/>
                <w:kern w:val="0"/>
                <w:sz w:val="22"/>
              </w:rPr>
              <w:br w:type="textWrapping"/>
            </w:r>
            <w:r>
              <w:rPr>
                <w:rFonts w:hint="eastAsia" w:ascii="宋体" w:hAnsi="宋体"/>
                <w:kern w:val="0"/>
                <w:sz w:val="22"/>
              </w:rPr>
              <w:t>支持视音频、图片、智能数据流进行混合直存，无需存储服务器和图片服务器参与，平台服务器拓机不影响存储业务；</w:t>
            </w:r>
            <w:r>
              <w:rPr>
                <w:rFonts w:hint="eastAsia" w:ascii="宋体" w:hAnsi="宋体"/>
                <w:kern w:val="0"/>
                <w:sz w:val="22"/>
              </w:rPr>
              <w:br w:type="textWrapping"/>
            </w:r>
            <w:r>
              <w:rPr>
                <w:rFonts w:hint="eastAsia" w:ascii="宋体" w:hAnsi="宋体"/>
                <w:kern w:val="0"/>
                <w:sz w:val="22"/>
              </w:rPr>
              <w:t>支持报警录像、断网报警、支持录像锁定、断网补录等功能；</w:t>
            </w:r>
            <w:r>
              <w:rPr>
                <w:rFonts w:hint="eastAsia" w:ascii="宋体" w:hAnsi="宋体"/>
                <w:kern w:val="0"/>
                <w:sz w:val="22"/>
              </w:rPr>
              <w:br w:type="textWrapping"/>
            </w:r>
            <w:r>
              <w:rPr>
                <w:rFonts w:hint="eastAsia" w:ascii="宋体" w:hAnsi="宋体"/>
                <w:kern w:val="0"/>
                <w:sz w:val="22"/>
              </w:rPr>
              <w:t xml:space="preserve">支持对历史图象进行抽帧存储，可按前端、时间及抽帧率（1/2、1/4、1/8比例和保留I帧）等不同策略抽帧，抽帧后的录像质量不会降低； </w:t>
            </w:r>
            <w:r>
              <w:rPr>
                <w:rFonts w:hint="eastAsia" w:ascii="宋体" w:hAnsi="宋体"/>
                <w:kern w:val="0"/>
                <w:sz w:val="22"/>
              </w:rPr>
              <w:br w:type="textWrapping"/>
            </w:r>
            <w:r>
              <w:rPr>
                <w:rFonts w:hint="eastAsia" w:ascii="宋体" w:hAnsi="宋体"/>
                <w:kern w:val="0"/>
                <w:sz w:val="22"/>
              </w:rPr>
              <w:t>可内嵌流媒体服务模块，实现流媒体转发，节省流媒体服务器；</w:t>
            </w:r>
            <w:r>
              <w:rPr>
                <w:rFonts w:hint="eastAsia" w:ascii="宋体" w:hAnsi="宋体"/>
                <w:kern w:val="0"/>
                <w:sz w:val="22"/>
              </w:rPr>
              <w:br w:type="textWrapping"/>
            </w:r>
            <w:r>
              <w:rPr>
                <w:rFonts w:hint="eastAsia" w:ascii="宋体" w:hAnsi="宋体"/>
                <w:kern w:val="0"/>
                <w:sz w:val="22"/>
              </w:rPr>
              <w:t>支持iSCSI、8GB FC、16GB FC</w:t>
            </w:r>
            <w:r>
              <w:rPr>
                <w:rFonts w:hint="eastAsia" w:ascii="宋体" w:hAnsi="宋体"/>
                <w:kern w:val="0"/>
                <w:sz w:val="22"/>
              </w:rPr>
              <w:br w:type="textWrapping"/>
            </w:r>
            <w:r>
              <w:rPr>
                <w:rFonts w:hint="eastAsia" w:ascii="宋体" w:hAnsi="宋体"/>
                <w:kern w:val="0"/>
                <w:sz w:val="22"/>
              </w:rPr>
              <w:t>支持CIFS、NFS、HTTP、FTP、Rsync等文件协议</w:t>
            </w:r>
            <w:r>
              <w:rPr>
                <w:rFonts w:hint="eastAsia" w:ascii="宋体" w:hAnsi="宋体"/>
                <w:kern w:val="0"/>
                <w:sz w:val="22"/>
              </w:rPr>
              <w:br w:type="textWrapping"/>
            </w:r>
            <w:r>
              <w:rPr>
                <w:rFonts w:hint="eastAsia" w:ascii="宋体" w:hAnsi="宋体"/>
                <w:kern w:val="0"/>
                <w:sz w:val="22"/>
              </w:rPr>
              <w:t>支持S3等对象存储</w:t>
            </w:r>
            <w:r>
              <w:rPr>
                <w:rFonts w:hint="eastAsia" w:ascii="宋体" w:hAnsi="宋体"/>
                <w:kern w:val="0"/>
                <w:sz w:val="22"/>
              </w:rPr>
              <w:br w:type="textWrapping"/>
            </w:r>
            <w:r>
              <w:rPr>
                <w:rFonts w:hint="eastAsia" w:ascii="宋体" w:hAnsi="宋体"/>
                <w:kern w:val="0"/>
                <w:sz w:val="22"/>
              </w:rPr>
              <w:t>支持GB28181、RTSP，ONVIF、PSIA等标准录像协议</w:t>
            </w:r>
            <w:r>
              <w:rPr>
                <w:rFonts w:hint="eastAsia" w:ascii="宋体" w:hAnsi="宋体"/>
                <w:kern w:val="0"/>
                <w:sz w:val="22"/>
              </w:rPr>
              <w:br w:type="textWrapping"/>
            </w:r>
            <w:r>
              <w:rPr>
                <w:rFonts w:hint="eastAsia" w:ascii="宋体" w:hAnsi="宋体"/>
                <w:kern w:val="0"/>
                <w:sz w:val="22"/>
              </w:rPr>
              <w:t>支持SSD数据分层加速</w:t>
            </w:r>
            <w:r>
              <w:rPr>
                <w:rFonts w:hint="eastAsia" w:ascii="宋体" w:hAnsi="宋体"/>
                <w:kern w:val="0"/>
                <w:sz w:val="22"/>
              </w:rPr>
              <w:br w:type="textWrapping"/>
            </w:r>
            <w:r>
              <w:rPr>
                <w:rFonts w:hint="eastAsia" w:ascii="宋体" w:hAnsi="宋体"/>
                <w:kern w:val="0"/>
                <w:sz w:val="22"/>
              </w:rPr>
              <w:t>支持KVM和Docker，支持HA功能</w:t>
            </w:r>
            <w:r>
              <w:rPr>
                <w:rFonts w:hint="eastAsia" w:ascii="宋体" w:hAnsi="宋体"/>
                <w:kern w:val="0"/>
                <w:sz w:val="22"/>
              </w:rPr>
              <w:br w:type="textWrapping"/>
            </w:r>
            <w:r>
              <w:rPr>
                <w:rFonts w:hint="eastAsia" w:ascii="宋体" w:hAnsi="宋体"/>
                <w:kern w:val="0"/>
                <w:sz w:val="22"/>
              </w:rPr>
              <w:t>支持精简配置，可实现大于实际磁盘空间的服务器可见逻辑空间，以满足业务长期规划</w:t>
            </w:r>
            <w:r>
              <w:rPr>
                <w:rFonts w:hint="eastAsia" w:ascii="宋体" w:hAnsi="宋体"/>
                <w:kern w:val="0"/>
                <w:sz w:val="22"/>
              </w:rPr>
              <w:br w:type="textWrapping"/>
            </w:r>
            <w:r>
              <w:rPr>
                <w:rFonts w:hint="eastAsia" w:ascii="宋体" w:hAnsi="宋体"/>
                <w:kern w:val="0"/>
                <w:sz w:val="22"/>
              </w:rPr>
              <w:t>自动化维护，设备和磁盘故障可自动快速进行重构，支持批量换盘；</w:t>
            </w:r>
            <w:r>
              <w:rPr>
                <w:rFonts w:hint="eastAsia" w:ascii="宋体" w:hAnsi="宋体"/>
                <w:kern w:val="0"/>
                <w:sz w:val="22"/>
              </w:rPr>
              <w:br w:type="textWrapping"/>
            </w:r>
            <w:r>
              <w:rPr>
                <w:rFonts w:hint="eastAsia" w:ascii="宋体" w:hAnsi="宋体"/>
                <w:kern w:val="0"/>
                <w:sz w:val="22"/>
              </w:rPr>
              <w:t>提供丰富的SDK程序包和API函数接口，使系统能够与任意编码器、网络摄像机和第三方平台互通互联；要求要提供5家（含）以上前端厂家的接入互通证明复印件；</w:t>
            </w:r>
            <w:r>
              <w:rPr>
                <w:rFonts w:hint="eastAsia" w:ascii="宋体" w:hAnsi="宋体"/>
                <w:kern w:val="0"/>
                <w:sz w:val="22"/>
              </w:rPr>
              <w:br w:type="textWrapping"/>
            </w:r>
            <w:r>
              <w:rPr>
                <w:rFonts w:hint="eastAsia" w:ascii="宋体" w:hAnsi="宋体"/>
                <w:kern w:val="0"/>
                <w:sz w:val="22"/>
              </w:rPr>
              <w:t>内置云盘管理软件，支持动态业务库功能，提供云盘文件（夹）的管理，支持文件（夹）的增加、删除、查询、预览、分享、权限控制；云盘提供级联功能，满足多级用户对文件管理的需求；云盘高效的基础服务接口对外提供数据的采集、检索、共享等应用，更好的为应用系统提供支撑。</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台</w:t>
            </w:r>
          </w:p>
        </w:tc>
      </w:tr>
      <w:tr>
        <w:tblPrEx>
          <w:tblCellMar>
            <w:top w:w="0" w:type="dxa"/>
            <w:left w:w="108" w:type="dxa"/>
            <w:bottom w:w="0" w:type="dxa"/>
            <w:right w:w="108" w:type="dxa"/>
          </w:tblCellMar>
        </w:tblPrEx>
        <w:trPr>
          <w:wBefore w:w="0" w:type="dxa"/>
          <w:wAfter w:w="0" w:type="dxa"/>
          <w:trHeight w:val="5385"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14</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其它存储</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4U高度，采用双64位多核CPU、内存≥64GB，单机支持≥24盘位</w:t>
            </w:r>
            <w:r>
              <w:rPr>
                <w:rFonts w:hint="eastAsia" w:ascii="宋体" w:hAnsi="宋体"/>
                <w:kern w:val="0"/>
                <w:sz w:val="22"/>
              </w:rPr>
              <w:br w:type="textWrapping"/>
            </w:r>
            <w:r>
              <w:rPr>
                <w:rFonts w:hint="eastAsia" w:ascii="宋体" w:hAnsi="宋体"/>
                <w:kern w:val="0"/>
                <w:sz w:val="22"/>
              </w:rPr>
              <w:t>国内知名品牌，采用linux存储专用操作系统，拥有自主知识产权，不接受OEM或联合品牌产品。</w:t>
            </w:r>
            <w:r>
              <w:rPr>
                <w:rFonts w:hint="eastAsia" w:ascii="宋体" w:hAnsi="宋体"/>
                <w:kern w:val="0"/>
                <w:sz w:val="22"/>
              </w:rPr>
              <w:br w:type="textWrapping"/>
            </w:r>
            <w:r>
              <w:rPr>
                <w:rFonts w:hint="eastAsia" w:ascii="宋体" w:hAnsi="宋体"/>
                <w:kern w:val="0"/>
                <w:sz w:val="22"/>
              </w:rPr>
              <w:t xml:space="preserve">全对称分布式架构，数据均衡分布无需专门的元数据服务器，无需配置单独的管理服务器； </w:t>
            </w:r>
            <w:r>
              <w:rPr>
                <w:rFonts w:hint="eastAsia" w:ascii="宋体" w:hAnsi="宋体"/>
                <w:kern w:val="0"/>
                <w:sz w:val="22"/>
              </w:rPr>
              <w:br w:type="textWrapping"/>
            </w:r>
            <w:r>
              <w:rPr>
                <w:rFonts w:hint="eastAsia" w:ascii="宋体" w:hAnsi="宋体"/>
                <w:kern w:val="0"/>
                <w:sz w:val="22"/>
              </w:rPr>
              <w:t>含24块6T企业级IoT硬盘</w:t>
            </w:r>
            <w:r>
              <w:rPr>
                <w:rFonts w:hint="eastAsia" w:ascii="宋体" w:hAnsi="宋体"/>
                <w:kern w:val="0"/>
                <w:sz w:val="22"/>
              </w:rPr>
              <w:br w:type="textWrapping"/>
            </w:r>
            <w:r>
              <w:rPr>
                <w:rFonts w:hint="eastAsia" w:ascii="宋体" w:hAnsi="宋体"/>
                <w:kern w:val="0"/>
                <w:sz w:val="22"/>
              </w:rPr>
              <w:t>单控支持单节点部署，可以无缝扩容到集群，并有检测报告证明；</w:t>
            </w:r>
            <w:r>
              <w:rPr>
                <w:rFonts w:hint="eastAsia" w:ascii="宋体" w:hAnsi="宋体"/>
                <w:kern w:val="0"/>
                <w:sz w:val="22"/>
              </w:rPr>
              <w:br w:type="textWrapping"/>
            </w:r>
            <w:r>
              <w:rPr>
                <w:rFonts w:hint="eastAsia" w:ascii="宋体" w:hAnsi="宋体"/>
                <w:kern w:val="0"/>
                <w:sz w:val="22"/>
              </w:rPr>
              <w:t>支持在线横向扩展，性能、容量随节点数增加而线性增加，系统支持≥128节点线性扩展；</w:t>
            </w:r>
            <w:r>
              <w:rPr>
                <w:rFonts w:hint="eastAsia" w:ascii="宋体" w:hAnsi="宋体"/>
                <w:kern w:val="0"/>
                <w:sz w:val="22"/>
              </w:rPr>
              <w:br w:type="textWrapping"/>
            </w:r>
            <w:r>
              <w:rPr>
                <w:rFonts w:hint="eastAsia" w:ascii="宋体" w:hAnsi="宋体"/>
                <w:kern w:val="0"/>
                <w:sz w:val="22"/>
              </w:rPr>
              <w:t>统一存储架构，支持NAS、IPSAN、FCSAN融合组网功能，非SAN控制器+NAS机头模式；</w:t>
            </w:r>
            <w:r>
              <w:rPr>
                <w:rFonts w:hint="eastAsia" w:ascii="宋体" w:hAnsi="宋体"/>
                <w:kern w:val="0"/>
                <w:sz w:val="22"/>
              </w:rPr>
              <w:br w:type="textWrapping"/>
            </w:r>
            <w:r>
              <w:rPr>
                <w:rFonts w:hint="eastAsia" w:ascii="宋体" w:hAnsi="宋体"/>
                <w:kern w:val="0"/>
                <w:sz w:val="22"/>
              </w:rPr>
              <w:t>支持统一命名空间，并以一个IP地址对外提供存储服务；</w:t>
            </w:r>
            <w:r>
              <w:rPr>
                <w:rFonts w:hint="eastAsia" w:ascii="宋体" w:hAnsi="宋体"/>
                <w:kern w:val="0"/>
                <w:sz w:val="22"/>
              </w:rPr>
              <w:br w:type="textWrapping"/>
            </w:r>
            <w:r>
              <w:rPr>
                <w:rFonts w:hint="eastAsia" w:ascii="宋体" w:hAnsi="宋体"/>
                <w:kern w:val="0"/>
                <w:sz w:val="22"/>
              </w:rPr>
              <w:t>单控标配6个网口，最大支持14个千兆、8个万兆、8个FC端口</w:t>
            </w:r>
            <w:r>
              <w:rPr>
                <w:rFonts w:hint="eastAsia" w:ascii="宋体" w:hAnsi="宋体"/>
                <w:kern w:val="0"/>
                <w:sz w:val="22"/>
              </w:rPr>
              <w:br w:type="textWrapping"/>
            </w:r>
            <w:r>
              <w:rPr>
                <w:rFonts w:hint="eastAsia" w:ascii="宋体" w:hAnsi="宋体"/>
                <w:kern w:val="0"/>
                <w:sz w:val="22"/>
              </w:rPr>
              <w:t>系统配置全冗余模块化体系结构，系统没有单点故障；</w:t>
            </w:r>
            <w:r>
              <w:rPr>
                <w:rFonts w:hint="eastAsia" w:ascii="宋体" w:hAnsi="宋体"/>
                <w:kern w:val="0"/>
                <w:sz w:val="22"/>
              </w:rPr>
              <w:br w:type="textWrapping"/>
            </w:r>
            <w:r>
              <w:rPr>
                <w:rFonts w:hint="eastAsia" w:ascii="宋体" w:hAnsi="宋体"/>
                <w:kern w:val="0"/>
                <w:sz w:val="22"/>
              </w:rPr>
              <w:t>支持2.5、3.5寸磁盘，支持SATA、SSD、SAS或NL-SAS硬盘类型，支持不同容量和转速的同类型磁盘的混插扩容；</w:t>
            </w:r>
            <w:r>
              <w:rPr>
                <w:rFonts w:hint="eastAsia" w:ascii="宋体" w:hAnsi="宋体"/>
                <w:kern w:val="0"/>
                <w:sz w:val="22"/>
              </w:rPr>
              <w:br w:type="textWrapping"/>
            </w:r>
            <w:r>
              <w:rPr>
                <w:rFonts w:hint="eastAsia" w:ascii="宋体" w:hAnsi="宋体"/>
                <w:kern w:val="0"/>
                <w:sz w:val="22"/>
              </w:rPr>
              <w:t>可选支持BBU掉电保护，支持UPS掉电保护；</w:t>
            </w:r>
            <w:r>
              <w:rPr>
                <w:rFonts w:hint="eastAsia" w:ascii="宋体" w:hAnsi="宋体"/>
                <w:kern w:val="0"/>
                <w:sz w:val="22"/>
              </w:rPr>
              <w:br w:type="textWrapping"/>
            </w:r>
            <w:r>
              <w:rPr>
                <w:rFonts w:hint="eastAsia" w:ascii="宋体" w:hAnsi="宋体"/>
                <w:kern w:val="0"/>
                <w:sz w:val="22"/>
              </w:rPr>
              <w:t>支持跨节点的N+M纠删码数据保护，支持最多同时坏4个节点数据不丢失，业务不停止，支持磁盘利用率最高为97.9%的高利用率模式；</w:t>
            </w:r>
            <w:r>
              <w:rPr>
                <w:rFonts w:hint="eastAsia" w:ascii="宋体" w:hAnsi="宋体"/>
                <w:kern w:val="0"/>
                <w:sz w:val="22"/>
              </w:rPr>
              <w:br w:type="textWrapping"/>
            </w:r>
            <w:r>
              <w:rPr>
                <w:rFonts w:hint="eastAsia" w:ascii="宋体" w:hAnsi="宋体"/>
                <w:kern w:val="0"/>
                <w:sz w:val="22"/>
              </w:rPr>
              <w:t>针对录像应用，在硬盘丢失超过数据冗余保护时，无需等待丢失盘恢复，可以在剩余的硬盘中的数据可正常读出，且新数据可正常写入；</w:t>
            </w:r>
            <w:r>
              <w:rPr>
                <w:rFonts w:hint="eastAsia" w:ascii="宋体" w:hAnsi="宋体"/>
                <w:kern w:val="0"/>
                <w:sz w:val="22"/>
              </w:rPr>
              <w:br w:type="textWrapping"/>
            </w:r>
            <w:r>
              <w:rPr>
                <w:rFonts w:hint="eastAsia" w:ascii="宋体" w:hAnsi="宋体"/>
                <w:kern w:val="0"/>
                <w:sz w:val="22"/>
              </w:rPr>
              <w:t>支持1~8副本的部署方式，并提供检测报告支持；</w:t>
            </w:r>
            <w:r>
              <w:rPr>
                <w:rFonts w:hint="eastAsia" w:ascii="宋体" w:hAnsi="宋体"/>
                <w:kern w:val="0"/>
                <w:sz w:val="22"/>
              </w:rPr>
              <w:br w:type="textWrapping"/>
            </w:r>
            <w:r>
              <w:rPr>
                <w:rFonts w:hint="eastAsia" w:ascii="宋体" w:hAnsi="宋体"/>
                <w:kern w:val="0"/>
                <w:sz w:val="22"/>
              </w:rPr>
              <w:t>支持数据归档功能，可将录像、文件直接归档到磁带库，无需单独备份软件；</w:t>
            </w:r>
            <w:r>
              <w:rPr>
                <w:rFonts w:hint="eastAsia" w:ascii="宋体" w:hAnsi="宋体"/>
                <w:kern w:val="0"/>
                <w:sz w:val="22"/>
              </w:rPr>
              <w:br w:type="textWrapping"/>
            </w:r>
            <w:r>
              <w:rPr>
                <w:rFonts w:hint="eastAsia" w:ascii="宋体" w:hAnsi="宋体"/>
                <w:kern w:val="0"/>
                <w:sz w:val="22"/>
              </w:rPr>
              <w:t>支持视音频、图片、智能数据流进行混合直存，无需存储服务器和图片服务器参与，平台服务器拓机不影响存储业务；</w:t>
            </w:r>
            <w:r>
              <w:rPr>
                <w:rFonts w:hint="eastAsia" w:ascii="宋体" w:hAnsi="宋体"/>
                <w:kern w:val="0"/>
                <w:sz w:val="22"/>
              </w:rPr>
              <w:br w:type="textWrapping"/>
            </w:r>
            <w:r>
              <w:rPr>
                <w:rFonts w:hint="eastAsia" w:ascii="宋体" w:hAnsi="宋体"/>
                <w:kern w:val="0"/>
                <w:sz w:val="22"/>
              </w:rPr>
              <w:t>支持报警录像、断网报警、支持录像锁定、断网补录等功能；</w:t>
            </w:r>
            <w:r>
              <w:rPr>
                <w:rFonts w:hint="eastAsia" w:ascii="宋体" w:hAnsi="宋体"/>
                <w:kern w:val="0"/>
                <w:sz w:val="22"/>
              </w:rPr>
              <w:br w:type="textWrapping"/>
            </w:r>
            <w:r>
              <w:rPr>
                <w:rFonts w:hint="eastAsia" w:ascii="宋体" w:hAnsi="宋体"/>
                <w:kern w:val="0"/>
                <w:sz w:val="22"/>
              </w:rPr>
              <w:t xml:space="preserve">支持对历史图象进行抽帧存储，可按前端、时间及抽帧率（1/2、1/4、1/8比例和保留I帧）等不同策略抽帧，抽帧后的录像质量不会降低； </w:t>
            </w:r>
            <w:r>
              <w:rPr>
                <w:rFonts w:hint="eastAsia" w:ascii="宋体" w:hAnsi="宋体"/>
                <w:kern w:val="0"/>
                <w:sz w:val="22"/>
              </w:rPr>
              <w:br w:type="textWrapping"/>
            </w:r>
            <w:r>
              <w:rPr>
                <w:rFonts w:hint="eastAsia" w:ascii="宋体" w:hAnsi="宋体"/>
                <w:kern w:val="0"/>
                <w:sz w:val="22"/>
              </w:rPr>
              <w:t>可内嵌流媒体服务模块，实现流媒体转发，节省流媒体服务器；</w:t>
            </w:r>
            <w:r>
              <w:rPr>
                <w:rFonts w:hint="eastAsia" w:ascii="宋体" w:hAnsi="宋体"/>
                <w:kern w:val="0"/>
                <w:sz w:val="22"/>
              </w:rPr>
              <w:br w:type="textWrapping"/>
            </w:r>
            <w:r>
              <w:rPr>
                <w:rFonts w:hint="eastAsia" w:ascii="宋体" w:hAnsi="宋体"/>
                <w:kern w:val="0"/>
                <w:sz w:val="22"/>
              </w:rPr>
              <w:t>支持iSCSI、8GB FC、16GB FC</w:t>
            </w:r>
            <w:r>
              <w:rPr>
                <w:rFonts w:hint="eastAsia" w:ascii="宋体" w:hAnsi="宋体"/>
                <w:kern w:val="0"/>
                <w:sz w:val="22"/>
              </w:rPr>
              <w:br w:type="textWrapping"/>
            </w:r>
            <w:r>
              <w:rPr>
                <w:rFonts w:hint="eastAsia" w:ascii="宋体" w:hAnsi="宋体"/>
                <w:kern w:val="0"/>
                <w:sz w:val="22"/>
              </w:rPr>
              <w:t>支持CIFS、NFS、HTTP、FTP、Rsync等文件协议</w:t>
            </w:r>
            <w:r>
              <w:rPr>
                <w:rFonts w:hint="eastAsia" w:ascii="宋体" w:hAnsi="宋体"/>
                <w:kern w:val="0"/>
                <w:sz w:val="22"/>
              </w:rPr>
              <w:br w:type="textWrapping"/>
            </w:r>
            <w:r>
              <w:rPr>
                <w:rFonts w:hint="eastAsia" w:ascii="宋体" w:hAnsi="宋体"/>
                <w:kern w:val="0"/>
                <w:sz w:val="22"/>
              </w:rPr>
              <w:t>支持S3等对象存储</w:t>
            </w:r>
            <w:r>
              <w:rPr>
                <w:rFonts w:hint="eastAsia" w:ascii="宋体" w:hAnsi="宋体"/>
                <w:kern w:val="0"/>
                <w:sz w:val="22"/>
              </w:rPr>
              <w:br w:type="textWrapping"/>
            </w:r>
            <w:r>
              <w:rPr>
                <w:rFonts w:hint="eastAsia" w:ascii="宋体" w:hAnsi="宋体"/>
                <w:kern w:val="0"/>
                <w:sz w:val="22"/>
              </w:rPr>
              <w:t>支持GB28181、RTSP，ONVIF、PSIA等标准录像协议</w:t>
            </w:r>
            <w:r>
              <w:rPr>
                <w:rFonts w:hint="eastAsia" w:ascii="宋体" w:hAnsi="宋体"/>
                <w:kern w:val="0"/>
                <w:sz w:val="22"/>
              </w:rPr>
              <w:br w:type="textWrapping"/>
            </w:r>
            <w:r>
              <w:rPr>
                <w:rFonts w:hint="eastAsia" w:ascii="宋体" w:hAnsi="宋体"/>
                <w:kern w:val="0"/>
                <w:sz w:val="22"/>
              </w:rPr>
              <w:t>支持SSD数据分层加速</w:t>
            </w:r>
            <w:r>
              <w:rPr>
                <w:rFonts w:hint="eastAsia" w:ascii="宋体" w:hAnsi="宋体"/>
                <w:kern w:val="0"/>
                <w:sz w:val="22"/>
              </w:rPr>
              <w:br w:type="textWrapping"/>
            </w:r>
            <w:r>
              <w:rPr>
                <w:rFonts w:hint="eastAsia" w:ascii="宋体" w:hAnsi="宋体"/>
                <w:kern w:val="0"/>
                <w:sz w:val="22"/>
              </w:rPr>
              <w:t>支持KVM和Docker，支持HA功能</w:t>
            </w:r>
            <w:r>
              <w:rPr>
                <w:rFonts w:hint="eastAsia" w:ascii="宋体" w:hAnsi="宋体"/>
                <w:kern w:val="0"/>
                <w:sz w:val="22"/>
              </w:rPr>
              <w:br w:type="textWrapping"/>
            </w:r>
            <w:r>
              <w:rPr>
                <w:rFonts w:hint="eastAsia" w:ascii="宋体" w:hAnsi="宋体"/>
                <w:kern w:val="0"/>
                <w:sz w:val="22"/>
              </w:rPr>
              <w:t>支持精简配置，可实现大于实际磁盘空间的服务器可见逻辑空间，以满足业务长期规划</w:t>
            </w:r>
            <w:r>
              <w:rPr>
                <w:rFonts w:hint="eastAsia" w:ascii="宋体" w:hAnsi="宋体"/>
                <w:kern w:val="0"/>
                <w:sz w:val="22"/>
              </w:rPr>
              <w:br w:type="textWrapping"/>
            </w:r>
            <w:r>
              <w:rPr>
                <w:rFonts w:hint="eastAsia" w:ascii="宋体" w:hAnsi="宋体"/>
                <w:kern w:val="0"/>
                <w:sz w:val="22"/>
              </w:rPr>
              <w:t>自动化维护，设备和磁盘故障可自动快速进行重构，支持批量换盘；</w:t>
            </w:r>
            <w:r>
              <w:rPr>
                <w:rFonts w:hint="eastAsia" w:ascii="宋体" w:hAnsi="宋体"/>
                <w:kern w:val="0"/>
                <w:sz w:val="22"/>
              </w:rPr>
              <w:br w:type="textWrapping"/>
            </w:r>
            <w:r>
              <w:rPr>
                <w:rFonts w:hint="eastAsia" w:ascii="宋体" w:hAnsi="宋体"/>
                <w:kern w:val="0"/>
                <w:sz w:val="22"/>
              </w:rPr>
              <w:t>提供丰富的SDK程序包和API函数接口，使系统能够与任意编码器、网络摄像机和第三方平台互通互联；</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2</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台</w:t>
            </w:r>
          </w:p>
        </w:tc>
      </w:tr>
      <w:tr>
        <w:tblPrEx>
          <w:tblCellMar>
            <w:top w:w="0" w:type="dxa"/>
            <w:left w:w="108" w:type="dxa"/>
            <w:bottom w:w="0" w:type="dxa"/>
            <w:right w:w="108" w:type="dxa"/>
          </w:tblCellMar>
        </w:tblPrEx>
        <w:trPr>
          <w:wBefore w:w="0" w:type="dxa"/>
          <w:wAfter w:w="0" w:type="dxa"/>
          <w:trHeight w:val="4952"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15</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防火墙1</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1.硬件架构: 采用多核架构；采用国产自研芯片。</w:t>
            </w:r>
            <w:r>
              <w:rPr>
                <w:rFonts w:hint="eastAsia" w:ascii="宋体" w:hAnsi="宋体"/>
                <w:kern w:val="0"/>
                <w:sz w:val="22"/>
              </w:rPr>
              <w:br w:type="textWrapping"/>
            </w:r>
            <w:r>
              <w:rPr>
                <w:rFonts w:hint="eastAsia" w:ascii="宋体" w:hAnsi="宋体"/>
                <w:kern w:val="0"/>
                <w:sz w:val="22"/>
              </w:rPr>
              <w:t>2.配置要求: 千兆Combo接口≥8，万兆光口≥2，千兆WAN口≥2，SSL VPN并发数实配100可扩展1000，IPSec VPN隧道≥4000，虚拟防火墙数量≥100，配置2个电源。</w:t>
            </w:r>
            <w:r>
              <w:rPr>
                <w:rFonts w:hint="eastAsia" w:ascii="宋体" w:hAnsi="宋体"/>
                <w:kern w:val="0"/>
                <w:sz w:val="22"/>
              </w:rPr>
              <w:br w:type="textWrapping"/>
            </w:r>
            <w:r>
              <w:rPr>
                <w:rFonts w:hint="eastAsia" w:ascii="宋体" w:hAnsi="宋体"/>
                <w:kern w:val="0"/>
                <w:sz w:val="22"/>
              </w:rPr>
              <w:t>3.性能要求: 吞吐量≥6Gbps，最大并发连接数≥400万，每秒新建连接数≥8万，IPSec吞吐量≥6Gbps， SSL_VPN吞吐量≥480Mbps ,SSL代理吞吐量≥500Mbps，IPS吞吐量≥2.2Gbps。</w:t>
            </w:r>
            <w:r>
              <w:rPr>
                <w:rFonts w:hint="eastAsia" w:ascii="宋体" w:hAnsi="宋体"/>
                <w:kern w:val="0"/>
                <w:sz w:val="22"/>
              </w:rPr>
              <w:br w:type="textWrapping"/>
            </w:r>
            <w:r>
              <w:rPr>
                <w:rFonts w:hint="eastAsia" w:ascii="宋体" w:hAnsi="宋体"/>
                <w:kern w:val="0"/>
                <w:sz w:val="22"/>
              </w:rPr>
              <w:t>4.策略管控: 能够基于时间、用户/用户组/安全组、应用层协议、地理位置、IP地址、端口、域名组、URL分类、接入类型、终端类型、设备组、内容安全统一界面进行安全策略配置。</w:t>
            </w:r>
            <w:r>
              <w:rPr>
                <w:rFonts w:hint="eastAsia" w:ascii="宋体" w:hAnsi="宋体"/>
                <w:kern w:val="0"/>
                <w:sz w:val="22"/>
              </w:rPr>
              <w:br w:type="textWrapping"/>
            </w:r>
            <w:r>
              <w:rPr>
                <w:rFonts w:hint="eastAsia" w:ascii="宋体" w:hAnsi="宋体"/>
                <w:kern w:val="0"/>
                <w:sz w:val="22"/>
              </w:rPr>
              <w:t>5.路由功能: 支持静态路由、策略路由、RIP、OSPF、BGP、ISIS等路由协议.</w:t>
            </w:r>
            <w:r>
              <w:rPr>
                <w:rFonts w:hint="eastAsia" w:ascii="宋体" w:hAnsi="宋体"/>
                <w:kern w:val="0"/>
                <w:sz w:val="22"/>
              </w:rPr>
              <w:br w:type="textWrapping"/>
            </w:r>
            <w:r>
              <w:rPr>
                <w:rFonts w:hint="eastAsia" w:ascii="宋体" w:hAnsi="宋体"/>
                <w:kern w:val="0"/>
                <w:sz w:val="22"/>
              </w:rPr>
              <w:t>IPV6: 支持IPv6协议栈、IPV6穿越技术、IPV6路由协议；支持IPv6 over IPv4 GRE隧道，6RD隧道。</w:t>
            </w:r>
            <w:r>
              <w:rPr>
                <w:rFonts w:hint="eastAsia" w:ascii="宋体" w:hAnsi="宋体"/>
                <w:kern w:val="0"/>
                <w:sz w:val="22"/>
              </w:rPr>
              <w:br w:type="textWrapping"/>
            </w:r>
            <w:r>
              <w:rPr>
                <w:rFonts w:hint="eastAsia" w:ascii="宋体" w:hAnsi="宋体"/>
                <w:kern w:val="0"/>
                <w:sz w:val="22"/>
              </w:rPr>
              <w:t>6.协议识别: 支持识别国标SIP协议及主流安防厂家的私有协议。</w:t>
            </w:r>
            <w:r>
              <w:rPr>
                <w:rFonts w:hint="eastAsia" w:ascii="宋体" w:hAnsi="宋体"/>
                <w:kern w:val="0"/>
                <w:sz w:val="22"/>
              </w:rPr>
              <w:br w:type="textWrapping"/>
            </w:r>
            <w:r>
              <w:rPr>
                <w:rFonts w:hint="eastAsia" w:ascii="宋体" w:hAnsi="宋体"/>
                <w:kern w:val="0"/>
                <w:sz w:val="22"/>
              </w:rPr>
              <w:t>7.流量控制: 可支持基于应用层协议设置流控策略，包括设置最大带宽、保证带宽、协议流量优先级等; 支持每IP， 每用户的最大连接数限制，防护服务器; 支持用户流量配额管理。</w:t>
            </w:r>
            <w:r>
              <w:rPr>
                <w:rFonts w:hint="eastAsia" w:ascii="宋体" w:hAnsi="宋体"/>
                <w:kern w:val="0"/>
                <w:sz w:val="22"/>
              </w:rPr>
              <w:br w:type="textWrapping"/>
            </w:r>
            <w:r>
              <w:rPr>
                <w:rFonts w:hint="eastAsia" w:ascii="宋体" w:hAnsi="宋体"/>
                <w:kern w:val="0"/>
                <w:sz w:val="22"/>
              </w:rPr>
              <w:t>8.策略管理: 支持策略的模糊查询，策略组，策略规则标签，方便策略的管理及运维; 支持与firemon和algosec对接，实现策略的命中，冗余分析及风险调优。</w:t>
            </w:r>
            <w:r>
              <w:rPr>
                <w:rFonts w:hint="eastAsia" w:ascii="宋体" w:hAnsi="宋体"/>
                <w:kern w:val="0"/>
                <w:sz w:val="22"/>
              </w:rPr>
              <w:br w:type="textWrapping"/>
            </w:r>
            <w:r>
              <w:rPr>
                <w:rFonts w:hint="eastAsia" w:ascii="宋体" w:hAnsi="宋体"/>
                <w:kern w:val="0"/>
                <w:sz w:val="22"/>
              </w:rPr>
              <w:t>9. 数据安全: 支持数据防泄露，对传输的文件和内容进行识别过滤，对内容与身份证、信用卡、银行卡、社会安全卡号等类型进行匹配。</w:t>
            </w:r>
            <w:r>
              <w:rPr>
                <w:rFonts w:hint="eastAsia" w:ascii="宋体" w:hAnsi="宋体"/>
                <w:kern w:val="0"/>
                <w:sz w:val="22"/>
              </w:rPr>
              <w:br w:type="textWrapping"/>
            </w:r>
            <w:r>
              <w:rPr>
                <w:rFonts w:hint="eastAsia" w:ascii="宋体" w:hAnsi="宋体"/>
                <w:kern w:val="0"/>
                <w:sz w:val="22"/>
              </w:rPr>
              <w:t>10.DDoS防护: 支持HTTP、HTTPS、DNS、SIP等应用层Flood攻击，支持流量自学习功能，可设置自学习时间，并自动生成DDoS防范策略。</w:t>
            </w:r>
            <w:r>
              <w:rPr>
                <w:rFonts w:hint="eastAsia" w:ascii="宋体" w:hAnsi="宋体"/>
                <w:kern w:val="0"/>
                <w:sz w:val="22"/>
              </w:rPr>
              <w:br w:type="textWrapping"/>
            </w:r>
            <w:r>
              <w:rPr>
                <w:rFonts w:hint="eastAsia" w:ascii="宋体" w:hAnsi="宋体"/>
                <w:kern w:val="0"/>
                <w:sz w:val="22"/>
              </w:rPr>
              <w:t>11. NAT: 支持全面NAT功能，对多种应用层协议支持ALG功能，包括ILS、DNS、PPTP、SIP、FTP、ICQ、RTSP、QQ、MSN、MMS等。</w:t>
            </w:r>
            <w:r>
              <w:rPr>
                <w:rFonts w:hint="eastAsia" w:ascii="宋体" w:hAnsi="宋体"/>
                <w:kern w:val="0"/>
                <w:sz w:val="22"/>
              </w:rPr>
              <w:br w:type="textWrapping"/>
            </w:r>
            <w:r>
              <w:rPr>
                <w:rFonts w:hint="eastAsia" w:ascii="宋体" w:hAnsi="宋体"/>
                <w:kern w:val="0"/>
                <w:sz w:val="22"/>
              </w:rPr>
              <w:t>12.入侵防御及病毒防护: 基于特征检测，支持超过8000种特征的攻击检测和防御; 支持对常见应用服务（HTTP、FTP、SSH、SMTP、IMAP）和数据库软件（MySQL、Oracle、MSSQL）的口令暴力破解防护功能; 支持恶意域名过滤，实现对C&amp;C进行阻断; 可以支持HTTP、FTP、SMTP、POP3、IMAP、NFS等协议的病毒防护。</w:t>
            </w:r>
            <w:r>
              <w:rPr>
                <w:rFonts w:hint="eastAsia" w:ascii="宋体" w:hAnsi="宋体"/>
                <w:kern w:val="0"/>
                <w:sz w:val="22"/>
              </w:rPr>
              <w:br w:type="textWrapping"/>
            </w:r>
            <w:r>
              <w:rPr>
                <w:rFonts w:hint="eastAsia" w:ascii="宋体" w:hAnsi="宋体"/>
                <w:kern w:val="0"/>
                <w:sz w:val="22"/>
              </w:rPr>
              <w:t>13.加密流量安全防护: 支持对HTTPS，POP3S，SMTPS,IMAPS加密流量代理解密后，并进行内容过滤，审计，安全防护; 支持基于URL分类的精细化解密，提高解密性能; 支持加密流量解密后镜像给第三方设备做审计，安全检测。</w:t>
            </w:r>
            <w:r>
              <w:rPr>
                <w:rFonts w:hint="eastAsia" w:ascii="宋体" w:hAnsi="宋体"/>
                <w:kern w:val="0"/>
                <w:sz w:val="22"/>
              </w:rPr>
              <w:br w:type="textWrapping"/>
            </w:r>
            <w:r>
              <w:rPr>
                <w:rFonts w:hint="eastAsia" w:ascii="宋体" w:hAnsi="宋体"/>
                <w:kern w:val="0"/>
                <w:sz w:val="22"/>
              </w:rPr>
              <w:t>14.集中管理及易用性: 支持防火墙向云管理平台自动注册，云管理平台对防火墙进行统一的管理及运维。</w:t>
            </w:r>
            <w:r>
              <w:rPr>
                <w:rFonts w:hint="eastAsia" w:ascii="宋体" w:hAnsi="宋体"/>
                <w:kern w:val="0"/>
                <w:sz w:val="22"/>
              </w:rPr>
              <w:br w:type="textWrapping"/>
            </w:r>
            <w:r>
              <w:rPr>
                <w:rFonts w:hint="eastAsia" w:ascii="宋体" w:hAnsi="宋体"/>
                <w:kern w:val="0"/>
                <w:sz w:val="22"/>
              </w:rPr>
              <w:t>15.智能威胁防御: 支持防火墙与云沙箱，本地沙箱混合联动，敏感文件在本地沙箱检测，普通文件上传到云沙箱 (免费提供六个月云沙箱License)。</w:t>
            </w:r>
            <w:r>
              <w:rPr>
                <w:rFonts w:hint="eastAsia" w:ascii="宋体" w:hAnsi="宋体"/>
                <w:kern w:val="0"/>
                <w:sz w:val="22"/>
              </w:rPr>
              <w:br w:type="textWrapping"/>
            </w:r>
            <w:r>
              <w:rPr>
                <w:rFonts w:hint="eastAsia" w:ascii="宋体" w:hAnsi="宋体"/>
                <w:kern w:val="0"/>
                <w:sz w:val="22"/>
              </w:rPr>
              <w:t>16. 可靠性: 支持BFD链路检测，支持BFD与VRRP联动实现双机快速切换，支持BFD与OSPF联动实现双机快速切换; 支持HA平滑升级，升级窗口中支持不同版本的软件形成双机热备。</w:t>
            </w:r>
            <w:r>
              <w:rPr>
                <w:rFonts w:hint="eastAsia" w:ascii="宋体" w:hAnsi="宋体"/>
                <w:kern w:val="0"/>
                <w:sz w:val="22"/>
              </w:rPr>
              <w:br w:type="textWrapping"/>
            </w:r>
            <w:r>
              <w:rPr>
                <w:rFonts w:hint="eastAsia" w:ascii="宋体" w:hAnsi="宋体"/>
                <w:kern w:val="0"/>
                <w:sz w:val="22"/>
              </w:rPr>
              <w:t>17.多出口智能选路: 实配可根据目的地址智能优选运营商链路，支持主备接口配置以及按比例分配的负载分担方式。</w:t>
            </w:r>
            <w:r>
              <w:rPr>
                <w:rFonts w:hint="eastAsia" w:ascii="宋体" w:hAnsi="宋体"/>
                <w:kern w:val="0"/>
                <w:sz w:val="22"/>
              </w:rPr>
              <w:br w:type="textWrapping"/>
            </w:r>
            <w:r>
              <w:rPr>
                <w:rFonts w:hint="eastAsia" w:ascii="宋体" w:hAnsi="宋体"/>
                <w:kern w:val="0"/>
                <w:sz w:val="22"/>
              </w:rPr>
              <w:t>18.服务要求: 提供5年原厂维保服务，设备生产商需在国内设有400技术服务热线，在温州本地有备件库。</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台</w:t>
            </w:r>
          </w:p>
        </w:tc>
      </w:tr>
      <w:tr>
        <w:tblPrEx>
          <w:tblCellMar>
            <w:top w:w="0" w:type="dxa"/>
            <w:left w:w="108" w:type="dxa"/>
            <w:bottom w:w="0" w:type="dxa"/>
            <w:right w:w="108" w:type="dxa"/>
          </w:tblCellMar>
        </w:tblPrEx>
        <w:trPr>
          <w:wBefore w:w="0" w:type="dxa"/>
          <w:wAfter w:w="0" w:type="dxa"/>
          <w:trHeight w:val="3391"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16</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防火墙2</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1.硬件架构: 采用多核架构；采用国产自研芯片。</w:t>
            </w:r>
            <w:r>
              <w:rPr>
                <w:rFonts w:hint="eastAsia" w:ascii="宋体" w:hAnsi="宋体"/>
                <w:kern w:val="0"/>
                <w:sz w:val="22"/>
              </w:rPr>
              <w:br w:type="textWrapping"/>
            </w:r>
            <w:r>
              <w:rPr>
                <w:rFonts w:hint="eastAsia" w:ascii="宋体" w:hAnsi="宋体"/>
                <w:kern w:val="0"/>
                <w:sz w:val="22"/>
              </w:rPr>
              <w:t>2.配置要求:千兆电口≥10，万兆光口≥2；SSL VPN并发用户实配100可扩展500，IPSec VPN隧道≥2000，虚拟防火墙数量≥20。</w:t>
            </w:r>
            <w:r>
              <w:rPr>
                <w:rFonts w:hint="eastAsia" w:ascii="宋体" w:hAnsi="宋体"/>
                <w:kern w:val="0"/>
                <w:sz w:val="22"/>
              </w:rPr>
              <w:br w:type="textWrapping"/>
            </w:r>
            <w:r>
              <w:rPr>
                <w:rFonts w:hint="eastAsia" w:ascii="宋体" w:hAnsi="宋体"/>
                <w:kern w:val="0"/>
                <w:sz w:val="22"/>
              </w:rPr>
              <w:t>3.性能要求: 吞吐量≥4Gbps，最大并发连接数≥50万，每秒新建连接数≥3万，IPSec吞吐量≥3Gbps，IPS吞吐量≥1.5Gbps ，SSL_VPN吞吐量≥300Mbps ,SSL代理吞吐量≥300Mbps。</w:t>
            </w:r>
            <w:r>
              <w:rPr>
                <w:rFonts w:hint="eastAsia" w:ascii="宋体" w:hAnsi="宋体"/>
                <w:kern w:val="0"/>
                <w:sz w:val="22"/>
              </w:rPr>
              <w:br w:type="textWrapping"/>
            </w:r>
            <w:r>
              <w:rPr>
                <w:rFonts w:hint="eastAsia" w:ascii="宋体" w:hAnsi="宋体"/>
                <w:kern w:val="0"/>
                <w:sz w:val="22"/>
              </w:rPr>
              <w:t>4.策略管控: 能够基于时间、用户/用户组/安全组、应用层协议、地理位置、IP地址、端口、域名组、URL分类、接入类型、终端类型、设备组、内容安全统一界面进行安全策略配置。</w:t>
            </w:r>
            <w:r>
              <w:rPr>
                <w:rFonts w:hint="eastAsia" w:ascii="宋体" w:hAnsi="宋体"/>
                <w:kern w:val="0"/>
                <w:sz w:val="22"/>
              </w:rPr>
              <w:br w:type="textWrapping"/>
            </w:r>
            <w:r>
              <w:rPr>
                <w:rFonts w:hint="eastAsia" w:ascii="宋体" w:hAnsi="宋体"/>
                <w:kern w:val="0"/>
                <w:sz w:val="22"/>
              </w:rPr>
              <w:t>5.路由功能: 支持静态路由、策略路由、RIP、OSPF、BGP、ISIS等路由协议。</w:t>
            </w:r>
            <w:r>
              <w:rPr>
                <w:rFonts w:hint="eastAsia" w:ascii="宋体" w:hAnsi="宋体"/>
                <w:kern w:val="0"/>
                <w:sz w:val="22"/>
              </w:rPr>
              <w:br w:type="textWrapping"/>
            </w:r>
            <w:r>
              <w:rPr>
                <w:rFonts w:hint="eastAsia" w:ascii="宋体" w:hAnsi="宋体"/>
                <w:kern w:val="0"/>
                <w:sz w:val="22"/>
              </w:rPr>
              <w:t>6. IPV6: 支持IPv6协议栈、IPV6穿越技术、IPV6路由协议；支持IPv6 over IPv4 GRE隧道，6RD隧道。</w:t>
            </w:r>
            <w:r>
              <w:rPr>
                <w:rFonts w:hint="eastAsia" w:ascii="宋体" w:hAnsi="宋体"/>
                <w:kern w:val="0"/>
                <w:sz w:val="22"/>
              </w:rPr>
              <w:br w:type="textWrapping"/>
            </w:r>
            <w:r>
              <w:rPr>
                <w:rFonts w:hint="eastAsia" w:ascii="宋体" w:hAnsi="宋体"/>
                <w:kern w:val="0"/>
                <w:sz w:val="22"/>
              </w:rPr>
              <w:t>7. 协议识别; 支持识别国标SIP协议及主流安防厂家的私有协议。</w:t>
            </w:r>
            <w:r>
              <w:rPr>
                <w:rFonts w:hint="eastAsia" w:ascii="宋体" w:hAnsi="宋体"/>
                <w:kern w:val="0"/>
                <w:sz w:val="22"/>
              </w:rPr>
              <w:br w:type="textWrapping"/>
            </w:r>
            <w:r>
              <w:rPr>
                <w:rFonts w:hint="eastAsia" w:ascii="宋体" w:hAnsi="宋体"/>
                <w:kern w:val="0"/>
                <w:sz w:val="22"/>
              </w:rPr>
              <w:t>流量控制: 支持基于应用层协议设置流控策略，包括设置最大带宽、保证带宽、协议流量优先级等；支持每IP， 每用户的最大连接数限制，防护服务器; 支持用户流量配额管理。</w:t>
            </w:r>
            <w:r>
              <w:rPr>
                <w:rFonts w:hint="eastAsia" w:ascii="宋体" w:hAnsi="宋体"/>
                <w:kern w:val="0"/>
                <w:sz w:val="22"/>
              </w:rPr>
              <w:br w:type="textWrapping"/>
            </w:r>
            <w:r>
              <w:rPr>
                <w:rFonts w:hint="eastAsia" w:ascii="宋体" w:hAnsi="宋体"/>
                <w:kern w:val="0"/>
                <w:sz w:val="22"/>
              </w:rPr>
              <w:t>8.策略管理: 支持策略的模糊查询，策略组，策略规则标签，方便策略的管理及运维；支持与firemon和algosec对接，实现策略的命中，冗余分析及风险调优.</w:t>
            </w:r>
            <w:r>
              <w:rPr>
                <w:rFonts w:hint="eastAsia" w:ascii="宋体" w:hAnsi="宋体"/>
                <w:kern w:val="0"/>
                <w:sz w:val="22"/>
              </w:rPr>
              <w:br w:type="textWrapping"/>
            </w:r>
            <w:r>
              <w:rPr>
                <w:rFonts w:hint="eastAsia" w:ascii="宋体" w:hAnsi="宋体"/>
                <w:kern w:val="0"/>
                <w:sz w:val="22"/>
              </w:rPr>
              <w:t>9.数据安全: 支持数据防泄露，对传输的文件和内容进行识别过滤，对内容与身份证、信用卡、银行卡、社会安全卡号等类型进行匹配。</w:t>
            </w:r>
            <w:r>
              <w:rPr>
                <w:rFonts w:hint="eastAsia" w:ascii="宋体" w:hAnsi="宋体"/>
                <w:kern w:val="0"/>
                <w:sz w:val="22"/>
              </w:rPr>
              <w:br w:type="textWrapping"/>
            </w:r>
            <w:r>
              <w:rPr>
                <w:rFonts w:hint="eastAsia" w:ascii="宋体" w:hAnsi="宋体"/>
                <w:kern w:val="0"/>
                <w:sz w:val="22"/>
              </w:rPr>
              <w:t>10. DDoS防护: 支持HTTP、HTTPS、DNS、SIP等应用层Flood攻击，支持流量自学习功能，可设置自学习时间，并自动生成DDoS防范策略; 支持IP信誉.</w:t>
            </w:r>
            <w:r>
              <w:rPr>
                <w:rFonts w:hint="eastAsia" w:ascii="宋体" w:hAnsi="宋体"/>
                <w:kern w:val="0"/>
                <w:sz w:val="22"/>
              </w:rPr>
              <w:br w:type="textWrapping"/>
            </w:r>
            <w:r>
              <w:rPr>
                <w:rFonts w:hint="eastAsia" w:ascii="宋体" w:hAnsi="宋体"/>
                <w:kern w:val="0"/>
                <w:sz w:val="22"/>
              </w:rPr>
              <w:t>11.NAT: 支持全面NAT功能，对多种应用层协议支持ALG功能，包括ILS、DNS、PPTP、SIP、FTP、ICQ、RTSP、QQ、MSN、MMS等。</w:t>
            </w:r>
            <w:r>
              <w:rPr>
                <w:rFonts w:hint="eastAsia" w:ascii="宋体" w:hAnsi="宋体"/>
                <w:kern w:val="0"/>
                <w:sz w:val="22"/>
              </w:rPr>
              <w:br w:type="textWrapping"/>
            </w:r>
            <w:r>
              <w:rPr>
                <w:rFonts w:hint="eastAsia" w:ascii="宋体" w:hAnsi="宋体"/>
                <w:kern w:val="0"/>
                <w:sz w:val="22"/>
              </w:rPr>
              <w:t>12.入侵防御及病毒防护: 基于特征检测，支持超过8000种特征的攻击检测和防御; 支持对常见应用服务（HTTP、FTP、SSH、SMTP、IMAP）和数据库软件（MySQL、Oracle、MSSQL）的口令暴力破解防护功能; 支持恶意域名过滤，实现对C&amp;C进行阻断; 可以支持HTTP、FTP、SMTP、POP3、IMAP、NFS等协议的病毒防护。</w:t>
            </w:r>
            <w:r>
              <w:rPr>
                <w:rFonts w:hint="eastAsia" w:ascii="宋体" w:hAnsi="宋体"/>
                <w:kern w:val="0"/>
                <w:sz w:val="22"/>
              </w:rPr>
              <w:br w:type="textWrapping"/>
            </w:r>
            <w:r>
              <w:rPr>
                <w:rFonts w:hint="eastAsia" w:ascii="宋体" w:hAnsi="宋体"/>
                <w:kern w:val="0"/>
                <w:sz w:val="22"/>
              </w:rPr>
              <w:t>13.加密流量安全防护: 支持对HTTPS，POP3S，SMTPS,IMAPS加密流量代理解密后，并进行内容过滤，审计，安全防护; 支持基于URL分类的精细化解密，提高解密性能; 支持加密流量解密后镜像给第三方设备做审计，安全检测。</w:t>
            </w:r>
            <w:r>
              <w:rPr>
                <w:rFonts w:hint="eastAsia" w:ascii="宋体" w:hAnsi="宋体"/>
                <w:kern w:val="0"/>
                <w:sz w:val="22"/>
              </w:rPr>
              <w:br w:type="textWrapping"/>
            </w:r>
            <w:r>
              <w:rPr>
                <w:rFonts w:hint="eastAsia" w:ascii="宋体" w:hAnsi="宋体"/>
                <w:kern w:val="0"/>
                <w:sz w:val="22"/>
              </w:rPr>
              <w:t>14.集中管理及易用性: 支持防火墙向云管理平台自动注册，云管理平台对防火墙进行统一的管理及运维。</w:t>
            </w:r>
            <w:r>
              <w:rPr>
                <w:rFonts w:hint="eastAsia" w:ascii="宋体" w:hAnsi="宋体"/>
                <w:kern w:val="0"/>
                <w:sz w:val="22"/>
              </w:rPr>
              <w:br w:type="textWrapping"/>
            </w:r>
            <w:r>
              <w:rPr>
                <w:rFonts w:hint="eastAsia" w:ascii="宋体" w:hAnsi="宋体"/>
                <w:kern w:val="0"/>
                <w:sz w:val="22"/>
              </w:rPr>
              <w:t>15.智能威胁防御: 支持防火墙与云沙箱，本地沙箱混合联动，敏感文件在本地沙箱检测，普通文件上传到云沙箱 (免费提供六个月云沙箱License)。</w:t>
            </w:r>
            <w:r>
              <w:rPr>
                <w:rFonts w:hint="eastAsia" w:ascii="宋体" w:hAnsi="宋体"/>
                <w:kern w:val="0"/>
                <w:sz w:val="22"/>
              </w:rPr>
              <w:br w:type="textWrapping"/>
            </w:r>
            <w:r>
              <w:rPr>
                <w:rFonts w:hint="eastAsia" w:ascii="宋体" w:hAnsi="宋体"/>
                <w:kern w:val="0"/>
                <w:sz w:val="22"/>
              </w:rPr>
              <w:t>16. 可靠性: 支持BFD链路检测，支持BFD与VRRP联动实现双机快速切换，支持BFD与OSPF联动实现双机快速切换; 支持HA平滑升级，升级窗口中支持不同版的软件形成双机热备。</w:t>
            </w:r>
            <w:r>
              <w:rPr>
                <w:rFonts w:hint="eastAsia" w:ascii="宋体" w:hAnsi="宋体"/>
                <w:kern w:val="0"/>
                <w:sz w:val="22"/>
              </w:rPr>
              <w:br w:type="textWrapping"/>
            </w:r>
            <w:r>
              <w:rPr>
                <w:rFonts w:hint="eastAsia" w:ascii="宋体" w:hAnsi="宋体"/>
                <w:kern w:val="0"/>
                <w:sz w:val="22"/>
              </w:rPr>
              <w:t>17.多出口智能选路: 实配可根据目的地址智能优选运营商链路，支持主备接口配置以及按比例分配的负载分担方式。</w:t>
            </w:r>
            <w:r>
              <w:rPr>
                <w:rFonts w:hint="eastAsia" w:ascii="宋体" w:hAnsi="宋体"/>
                <w:kern w:val="0"/>
                <w:sz w:val="22"/>
              </w:rPr>
              <w:br w:type="textWrapping"/>
            </w:r>
            <w:r>
              <w:rPr>
                <w:rFonts w:hint="eastAsia" w:ascii="宋体" w:hAnsi="宋体"/>
                <w:kern w:val="0"/>
                <w:sz w:val="22"/>
              </w:rPr>
              <w:t>18.服务要求: 提供5年原厂维保服务，设备生产商需在国内设有400技术服务热线，在温州本地有备件库。</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台</w:t>
            </w:r>
          </w:p>
        </w:tc>
      </w:tr>
      <w:tr>
        <w:tblPrEx>
          <w:tblCellMar>
            <w:top w:w="0" w:type="dxa"/>
            <w:left w:w="108" w:type="dxa"/>
            <w:bottom w:w="0" w:type="dxa"/>
            <w:right w:w="108" w:type="dxa"/>
          </w:tblCellMar>
        </w:tblPrEx>
        <w:trPr>
          <w:wBefore w:w="0" w:type="dxa"/>
          <w:wAfter w:w="0" w:type="dxa"/>
          <w:trHeight w:val="696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17</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堡垒机</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1. 硬件参数：授权资产：1000个；硬件性能：并发字符连接最大1000个；并发图形连接最大300个；软件功能：功能无限制；维保服务：五年维保，永久使用；机箱高度：2U；网口：2千兆电口管理口，千兆业务电口*4，千兆业务光口*4（含2个千兆SFP多模光模块）；硬盘：2T*2，RAID 1；内存：16G；USB口：USB2.0口*2；串口：RJ45口*1；电源：1+1热插拔冗余电源</w:t>
            </w:r>
            <w:r>
              <w:rPr>
                <w:rFonts w:hint="eastAsia" w:ascii="宋体" w:hAnsi="宋体"/>
                <w:kern w:val="0"/>
                <w:sz w:val="22"/>
              </w:rPr>
              <w:br w:type="textWrapping"/>
            </w:r>
            <w:r>
              <w:rPr>
                <w:rFonts w:hint="eastAsia" w:ascii="宋体" w:hAnsi="宋体"/>
                <w:kern w:val="0"/>
                <w:sz w:val="22"/>
              </w:rPr>
              <w:t>2. 产品内置VPN模块，无需与其他VPN设备联动，实现运维入口安全接入</w:t>
            </w:r>
            <w:r>
              <w:rPr>
                <w:rFonts w:hint="eastAsia" w:ascii="宋体" w:hAnsi="宋体"/>
                <w:kern w:val="0"/>
                <w:sz w:val="22"/>
              </w:rPr>
              <w:br w:type="textWrapping"/>
            </w:r>
            <w:r>
              <w:rPr>
                <w:rFonts w:hint="eastAsia" w:ascii="宋体" w:hAnsi="宋体"/>
                <w:kern w:val="0"/>
                <w:sz w:val="22"/>
              </w:rPr>
              <w:t>3. 支持与get、post、soap发送方式的http短信网关平台进行联动，实现短信动态口令双因素认证机制，如与阿里云短信服务、SendCloud联动</w:t>
            </w:r>
            <w:r>
              <w:rPr>
                <w:rFonts w:hint="eastAsia" w:ascii="宋体" w:hAnsi="宋体"/>
                <w:kern w:val="0"/>
                <w:sz w:val="22"/>
              </w:rPr>
              <w:br w:type="textWrapping"/>
            </w:r>
            <w:r>
              <w:rPr>
                <w:rFonts w:hint="eastAsia" w:ascii="宋体" w:hAnsi="宋体"/>
                <w:kern w:val="0"/>
                <w:sz w:val="22"/>
              </w:rPr>
              <w:t>4. 支持DB2、oracle、mysql、sqlserver主流数据库协议代理运维，可直接调用本地windows系统的数据库客户端工具，支持自动登录、无需应用发布前置机</w:t>
            </w:r>
            <w:r>
              <w:rPr>
                <w:rFonts w:hint="eastAsia" w:ascii="宋体" w:hAnsi="宋体"/>
                <w:kern w:val="0"/>
                <w:sz w:val="22"/>
              </w:rPr>
              <w:br w:type="textWrapping"/>
            </w:r>
            <w:r>
              <w:rPr>
                <w:rFonts w:hint="eastAsia" w:ascii="宋体" w:hAnsi="宋体"/>
                <w:kern w:val="0"/>
                <w:sz w:val="22"/>
              </w:rPr>
              <w:t>5. H5运维方式：支持ssh、telnet、rlogin、rdp、vnc协议的H5运维，无需本地运维客户端工具</w:t>
            </w:r>
            <w:r>
              <w:rPr>
                <w:rFonts w:hint="eastAsia" w:ascii="宋体" w:hAnsi="宋体"/>
                <w:kern w:val="0"/>
                <w:sz w:val="22"/>
              </w:rPr>
              <w:br w:type="textWrapping"/>
            </w:r>
            <w:r>
              <w:rPr>
                <w:rFonts w:hint="eastAsia" w:ascii="宋体" w:hAnsi="宋体"/>
                <w:kern w:val="0"/>
                <w:sz w:val="22"/>
              </w:rPr>
              <w:t>6. 支持使用本地的SecurCRT/Xshell/OpenSSH工具通过SSH网关代理方式直接登录字符设备</w:t>
            </w:r>
            <w:r>
              <w:rPr>
                <w:rFonts w:hint="eastAsia" w:ascii="宋体" w:hAnsi="宋体"/>
                <w:kern w:val="0"/>
                <w:sz w:val="22"/>
              </w:rPr>
              <w:br w:type="textWrapping"/>
            </w:r>
            <w:r>
              <w:rPr>
                <w:rFonts w:hint="eastAsia" w:ascii="宋体" w:hAnsi="宋体"/>
                <w:kern w:val="0"/>
                <w:sz w:val="22"/>
              </w:rPr>
              <w:t>7. AD/LDAP环境，支持直接使用登录堡垒机的AD/LDAP用户及密码可以直接自动登录到服务器里</w:t>
            </w:r>
            <w:r>
              <w:rPr>
                <w:rFonts w:hint="eastAsia" w:ascii="宋体" w:hAnsi="宋体"/>
                <w:kern w:val="0"/>
                <w:sz w:val="22"/>
              </w:rPr>
              <w:br w:type="textWrapping"/>
            </w:r>
            <w:r>
              <w:rPr>
                <w:rFonts w:hint="eastAsia" w:ascii="宋体" w:hAnsi="宋体"/>
                <w:kern w:val="0"/>
                <w:sz w:val="22"/>
              </w:rPr>
              <w:t>8. 需提供用户、资产、授权的增删改查等API接口，允许第三方平台调用堡垒机的API接口，实现用户、资产、权限自动同步到堡垒机，简化堡垒机配置工作量</w:t>
            </w:r>
            <w:r>
              <w:rPr>
                <w:rFonts w:hint="eastAsia" w:ascii="宋体" w:hAnsi="宋体"/>
                <w:kern w:val="0"/>
                <w:sz w:val="22"/>
              </w:rPr>
              <w:br w:type="textWrapping"/>
            </w:r>
            <w:r>
              <w:rPr>
                <w:rFonts w:hint="eastAsia" w:ascii="宋体" w:hAnsi="宋体"/>
                <w:kern w:val="0"/>
                <w:sz w:val="22"/>
              </w:rPr>
              <w:t>9. 支持和同品牌的SOC系统进行联动，对绕过堡垒机而登录主机的行为，SOC进行实时告警，并且与SOC进行日志关联性分析</w:t>
            </w:r>
            <w:r>
              <w:rPr>
                <w:rFonts w:hint="eastAsia" w:ascii="宋体" w:hAnsi="宋体"/>
                <w:kern w:val="0"/>
                <w:sz w:val="22"/>
              </w:rPr>
              <w:br w:type="textWrapping"/>
            </w:r>
            <w:r>
              <w:rPr>
                <w:rFonts w:hint="eastAsia" w:ascii="宋体" w:hAnsi="宋体"/>
                <w:kern w:val="0"/>
                <w:sz w:val="22"/>
              </w:rPr>
              <w:t>10. 售后服务：提供不少于五年产品质保服务，须包含硬件保修、故障排查等服务内容。 原厂商在浙江省内有常驻机构能为用户提供快速及时的现场服务，提供本地应急响应时间&lt;=2小时。</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套</w:t>
            </w:r>
          </w:p>
        </w:tc>
      </w:tr>
      <w:tr>
        <w:tblPrEx>
          <w:tblCellMar>
            <w:top w:w="0" w:type="dxa"/>
            <w:left w:w="108" w:type="dxa"/>
            <w:bottom w:w="0" w:type="dxa"/>
            <w:right w:w="108" w:type="dxa"/>
          </w:tblCellMar>
        </w:tblPrEx>
        <w:trPr>
          <w:wBefore w:w="0" w:type="dxa"/>
          <w:wAfter w:w="0" w:type="dxa"/>
          <w:trHeight w:val="576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18</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日志审计</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1. 硬件规格：硬件尺寸:2U；100个日志源；6个工作管理口（千兆电口），1个console口；内存：8GB，磁盘：1T*1；EPS：4000/秒（峰值：5000/秒）；双电源、CF卡启动；可扩展项：内存可扩展至16GB；单个磁盘可扩展至4T（单盘位）；网口可扩展至10个（4电、4光）。</w:t>
            </w:r>
            <w:r>
              <w:rPr>
                <w:rFonts w:hint="eastAsia" w:ascii="宋体" w:hAnsi="宋体"/>
                <w:kern w:val="0"/>
                <w:sz w:val="22"/>
              </w:rPr>
              <w:br w:type="textWrapping"/>
            </w:r>
            <w:r>
              <w:rPr>
                <w:rFonts w:hint="eastAsia" w:ascii="宋体" w:hAnsi="宋体"/>
                <w:kern w:val="0"/>
                <w:sz w:val="22"/>
              </w:rPr>
              <w:t>2. 功能扩展：采用解决方案包上传对产品进行功能扩展，无需要代码开发。</w:t>
            </w:r>
            <w:r>
              <w:rPr>
                <w:rFonts w:hint="eastAsia" w:ascii="宋体" w:hAnsi="宋体"/>
                <w:kern w:val="0"/>
                <w:sz w:val="22"/>
              </w:rPr>
              <w:br w:type="textWrapping"/>
            </w:r>
            <w:r>
              <w:rPr>
                <w:rFonts w:hint="eastAsia" w:ascii="宋体" w:hAnsi="宋体"/>
                <w:kern w:val="0"/>
                <w:sz w:val="22"/>
              </w:rPr>
              <w:t>3. 日志收集：支持常见的虚拟机环境日志收集，包括Xen、VMWare、Hyper-V等。</w:t>
            </w:r>
            <w:r>
              <w:rPr>
                <w:rFonts w:hint="eastAsia" w:ascii="宋体" w:hAnsi="宋体"/>
                <w:kern w:val="0"/>
                <w:sz w:val="22"/>
              </w:rPr>
              <w:br w:type="textWrapping"/>
            </w:r>
            <w:r>
              <w:rPr>
                <w:rFonts w:hint="eastAsia" w:ascii="宋体" w:hAnsi="宋体"/>
                <w:kern w:val="0"/>
                <w:sz w:val="22"/>
              </w:rPr>
              <w:t>4. 三维关联分析；支持通过资产、安全知识库、弱点库三个维度分析事件是否存在威胁，并形成关联事件。</w:t>
            </w:r>
            <w:r>
              <w:rPr>
                <w:rFonts w:hint="eastAsia" w:ascii="宋体" w:hAnsi="宋体"/>
                <w:kern w:val="0"/>
                <w:sz w:val="22"/>
              </w:rPr>
              <w:br w:type="textWrapping"/>
            </w:r>
            <w:r>
              <w:rPr>
                <w:rFonts w:hint="eastAsia" w:ascii="宋体" w:hAnsi="宋体"/>
                <w:kern w:val="0"/>
                <w:sz w:val="22"/>
              </w:rPr>
              <w:t>5. 应用性能监控：通过在目标主机上安装Agent程序，支持监测目标主机的CPU利用率、内存使用率、磁盘使用率、磁盘使用情况、流量等信息。</w:t>
            </w:r>
            <w:r>
              <w:rPr>
                <w:rFonts w:hint="eastAsia" w:ascii="宋体" w:hAnsi="宋体"/>
                <w:kern w:val="0"/>
                <w:sz w:val="22"/>
              </w:rPr>
              <w:br w:type="textWrapping"/>
            </w:r>
            <w:r>
              <w:rPr>
                <w:rFonts w:hint="eastAsia" w:ascii="宋体" w:hAnsi="宋体"/>
                <w:kern w:val="0"/>
                <w:sz w:val="22"/>
              </w:rPr>
              <w:t>6. 告警功能：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r>
              <w:rPr>
                <w:rFonts w:hint="eastAsia" w:ascii="宋体" w:hAnsi="宋体"/>
                <w:kern w:val="0"/>
                <w:sz w:val="22"/>
              </w:rPr>
              <w:br w:type="textWrapping"/>
            </w:r>
            <w:r>
              <w:rPr>
                <w:rFonts w:hint="eastAsia" w:ascii="宋体" w:hAnsi="宋体"/>
                <w:kern w:val="0"/>
                <w:sz w:val="22"/>
              </w:rPr>
              <w:t>7. 售后服务：提供不少于五年产品质保服务，须包含硬件保修、故障排查等服务内容。原厂商在浙江省内有常驻机构能为用户提供快速及时的现场服务，提供本地应急响应时间&lt;=2小时。</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套</w:t>
            </w:r>
          </w:p>
        </w:tc>
      </w:tr>
      <w:tr>
        <w:tblPrEx>
          <w:tblCellMar>
            <w:top w:w="0" w:type="dxa"/>
            <w:left w:w="108" w:type="dxa"/>
            <w:bottom w:w="0" w:type="dxa"/>
            <w:right w:w="108" w:type="dxa"/>
          </w:tblCellMar>
        </w:tblPrEx>
        <w:trPr>
          <w:wBefore w:w="0" w:type="dxa"/>
          <w:wAfter w:w="0" w:type="dxa"/>
          <w:trHeight w:val="1266"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20</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时钟管理</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1. 提供标准的校时服务，可作为服务器、网络设备、应用平台、摄像机等前端设备的标准时钟源；</w:t>
            </w:r>
            <w:r>
              <w:rPr>
                <w:rFonts w:hint="eastAsia" w:ascii="宋体" w:hAnsi="宋体"/>
                <w:color w:val="000000"/>
                <w:kern w:val="0"/>
                <w:sz w:val="22"/>
              </w:rPr>
              <w:br w:type="textWrapping"/>
            </w:r>
            <w:r>
              <w:rPr>
                <w:rFonts w:hint="eastAsia" w:ascii="宋体" w:hAnsi="宋体"/>
                <w:color w:val="000000"/>
                <w:kern w:val="0"/>
                <w:sz w:val="22"/>
              </w:rPr>
              <w:t>2. 提供设备基础信息管理功能，提供多维度(名称、IP、类型等)条件查询，支持批量导入、导出功能。支持与第三方设备基础信息管理平台采用“一机一档”协议或视图库协议进行设备基础信息数据实时同步；对未建档设备校时信息进行记录，用于事后分析或补充建档；</w:t>
            </w:r>
            <w:r>
              <w:rPr>
                <w:rFonts w:hint="eastAsia" w:ascii="宋体" w:hAnsi="宋体"/>
                <w:color w:val="000000"/>
                <w:kern w:val="0"/>
                <w:sz w:val="22"/>
              </w:rPr>
              <w:br w:type="textWrapping"/>
            </w:r>
            <w:r>
              <w:rPr>
                <w:rFonts w:hint="eastAsia" w:ascii="宋体" w:hAnsi="宋体"/>
                <w:color w:val="000000"/>
                <w:kern w:val="0"/>
                <w:sz w:val="22"/>
              </w:rPr>
              <w:t>3.制定并管理校时计划，对已建档设备的校时情况按校时计划进行核验，列出未按计划校时设备，支持消息告警与批量导出；</w:t>
            </w:r>
            <w:r>
              <w:rPr>
                <w:rFonts w:hint="eastAsia" w:ascii="宋体" w:hAnsi="宋体"/>
                <w:color w:val="000000"/>
                <w:kern w:val="0"/>
                <w:sz w:val="22"/>
              </w:rPr>
              <w:br w:type="textWrapping"/>
            </w:r>
            <w:r>
              <w:rPr>
                <w:rFonts w:hint="eastAsia" w:ascii="宋体" w:hAnsi="宋体"/>
                <w:color w:val="000000"/>
                <w:kern w:val="0"/>
                <w:sz w:val="22"/>
              </w:rPr>
              <w:t>4.发现并列出计划内设备时间准确度超正常范围的设备，发现并列出多次设备时间准确度超正常范围设备；</w:t>
            </w:r>
            <w:r>
              <w:rPr>
                <w:rFonts w:hint="eastAsia" w:ascii="宋体" w:hAnsi="宋体"/>
                <w:color w:val="000000"/>
                <w:kern w:val="0"/>
                <w:sz w:val="22"/>
              </w:rPr>
              <w:br w:type="textWrapping"/>
            </w:r>
            <w:r>
              <w:rPr>
                <w:rFonts w:hint="eastAsia" w:ascii="宋体" w:hAnsi="宋体"/>
                <w:color w:val="000000"/>
                <w:kern w:val="0"/>
                <w:sz w:val="22"/>
              </w:rPr>
              <w:t>5. 支持设备时钟可靠性分析，对单个设备或同类设备在一段时间的时钟稳定性进行统计、分析，找出时钟稳定性不足的设备；</w:t>
            </w:r>
            <w:r>
              <w:rPr>
                <w:rFonts w:hint="eastAsia" w:ascii="宋体" w:hAnsi="宋体"/>
                <w:color w:val="000000"/>
                <w:kern w:val="0"/>
                <w:sz w:val="22"/>
              </w:rPr>
              <w:br w:type="textWrapping"/>
            </w:r>
            <w:r>
              <w:rPr>
                <w:rFonts w:hint="eastAsia" w:ascii="宋体" w:hAnsi="宋体"/>
                <w:color w:val="000000"/>
                <w:kern w:val="0"/>
                <w:sz w:val="22"/>
              </w:rPr>
              <w:t>6. 设备整体时间准确状况分析，汇总分析服务器、网络设备、应用平台、摄像机等前端设备时间误差分布，输出宏观报表。</w:t>
            </w:r>
            <w:r>
              <w:rPr>
                <w:rFonts w:hint="eastAsia" w:ascii="宋体" w:hAnsi="宋体"/>
                <w:color w:val="000000"/>
                <w:kern w:val="0"/>
                <w:sz w:val="22"/>
              </w:rPr>
              <w:br w:type="textWrapping"/>
            </w:r>
            <w:r>
              <w:rPr>
                <w:rFonts w:hint="eastAsia" w:ascii="宋体" w:hAnsi="宋体"/>
                <w:color w:val="000000"/>
                <w:kern w:val="0"/>
                <w:sz w:val="22"/>
              </w:rPr>
              <w:t xml:space="preserve">7. 支持三万路设备的时钟校时与管理能力；  </w:t>
            </w:r>
            <w:r>
              <w:rPr>
                <w:rFonts w:hint="eastAsia" w:ascii="宋体" w:hAnsi="宋体"/>
                <w:color w:val="000000"/>
                <w:kern w:val="0"/>
                <w:sz w:val="22"/>
              </w:rPr>
              <w:br w:type="textWrapping"/>
            </w:r>
            <w:r>
              <w:rPr>
                <w:rFonts w:hint="eastAsia" w:ascii="宋体" w:hAnsi="宋体"/>
                <w:color w:val="000000"/>
                <w:kern w:val="0"/>
                <w:sz w:val="22"/>
              </w:rPr>
              <w:t>8. 系统支持远程管理功能；</w:t>
            </w:r>
            <w:r>
              <w:rPr>
                <w:rFonts w:hint="eastAsia" w:ascii="宋体" w:hAnsi="宋体"/>
                <w:color w:val="000000"/>
                <w:kern w:val="0"/>
                <w:sz w:val="22"/>
              </w:rPr>
              <w:br w:type="textWrapping"/>
            </w:r>
            <w:r>
              <w:rPr>
                <w:rFonts w:hint="eastAsia" w:ascii="宋体" w:hAnsi="宋体"/>
                <w:color w:val="000000"/>
                <w:kern w:val="0"/>
                <w:sz w:val="22"/>
              </w:rPr>
              <w:t>9. 系统具备高可靠运行能力，支持集群架构，支持集群间数据同步功能，支持对外提供统一服务入口；</w:t>
            </w:r>
            <w:r>
              <w:rPr>
                <w:rFonts w:hint="eastAsia" w:ascii="宋体" w:hAnsi="宋体"/>
                <w:color w:val="000000"/>
                <w:kern w:val="0"/>
                <w:sz w:val="22"/>
              </w:rPr>
              <w:br w:type="textWrapping"/>
            </w:r>
            <w:r>
              <w:rPr>
                <w:rFonts w:hint="eastAsia" w:ascii="宋体" w:hAnsi="宋体"/>
                <w:color w:val="000000"/>
                <w:kern w:val="0"/>
                <w:sz w:val="22"/>
              </w:rPr>
              <w:t>10. 含服务器及配套硬件设备。</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台</w:t>
            </w:r>
          </w:p>
        </w:tc>
      </w:tr>
      <w:tr>
        <w:tblPrEx>
          <w:tblCellMar>
            <w:top w:w="0" w:type="dxa"/>
            <w:left w:w="108" w:type="dxa"/>
            <w:bottom w:w="0" w:type="dxa"/>
            <w:right w:w="108" w:type="dxa"/>
          </w:tblCellMar>
        </w:tblPrEx>
        <w:trPr>
          <w:wBefore w:w="0" w:type="dxa"/>
          <w:wAfter w:w="0" w:type="dxa"/>
          <w:trHeight w:val="624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21</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一机一档</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1.支持设备资源档案的添加、删除、编辑、导入、导出、外部系统接口同步等采集完善建档功能；</w:t>
            </w:r>
            <w:r>
              <w:rPr>
                <w:rFonts w:hint="eastAsia" w:ascii="宋体" w:hAnsi="宋体"/>
                <w:color w:val="000000"/>
                <w:kern w:val="0"/>
                <w:sz w:val="22"/>
              </w:rPr>
              <w:br w:type="textWrapping"/>
            </w:r>
            <w:r>
              <w:rPr>
                <w:rFonts w:hint="eastAsia" w:ascii="宋体" w:hAnsi="宋体"/>
                <w:color w:val="000000"/>
                <w:kern w:val="0"/>
                <w:sz w:val="22"/>
              </w:rPr>
              <w:t>2.支持根据按设备类型特点添加并管理设备模板，如：前端设备、网络设备、后端设备等可采用对应的模板进行管理；</w:t>
            </w:r>
            <w:r>
              <w:rPr>
                <w:rFonts w:hint="eastAsia" w:ascii="宋体" w:hAnsi="宋体"/>
                <w:color w:val="000000"/>
                <w:kern w:val="0"/>
                <w:sz w:val="22"/>
              </w:rPr>
              <w:br w:type="textWrapping"/>
            </w:r>
            <w:r>
              <w:rPr>
                <w:rFonts w:hint="eastAsia" w:ascii="宋体" w:hAnsi="宋体"/>
                <w:color w:val="000000"/>
                <w:kern w:val="0"/>
                <w:sz w:val="22"/>
              </w:rPr>
              <w:t>3.提供设备名称、设备编码、设备IP等多条件结果过滤筛选，支持列表形式返回查询结果，提供单个设备的详细信息查看；</w:t>
            </w:r>
            <w:r>
              <w:rPr>
                <w:rFonts w:hint="eastAsia" w:ascii="宋体" w:hAnsi="宋体"/>
                <w:color w:val="000000"/>
                <w:kern w:val="0"/>
                <w:sz w:val="22"/>
              </w:rPr>
              <w:br w:type="textWrapping"/>
            </w:r>
            <w:r>
              <w:rPr>
                <w:rFonts w:hint="eastAsia" w:ascii="宋体" w:hAnsi="宋体"/>
                <w:color w:val="000000"/>
                <w:kern w:val="0"/>
                <w:sz w:val="22"/>
              </w:rPr>
              <w:t>4.支持以多种视图形式对设备档案按地区、按属性分类、数据填报质量等不同维度进行统计、分析的展示，如：GIS视图、列表视图、图表视图等；</w:t>
            </w:r>
            <w:r>
              <w:rPr>
                <w:rFonts w:hint="eastAsia" w:ascii="宋体" w:hAnsi="宋体"/>
                <w:color w:val="000000"/>
                <w:kern w:val="0"/>
                <w:sz w:val="22"/>
              </w:rPr>
              <w:br w:type="textWrapping"/>
            </w:r>
            <w:r>
              <w:rPr>
                <w:rFonts w:hint="eastAsia" w:ascii="宋体" w:hAnsi="宋体"/>
                <w:color w:val="000000"/>
                <w:kern w:val="0"/>
                <w:sz w:val="22"/>
              </w:rPr>
              <w:t>5.提供设备信息删除操作回收站功能，可提供历史删除设备查询及恢复功能；</w:t>
            </w:r>
            <w:r>
              <w:rPr>
                <w:rFonts w:hint="eastAsia" w:ascii="宋体" w:hAnsi="宋体"/>
                <w:color w:val="000000"/>
                <w:kern w:val="0"/>
                <w:sz w:val="22"/>
              </w:rPr>
              <w:br w:type="textWrapping"/>
            </w:r>
            <w:r>
              <w:rPr>
                <w:rFonts w:hint="eastAsia" w:ascii="宋体" w:hAnsi="宋体"/>
                <w:color w:val="000000"/>
                <w:kern w:val="0"/>
                <w:sz w:val="22"/>
              </w:rPr>
              <w:t>6.支持设备信息的批量导入导出功能，按照固定模板实现excel格式的批量导入和结果导出；</w:t>
            </w:r>
            <w:r>
              <w:rPr>
                <w:rFonts w:hint="eastAsia" w:ascii="宋体" w:hAnsi="宋体"/>
                <w:color w:val="000000"/>
                <w:kern w:val="0"/>
                <w:sz w:val="22"/>
              </w:rPr>
              <w:br w:type="textWrapping"/>
            </w:r>
            <w:r>
              <w:rPr>
                <w:rFonts w:hint="eastAsia" w:ascii="宋体" w:hAnsi="宋体"/>
                <w:color w:val="000000"/>
                <w:kern w:val="0"/>
                <w:sz w:val="22"/>
              </w:rPr>
              <w:t>7.设备管理字段信息属性及字典项要求须满足公安部发布的《“一机一档”系统建设技术方案》，并可根据实际情况进行合理扩展；</w:t>
            </w:r>
            <w:r>
              <w:rPr>
                <w:rFonts w:hint="eastAsia" w:ascii="宋体" w:hAnsi="宋体"/>
                <w:color w:val="000000"/>
                <w:kern w:val="0"/>
                <w:sz w:val="22"/>
              </w:rPr>
              <w:br w:type="textWrapping"/>
            </w:r>
            <w:r>
              <w:rPr>
                <w:rFonts w:hint="eastAsia" w:ascii="宋体" w:hAnsi="宋体"/>
                <w:color w:val="000000"/>
                <w:kern w:val="0"/>
                <w:sz w:val="22"/>
              </w:rPr>
              <w:t>8.支持数据项的完整性校验，并数据完整度质量列表；</w:t>
            </w:r>
            <w:r>
              <w:rPr>
                <w:rFonts w:hint="eastAsia" w:ascii="宋体" w:hAnsi="宋体"/>
                <w:color w:val="000000"/>
                <w:kern w:val="0"/>
                <w:sz w:val="22"/>
              </w:rPr>
              <w:br w:type="textWrapping"/>
            </w:r>
            <w:r>
              <w:rPr>
                <w:rFonts w:hint="eastAsia" w:ascii="宋体" w:hAnsi="宋体"/>
                <w:color w:val="000000"/>
                <w:kern w:val="0"/>
                <w:sz w:val="22"/>
              </w:rPr>
              <w:t>9.支持设备档案信息实时上传服务，可对多个上级平台采用独立的模板进行实时上报；</w:t>
            </w:r>
            <w:r>
              <w:rPr>
                <w:rFonts w:hint="eastAsia" w:ascii="宋体" w:hAnsi="宋体"/>
                <w:color w:val="000000"/>
                <w:kern w:val="0"/>
                <w:sz w:val="22"/>
              </w:rPr>
              <w:br w:type="textWrapping"/>
            </w:r>
            <w:r>
              <w:rPr>
                <w:rFonts w:hint="eastAsia" w:ascii="宋体" w:hAnsi="宋体"/>
                <w:color w:val="000000"/>
                <w:kern w:val="0"/>
                <w:sz w:val="22"/>
              </w:rPr>
              <w:t>10.接收并汇聚下级的“一机一档”系统数据，并按照预定规则进行数据合并与实时分发；</w:t>
            </w:r>
            <w:r>
              <w:rPr>
                <w:rFonts w:hint="eastAsia" w:ascii="宋体" w:hAnsi="宋体"/>
                <w:color w:val="000000"/>
                <w:kern w:val="0"/>
                <w:sz w:val="22"/>
              </w:rPr>
              <w:br w:type="textWrapping"/>
            </w:r>
            <w:r>
              <w:rPr>
                <w:rFonts w:hint="eastAsia" w:ascii="宋体" w:hAnsi="宋体"/>
                <w:color w:val="000000"/>
                <w:kern w:val="0"/>
                <w:sz w:val="22"/>
              </w:rPr>
              <w:t>11.支持设备档案信息的同步服务，可同时向不同的应用系统、运维系统、安全管理系统等提供基础信息的同步服务；</w:t>
            </w:r>
            <w:r>
              <w:rPr>
                <w:rFonts w:hint="eastAsia" w:ascii="宋体" w:hAnsi="宋体"/>
                <w:color w:val="000000"/>
                <w:kern w:val="0"/>
                <w:sz w:val="22"/>
              </w:rPr>
              <w:br w:type="textWrapping"/>
            </w:r>
            <w:r>
              <w:rPr>
                <w:rFonts w:hint="eastAsia" w:ascii="宋体" w:hAnsi="宋体"/>
                <w:color w:val="000000"/>
                <w:kern w:val="0"/>
                <w:sz w:val="22"/>
              </w:rPr>
              <w:t>12.支持不同数据接收方的独立模板管理与传输状态记录功能，支持独立的断点续传与7天的数据缓存功能；</w:t>
            </w:r>
            <w:r>
              <w:rPr>
                <w:rFonts w:hint="eastAsia" w:ascii="宋体" w:hAnsi="宋体"/>
                <w:color w:val="000000"/>
                <w:kern w:val="0"/>
                <w:sz w:val="22"/>
              </w:rPr>
              <w:br w:type="textWrapping"/>
            </w:r>
            <w:r>
              <w:rPr>
                <w:rFonts w:hint="eastAsia" w:ascii="宋体" w:hAnsi="宋体"/>
                <w:color w:val="000000"/>
                <w:kern w:val="0"/>
                <w:sz w:val="22"/>
              </w:rPr>
              <w:t>13.支持档案内设备当前状态信息的转发与路由；</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套</w:t>
            </w:r>
          </w:p>
        </w:tc>
      </w:tr>
      <w:tr>
        <w:tblPrEx>
          <w:tblCellMar>
            <w:top w:w="0" w:type="dxa"/>
            <w:left w:w="108" w:type="dxa"/>
            <w:bottom w:w="0" w:type="dxa"/>
            <w:right w:w="108" w:type="dxa"/>
          </w:tblCellMar>
        </w:tblPrEx>
        <w:trPr>
          <w:wBefore w:w="0" w:type="dxa"/>
          <w:wAfter w:w="0" w:type="dxa"/>
          <w:trHeight w:val="1215"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22</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安全信息等级保护</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对视频专网进行三级等保评测服务</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套</w:t>
            </w:r>
          </w:p>
        </w:tc>
      </w:tr>
      <w:tr>
        <w:tblPrEx>
          <w:tblCellMar>
            <w:top w:w="0" w:type="dxa"/>
            <w:left w:w="108" w:type="dxa"/>
            <w:bottom w:w="0" w:type="dxa"/>
            <w:right w:w="108" w:type="dxa"/>
          </w:tblCellMar>
        </w:tblPrEx>
        <w:trPr>
          <w:wBefore w:w="0" w:type="dxa"/>
          <w:wAfter w:w="0" w:type="dxa"/>
          <w:trHeight w:val="3392" w:hRule="atLeast"/>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olor w:val="000000"/>
                <w:kern w:val="0"/>
                <w:sz w:val="22"/>
              </w:rPr>
            </w:pPr>
            <w:r>
              <w:rPr>
                <w:rFonts w:hint="eastAsia" w:ascii="宋体" w:hAnsi="宋体"/>
                <w:color w:val="000000"/>
                <w:kern w:val="0"/>
                <w:sz w:val="22"/>
              </w:rPr>
              <w:t>23</w:t>
            </w:r>
          </w:p>
        </w:tc>
        <w:tc>
          <w:tcPr>
            <w:tcW w:w="9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olor w:val="000000"/>
                <w:kern w:val="0"/>
                <w:sz w:val="22"/>
              </w:rPr>
            </w:pPr>
            <w:r>
              <w:rPr>
                <w:rFonts w:hint="eastAsia" w:ascii="宋体" w:hAnsi="宋体"/>
                <w:color w:val="000000"/>
                <w:kern w:val="0"/>
                <w:sz w:val="22"/>
              </w:rPr>
              <w:t>视频质量诊断平台</w:t>
            </w:r>
          </w:p>
        </w:tc>
        <w:tc>
          <w:tcPr>
            <w:tcW w:w="60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olor w:val="000000"/>
                <w:kern w:val="0"/>
                <w:sz w:val="22"/>
              </w:rPr>
            </w:pPr>
            <w:r>
              <w:rPr>
                <w:rFonts w:hint="eastAsia" w:ascii="宋体" w:hAnsi="宋体"/>
                <w:color w:val="000000"/>
                <w:kern w:val="0"/>
                <w:sz w:val="22"/>
              </w:rPr>
              <w:t>1.基础诊断：判断视频调取是否正常、上一天录像的完整率；</w:t>
            </w:r>
          </w:p>
          <w:p>
            <w:pPr>
              <w:widowControl/>
              <w:jc w:val="left"/>
              <w:rPr>
                <w:rFonts w:hint="eastAsia" w:ascii="宋体" w:hAnsi="宋体"/>
                <w:color w:val="000000"/>
                <w:kern w:val="0"/>
                <w:sz w:val="22"/>
              </w:rPr>
            </w:pPr>
            <w:r>
              <w:rPr>
                <w:rFonts w:hint="eastAsia" w:ascii="宋体" w:hAnsi="宋体"/>
                <w:color w:val="000000"/>
                <w:kern w:val="0"/>
                <w:sz w:val="22"/>
              </w:rPr>
              <w:t>2.质量诊断：支持偏暗、偏亮、偏色、模糊、雪花、条纹、遮挡、无信号、画面冻结；</w:t>
            </w:r>
          </w:p>
          <w:p>
            <w:pPr>
              <w:widowControl/>
              <w:jc w:val="left"/>
              <w:rPr>
                <w:rFonts w:hint="eastAsia" w:ascii="宋体" w:hAnsi="宋体"/>
                <w:color w:val="000000"/>
                <w:kern w:val="0"/>
                <w:sz w:val="22"/>
              </w:rPr>
            </w:pPr>
            <w:r>
              <w:rPr>
                <w:rFonts w:hint="eastAsia" w:ascii="宋体" w:hAnsi="宋体"/>
                <w:color w:val="000000"/>
                <w:kern w:val="0"/>
                <w:sz w:val="22"/>
              </w:rPr>
              <w:t>3.网络诊断：可输出视频流延时情况与码流丢包情况；</w:t>
            </w:r>
          </w:p>
          <w:p>
            <w:pPr>
              <w:widowControl/>
              <w:jc w:val="left"/>
              <w:rPr>
                <w:rFonts w:hint="eastAsia" w:ascii="宋体" w:hAnsi="宋体"/>
                <w:color w:val="000000"/>
                <w:kern w:val="0"/>
                <w:sz w:val="22"/>
              </w:rPr>
            </w:pPr>
            <w:r>
              <w:rPr>
                <w:rFonts w:hint="eastAsia" w:ascii="宋体" w:hAnsi="宋体"/>
                <w:color w:val="000000"/>
                <w:kern w:val="0"/>
                <w:sz w:val="22"/>
              </w:rPr>
              <w:t>4.视频接入：支持国标GB28181协议接入，可与现有视频监控平台、一机一档管理系统无缝对接；</w:t>
            </w:r>
          </w:p>
          <w:p>
            <w:pPr>
              <w:widowControl/>
              <w:jc w:val="left"/>
              <w:rPr>
                <w:rFonts w:hint="eastAsia" w:ascii="宋体" w:hAnsi="宋体"/>
                <w:color w:val="000000"/>
                <w:kern w:val="0"/>
                <w:sz w:val="22"/>
              </w:rPr>
            </w:pPr>
            <w:r>
              <w:rPr>
                <w:rFonts w:hint="eastAsia" w:ascii="宋体" w:hAnsi="宋体"/>
                <w:color w:val="000000"/>
                <w:kern w:val="0"/>
                <w:sz w:val="22"/>
              </w:rPr>
              <w:t>5.支持提供诊断结果订阅接口；</w:t>
            </w:r>
          </w:p>
          <w:p>
            <w:pPr>
              <w:widowControl/>
              <w:jc w:val="left"/>
              <w:rPr>
                <w:rFonts w:hint="eastAsia" w:ascii="宋体" w:hAnsi="宋体"/>
                <w:color w:val="000000"/>
                <w:kern w:val="0"/>
                <w:sz w:val="22"/>
              </w:rPr>
            </w:pPr>
            <w:r>
              <w:rPr>
                <w:rFonts w:hint="eastAsia" w:ascii="宋体" w:hAnsi="宋体"/>
                <w:color w:val="000000"/>
                <w:kern w:val="0"/>
                <w:sz w:val="22"/>
              </w:rPr>
              <w:t>6.性能不低于在2小时内完成2万路视频综合诊断；</w:t>
            </w:r>
          </w:p>
          <w:p>
            <w:pPr>
              <w:widowControl/>
              <w:jc w:val="left"/>
              <w:rPr>
                <w:rFonts w:ascii="宋体" w:hAnsi="宋体"/>
                <w:color w:val="000000"/>
                <w:kern w:val="0"/>
                <w:sz w:val="22"/>
              </w:rPr>
            </w:pPr>
            <w:r>
              <w:rPr>
                <w:rFonts w:hint="eastAsia" w:ascii="宋体" w:hAnsi="宋体"/>
                <w:color w:val="000000"/>
                <w:kern w:val="0"/>
                <w:sz w:val="22"/>
              </w:rPr>
              <w:t>7.含所需的软件与硬件设备。</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套</w:t>
            </w:r>
          </w:p>
        </w:tc>
      </w:tr>
      <w:tr>
        <w:tblPrEx>
          <w:tblCellMar>
            <w:top w:w="0" w:type="dxa"/>
            <w:left w:w="108" w:type="dxa"/>
            <w:bottom w:w="0" w:type="dxa"/>
            <w:right w:w="108" w:type="dxa"/>
          </w:tblCellMar>
        </w:tblPrEx>
        <w:trPr>
          <w:wBefore w:w="0" w:type="dxa"/>
          <w:wAfter w:w="0" w:type="dxa"/>
          <w:trHeight w:val="3120" w:hRule="atLeast"/>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olor w:val="000000"/>
                <w:kern w:val="0"/>
                <w:sz w:val="22"/>
              </w:rPr>
            </w:pPr>
            <w:r>
              <w:rPr>
                <w:rFonts w:hint="eastAsia" w:ascii="宋体" w:hAnsi="宋体"/>
                <w:color w:val="000000"/>
                <w:kern w:val="0"/>
                <w:sz w:val="22"/>
              </w:rPr>
              <w:t>24</w:t>
            </w:r>
          </w:p>
        </w:tc>
        <w:tc>
          <w:tcPr>
            <w:tcW w:w="9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olor w:val="000000"/>
                <w:kern w:val="0"/>
                <w:sz w:val="22"/>
              </w:rPr>
            </w:pPr>
            <w:r>
              <w:rPr>
                <w:rFonts w:hint="eastAsia" w:ascii="宋体" w:hAnsi="宋体"/>
                <w:color w:val="000000"/>
                <w:kern w:val="0"/>
                <w:sz w:val="22"/>
              </w:rPr>
              <w:t>机房场地及配套（五年）</w:t>
            </w:r>
          </w:p>
        </w:tc>
        <w:tc>
          <w:tcPr>
            <w:tcW w:w="604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olor w:val="000000"/>
                <w:kern w:val="0"/>
                <w:sz w:val="22"/>
              </w:rPr>
            </w:pPr>
            <w:r>
              <w:rPr>
                <w:rFonts w:hint="eastAsia" w:ascii="宋体" w:hAnsi="宋体"/>
                <w:color w:val="000000"/>
                <w:kern w:val="0"/>
                <w:sz w:val="22"/>
              </w:rPr>
              <w:t>1.本项目后端存储、服务器等设备安装机房位置需满足市局相关要求并距离龙湾公安分局在2公里以内，设备安装机柜资源根据本项目实际需求由中标方采购（费用包含在中标价当中）；</w:t>
            </w:r>
            <w:r>
              <w:rPr>
                <w:rFonts w:hint="eastAsia" w:ascii="宋体" w:hAnsi="宋体"/>
                <w:color w:val="000000"/>
                <w:kern w:val="0"/>
                <w:sz w:val="22"/>
              </w:rPr>
              <w:br w:type="textWrapping"/>
            </w:r>
            <w:r>
              <w:rPr>
                <w:rFonts w:hint="eastAsia" w:ascii="宋体" w:hAnsi="宋体"/>
                <w:color w:val="000000"/>
                <w:kern w:val="0"/>
                <w:sz w:val="22"/>
              </w:rPr>
              <w:t>2.所有设备电源模块按照使用机房实际用电环境配置（直流或交流），设备上架由机房专门人员负责，费用包含在项目中标价当中；</w:t>
            </w:r>
            <w:r>
              <w:rPr>
                <w:rFonts w:hint="eastAsia" w:ascii="宋体" w:hAnsi="宋体"/>
                <w:color w:val="000000"/>
                <w:kern w:val="0"/>
                <w:sz w:val="22"/>
              </w:rPr>
              <w:br w:type="textWrapping"/>
            </w:r>
            <w:r>
              <w:rPr>
                <w:rFonts w:hint="eastAsia" w:ascii="宋体" w:hAnsi="宋体"/>
                <w:color w:val="000000"/>
                <w:kern w:val="0"/>
                <w:sz w:val="22"/>
              </w:rPr>
              <w:t>3.包含机房环境与中心设备电费，机房运维保障、机柜配套（网、电）整理、维护，机房日常管理及基础台帐维护，服务器、存储、网络设备等机器日常清洁、巡检、维修、抢修，基础资料、巡检维修记录维护的全部费用；</w:t>
            </w:r>
            <w:r>
              <w:rPr>
                <w:rFonts w:hint="eastAsia" w:ascii="宋体" w:hAnsi="宋体"/>
                <w:color w:val="000000"/>
                <w:kern w:val="0"/>
                <w:sz w:val="22"/>
              </w:rPr>
              <w:br w:type="textWrapping"/>
            </w:r>
            <w:r>
              <w:rPr>
                <w:rFonts w:hint="eastAsia" w:ascii="宋体" w:hAnsi="宋体"/>
                <w:color w:val="000000"/>
                <w:kern w:val="0"/>
                <w:sz w:val="22"/>
              </w:rPr>
              <w:t>4.中标单位需提供到该机房的万兆双光纤链路。</w:t>
            </w:r>
            <w:r>
              <w:rPr>
                <w:rFonts w:hint="eastAsia" w:ascii="宋体" w:hAnsi="宋体"/>
                <w:color w:val="000000"/>
                <w:kern w:val="0"/>
                <w:sz w:val="22"/>
              </w:rPr>
              <w:br w:type="textWrapping"/>
            </w:r>
            <w:r>
              <w:rPr>
                <w:rFonts w:hint="eastAsia" w:ascii="宋体" w:hAnsi="宋体"/>
                <w:color w:val="000000"/>
                <w:kern w:val="0"/>
                <w:sz w:val="22"/>
              </w:rPr>
              <w:t>5.招标方不为后端机房的运维增加任何费用，投标方要充分了解项目需求，注意报价风险。</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项</w:t>
            </w:r>
          </w:p>
        </w:tc>
      </w:tr>
      <w:tr>
        <w:tblPrEx>
          <w:tblCellMar>
            <w:top w:w="0" w:type="dxa"/>
            <w:left w:w="108" w:type="dxa"/>
            <w:bottom w:w="0" w:type="dxa"/>
            <w:right w:w="108" w:type="dxa"/>
          </w:tblCellMar>
        </w:tblPrEx>
        <w:trPr>
          <w:wBefore w:w="0" w:type="dxa"/>
          <w:wAfter w:w="0" w:type="dxa"/>
          <w:trHeight w:val="96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25</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施工、调试验收等费用</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含前端设备安装，立杆基础的开挖、做模、浇筑、路面平整、修补、回填、废土清运等工作及材料，设备调测，辅材、附件、工具、人工、验收等全部费用。</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96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26</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简易人脸设备加装</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加装简易人脸抓拍摄像机，含室外400万像素人脸抓拍摄像机（要求和本项目简易监控采用同品牌同型号设备）、链路（5年）、存储设备（2Mbps码流/15天*24小时）、配套设备及辅材、施工费、电费（5年）、运维费（5年），要求连入龙湾公安分局指定的监控平台。</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1365"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27</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标准人脸设备加装</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加装图像抓拍摄像机，含室外800万像素人脸抓拍摄像机（要求和本项目图像抓拍摄像机（枪机）采用同品牌同型号设备）、链路（5年）、存储设备（4Mbps码流/30天*24小时）、配套设备及辅材、施工费、电费（5年）、运维费（5年），要求连入龙湾公安分局指定的监控平台。</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99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28</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摄像机调试</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需由原厂工程师对摄像机进行调试，实现人像、车辆抓拍等效果最优化。</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280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204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29</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监控信息采集</w:t>
            </w:r>
          </w:p>
        </w:tc>
        <w:tc>
          <w:tcPr>
            <w:tcW w:w="6040"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本项目监控点位信息采集（包括经纬度采集并标注在温州警用地理信息平台、前端设备（机箱外部、机箱内部、设备全景各一张）及周边环境照片、枪机朝向（与北向夹角）、补光灯朝向、监控安装类型（包括立杆、墙装、杆装）、摄像机安装高度、摄像机俯仰角、时间核对、DB33编码核对等，要求经纬度精确度达到3米以内），招标方龙湾公安分局将对所采集的相关信息进行抽查，对于所采抽查部分采集信息正确率低于98%的，招标方有权要求返工，对返工后仍达不到要求的，招标方可以拒绝项目验收，直到整改完毕。</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250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1845"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30</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简易监控信息采集</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本项目监控点位信息采集（包括经纬度采集并标注在温州警用地理信息平台、前端设备及周边环境照片、枪机朝向（与北向夹角）、补光灯朝向、监控安装类型（包括立杆、墙装、杆装）、摄像头安装高度、时间核对、DB33编码核对等，要求经纬度精确度达到3米以内），招标方龙湾公安分局将对所采集的相关信息进行抽查，对于所采抽查部分采集信息正确率低于98%的，招标方有权要求返工，对返工后仍达不到要求的，招标方可以拒绝项目验收，直到整改完毕。</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168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31</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监控信息核对</w:t>
            </w:r>
          </w:p>
        </w:tc>
        <w:tc>
          <w:tcPr>
            <w:tcW w:w="6040" w:type="dxa"/>
            <w:tcBorders>
              <w:top w:val="nil"/>
              <w:left w:val="nil"/>
              <w:bottom w:val="single" w:color="auto" w:sz="4" w:space="0"/>
              <w:right w:val="single" w:color="auto" w:sz="4" w:space="0"/>
            </w:tcBorders>
            <w:noWrap w:val="0"/>
            <w:vAlign w:val="center"/>
          </w:tcPr>
          <w:p>
            <w:pPr>
              <w:widowControl/>
              <w:jc w:val="left"/>
              <w:rPr>
                <w:rFonts w:hint="eastAsia" w:ascii="宋体" w:hAnsi="宋体"/>
                <w:kern w:val="0"/>
                <w:sz w:val="22"/>
              </w:rPr>
            </w:pPr>
            <w:r>
              <w:rPr>
                <w:rFonts w:hint="eastAsia" w:ascii="宋体" w:hAnsi="宋体"/>
                <w:kern w:val="0"/>
                <w:sz w:val="22"/>
              </w:rPr>
              <w:t>1.历年监控点位信息核对采集包括经纬度采集、前端设备（机箱外部、机箱内部、设备全景各一张）及周边环境照片、枪机朝向（与北向夹角）、补光灯朝向、监控安装类型（包括立杆、墙装、杆装）、摄像机安装高度、摄像机俯仰角、时间核对、DB33编码核对等，要求经纬度精确度达到3米以内。</w:t>
            </w:r>
          </w:p>
          <w:p>
            <w:pPr>
              <w:widowControl/>
              <w:jc w:val="left"/>
              <w:rPr>
                <w:rFonts w:hint="eastAsia" w:ascii="宋体" w:hAnsi="宋体"/>
                <w:kern w:val="0"/>
                <w:sz w:val="22"/>
              </w:rPr>
            </w:pPr>
            <w:r>
              <w:rPr>
                <w:rFonts w:hint="eastAsia" w:ascii="宋体" w:hAnsi="宋体"/>
                <w:kern w:val="0"/>
                <w:sz w:val="22"/>
              </w:rPr>
              <w:t>2.含专用采集终端4台：(整机尺寸:83.78*165.1*25.18mm；flash芯片:4GB+64GB DDR4；SIM卡:双卡（天通+4G)；功能:支持顶摄+激光笔+大电筒，支持光度传感器，支持接近传感器，支持重力传感器，支持地磁传感器，支持陀螺仪，支持Wifi(2.4G/5G)，支持GPS（RTK+外置四壁螺旋天线），支持蓝牙（BLE 4.1），支持FM，支持OTG，支持NFC，支持M6接口，支持手电筒，支持音频功放；屏幕：5.5 HD+,分辨率720*1440）</w:t>
            </w:r>
          </w:p>
          <w:p>
            <w:pPr>
              <w:widowControl/>
              <w:jc w:val="left"/>
              <w:rPr>
                <w:rFonts w:ascii="宋体" w:hAnsi="宋体"/>
                <w:kern w:val="0"/>
                <w:sz w:val="22"/>
              </w:rPr>
            </w:pPr>
            <w:r>
              <w:rPr>
                <w:rFonts w:hint="eastAsia" w:ascii="宋体" w:hAnsi="宋体"/>
                <w:kern w:val="0"/>
                <w:sz w:val="22"/>
              </w:rPr>
              <w:t>3.含专用APP一套，功能参数：（1.监控点位信息现场数据采集，主要有单个监控信息采集，成组监控信息采集，新增点位勘点信息采集，不合理点位上报 。2.平台管理功能，包括从V3平台手工或接口导入已建点位数据信息；根据已导入的点位，逐个完善采集数据，系统自动进行较正；按账号统计点位采集数量，复核准确率。3.地图显示的要求，包括在地图上标注已建设摄像机的点位，已采集较正和未采集较正的使用不同的颜色或图标显示，新建点位（一个月内新建）的颜色与历史点位颜色区别显示。4.可查询摄像机的所有信息。）</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10000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615"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32</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第三方检测</w:t>
            </w:r>
          </w:p>
        </w:tc>
        <w:tc>
          <w:tcPr>
            <w:tcW w:w="60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对本期建设点位的图像质量、安装工艺、坐标、编码检测、补光灯、接地电阻、计算机网络按约定要求进行检测，抽检比例为10%。</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25</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48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33</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项目监理</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由招标方确认第三方监理公司，对本项目一次性建设部分实施全程监理。费用参照相关标准执行，由中标方支付。</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　</w:t>
            </w:r>
          </w:p>
        </w:tc>
      </w:tr>
      <w:tr>
        <w:tblPrEx>
          <w:tblCellMar>
            <w:top w:w="0" w:type="dxa"/>
            <w:left w:w="108" w:type="dxa"/>
            <w:bottom w:w="0" w:type="dxa"/>
            <w:right w:w="108" w:type="dxa"/>
          </w:tblCellMar>
        </w:tblPrEx>
        <w:trPr>
          <w:wBefore w:w="0" w:type="dxa"/>
          <w:wAfter w:w="0" w:type="dxa"/>
          <w:trHeight w:val="405"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34</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招标代理</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　</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项</w:t>
            </w:r>
          </w:p>
        </w:tc>
      </w:tr>
      <w:tr>
        <w:tblPrEx>
          <w:tblCellMar>
            <w:top w:w="0" w:type="dxa"/>
            <w:left w:w="108" w:type="dxa"/>
            <w:bottom w:w="0" w:type="dxa"/>
            <w:right w:w="108" w:type="dxa"/>
          </w:tblCellMar>
        </w:tblPrEx>
        <w:trPr>
          <w:wBefore w:w="0" w:type="dxa"/>
          <w:wAfter w:w="0" w:type="dxa"/>
          <w:trHeight w:val="72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35</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监控链路</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1.高清监控链路，5年；</w:t>
            </w:r>
            <w:r>
              <w:rPr>
                <w:rFonts w:hint="eastAsia" w:ascii="宋体" w:hAnsi="宋体"/>
                <w:color w:val="000000"/>
                <w:kern w:val="0"/>
                <w:sz w:val="22"/>
              </w:rPr>
              <w:br w:type="textWrapping"/>
            </w:r>
            <w:r>
              <w:rPr>
                <w:rFonts w:hint="eastAsia" w:ascii="宋体" w:hAnsi="宋体"/>
                <w:color w:val="000000"/>
                <w:kern w:val="0"/>
                <w:sz w:val="22"/>
              </w:rPr>
              <w:t>2.根据招标方的要求，投标方提供的带宽满足2路及以上摄像头同时接入；</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条</w:t>
            </w:r>
          </w:p>
        </w:tc>
      </w:tr>
      <w:tr>
        <w:tblPrEx>
          <w:tblCellMar>
            <w:top w:w="0" w:type="dxa"/>
            <w:left w:w="108" w:type="dxa"/>
            <w:bottom w:w="0" w:type="dxa"/>
            <w:right w:w="108" w:type="dxa"/>
          </w:tblCellMar>
        </w:tblPrEx>
        <w:trPr>
          <w:wBefore w:w="0" w:type="dxa"/>
          <w:wAfter w:w="0" w:type="dxa"/>
          <w:trHeight w:val="48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36</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前端设备电费</w:t>
            </w:r>
          </w:p>
        </w:tc>
        <w:tc>
          <w:tcPr>
            <w:tcW w:w="60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前端设备运行5年总用电费用（含摄像机自带补光灯运行电费）；以5年总费用报价。</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48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37</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补光灯电费</w:t>
            </w:r>
          </w:p>
        </w:tc>
        <w:tc>
          <w:tcPr>
            <w:tcW w:w="60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补光灯运行5年总用电费用；以5年总费用报价。</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12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38</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维护费（含设备维修更新保养费用）</w:t>
            </w:r>
          </w:p>
        </w:tc>
        <w:tc>
          <w:tcPr>
            <w:tcW w:w="60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含整体项目5年的设备维修更新保养费用，包括系统软硬件维护、设备清洁等工作；以5年总费用报价。</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585"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39</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人员</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安排1名驻点工程师5年的驻点建设维护工作（大学本科，计算机相关专业），工资及所有依法享有的劳动保障权利均由中标方负责。</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人</w:t>
            </w:r>
          </w:p>
        </w:tc>
      </w:tr>
      <w:tr>
        <w:tblPrEx>
          <w:tblCellMar>
            <w:top w:w="0" w:type="dxa"/>
            <w:left w:w="108" w:type="dxa"/>
            <w:bottom w:w="0" w:type="dxa"/>
            <w:right w:w="108" w:type="dxa"/>
          </w:tblCellMar>
        </w:tblPrEx>
        <w:trPr>
          <w:wBefore w:w="0" w:type="dxa"/>
          <w:wAfter w:w="0" w:type="dxa"/>
          <w:trHeight w:val="48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40</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移机费用</w:t>
            </w:r>
          </w:p>
        </w:tc>
        <w:tc>
          <w:tcPr>
            <w:tcW w:w="6040"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五年内移机费用（含本项目及该中标方承建的采购方其它治安监控项目）</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48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41</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简易监控移机费用</w:t>
            </w:r>
          </w:p>
        </w:tc>
        <w:tc>
          <w:tcPr>
            <w:tcW w:w="60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简易监控五年内移机费用（含本项目及该中标方承建的采购方其它简易监控项目）</w:t>
            </w:r>
          </w:p>
        </w:tc>
        <w:tc>
          <w:tcPr>
            <w:tcW w:w="76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bl>
    <w:p>
      <w:pPr>
        <w:pStyle w:val="2"/>
        <w:rPr>
          <w:rFonts w:hint="eastAsia"/>
        </w:rPr>
      </w:pPr>
    </w:p>
    <w:p>
      <w:pPr>
        <w:pStyle w:val="2"/>
        <w:ind w:firstLine="440" w:firstLineChars="200"/>
        <w:rPr>
          <w:sz w:val="22"/>
          <w:szCs w:val="22"/>
        </w:rPr>
      </w:pPr>
      <w:r>
        <w:rPr>
          <w:rFonts w:hint="eastAsia"/>
          <w:sz w:val="22"/>
          <w:szCs w:val="22"/>
        </w:rPr>
        <w:t>备注：本项目采用的主要摄像头厂家在合同期内需免费提供原厂工程师驻点服务（已提供原厂工程师驻点服务的，可以由同一人提供服务）。</w:t>
      </w:r>
    </w:p>
    <w:p>
      <w:pPr>
        <w:spacing w:line="440" w:lineRule="exact"/>
        <w:ind w:firstLine="440" w:firstLineChars="200"/>
        <w:rPr>
          <w:rFonts w:ascii="宋体" w:hAnsi="宋体"/>
          <w:sz w:val="22"/>
        </w:rPr>
      </w:pPr>
      <w:r>
        <w:rPr>
          <w:rFonts w:hint="eastAsia" w:ascii="宋体" w:hAnsi="宋体"/>
          <w:sz w:val="22"/>
        </w:rPr>
        <w:t>4、▲项目要求</w:t>
      </w:r>
    </w:p>
    <w:p>
      <w:pPr>
        <w:spacing w:line="440" w:lineRule="exact"/>
        <w:ind w:left="-2" w:leftChars="-1" w:firstLine="440" w:firstLineChars="200"/>
        <w:rPr>
          <w:rFonts w:ascii="宋体" w:hAnsi="宋体"/>
          <w:sz w:val="22"/>
        </w:rPr>
      </w:pPr>
      <w:r>
        <w:rPr>
          <w:rFonts w:hint="eastAsia" w:ascii="宋体" w:hAnsi="宋体"/>
          <w:sz w:val="22"/>
          <w:u w:val="single"/>
        </w:rPr>
        <w:t>本次招标包括所有新建、加装的高清网络摄像机、传输线路、存储设备、平台服务器设备、机房以及配套工程所需设备材料等的采购、安装、调试、试运行、验收，并负责新建、加装点位的所有设备为期五年的运营维护服务，在本项目五年运行维护期内，设备的使用权归采购方所有，中标方若因各方面原因中途无法继续提供服务的，或五年运行维护期结束后中标方无法继续提供服务的（包括中标方和采购方无法就续费协议达成一致意见），本项目范围内包含的视频监控系统一切硬件设备使用权（专享）移交采购方。</w:t>
      </w:r>
    </w:p>
    <w:p>
      <w:pPr>
        <w:spacing w:line="440" w:lineRule="exact"/>
        <w:ind w:left="-2" w:leftChars="-1" w:firstLine="440" w:firstLineChars="200"/>
        <w:rPr>
          <w:rFonts w:ascii="宋体" w:hAnsi="宋体"/>
          <w:sz w:val="22"/>
        </w:rPr>
      </w:pPr>
      <w:r>
        <w:rPr>
          <w:rFonts w:hint="eastAsia" w:ascii="宋体" w:hAnsi="宋体"/>
          <w:sz w:val="22"/>
        </w:rPr>
        <w:t>4.1、工程建设说明</w:t>
      </w:r>
    </w:p>
    <w:p>
      <w:pPr>
        <w:adjustRightInd w:val="0"/>
        <w:spacing w:line="440" w:lineRule="exact"/>
        <w:ind w:firstLine="440" w:firstLineChars="200"/>
        <w:rPr>
          <w:rFonts w:ascii="宋体" w:hAnsi="宋体" w:cs="Arial"/>
          <w:sz w:val="22"/>
        </w:rPr>
      </w:pPr>
      <w:r>
        <w:rPr>
          <w:rFonts w:hint="eastAsia" w:ascii="宋体" w:hAnsi="宋体"/>
          <w:sz w:val="22"/>
        </w:rPr>
        <w:t>4.1.1</w:t>
      </w:r>
      <w:r>
        <w:rPr>
          <w:rFonts w:hint="eastAsia" w:ascii="宋体" w:hAnsi="宋体" w:cs="Arial"/>
          <w:sz w:val="22"/>
        </w:rPr>
        <w:t>前端设备：本次招标共</w:t>
      </w:r>
      <w:r>
        <w:rPr>
          <w:rFonts w:hint="eastAsia" w:ascii="宋体" w:hAnsi="宋体"/>
          <w:b/>
          <w:bCs/>
          <w:sz w:val="22"/>
          <w:u w:val="single"/>
        </w:rPr>
        <w:t>新建、加装250个标准监控点位及新建、加装30个简易监控点位</w:t>
      </w:r>
      <w:r>
        <w:rPr>
          <w:rFonts w:hint="eastAsia" w:ascii="宋体" w:hAnsi="宋体" w:cs="Arial"/>
          <w:sz w:val="22"/>
        </w:rPr>
        <w:t>，新建及加装点位要求采用高清网络摄像机。</w:t>
      </w:r>
      <w:r>
        <w:rPr>
          <w:rFonts w:hint="eastAsia" w:ascii="宋体" w:hAnsi="宋体"/>
          <w:sz w:val="22"/>
        </w:rPr>
        <w:t>投标供应商中标后在签订合同前需要对现场进一步勘查，细化方案。了解建设点位现状，并提出详细改造方案给采购单位。</w:t>
      </w:r>
    </w:p>
    <w:p>
      <w:pPr>
        <w:adjustRightInd w:val="0"/>
        <w:spacing w:line="440" w:lineRule="exact"/>
        <w:ind w:firstLine="440" w:firstLineChars="200"/>
        <w:rPr>
          <w:rFonts w:ascii="宋体" w:hAnsi="宋体" w:cs="Arial"/>
          <w:sz w:val="22"/>
        </w:rPr>
      </w:pPr>
      <w:r>
        <w:rPr>
          <w:rFonts w:hint="eastAsia" w:ascii="宋体" w:hAnsi="宋体"/>
          <w:sz w:val="22"/>
        </w:rPr>
        <w:t>4.1.2</w:t>
      </w:r>
      <w:r>
        <w:rPr>
          <w:rFonts w:hint="eastAsia" w:ascii="宋体" w:hAnsi="宋体" w:cs="Arial"/>
          <w:sz w:val="22"/>
        </w:rPr>
        <w:t>传输线路：根据浙江省公安厅的相关要求，此次新建和改造的监控（卡口）必须采用双网双平台的架构，设备先接入视频（卡口）专网，通过安全接入设备进公安网。</w:t>
      </w:r>
    </w:p>
    <w:p>
      <w:pPr>
        <w:adjustRightInd w:val="0"/>
        <w:spacing w:line="440" w:lineRule="exact"/>
        <w:ind w:firstLine="440" w:firstLineChars="200"/>
        <w:rPr>
          <w:rFonts w:ascii="宋体" w:hAnsi="宋体" w:cs="Arial"/>
          <w:sz w:val="22"/>
        </w:rPr>
      </w:pPr>
      <w:r>
        <w:rPr>
          <w:rFonts w:hint="eastAsia" w:ascii="宋体" w:hAnsi="宋体" w:cs="Arial"/>
          <w:sz w:val="22"/>
        </w:rPr>
        <w:t>视频（卡口）专网必须与互联网物理隔离，本项目全程采用光纤传输，根据实际情况可选择裸光纤组网或者PON组网方式，但实际组网时只能采用其中一种，中标单位需提供将新建点位接入温州市公安视频监控专网平台、温州市公安内网视频共享平台、龙湾区公安视频监控共享平台及联网平台所需的各类光纤传输线路。</w:t>
      </w:r>
    </w:p>
    <w:p>
      <w:pPr>
        <w:spacing w:line="460" w:lineRule="exact"/>
        <w:ind w:firstLine="539" w:firstLineChars="245"/>
        <w:rPr>
          <w:rFonts w:ascii="宋体" w:hAnsi="宋体" w:cs="Arial"/>
          <w:sz w:val="22"/>
        </w:rPr>
      </w:pPr>
      <w:r>
        <w:rPr>
          <w:rFonts w:hint="eastAsia" w:ascii="宋体" w:hAnsi="宋体" w:cs="Arial"/>
          <w:sz w:val="22"/>
        </w:rPr>
        <w:t>公安视频专网网络由甲方自行规划，网络性能指标（网络时延、时延抖动、丢包率、包误差率）应达到YD/T 1171-2001中规定的0级服务质量等级。</w:t>
      </w:r>
    </w:p>
    <w:p>
      <w:pPr>
        <w:widowControl/>
        <w:spacing w:line="440" w:lineRule="exact"/>
        <w:ind w:firstLine="431" w:firstLineChars="196"/>
        <w:rPr>
          <w:rFonts w:ascii="宋体" w:hAnsi="宋体" w:cs="Arial"/>
          <w:sz w:val="22"/>
        </w:rPr>
      </w:pPr>
      <w:r>
        <w:rPr>
          <w:rFonts w:hint="eastAsia" w:ascii="宋体" w:hAnsi="宋体" w:cs="Arial"/>
          <w:sz w:val="22"/>
          <w:u w:val="single"/>
        </w:rPr>
        <w:t>根据历年项目经验，光缆接入涉及的道路开挖审批对实际工期影响巨大，投标人需根据本项目具体建设内容，详细说明自身现有真实光纤资源分布如何满足建设要求，特别是工期要求。</w:t>
      </w:r>
    </w:p>
    <w:p>
      <w:pPr>
        <w:autoSpaceDE w:val="0"/>
        <w:autoSpaceDN w:val="0"/>
        <w:adjustRightInd w:val="0"/>
        <w:snapToGrid w:val="0"/>
        <w:spacing w:line="440" w:lineRule="atLeast"/>
        <w:ind w:firstLine="440" w:firstLineChars="200"/>
        <w:textAlignment w:val="bottom"/>
        <w:rPr>
          <w:rFonts w:ascii="宋体" w:hAnsi="宋体" w:cs="Arial"/>
          <w:sz w:val="22"/>
        </w:rPr>
      </w:pPr>
      <w:r>
        <w:rPr>
          <w:rFonts w:hint="eastAsia" w:ascii="宋体" w:hAnsi="宋体"/>
          <w:sz w:val="22"/>
        </w:rPr>
        <w:t>4.1.3</w:t>
      </w:r>
      <w:r>
        <w:rPr>
          <w:rFonts w:hint="eastAsia" w:ascii="宋体" w:hAnsi="宋体" w:cs="Arial"/>
          <w:sz w:val="22"/>
        </w:rPr>
        <w:t>存储设备：实时视频为满足公安实战需求，录像数据要求采用IP SAN/NAS存储的模式并做raid冗余，集中存储在机房，要求存储时间不少于30天，网络摄像头直接写入存储设备，不允许通过服务器转发，以减少故障点。</w:t>
      </w:r>
      <w:r>
        <w:rPr>
          <w:rFonts w:hint="eastAsia" w:ascii="宋体" w:hAnsi="宋体"/>
          <w:sz w:val="22"/>
        </w:rPr>
        <w:t>高清网络视频监控的数据通过光纤传输到中心机房网存储系统进行集中存储，25fps/4Mbps码流/30天*24小时，支持断网续传功能。不同监控点可选择不同时间长度、不同录像方式进行录像，且可动态更改。</w:t>
      </w:r>
    </w:p>
    <w:p>
      <w:pPr>
        <w:adjustRightInd w:val="0"/>
        <w:spacing w:line="440" w:lineRule="exact"/>
        <w:ind w:left="1" w:firstLine="440" w:firstLineChars="200"/>
        <w:rPr>
          <w:rFonts w:ascii="宋体" w:hAnsi="宋体" w:cs="Arial"/>
          <w:sz w:val="22"/>
        </w:rPr>
      </w:pPr>
      <w:r>
        <w:rPr>
          <w:rFonts w:hint="eastAsia" w:ascii="宋体" w:hAnsi="宋体"/>
          <w:sz w:val="22"/>
        </w:rPr>
        <w:t xml:space="preserve">4.1.4 </w:t>
      </w:r>
      <w:r>
        <w:rPr>
          <w:rFonts w:hint="eastAsia" w:ascii="宋体" w:hAnsi="宋体" w:cs="Arial"/>
          <w:sz w:val="22"/>
        </w:rPr>
        <w:t>设备机房：由中标供应商方负责提供设备所需的内外网机房。该设备机房满足国家有关机房环境建设标准要求。</w:t>
      </w:r>
    </w:p>
    <w:p>
      <w:pPr>
        <w:adjustRightInd w:val="0"/>
        <w:spacing w:line="440" w:lineRule="exact"/>
        <w:ind w:firstLine="440" w:firstLineChars="200"/>
        <w:rPr>
          <w:rFonts w:ascii="宋体" w:hAnsi="宋体"/>
          <w:b/>
          <w:bCs/>
          <w:sz w:val="22"/>
        </w:rPr>
      </w:pPr>
      <w:r>
        <w:rPr>
          <w:rFonts w:hint="eastAsia" w:ascii="宋体" w:hAnsi="宋体"/>
          <w:sz w:val="22"/>
        </w:rPr>
        <w:t xml:space="preserve">4.1.5 </w:t>
      </w:r>
      <w:r>
        <w:rPr>
          <w:rFonts w:hint="eastAsia" w:ascii="宋体" w:hAnsi="宋体" w:cs="Arial"/>
          <w:sz w:val="22"/>
        </w:rPr>
        <w:t>工程工期：</w:t>
      </w:r>
      <w:r>
        <w:rPr>
          <w:rFonts w:hint="eastAsia" w:ascii="宋体" w:hAnsi="宋体" w:cs="Arial"/>
          <w:b/>
          <w:bCs/>
          <w:sz w:val="22"/>
          <w:u w:val="single"/>
        </w:rPr>
        <w:t>整个工程建设要在 2020年11月30日之前完成项目验收。</w:t>
      </w:r>
    </w:p>
    <w:p>
      <w:pPr>
        <w:adjustRightInd w:val="0"/>
        <w:spacing w:line="440" w:lineRule="exact"/>
        <w:ind w:firstLine="440" w:firstLineChars="200"/>
        <w:rPr>
          <w:rFonts w:ascii="宋体" w:hAnsi="宋体"/>
          <w:sz w:val="22"/>
        </w:rPr>
      </w:pPr>
      <w:r>
        <w:rPr>
          <w:rFonts w:hint="eastAsia" w:ascii="宋体" w:hAnsi="宋体"/>
          <w:sz w:val="22"/>
        </w:rPr>
        <w:t xml:space="preserve">4.1.6 </w:t>
      </w:r>
      <w:r>
        <w:rPr>
          <w:rFonts w:hint="eastAsia" w:ascii="宋体" w:hAnsi="宋体" w:cs="Arial"/>
          <w:sz w:val="22"/>
        </w:rPr>
        <w:t>第三方检测：</w:t>
      </w:r>
      <w:r>
        <w:rPr>
          <w:rFonts w:hint="eastAsia" w:ascii="宋体" w:hAnsi="宋体" w:cs="Arial"/>
          <w:sz w:val="22"/>
          <w:u w:val="single"/>
        </w:rPr>
        <w:t>工程竣工后验收前需抽样10%进行第三方检测，该项检测费用请供应商根据国家相关部门收费标准含入投标总价</w:t>
      </w:r>
      <w:r>
        <w:rPr>
          <w:rFonts w:hint="eastAsia" w:ascii="宋体" w:hAnsi="宋体"/>
          <w:sz w:val="22"/>
          <w:u w:val="single"/>
        </w:rPr>
        <w:t>。</w:t>
      </w:r>
    </w:p>
    <w:p>
      <w:pPr>
        <w:spacing w:line="360" w:lineRule="auto"/>
        <w:ind w:firstLine="435" w:firstLineChars="198"/>
        <w:rPr>
          <w:rFonts w:ascii="宋体" w:hAnsi="宋体"/>
          <w:sz w:val="22"/>
        </w:rPr>
      </w:pPr>
      <w:r>
        <w:rPr>
          <w:rFonts w:hint="eastAsia" w:ascii="宋体" w:hAnsi="宋体"/>
          <w:sz w:val="22"/>
        </w:rPr>
        <w:t>4.1.7视频监控平台接入和系统集成</w:t>
      </w:r>
      <w:r>
        <w:rPr>
          <w:rFonts w:hint="eastAsia" w:ascii="宋体" w:hAnsi="宋体" w:cs="Arial"/>
          <w:sz w:val="22"/>
        </w:rPr>
        <w:t>：</w:t>
      </w:r>
      <w:r>
        <w:rPr>
          <w:rFonts w:hint="eastAsia" w:ascii="宋体" w:hAnsi="宋体"/>
          <w:sz w:val="22"/>
        </w:rPr>
        <w:t>要求监控点接入龙湾公安分局视频共享平台，并可实现省、市、县三级互联、互通、互控。要求保证该批监控点位在现有龙湾公安视频专网及公安网下的良好运行（投标方可到龙湾公安分局了解现有网络情况）。</w:t>
      </w:r>
    </w:p>
    <w:p>
      <w:pPr>
        <w:spacing w:line="360" w:lineRule="auto"/>
        <w:ind w:firstLine="435" w:firstLineChars="198"/>
        <w:rPr>
          <w:rFonts w:ascii="宋体" w:hAnsi="宋体"/>
          <w:sz w:val="22"/>
        </w:rPr>
      </w:pPr>
      <w:r>
        <w:rPr>
          <w:rFonts w:hint="eastAsia" w:ascii="宋体" w:hAnsi="宋体"/>
          <w:sz w:val="22"/>
        </w:rPr>
        <w:t>4.1.8 审批说明：施工过程中所需的各类审批手续由中标供应商负责，龙湾区公安局对其提供协助。</w:t>
      </w:r>
    </w:p>
    <w:p>
      <w:pPr>
        <w:adjustRightInd w:val="0"/>
        <w:spacing w:line="440" w:lineRule="exact"/>
        <w:ind w:left="537" w:leftChars="209" w:hanging="99" w:hangingChars="45"/>
        <w:rPr>
          <w:rFonts w:ascii="宋体" w:hAnsi="宋体"/>
          <w:sz w:val="22"/>
        </w:rPr>
      </w:pPr>
      <w:r>
        <w:rPr>
          <w:rFonts w:hint="eastAsia" w:ascii="宋体" w:hAnsi="宋体"/>
          <w:sz w:val="22"/>
        </w:rPr>
        <w:t>4.1.9 其他：</w:t>
      </w:r>
    </w:p>
    <w:p>
      <w:pPr>
        <w:adjustRightInd w:val="0"/>
        <w:spacing w:line="440" w:lineRule="exact"/>
        <w:ind w:firstLine="330" w:firstLineChars="150"/>
        <w:rPr>
          <w:rFonts w:ascii="宋体" w:hAnsi="宋体"/>
          <w:sz w:val="22"/>
          <w:u w:val="single"/>
        </w:rPr>
      </w:pPr>
      <w:r>
        <w:rPr>
          <w:rFonts w:hint="eastAsia" w:ascii="宋体" w:hAnsi="宋体"/>
          <w:sz w:val="22"/>
        </w:rPr>
        <w:t>（1）</w:t>
      </w:r>
      <w:r>
        <w:rPr>
          <w:rFonts w:hint="eastAsia" w:ascii="宋体" w:hAnsi="宋体"/>
          <w:sz w:val="22"/>
          <w:u w:val="single"/>
        </w:rPr>
        <w:t>投标方要详细计算整个系统正常运行所需的所有设备和配件，中标后不得以任何理由因增加设备或配件而追加经费。采购方可按实际需求对工程进行调整。</w:t>
      </w:r>
    </w:p>
    <w:p>
      <w:pPr>
        <w:widowControl/>
        <w:spacing w:line="440" w:lineRule="exact"/>
        <w:ind w:firstLine="323" w:firstLineChars="147"/>
        <w:rPr>
          <w:rFonts w:ascii="宋体" w:hAnsi="宋体" w:cs="Arial"/>
          <w:sz w:val="22"/>
          <w:u w:val="single"/>
        </w:rPr>
      </w:pPr>
      <w:r>
        <w:rPr>
          <w:rFonts w:hint="eastAsia" w:ascii="宋体" w:hAnsi="宋体" w:cs="Arial"/>
          <w:sz w:val="22"/>
        </w:rPr>
        <w:t>（2）</w:t>
      </w:r>
      <w:r>
        <w:rPr>
          <w:rFonts w:hint="eastAsia" w:ascii="宋体" w:hAnsi="宋体" w:cs="Arial"/>
          <w:sz w:val="22"/>
          <w:u w:val="single"/>
        </w:rPr>
        <w:t>所有点位在勘点时投标方需进行DB33编码，并在验收前完成网络箱喷码、点位摄像机类型和应用场所等信息，同时对所有点位进行前端设备及周边环境拍照存档，所有点位提供PGIS系统上显示的准确经纬度坐标，不具备以上条件的点位不允许在平台注册。</w:t>
      </w:r>
    </w:p>
    <w:p>
      <w:pPr>
        <w:widowControl/>
        <w:spacing w:line="440" w:lineRule="exact"/>
        <w:ind w:firstLine="323" w:firstLineChars="147"/>
        <w:rPr>
          <w:rFonts w:ascii="宋体" w:hAnsi="宋体" w:cs="Arial"/>
          <w:sz w:val="22"/>
        </w:rPr>
      </w:pPr>
      <w:r>
        <w:rPr>
          <w:rFonts w:hint="eastAsia" w:ascii="宋体" w:hAnsi="宋体" w:cs="Arial"/>
          <w:sz w:val="22"/>
        </w:rPr>
        <w:t>（3）所有投标网络、终端设备必须支持网管功能，能够接入现有设备网管平台。</w:t>
      </w:r>
    </w:p>
    <w:p>
      <w:pPr>
        <w:widowControl/>
        <w:spacing w:line="440" w:lineRule="exact"/>
        <w:ind w:firstLine="440" w:firstLineChars="200"/>
        <w:rPr>
          <w:rFonts w:ascii="宋体" w:hAnsi="宋体"/>
          <w:sz w:val="22"/>
        </w:rPr>
      </w:pPr>
      <w:r>
        <w:rPr>
          <w:rFonts w:hint="eastAsia" w:ascii="宋体" w:hAnsi="宋体"/>
          <w:sz w:val="22"/>
        </w:rPr>
        <w:t>4.2、系统总体功能要求</w:t>
      </w:r>
    </w:p>
    <w:p>
      <w:pPr>
        <w:pStyle w:val="11"/>
        <w:spacing w:after="0" w:line="440" w:lineRule="exact"/>
        <w:ind w:firstLine="431" w:firstLineChars="196"/>
        <w:rPr>
          <w:rFonts w:ascii="宋体" w:hAnsi="宋体"/>
          <w:sz w:val="22"/>
        </w:rPr>
      </w:pPr>
      <w:r>
        <w:rPr>
          <w:rFonts w:hint="eastAsia" w:ascii="宋体" w:hAnsi="宋体"/>
          <w:sz w:val="22"/>
        </w:rPr>
        <w:t>4.2.1基本要求</w:t>
      </w:r>
    </w:p>
    <w:p>
      <w:pPr>
        <w:pStyle w:val="11"/>
        <w:spacing w:after="0" w:line="440" w:lineRule="exact"/>
        <w:ind w:firstLineChars="0"/>
        <w:rPr>
          <w:rFonts w:ascii="宋体" w:hAnsi="宋体" w:cs="Arial"/>
          <w:sz w:val="22"/>
        </w:rPr>
      </w:pPr>
      <w:r>
        <w:rPr>
          <w:rFonts w:hint="eastAsia" w:ascii="宋体" w:hAnsi="宋体"/>
          <w:bCs/>
          <w:sz w:val="22"/>
        </w:rPr>
        <w:t>（1）</w:t>
      </w:r>
      <w:r>
        <w:rPr>
          <w:rFonts w:hint="eastAsia" w:ascii="宋体" w:hAnsi="宋体" w:cs="Arial"/>
          <w:bCs/>
          <w:sz w:val="22"/>
        </w:rPr>
        <w:t>本次项目采用高清监控视频专网形式直接接入龙湾公安分局视频共享及联网平台，如平台需要扩容由中标供应商自行负责。平台使用的服务器、网络设备，超出本次招标主要设备列表中规定的部分，由投标供应商自行解决（投标供应商应考虑在投标总价中）。中标供应商负责与在用的龙湾区及温州市公安内网视频共享平台互通对接，在对接工程中产生的费用由中标供应商承担。</w:t>
      </w:r>
    </w:p>
    <w:p>
      <w:pPr>
        <w:pStyle w:val="11"/>
        <w:spacing w:after="0" w:line="440" w:lineRule="exact"/>
        <w:ind w:firstLineChars="0"/>
        <w:rPr>
          <w:rFonts w:ascii="宋体" w:hAnsi="宋体"/>
          <w:bCs/>
          <w:sz w:val="22"/>
        </w:rPr>
      </w:pPr>
      <w:r>
        <w:rPr>
          <w:rFonts w:hint="eastAsia" w:ascii="宋体" w:hAnsi="宋体"/>
          <w:bCs/>
          <w:sz w:val="22"/>
        </w:rPr>
        <w:t>（2）在省内有单平台大规模成功应用案例；按照目前国内同等规模城市建设情况，系统最终应该按照6万个以上视频监控点的规模设计。随着监控需求的逐步增加，监控系统的容量也会不断增加，系统必须做到随时扩展，并能平滑扩容。</w:t>
      </w:r>
    </w:p>
    <w:p>
      <w:pPr>
        <w:pStyle w:val="11"/>
        <w:spacing w:after="0" w:line="440" w:lineRule="exact"/>
        <w:ind w:firstLineChars="0"/>
        <w:rPr>
          <w:rFonts w:ascii="宋体" w:hAnsi="宋体"/>
          <w:bCs/>
          <w:sz w:val="22"/>
        </w:rPr>
      </w:pPr>
      <w:r>
        <w:rPr>
          <w:rFonts w:hint="eastAsia" w:ascii="宋体" w:hAnsi="宋体"/>
          <w:bCs/>
          <w:sz w:val="22"/>
        </w:rPr>
        <w:t>（3）平台职能：系统前端设备登录认证，系统用户帐号登录认证，数字证书登陆认证，系统设备、用户及各服务模块统一管理，数据库及数据库管理，媒体调度管理，存储管理，视频分发转发，智能化应用服务（车牌识别等），以及与公安其他实战系统接口（视频实战平台、GIS、110警视联动等）。</w:t>
      </w:r>
    </w:p>
    <w:p>
      <w:pPr>
        <w:pStyle w:val="11"/>
        <w:spacing w:after="0" w:line="440" w:lineRule="exact"/>
        <w:ind w:left="437" w:leftChars="161" w:hanging="99" w:hangingChars="45"/>
        <w:rPr>
          <w:rFonts w:ascii="宋体" w:hAnsi="宋体"/>
          <w:bCs/>
          <w:sz w:val="22"/>
        </w:rPr>
      </w:pPr>
      <w:r>
        <w:rPr>
          <w:rFonts w:hint="eastAsia" w:ascii="宋体" w:hAnsi="宋体"/>
          <w:bCs/>
          <w:sz w:val="22"/>
        </w:rPr>
        <w:t>（4）平台硬件采用高性能服务器为主体架构，系统关键服务均做冗余热备配置部署；</w:t>
      </w:r>
    </w:p>
    <w:p>
      <w:pPr>
        <w:pStyle w:val="11"/>
        <w:spacing w:after="0" w:line="440" w:lineRule="exact"/>
        <w:ind w:left="437" w:leftChars="161" w:hanging="99" w:hangingChars="45"/>
        <w:rPr>
          <w:rFonts w:ascii="宋体" w:hAnsi="宋体"/>
          <w:bCs/>
          <w:sz w:val="22"/>
        </w:rPr>
      </w:pPr>
      <w:r>
        <w:rPr>
          <w:rFonts w:hint="eastAsia" w:ascii="宋体" w:hAnsi="宋体"/>
          <w:bCs/>
          <w:sz w:val="22"/>
        </w:rPr>
        <w:t>（5）采用B/S或B/S、C/S相结合的形式；</w:t>
      </w:r>
    </w:p>
    <w:p>
      <w:pPr>
        <w:pStyle w:val="11"/>
        <w:spacing w:after="0" w:line="440" w:lineRule="exact"/>
        <w:ind w:left="437" w:leftChars="161" w:hanging="99" w:hangingChars="45"/>
        <w:rPr>
          <w:rFonts w:ascii="宋体" w:hAnsi="宋体"/>
          <w:bCs/>
          <w:sz w:val="22"/>
        </w:rPr>
      </w:pPr>
      <w:r>
        <w:rPr>
          <w:rFonts w:hint="eastAsia" w:ascii="宋体" w:hAnsi="宋体"/>
          <w:bCs/>
          <w:sz w:val="22"/>
        </w:rPr>
        <w:t>（6）采用J2EE三层架构；</w:t>
      </w:r>
    </w:p>
    <w:p>
      <w:pPr>
        <w:pStyle w:val="11"/>
        <w:spacing w:after="0" w:line="440" w:lineRule="exact"/>
        <w:ind w:left="437" w:leftChars="161" w:hanging="99" w:hangingChars="45"/>
        <w:rPr>
          <w:rFonts w:ascii="宋体" w:hAnsi="宋体"/>
          <w:bCs/>
          <w:sz w:val="22"/>
        </w:rPr>
      </w:pPr>
      <w:r>
        <w:rPr>
          <w:rFonts w:hint="eastAsia" w:ascii="宋体" w:hAnsi="宋体"/>
          <w:bCs/>
          <w:sz w:val="22"/>
        </w:rPr>
        <w:t>（7）支持多种操作系统，如：Unix/Linux/Windows等；</w:t>
      </w:r>
    </w:p>
    <w:p>
      <w:pPr>
        <w:pStyle w:val="11"/>
        <w:spacing w:after="0" w:line="440" w:lineRule="exact"/>
        <w:ind w:left="437" w:leftChars="161" w:hanging="99" w:hangingChars="45"/>
        <w:rPr>
          <w:rFonts w:ascii="宋体" w:hAnsi="宋体"/>
          <w:bCs/>
          <w:sz w:val="22"/>
        </w:rPr>
      </w:pPr>
      <w:r>
        <w:rPr>
          <w:rFonts w:hint="eastAsia" w:ascii="宋体" w:hAnsi="宋体"/>
          <w:bCs/>
          <w:sz w:val="22"/>
        </w:rPr>
        <w:t>（8）系统平台界面美观、清晰、人性化；</w:t>
      </w:r>
    </w:p>
    <w:p>
      <w:pPr>
        <w:pStyle w:val="11"/>
        <w:spacing w:after="0" w:line="440" w:lineRule="exact"/>
        <w:ind w:left="437" w:leftChars="161" w:hanging="99" w:hangingChars="45"/>
        <w:rPr>
          <w:rFonts w:ascii="宋体" w:hAnsi="宋体"/>
          <w:bCs/>
          <w:sz w:val="22"/>
        </w:rPr>
      </w:pPr>
      <w:r>
        <w:rPr>
          <w:rFonts w:hint="eastAsia" w:ascii="宋体" w:hAnsi="宋体"/>
          <w:bCs/>
          <w:sz w:val="22"/>
        </w:rPr>
        <w:t>（9）采用MPEG4/H264/H.265的视频编码技术，G.711/G.723.1/G.729的音频编解码技术；</w:t>
      </w:r>
    </w:p>
    <w:p>
      <w:pPr>
        <w:pStyle w:val="11"/>
        <w:spacing w:after="0" w:line="440" w:lineRule="exact"/>
        <w:ind w:left="437" w:leftChars="161" w:hanging="99" w:hangingChars="45"/>
        <w:rPr>
          <w:rFonts w:ascii="宋体" w:hAnsi="宋体"/>
          <w:bCs/>
          <w:sz w:val="22"/>
        </w:rPr>
      </w:pPr>
      <w:r>
        <w:rPr>
          <w:rFonts w:hint="eastAsia" w:ascii="宋体" w:hAnsi="宋体"/>
          <w:bCs/>
          <w:sz w:val="22"/>
        </w:rPr>
        <w:t>（10）经压缩的视音频流采用RTP/RTCP/RTSP协议传输；</w:t>
      </w:r>
    </w:p>
    <w:p>
      <w:pPr>
        <w:spacing w:line="440" w:lineRule="exact"/>
        <w:ind w:firstLine="440" w:firstLineChars="200"/>
        <w:rPr>
          <w:rFonts w:ascii="宋体" w:hAnsi="宋体"/>
          <w:sz w:val="22"/>
        </w:rPr>
      </w:pPr>
      <w:r>
        <w:rPr>
          <w:rFonts w:hint="eastAsia" w:ascii="宋体" w:hAnsi="宋体"/>
          <w:sz w:val="22"/>
        </w:rPr>
        <w:t>4.2.2 业务功能主要是本业务的常规监控系统的功能，以系统结构形式划分如下：</w:t>
      </w:r>
    </w:p>
    <w:p>
      <w:pPr>
        <w:pStyle w:val="155"/>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sz w:val="22"/>
        </w:rPr>
        <w:t>视频浏览功能</w:t>
      </w:r>
    </w:p>
    <w:p>
      <w:pPr>
        <w:pStyle w:val="11"/>
        <w:spacing w:after="0" w:line="440" w:lineRule="exact"/>
        <w:ind w:left="437" w:leftChars="109" w:hanging="209" w:hangingChars="95"/>
        <w:rPr>
          <w:rFonts w:ascii="宋体" w:hAnsi="宋体"/>
          <w:sz w:val="22"/>
        </w:rPr>
      </w:pPr>
      <w:r>
        <w:rPr>
          <w:rFonts w:hint="eastAsia" w:ascii="宋体" w:hAnsi="宋体"/>
          <w:bCs/>
          <w:sz w:val="22"/>
        </w:rPr>
        <w:t>（1）视频显示</w:t>
      </w:r>
    </w:p>
    <w:p>
      <w:pPr>
        <w:spacing w:line="440" w:lineRule="exact"/>
        <w:ind w:firstLine="440" w:firstLineChars="200"/>
        <w:rPr>
          <w:rFonts w:ascii="宋体" w:hAnsi="宋体"/>
          <w:bCs/>
          <w:sz w:val="22"/>
        </w:rPr>
      </w:pPr>
      <w:r>
        <w:rPr>
          <w:rFonts w:hint="eastAsia" w:ascii="宋体" w:hAnsi="宋体"/>
          <w:bCs/>
          <w:sz w:val="22"/>
        </w:rPr>
        <w:t>治安动态视频监控系统中的图像需达到以下要求：</w:t>
      </w:r>
    </w:p>
    <w:p>
      <w:pPr>
        <w:pStyle w:val="155"/>
        <w:numPr>
          <w:ilvl w:val="0"/>
          <w:numId w:val="7"/>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图像分辨率需支持： CIF、2CIF、4CIF/D1、720P、1080P等；</w:t>
      </w:r>
    </w:p>
    <w:p>
      <w:pPr>
        <w:pStyle w:val="155"/>
        <w:numPr>
          <w:ilvl w:val="0"/>
          <w:numId w:val="7"/>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图像帧率需实现：：1~25F/S 可调；</w:t>
      </w:r>
    </w:p>
    <w:p>
      <w:pPr>
        <w:pStyle w:val="155"/>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码流均值 CIF不高于512Kb、4CIF/D1不高于2M、720P不高于6M、1080P不高于12M（全实时情况下）</w:t>
      </w:r>
    </w:p>
    <w:p>
      <w:pPr>
        <w:pStyle w:val="155"/>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实时视频清晰度彩色要求CIF不低于270线， 4CIF/D1不低于300线；黑白不低于400线；回放图像清晰度要求不低于220线；720P不低于500线，1080P不低于720线；</w:t>
      </w:r>
    </w:p>
    <w:p>
      <w:pPr>
        <w:pStyle w:val="155"/>
        <w:numPr>
          <w:ilvl w:val="0"/>
          <w:numId w:val="7"/>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视频具有良好的流畅度，有良好的网络适应能力，无明显马赛克或拖影现象。</w:t>
      </w:r>
    </w:p>
    <w:p>
      <w:pPr>
        <w:spacing w:line="440" w:lineRule="exact"/>
        <w:ind w:firstLine="215" w:firstLineChars="98"/>
        <w:rPr>
          <w:rFonts w:ascii="宋体" w:hAnsi="宋体"/>
          <w:sz w:val="22"/>
        </w:rPr>
      </w:pPr>
      <w:r>
        <w:rPr>
          <w:rFonts w:hint="eastAsia" w:ascii="宋体" w:hAnsi="宋体"/>
          <w:sz w:val="22"/>
        </w:rPr>
        <w:t>（2）视频浏览模式</w:t>
      </w:r>
    </w:p>
    <w:p>
      <w:pPr>
        <w:spacing w:line="440" w:lineRule="exact"/>
        <w:ind w:firstLine="550" w:firstLineChars="250"/>
        <w:rPr>
          <w:rFonts w:ascii="宋体" w:hAnsi="宋体"/>
          <w:sz w:val="22"/>
        </w:rPr>
      </w:pPr>
      <w:r>
        <w:rPr>
          <w:rFonts w:hint="eastAsia" w:ascii="宋体" w:hAnsi="宋体"/>
          <w:sz w:val="22"/>
        </w:rPr>
        <w:t>系统支持一个用户浏览多个监控点和多个用户浏览一个监控点的模式.</w:t>
      </w:r>
    </w:p>
    <w:p>
      <w:pPr>
        <w:spacing w:line="440" w:lineRule="exact"/>
        <w:ind w:firstLine="215" w:firstLineChars="98"/>
        <w:rPr>
          <w:rFonts w:ascii="宋体" w:hAnsi="宋体"/>
          <w:sz w:val="22"/>
        </w:rPr>
      </w:pPr>
      <w:r>
        <w:rPr>
          <w:rFonts w:hint="eastAsia" w:ascii="宋体" w:hAnsi="宋体"/>
          <w:sz w:val="22"/>
        </w:rPr>
        <w:t>（3）实时视频浏览</w:t>
      </w:r>
    </w:p>
    <w:p>
      <w:pPr>
        <w:spacing w:line="440" w:lineRule="exact"/>
        <w:ind w:left="529" w:leftChars="252"/>
        <w:rPr>
          <w:rFonts w:ascii="宋体" w:hAnsi="宋体"/>
          <w:sz w:val="22"/>
        </w:rPr>
      </w:pPr>
      <w:r>
        <w:rPr>
          <w:rFonts w:hint="eastAsia" w:ascii="宋体" w:hAnsi="宋体"/>
          <w:sz w:val="22"/>
        </w:rPr>
        <w:t>在计算机、监视器、电视墙等显示终端上进行远程实时视频的浏览，支持IE或专用客户端软件浏览。</w:t>
      </w:r>
    </w:p>
    <w:p>
      <w:pPr>
        <w:spacing w:line="440" w:lineRule="exact"/>
        <w:ind w:firstLine="440" w:firstLineChars="200"/>
        <w:rPr>
          <w:rFonts w:ascii="宋体" w:hAnsi="宋体"/>
          <w:sz w:val="22"/>
        </w:rPr>
      </w:pPr>
      <w:r>
        <w:rPr>
          <w:rFonts w:hint="eastAsia" w:ascii="宋体" w:hAnsi="宋体"/>
          <w:sz w:val="22"/>
        </w:rPr>
        <w:t>具体需包括以下功能：</w:t>
      </w:r>
    </w:p>
    <w:p>
      <w:pPr>
        <w:pStyle w:val="155"/>
        <w:numPr>
          <w:ilvl w:val="0"/>
          <w:numId w:val="7"/>
        </w:numPr>
        <w:autoSpaceDE w:val="0"/>
        <w:autoSpaceDN w:val="0"/>
        <w:adjustRightInd w:val="0"/>
        <w:spacing w:line="440" w:lineRule="exact"/>
        <w:ind w:left="420" w:hanging="315" w:firstLineChars="0"/>
        <w:jc w:val="left"/>
        <w:rPr>
          <w:rFonts w:ascii="宋体" w:hAnsi="宋体"/>
          <w:sz w:val="22"/>
        </w:rPr>
      </w:pPr>
      <w:r>
        <w:rPr>
          <w:rFonts w:hint="eastAsia" w:ascii="宋体" w:hAnsi="宋体"/>
          <w:bCs/>
          <w:sz w:val="22"/>
        </w:rPr>
        <w:t xml:space="preserve">多画面浏览，实现选择1，4，6，9，16等多种画面分割模式以及全屏显示。 </w:t>
      </w:r>
    </w:p>
    <w:p>
      <w:pPr>
        <w:pStyle w:val="155"/>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多画面轮询，每个分割画面为一个显示窗口。在每一个窗口可以分时显示不同监控点的画面，可设置分时（轮询）显示间隔时间。</w:t>
      </w:r>
    </w:p>
    <w:p>
      <w:pPr>
        <w:pStyle w:val="155"/>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字幕叠加，视频画面要求可叠加反映该段视频时间、地点等信息的字幕。</w:t>
      </w:r>
    </w:p>
    <w:p>
      <w:pPr>
        <w:pStyle w:val="155"/>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设置功能，要求实现实时图像参数的手动和自动设置并实时调整的功能。</w:t>
      </w:r>
    </w:p>
    <w:p>
      <w:pPr>
        <w:pStyle w:val="155"/>
        <w:numPr>
          <w:ilvl w:val="0"/>
          <w:numId w:val="7"/>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抓拍功能</w:t>
      </w:r>
    </w:p>
    <w:p>
      <w:pPr>
        <w:autoSpaceDE w:val="0"/>
        <w:autoSpaceDN w:val="0"/>
        <w:adjustRightInd w:val="0"/>
        <w:spacing w:line="440" w:lineRule="exact"/>
        <w:ind w:left="420" w:leftChars="200"/>
        <w:jc w:val="left"/>
        <w:rPr>
          <w:rFonts w:ascii="宋体" w:hAnsi="宋体"/>
          <w:sz w:val="22"/>
        </w:rPr>
      </w:pPr>
      <w:r>
        <w:rPr>
          <w:rFonts w:hint="eastAsia" w:ascii="宋体" w:hAnsi="宋体"/>
          <w:sz w:val="22"/>
        </w:rPr>
        <w:t>要求能够实现多种方式的抓拍功能，包括客户端本地抓拍，前端手动抓拍，定时抓拍等功能。</w:t>
      </w:r>
    </w:p>
    <w:p>
      <w:pPr>
        <w:numPr>
          <w:ilvl w:val="0"/>
          <w:numId w:val="7"/>
        </w:numPr>
        <w:autoSpaceDE w:val="0"/>
        <w:autoSpaceDN w:val="0"/>
        <w:adjustRightInd w:val="0"/>
        <w:spacing w:line="440" w:lineRule="exact"/>
        <w:jc w:val="left"/>
        <w:rPr>
          <w:rFonts w:ascii="宋体" w:hAnsi="宋体"/>
          <w:sz w:val="22"/>
        </w:rPr>
      </w:pPr>
      <w:r>
        <w:rPr>
          <w:rFonts w:hint="eastAsia" w:ascii="宋体" w:hAnsi="宋体"/>
          <w:sz w:val="22"/>
        </w:rPr>
        <w:t>媒体流的多协议传输</w:t>
      </w:r>
    </w:p>
    <w:p>
      <w:pPr>
        <w:autoSpaceDE w:val="0"/>
        <w:autoSpaceDN w:val="0"/>
        <w:adjustRightInd w:val="0"/>
        <w:spacing w:line="440" w:lineRule="exact"/>
        <w:ind w:firstLine="440" w:firstLineChars="200"/>
        <w:jc w:val="left"/>
        <w:rPr>
          <w:rFonts w:ascii="宋体" w:hAnsi="宋体"/>
          <w:sz w:val="22"/>
        </w:rPr>
      </w:pPr>
      <w:r>
        <w:rPr>
          <w:rFonts w:hint="eastAsia" w:ascii="宋体" w:hAnsi="宋体"/>
          <w:sz w:val="22"/>
        </w:rPr>
        <w:t>要求客户端能够实现TCP，UDP两种方式的码流传输方式，适用不同的网络环境。</w:t>
      </w:r>
    </w:p>
    <w:p>
      <w:pPr>
        <w:pStyle w:val="155"/>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视频控制功能</w:t>
      </w:r>
    </w:p>
    <w:p>
      <w:pPr>
        <w:spacing w:line="440" w:lineRule="exact"/>
        <w:rPr>
          <w:rFonts w:ascii="宋体" w:hAnsi="宋体"/>
          <w:bCs/>
          <w:sz w:val="22"/>
        </w:rPr>
      </w:pPr>
      <w:r>
        <w:rPr>
          <w:rFonts w:hint="eastAsia" w:ascii="宋体" w:hAnsi="宋体"/>
          <w:bCs/>
          <w:sz w:val="22"/>
        </w:rPr>
        <w:t>（1）云台控制</w:t>
      </w:r>
    </w:p>
    <w:p>
      <w:pPr>
        <w:pStyle w:val="155"/>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云台控制支持客户端在图像分屏和全屏显示状态下都可进行。</w:t>
      </w:r>
    </w:p>
    <w:p>
      <w:pPr>
        <w:pStyle w:val="155"/>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云台应具有上下左右转动，巡逻功能，云台转动的步进值应可设置，具备预置位设置功能，要求提供主预置位设置，在停电恢复和摄像机控制后能自动恢复到主预置位。</w:t>
      </w:r>
    </w:p>
    <w:p>
      <w:pPr>
        <w:spacing w:line="440" w:lineRule="exact"/>
        <w:rPr>
          <w:rFonts w:ascii="宋体" w:hAnsi="宋体"/>
          <w:bCs/>
          <w:sz w:val="22"/>
        </w:rPr>
      </w:pPr>
      <w:r>
        <w:rPr>
          <w:rFonts w:hint="eastAsia" w:ascii="宋体" w:hAnsi="宋体"/>
          <w:bCs/>
          <w:sz w:val="22"/>
        </w:rPr>
        <w:t>（2）镜头控制</w:t>
      </w:r>
    </w:p>
    <w:p>
      <w:pPr>
        <w:pStyle w:val="155"/>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镜头控制支持客户端在图像分屏和全屏显示状态下都可进行镜头控制。</w:t>
      </w:r>
    </w:p>
    <w:p>
      <w:pPr>
        <w:pStyle w:val="155"/>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镜头的控制包括变倍、调焦（应具有手动和自动调焦功能）、光圈（应具有手动和自动光圈调节功能）。</w:t>
      </w:r>
    </w:p>
    <w:p>
      <w:pPr>
        <w:spacing w:line="440" w:lineRule="exact"/>
        <w:rPr>
          <w:rFonts w:ascii="宋体" w:hAnsi="宋体"/>
          <w:sz w:val="22"/>
        </w:rPr>
      </w:pPr>
      <w:r>
        <w:rPr>
          <w:rFonts w:hint="eastAsia" w:ascii="宋体" w:hAnsi="宋体"/>
          <w:sz w:val="22"/>
        </w:rPr>
        <w:t>（3）矩阵控制</w:t>
      </w:r>
    </w:p>
    <w:p>
      <w:pPr>
        <w:spacing w:line="440" w:lineRule="exact"/>
        <w:ind w:firstLine="550" w:firstLineChars="250"/>
        <w:rPr>
          <w:rFonts w:ascii="宋体" w:hAnsi="宋体"/>
          <w:sz w:val="22"/>
        </w:rPr>
      </w:pPr>
      <w:r>
        <w:rPr>
          <w:rFonts w:hint="eastAsia" w:ascii="宋体" w:hAnsi="宋体"/>
          <w:sz w:val="22"/>
        </w:rPr>
        <w:t>支持矩阵接入，同时支持矩阵的多画面控制等功能。</w:t>
      </w:r>
    </w:p>
    <w:p>
      <w:pPr>
        <w:spacing w:line="440" w:lineRule="exact"/>
        <w:rPr>
          <w:rFonts w:ascii="宋体" w:hAnsi="宋体"/>
          <w:sz w:val="22"/>
        </w:rPr>
      </w:pPr>
      <w:r>
        <w:rPr>
          <w:rFonts w:hint="eastAsia" w:ascii="宋体" w:hAnsi="宋体"/>
          <w:sz w:val="22"/>
        </w:rPr>
        <w:t>（4）预置点轮询</w:t>
      </w:r>
    </w:p>
    <w:p>
      <w:pPr>
        <w:spacing w:line="440" w:lineRule="exact"/>
        <w:ind w:firstLine="550" w:firstLineChars="250"/>
        <w:rPr>
          <w:rFonts w:ascii="宋体" w:hAnsi="宋体"/>
          <w:sz w:val="22"/>
        </w:rPr>
      </w:pPr>
      <w:r>
        <w:rPr>
          <w:rFonts w:hint="eastAsia" w:ascii="宋体" w:hAnsi="宋体"/>
          <w:sz w:val="22"/>
        </w:rPr>
        <w:t>应支持自定义的预置点间的定时轮巡功能。</w:t>
      </w:r>
    </w:p>
    <w:p>
      <w:pPr>
        <w:spacing w:line="440" w:lineRule="exact"/>
        <w:rPr>
          <w:rFonts w:ascii="宋体" w:hAnsi="宋体"/>
          <w:sz w:val="22"/>
        </w:rPr>
      </w:pPr>
      <w:r>
        <w:rPr>
          <w:rFonts w:hint="eastAsia" w:ascii="宋体" w:hAnsi="宋体"/>
          <w:sz w:val="22"/>
        </w:rPr>
        <w:t>（5）守望位功能</w:t>
      </w:r>
    </w:p>
    <w:p>
      <w:pPr>
        <w:spacing w:line="440" w:lineRule="exact"/>
        <w:ind w:firstLine="550" w:firstLineChars="250"/>
        <w:rPr>
          <w:rFonts w:ascii="宋体" w:hAnsi="宋体"/>
          <w:sz w:val="22"/>
        </w:rPr>
      </w:pPr>
      <w:r>
        <w:rPr>
          <w:rFonts w:hint="eastAsia" w:ascii="宋体" w:hAnsi="宋体"/>
          <w:sz w:val="22"/>
        </w:rPr>
        <w:t>应支持一定时间内无云镜控制时，恢复到守望位的功能。该守望位可用户自定义。</w:t>
      </w:r>
    </w:p>
    <w:p>
      <w:pPr>
        <w:autoSpaceDE w:val="0"/>
        <w:autoSpaceDN w:val="0"/>
        <w:adjustRightInd w:val="0"/>
        <w:snapToGrid w:val="0"/>
        <w:spacing w:line="460" w:lineRule="atLeast"/>
        <w:ind w:firstLine="440" w:firstLineChars="200"/>
        <w:textAlignment w:val="bottom"/>
        <w:rPr>
          <w:rFonts w:ascii="宋体" w:hAnsi="宋体"/>
          <w:sz w:val="22"/>
        </w:rPr>
      </w:pPr>
      <w:r>
        <w:rPr>
          <w:rFonts w:hint="eastAsia" w:ascii="宋体" w:hAnsi="宋体"/>
          <w:sz w:val="22"/>
        </w:rPr>
        <w:t>同时支持时间点复位功能，即可由用户自定义时间使镜头回复至守望位。</w:t>
      </w:r>
    </w:p>
    <w:p>
      <w:pPr>
        <w:spacing w:line="440" w:lineRule="exact"/>
        <w:rPr>
          <w:rFonts w:ascii="宋体" w:hAnsi="宋体"/>
          <w:sz w:val="22"/>
        </w:rPr>
      </w:pPr>
      <w:r>
        <w:rPr>
          <w:rFonts w:hint="eastAsia" w:ascii="宋体" w:hAnsi="宋体"/>
          <w:sz w:val="22"/>
        </w:rPr>
        <w:t>（6）控制权限的等级管理</w:t>
      </w:r>
    </w:p>
    <w:p>
      <w:pPr>
        <w:spacing w:line="440" w:lineRule="exact"/>
        <w:rPr>
          <w:rFonts w:ascii="宋体" w:hAnsi="宋体"/>
          <w:sz w:val="22"/>
        </w:rPr>
      </w:pPr>
      <w:r>
        <w:rPr>
          <w:rFonts w:hint="eastAsia" w:ascii="宋体" w:hAnsi="宋体"/>
          <w:sz w:val="22"/>
        </w:rPr>
        <w:tab/>
      </w:r>
      <w:r>
        <w:rPr>
          <w:rFonts w:hint="eastAsia" w:ascii="宋体" w:hAnsi="宋体"/>
          <w:sz w:val="22"/>
        </w:rPr>
        <w:t xml:space="preserve"> 高等级用户可以抢占，锁定低等级用户的控制权，并对低等级的用户进行提示。</w:t>
      </w:r>
    </w:p>
    <w:p>
      <w:pPr>
        <w:spacing w:line="440" w:lineRule="exact"/>
        <w:rPr>
          <w:rFonts w:ascii="宋体" w:hAnsi="宋体"/>
          <w:sz w:val="22"/>
        </w:rPr>
      </w:pPr>
      <w:r>
        <w:rPr>
          <w:rFonts w:hint="eastAsia" w:ascii="宋体" w:hAnsi="宋体"/>
          <w:sz w:val="22"/>
        </w:rPr>
        <w:t>（7）要求PC客户端在全屏显示状态下亦可进行云镜控制。</w:t>
      </w:r>
    </w:p>
    <w:p>
      <w:pPr>
        <w:pStyle w:val="155"/>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录像、回放和存储功能</w:t>
      </w:r>
    </w:p>
    <w:p>
      <w:pPr>
        <w:spacing w:line="440" w:lineRule="exact"/>
        <w:ind w:firstLine="440" w:firstLineChars="200"/>
        <w:rPr>
          <w:rFonts w:ascii="宋体" w:hAnsi="宋体"/>
          <w:sz w:val="22"/>
        </w:rPr>
      </w:pPr>
      <w:r>
        <w:rPr>
          <w:rFonts w:hint="eastAsia" w:ascii="宋体" w:hAnsi="宋体"/>
          <w:sz w:val="22"/>
        </w:rPr>
        <w:t>系统需支持多种录制模式，具备灵活的录像策略：</w:t>
      </w:r>
    </w:p>
    <w:p>
      <w:pPr>
        <w:pStyle w:val="155"/>
        <w:numPr>
          <w:ilvl w:val="0"/>
          <w:numId w:val="8"/>
        </w:numPr>
        <w:autoSpaceDE w:val="0"/>
        <w:autoSpaceDN w:val="0"/>
        <w:adjustRightInd w:val="0"/>
        <w:spacing w:line="440" w:lineRule="exact"/>
        <w:ind w:firstLineChars="0"/>
        <w:jc w:val="left"/>
        <w:rPr>
          <w:rFonts w:ascii="宋体" w:hAnsi="宋体"/>
          <w:sz w:val="22"/>
        </w:rPr>
      </w:pPr>
      <w:r>
        <w:rPr>
          <w:rFonts w:hint="eastAsia" w:ascii="宋体" w:hAnsi="宋体"/>
          <w:bCs/>
          <w:sz w:val="22"/>
        </w:rPr>
        <w:t>定时录制：根据用户预置的时间表进行录像。用户可预置录像时间，录像时长。</w:t>
      </w:r>
    </w:p>
    <w:p>
      <w:pPr>
        <w:pStyle w:val="155"/>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手动录制：按照用户的开始录像、录像时长、停止录像指令进行控制的录像。用户可手动选择开始录像及停止录像功能，并可设置录像时长。</w:t>
      </w:r>
    </w:p>
    <w:p>
      <w:pPr>
        <w:pStyle w:val="155"/>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支持视频直接写入磁盘阵列存储。回放可以根据时间、地点等信息检索并回放视频。支持直接回放和下载后回放。并支持RTSP协议和专用播放器回放下载的录像资料。</w:t>
      </w:r>
    </w:p>
    <w:p>
      <w:pPr>
        <w:pStyle w:val="155"/>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录像回放要求采用RTSP国际标准，能够在用户网络较差时，进行流畅的录像回放，并能够使用专业播放器进行播放。</w:t>
      </w:r>
    </w:p>
    <w:p>
      <w:pPr>
        <w:pStyle w:val="155"/>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录像可以做到快速导出，特别是遇到多区域联合侦查视频资料导出时，可多段录像并发快速导出。且录像导出时，不影响当前录像录制。</w:t>
      </w:r>
    </w:p>
    <w:p>
      <w:pPr>
        <w:pStyle w:val="155"/>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录像回放支持拖动、快进、全屏幕等多种常用操作。回放可在网络上任意一个授权帐号进行。</w:t>
      </w:r>
    </w:p>
    <w:p>
      <w:pPr>
        <w:pStyle w:val="155"/>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录像检索可根据时间段、时间、监控点等条件进行，可多个条件组合，也可限制某个查询条件。</w:t>
      </w:r>
    </w:p>
    <w:p>
      <w:pPr>
        <w:pStyle w:val="155"/>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高清网络视频监控的数据通过光纤传输到中心机房网存储系统进行集中存储，25fps/4Mbps码流/30天*24小时，支持断网续传功能。不同监控点可选择不同时间长度、不同录像方式进行录像，且可动态更改。</w:t>
      </w:r>
    </w:p>
    <w:p>
      <w:pPr>
        <w:pStyle w:val="155"/>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集中存储及视频管理服务器等核心设备应设置独立的放置空间，建立专门的安全保护机制。</w:t>
      </w:r>
    </w:p>
    <w:p>
      <w:pPr>
        <w:pStyle w:val="155"/>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能对监控系统前端、网络传输、集中存储等设备的状态实时监控、统计、管理。</w:t>
      </w:r>
    </w:p>
    <w:p>
      <w:pPr>
        <w:pStyle w:val="155"/>
        <w:numPr>
          <w:ilvl w:val="0"/>
          <w:numId w:val="6"/>
        </w:numPr>
        <w:autoSpaceDE w:val="0"/>
        <w:autoSpaceDN w:val="0"/>
        <w:adjustRightInd w:val="0"/>
        <w:spacing w:line="440" w:lineRule="exact"/>
        <w:ind w:hanging="735" w:firstLineChars="0"/>
        <w:jc w:val="left"/>
        <w:rPr>
          <w:rFonts w:ascii="宋体" w:hAnsi="宋体"/>
          <w:bCs/>
          <w:sz w:val="22"/>
        </w:rPr>
      </w:pPr>
      <w:r>
        <w:rPr>
          <w:rFonts w:hint="eastAsia" w:ascii="宋体" w:hAnsi="宋体"/>
          <w:sz w:val="22"/>
        </w:rPr>
        <w:t>告警功能</w:t>
      </w:r>
    </w:p>
    <w:p>
      <w:pPr>
        <w:pStyle w:val="155"/>
        <w:numPr>
          <w:ilvl w:val="0"/>
          <w:numId w:val="9"/>
        </w:numPr>
        <w:autoSpaceDE w:val="0"/>
        <w:autoSpaceDN w:val="0"/>
        <w:adjustRightInd w:val="0"/>
        <w:spacing w:line="440" w:lineRule="exact"/>
        <w:ind w:firstLineChars="0"/>
        <w:jc w:val="left"/>
        <w:rPr>
          <w:rFonts w:ascii="宋体" w:hAnsi="宋体"/>
          <w:sz w:val="22"/>
        </w:rPr>
      </w:pPr>
      <w:r>
        <w:rPr>
          <w:rFonts w:hint="eastAsia" w:ascii="宋体" w:hAnsi="宋体"/>
          <w:bCs/>
          <w:sz w:val="22"/>
        </w:rPr>
        <w:t>可外接直接报警输出设备如警灯、警号等。</w:t>
      </w:r>
    </w:p>
    <w:p>
      <w:pPr>
        <w:pStyle w:val="155"/>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可接入总线和直接报警设备如红外探头、紧急按钮等，支持接入门禁告警量、火警告警量。</w:t>
      </w:r>
    </w:p>
    <w:p>
      <w:pPr>
        <w:pStyle w:val="155"/>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移动侦测告警，对敏感区域内移动的物体产生高警，并可配置摄像头跟踪移动物体。</w:t>
      </w:r>
    </w:p>
    <w:p>
      <w:pPr>
        <w:pStyle w:val="155"/>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完成报警信息联动控制，即当其中一个报警器出现警情时，其设置为联动的继电器开关动作，并在设为联动的图像上叠加相关文字信息。</w:t>
      </w:r>
    </w:p>
    <w:p>
      <w:pPr>
        <w:pStyle w:val="155"/>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可进行报警联动功能设置，如报警联动录像、报警联动开关、报警联动字符。</w:t>
      </w:r>
    </w:p>
    <w:p>
      <w:pPr>
        <w:pStyle w:val="155"/>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可设置多个报警器对应为一路图像或一个报警器对应多路图像。</w:t>
      </w:r>
    </w:p>
    <w:p>
      <w:pPr>
        <w:pStyle w:val="155"/>
        <w:numPr>
          <w:ilvl w:val="0"/>
          <w:numId w:val="6"/>
        </w:numPr>
        <w:autoSpaceDE w:val="0"/>
        <w:autoSpaceDN w:val="0"/>
        <w:adjustRightInd w:val="0"/>
        <w:spacing w:line="440" w:lineRule="exact"/>
        <w:ind w:hanging="735" w:firstLineChars="0"/>
        <w:jc w:val="left"/>
        <w:rPr>
          <w:rFonts w:ascii="宋体" w:hAnsi="宋体"/>
          <w:bCs/>
          <w:sz w:val="22"/>
        </w:rPr>
      </w:pPr>
      <w:r>
        <w:rPr>
          <w:rFonts w:hint="eastAsia" w:ascii="宋体" w:hAnsi="宋体"/>
          <w:sz w:val="22"/>
        </w:rPr>
        <w:t>其他功能</w:t>
      </w:r>
    </w:p>
    <w:p>
      <w:pPr>
        <w:pStyle w:val="155"/>
        <w:numPr>
          <w:ilvl w:val="1"/>
          <w:numId w:val="6"/>
        </w:numPr>
        <w:autoSpaceDE w:val="0"/>
        <w:autoSpaceDN w:val="0"/>
        <w:adjustRightInd w:val="0"/>
        <w:spacing w:line="440" w:lineRule="exact"/>
        <w:ind w:left="525" w:firstLineChars="0"/>
        <w:jc w:val="left"/>
        <w:rPr>
          <w:rFonts w:ascii="宋体" w:hAnsi="宋体"/>
          <w:sz w:val="22"/>
        </w:rPr>
      </w:pPr>
      <w:r>
        <w:rPr>
          <w:rFonts w:hint="eastAsia" w:ascii="宋体" w:hAnsi="宋体"/>
          <w:bCs/>
          <w:sz w:val="22"/>
        </w:rPr>
        <w:t>支持多路硬解码；</w:t>
      </w:r>
    </w:p>
    <w:p>
      <w:pPr>
        <w:pStyle w:val="155"/>
        <w:numPr>
          <w:ilvl w:val="1"/>
          <w:numId w:val="6"/>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在浏览的同时能录制到本地，录制下来的文件能通过专用播放软件播放；</w:t>
      </w:r>
    </w:p>
    <w:p>
      <w:pPr>
        <w:pStyle w:val="155"/>
        <w:numPr>
          <w:ilvl w:val="1"/>
          <w:numId w:val="6"/>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支持客户端显示轮循功能。</w:t>
      </w:r>
    </w:p>
    <w:p>
      <w:pPr>
        <w:pStyle w:val="155"/>
        <w:numPr>
          <w:ilvl w:val="1"/>
          <w:numId w:val="6"/>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支持通过平台对前端设备进行升级、配置、重新启动等管理，无须对单个设备进行操作。</w:t>
      </w:r>
    </w:p>
    <w:p>
      <w:pPr>
        <w:spacing w:line="440" w:lineRule="exact"/>
        <w:ind w:firstLine="440" w:firstLineChars="200"/>
        <w:rPr>
          <w:rFonts w:ascii="宋体" w:hAnsi="宋体"/>
          <w:sz w:val="22"/>
        </w:rPr>
      </w:pPr>
      <w:r>
        <w:rPr>
          <w:rFonts w:hint="eastAsia" w:ascii="宋体" w:hAnsi="宋体"/>
          <w:sz w:val="22"/>
        </w:rPr>
        <w:t>4.2.3 管理功能包括业务管理，自助管理、权限管理、设备管理、网管等管理功能。</w:t>
      </w:r>
    </w:p>
    <w:p>
      <w:pPr>
        <w:pStyle w:val="155"/>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公安自助管理</w:t>
      </w:r>
    </w:p>
    <w:p>
      <w:pPr>
        <w:spacing w:line="440" w:lineRule="exact"/>
        <w:ind w:left="441" w:leftChars="210"/>
        <w:rPr>
          <w:rFonts w:ascii="宋体" w:hAnsi="宋体"/>
          <w:sz w:val="22"/>
        </w:rPr>
      </w:pPr>
      <w:r>
        <w:rPr>
          <w:rFonts w:hint="eastAsia" w:ascii="宋体" w:hAnsi="宋体"/>
          <w:sz w:val="22"/>
        </w:rPr>
        <w:t>自助管理由公安机关的上级单位分配给下级单位的用户管理员的功能。自助管理功能包括：用户管理、县局级管理、市局级管理等功能，并可实现多级管理。</w:t>
      </w:r>
    </w:p>
    <w:p>
      <w:pPr>
        <w:spacing w:line="440" w:lineRule="exact"/>
        <w:ind w:left="441" w:leftChars="210"/>
        <w:rPr>
          <w:rFonts w:ascii="宋体" w:hAnsi="宋体"/>
          <w:sz w:val="22"/>
        </w:rPr>
      </w:pPr>
      <w:r>
        <w:rPr>
          <w:rFonts w:hint="eastAsia" w:ascii="宋体" w:hAnsi="宋体"/>
          <w:sz w:val="22"/>
        </w:rPr>
        <w:t>（1）用户管理</w:t>
      </w:r>
    </w:p>
    <w:p>
      <w:pPr>
        <w:spacing w:line="440" w:lineRule="exact"/>
        <w:ind w:left="441" w:leftChars="210" w:firstLine="528" w:firstLineChars="240"/>
        <w:rPr>
          <w:rFonts w:ascii="宋体" w:hAnsi="宋体"/>
          <w:sz w:val="22"/>
        </w:rPr>
      </w:pPr>
      <w:r>
        <w:rPr>
          <w:rFonts w:hint="eastAsia" w:ascii="宋体" w:hAnsi="宋体"/>
          <w:sz w:val="22"/>
        </w:rPr>
        <w:t>用户管理员可完成本级普通用户的基本信息修改、给用户分配权限、日志查询等功能。</w:t>
      </w:r>
    </w:p>
    <w:p>
      <w:pPr>
        <w:spacing w:line="440" w:lineRule="exact"/>
        <w:ind w:left="441" w:leftChars="210"/>
        <w:rPr>
          <w:rFonts w:ascii="宋体" w:hAnsi="宋体"/>
          <w:sz w:val="22"/>
        </w:rPr>
      </w:pPr>
      <w:r>
        <w:rPr>
          <w:rFonts w:hint="eastAsia" w:ascii="宋体" w:hAnsi="宋体"/>
          <w:sz w:val="22"/>
        </w:rPr>
        <w:t>（2）县局级管理</w:t>
      </w:r>
    </w:p>
    <w:p>
      <w:pPr>
        <w:spacing w:line="440" w:lineRule="exact"/>
        <w:ind w:left="965" w:leftChars="460"/>
        <w:rPr>
          <w:rFonts w:ascii="宋体" w:hAnsi="宋体"/>
          <w:sz w:val="22"/>
        </w:rPr>
      </w:pPr>
      <w:r>
        <w:rPr>
          <w:rFonts w:hint="eastAsia" w:ascii="宋体" w:hAnsi="宋体"/>
          <w:sz w:val="22"/>
        </w:rPr>
        <w:t>县局级管理员可通过软件界面形式增设一个县局级信息。县局级信息可包括县局级名称、联系人、电话、地址以县局级管理员可添加的最大用户数等。并且市局级管理员可授权县局级用户管理员自助管理权限。</w:t>
      </w:r>
    </w:p>
    <w:p>
      <w:pPr>
        <w:spacing w:line="440" w:lineRule="exact"/>
        <w:ind w:left="441" w:leftChars="210"/>
        <w:rPr>
          <w:rFonts w:ascii="宋体" w:hAnsi="宋体"/>
          <w:sz w:val="22"/>
        </w:rPr>
      </w:pPr>
      <w:r>
        <w:rPr>
          <w:rFonts w:hint="eastAsia" w:ascii="宋体" w:hAnsi="宋体"/>
          <w:sz w:val="22"/>
        </w:rPr>
        <w:t>（3）市局级管理</w:t>
      </w:r>
    </w:p>
    <w:p>
      <w:pPr>
        <w:spacing w:line="440" w:lineRule="exact"/>
        <w:ind w:left="856" w:leftChars="408"/>
        <w:rPr>
          <w:rFonts w:ascii="宋体" w:hAnsi="宋体"/>
          <w:sz w:val="22"/>
        </w:rPr>
      </w:pPr>
      <w:r>
        <w:rPr>
          <w:rFonts w:hint="eastAsia" w:ascii="宋体" w:hAnsi="宋体"/>
          <w:sz w:val="22"/>
        </w:rPr>
        <w:t>主要由本级超级管理员完成对用户分配设备、变更设备归属、修改设备、报警信息查询的操作。</w:t>
      </w:r>
    </w:p>
    <w:p>
      <w:pPr>
        <w:pStyle w:val="155"/>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权限管理</w:t>
      </w:r>
    </w:p>
    <w:p>
      <w:pPr>
        <w:pStyle w:val="155"/>
        <w:numPr>
          <w:ilvl w:val="0"/>
          <w:numId w:val="10"/>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采用分级用户管理机制，每级至少包括公安管理员和普通用户两个级别，并可以配置不同的权限模版，以方便用户的权限设置。其中管理员可以根据管理内容可分为系统管理员和用户管理员。</w:t>
      </w:r>
    </w:p>
    <w:p>
      <w:pPr>
        <w:pStyle w:val="155"/>
        <w:numPr>
          <w:ilvl w:val="0"/>
          <w:numId w:val="10"/>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公安用户管理员的权限包括用户管理权限、设备授权权限。用户管理员可以增加、删除、修改用户。用户管理员可以授权用户对视频浏览、摄像机远程控制、录像的删除、复制、浏览等操作行为的权限，同时支持权限优先级，优先级高的用户可以优先占用控制权。权限可以被赋予，也能被收回。用户管理员可以授权下级用户管理员管理权限；</w:t>
      </w:r>
    </w:p>
    <w:p>
      <w:pPr>
        <w:pStyle w:val="155"/>
        <w:numPr>
          <w:ilvl w:val="0"/>
          <w:numId w:val="10"/>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普通用户的权限包括设备控制权限。普通用户由公安用户管理员的授权对设备进行控制。权限包括视频浏览、摄像机远程控制、录像的删除、复制、浏览等，且普通用户不可更改操作权限。</w:t>
      </w:r>
    </w:p>
    <w:p>
      <w:pPr>
        <w:pStyle w:val="155"/>
        <w:numPr>
          <w:ilvl w:val="0"/>
          <w:numId w:val="6"/>
        </w:numPr>
        <w:autoSpaceDE w:val="0"/>
        <w:autoSpaceDN w:val="0"/>
        <w:adjustRightInd w:val="0"/>
        <w:spacing w:line="440" w:lineRule="exact"/>
        <w:ind w:hanging="735" w:firstLineChars="0"/>
        <w:jc w:val="left"/>
        <w:rPr>
          <w:rFonts w:ascii="宋体" w:hAnsi="宋体"/>
          <w:bCs/>
          <w:sz w:val="22"/>
        </w:rPr>
      </w:pPr>
      <w:r>
        <w:rPr>
          <w:rFonts w:hint="eastAsia" w:ascii="宋体" w:hAnsi="宋体"/>
          <w:sz w:val="22"/>
        </w:rPr>
        <w:t>配置管理功能</w:t>
      </w:r>
    </w:p>
    <w:p>
      <w:pPr>
        <w:pStyle w:val="155"/>
        <w:numPr>
          <w:ilvl w:val="0"/>
          <w:numId w:val="11"/>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配置管理是对系统平台组成服务器进行设备或参数添加、删除、修改等的配置管理。</w:t>
      </w:r>
    </w:p>
    <w:p>
      <w:pPr>
        <w:pStyle w:val="155"/>
        <w:numPr>
          <w:ilvl w:val="0"/>
          <w:numId w:val="11"/>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提供对各平台设备的查询和配置界面，平台设备的运行参数配置要求允许通过远程登录方式进行,系统提供服务器的信息列表，至少包含以下信息：设备名称、主要用途、设备型号、关键技术参数(如CPU、内存、硬盘)、网络接口及带宽信息、IP地址等，并支持对各功能模块的添加、删除、升级、重启等配置。</w:t>
      </w:r>
    </w:p>
    <w:p>
      <w:pPr>
        <w:pStyle w:val="155"/>
        <w:numPr>
          <w:ilvl w:val="0"/>
          <w:numId w:val="11"/>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提供对接入平台各前端设备和客户端的配置管理，可显示当前浏览某台前端设备的各客户帐号，可显示当前登录的某个客户帐号当前浏览的各前端设备名称、ID号，并支持对各前端设备和客户端执行各项操作：如禁止登录、强制下线、限制登录时段、限制连接带宽等。</w:t>
      </w:r>
    </w:p>
    <w:p>
      <w:pPr>
        <w:pStyle w:val="155"/>
        <w:numPr>
          <w:ilvl w:val="0"/>
          <w:numId w:val="11"/>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系统应支持对接入平台各前端设备（包括NAT后设备）进行统一升级操作，升级操作应安全可靠，不能出现因升级失败导致设备故障现象发生。</w:t>
      </w:r>
    </w:p>
    <w:p>
      <w:pPr>
        <w:pStyle w:val="155"/>
        <w:numPr>
          <w:ilvl w:val="0"/>
          <w:numId w:val="6"/>
        </w:numPr>
        <w:autoSpaceDE w:val="0"/>
        <w:autoSpaceDN w:val="0"/>
        <w:adjustRightInd w:val="0"/>
        <w:spacing w:line="440" w:lineRule="exact"/>
        <w:ind w:hanging="735" w:firstLineChars="0"/>
        <w:jc w:val="left"/>
        <w:rPr>
          <w:rFonts w:ascii="宋体" w:hAnsi="宋体"/>
          <w:bCs/>
          <w:sz w:val="22"/>
        </w:rPr>
      </w:pPr>
      <w:r>
        <w:rPr>
          <w:rFonts w:hint="eastAsia" w:ascii="宋体" w:hAnsi="宋体"/>
          <w:bCs/>
          <w:sz w:val="22"/>
        </w:rPr>
        <w:t>故障管理功能</w:t>
      </w:r>
    </w:p>
    <w:p>
      <w:pPr>
        <w:pStyle w:val="155"/>
        <w:numPr>
          <w:ilvl w:val="0"/>
          <w:numId w:val="12"/>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故障管理是负责所有被监控对象及网管本身上报的告警信息的采集和处理，为维护人员及时处理故障提供查询、统计和诊断手段，系统需提供对异常操作状态的检测、隔离和修复的能力，支持实时的监控告警和状态信息，并可对历史告警进行查询和统计分析。</w:t>
      </w:r>
    </w:p>
    <w:p>
      <w:pPr>
        <w:pStyle w:val="155"/>
        <w:numPr>
          <w:ilvl w:val="0"/>
          <w:numId w:val="12"/>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告警和状态监控的对象应包括：平台主机（硬盘等）、存储设备、前端设备、客户端等，告警行为至少应包括服务器硬件故障信息、硬盘满、中心存储预设存储空间不足、数据库表空间不足、异常访问或攻击、网络中断或堵塞、图像质量等。</w:t>
      </w:r>
    </w:p>
    <w:p>
      <w:pPr>
        <w:pStyle w:val="155"/>
        <w:numPr>
          <w:ilvl w:val="0"/>
          <w:numId w:val="12"/>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故障管理功能应支持接入集中告警服务，各被监控对象发生告警行为时，系统应在网管界面上以声音、图像、弹出列表等告警方式予以呈现，能够通过使用不同颜色代表不同告警级别。</w:t>
      </w:r>
    </w:p>
    <w:p>
      <w:pPr>
        <w:pStyle w:val="155"/>
        <w:numPr>
          <w:ilvl w:val="0"/>
          <w:numId w:val="12"/>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系统应支持故障处理的全程管控功能，至少应支持以下操作：</w:t>
      </w:r>
    </w:p>
    <w:p>
      <w:pPr>
        <w:pStyle w:val="155"/>
        <w:numPr>
          <w:ilvl w:val="0"/>
          <w:numId w:val="13"/>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告警确认</w:t>
      </w:r>
    </w:p>
    <w:p>
      <w:pPr>
        <w:spacing w:line="440" w:lineRule="exact"/>
        <w:ind w:left="856" w:leftChars="408"/>
        <w:rPr>
          <w:rFonts w:ascii="宋体" w:hAnsi="宋体"/>
          <w:sz w:val="22"/>
        </w:rPr>
      </w:pPr>
      <w:r>
        <w:rPr>
          <w:rFonts w:hint="eastAsia" w:ascii="宋体" w:hAnsi="宋体"/>
          <w:sz w:val="22"/>
        </w:rPr>
        <w:t>当新告警产生时，告警处于未确认状态，系统应支持管理人员对告警手动确认和自动确认功能，系统应支持批量确认功能。</w:t>
      </w:r>
    </w:p>
    <w:p>
      <w:pPr>
        <w:spacing w:line="440" w:lineRule="exact"/>
        <w:ind w:left="441" w:leftChars="210" w:firstLine="420"/>
        <w:rPr>
          <w:rFonts w:ascii="宋体" w:hAnsi="宋体"/>
          <w:sz w:val="22"/>
        </w:rPr>
      </w:pPr>
      <w:r>
        <w:rPr>
          <w:rFonts w:hint="eastAsia" w:ascii="宋体" w:hAnsi="宋体"/>
          <w:sz w:val="22"/>
        </w:rPr>
        <w:t>告警确认后，系统应记录确认方式(自动/手工)、确认人员、确认时间。</w:t>
      </w:r>
    </w:p>
    <w:p>
      <w:pPr>
        <w:pStyle w:val="155"/>
        <w:numPr>
          <w:ilvl w:val="0"/>
          <w:numId w:val="13"/>
        </w:numPr>
        <w:autoSpaceDE w:val="0"/>
        <w:autoSpaceDN w:val="0"/>
        <w:adjustRightInd w:val="0"/>
        <w:spacing w:line="440" w:lineRule="exact"/>
        <w:ind w:firstLineChars="0"/>
        <w:jc w:val="left"/>
        <w:rPr>
          <w:rFonts w:ascii="宋体" w:hAnsi="宋体"/>
          <w:sz w:val="22"/>
        </w:rPr>
      </w:pPr>
      <w:r>
        <w:rPr>
          <w:rFonts w:hint="eastAsia" w:ascii="宋体" w:hAnsi="宋体"/>
          <w:bCs/>
          <w:sz w:val="22"/>
        </w:rPr>
        <w:t>告警清除</w:t>
      </w:r>
    </w:p>
    <w:p>
      <w:pPr>
        <w:spacing w:line="440" w:lineRule="exact"/>
        <w:ind w:left="441" w:leftChars="210" w:firstLine="420"/>
        <w:rPr>
          <w:rFonts w:ascii="宋体" w:hAnsi="宋体"/>
          <w:sz w:val="22"/>
        </w:rPr>
      </w:pPr>
      <w:r>
        <w:rPr>
          <w:rFonts w:hint="eastAsia" w:ascii="宋体" w:hAnsi="宋体"/>
          <w:sz w:val="22"/>
        </w:rPr>
        <w:t>故障排除后，相应的告警应自动或手动改为已清除状态，同时清除声光等相应告警提示。</w:t>
      </w:r>
    </w:p>
    <w:p>
      <w:pPr>
        <w:spacing w:line="440" w:lineRule="exact"/>
        <w:ind w:left="441" w:leftChars="210" w:firstLine="420"/>
        <w:rPr>
          <w:rFonts w:ascii="宋体" w:hAnsi="宋体"/>
          <w:sz w:val="22"/>
        </w:rPr>
      </w:pPr>
      <w:r>
        <w:rPr>
          <w:rFonts w:hint="eastAsia" w:ascii="宋体" w:hAnsi="宋体"/>
          <w:sz w:val="22"/>
        </w:rPr>
        <w:t>系统应提供告警的自动清除机制,同时支持告警手工清除功能。</w:t>
      </w:r>
    </w:p>
    <w:p>
      <w:pPr>
        <w:spacing w:line="440" w:lineRule="exact"/>
        <w:ind w:left="441" w:leftChars="210" w:firstLine="420"/>
        <w:rPr>
          <w:rFonts w:ascii="宋体" w:hAnsi="宋体"/>
          <w:sz w:val="22"/>
        </w:rPr>
      </w:pPr>
      <w:r>
        <w:rPr>
          <w:rFonts w:hint="eastAsia" w:ascii="宋体" w:hAnsi="宋体"/>
          <w:sz w:val="22"/>
        </w:rPr>
        <w:t>告警清除后，系统应记录清除方式(自动/手工)、清除时间。</w:t>
      </w:r>
    </w:p>
    <w:p>
      <w:pPr>
        <w:pStyle w:val="155"/>
        <w:numPr>
          <w:ilvl w:val="0"/>
          <w:numId w:val="13"/>
        </w:numPr>
        <w:autoSpaceDE w:val="0"/>
        <w:autoSpaceDN w:val="0"/>
        <w:adjustRightInd w:val="0"/>
        <w:spacing w:line="440" w:lineRule="exact"/>
        <w:ind w:firstLineChars="0"/>
        <w:jc w:val="left"/>
        <w:rPr>
          <w:rFonts w:ascii="宋体" w:hAnsi="宋体"/>
          <w:sz w:val="22"/>
        </w:rPr>
      </w:pPr>
      <w:r>
        <w:rPr>
          <w:rFonts w:hint="eastAsia" w:ascii="宋体" w:hAnsi="宋体"/>
          <w:bCs/>
          <w:sz w:val="22"/>
        </w:rPr>
        <w:t>告警处理</w:t>
      </w:r>
    </w:p>
    <w:p>
      <w:pPr>
        <w:spacing w:line="440" w:lineRule="exact"/>
        <w:ind w:left="856" w:leftChars="408"/>
        <w:rPr>
          <w:rFonts w:ascii="宋体" w:hAnsi="宋体"/>
          <w:sz w:val="22"/>
        </w:rPr>
      </w:pPr>
      <w:r>
        <w:rPr>
          <w:rFonts w:hint="eastAsia" w:ascii="宋体" w:hAnsi="宋体"/>
          <w:sz w:val="22"/>
        </w:rPr>
        <w:t xml:space="preserve">系统应支持针对不同告警级别和特定告警类别设置通知方式（如声光告警、弹出列表、不同颜色警示条等）； </w:t>
      </w:r>
    </w:p>
    <w:p>
      <w:pPr>
        <w:spacing w:line="440" w:lineRule="exact"/>
        <w:ind w:left="441" w:leftChars="210" w:firstLine="420"/>
        <w:rPr>
          <w:rFonts w:ascii="宋体" w:hAnsi="宋体"/>
          <w:sz w:val="22"/>
        </w:rPr>
      </w:pPr>
      <w:r>
        <w:rPr>
          <w:rFonts w:hint="eastAsia" w:ascii="宋体" w:hAnsi="宋体"/>
          <w:sz w:val="22"/>
        </w:rPr>
        <w:t>系统应支持设置性能指标告警门限；</w:t>
      </w:r>
    </w:p>
    <w:p>
      <w:pPr>
        <w:spacing w:line="440" w:lineRule="exact"/>
        <w:ind w:left="441" w:leftChars="210" w:firstLine="420"/>
        <w:rPr>
          <w:rFonts w:ascii="宋体" w:hAnsi="宋体"/>
          <w:sz w:val="22"/>
        </w:rPr>
      </w:pPr>
      <w:r>
        <w:rPr>
          <w:rFonts w:hint="eastAsia" w:ascii="宋体" w:hAnsi="宋体"/>
          <w:sz w:val="22"/>
        </w:rPr>
        <w:t>系统应支持设置告警过滤、屏蔽、压缩策略。</w:t>
      </w:r>
    </w:p>
    <w:p>
      <w:pPr>
        <w:pStyle w:val="155"/>
        <w:numPr>
          <w:ilvl w:val="0"/>
          <w:numId w:val="13"/>
        </w:numPr>
        <w:autoSpaceDE w:val="0"/>
        <w:autoSpaceDN w:val="0"/>
        <w:adjustRightInd w:val="0"/>
        <w:spacing w:line="440" w:lineRule="exact"/>
        <w:ind w:firstLineChars="0"/>
        <w:jc w:val="left"/>
        <w:rPr>
          <w:rFonts w:ascii="宋体" w:hAnsi="宋体"/>
          <w:sz w:val="22"/>
        </w:rPr>
      </w:pPr>
      <w:r>
        <w:rPr>
          <w:rFonts w:hint="eastAsia" w:ascii="宋体" w:hAnsi="宋体"/>
          <w:bCs/>
          <w:sz w:val="22"/>
        </w:rPr>
        <w:t>告警查询与统计分析</w:t>
      </w:r>
    </w:p>
    <w:p>
      <w:pPr>
        <w:spacing w:line="440" w:lineRule="exact"/>
        <w:ind w:left="441" w:leftChars="210" w:firstLine="420"/>
        <w:rPr>
          <w:rFonts w:ascii="宋体" w:hAnsi="宋体"/>
          <w:sz w:val="22"/>
        </w:rPr>
      </w:pPr>
      <w:r>
        <w:rPr>
          <w:rFonts w:hint="eastAsia" w:ascii="宋体" w:hAnsi="宋体"/>
          <w:sz w:val="22"/>
        </w:rPr>
        <w:t>系统支持灵活的告警统计分析、故障类别分析、服务指标分析和考核。</w:t>
      </w:r>
    </w:p>
    <w:p>
      <w:pPr>
        <w:spacing w:line="440" w:lineRule="exact"/>
        <w:ind w:left="856" w:leftChars="408"/>
        <w:rPr>
          <w:rFonts w:ascii="宋体" w:hAnsi="宋体"/>
          <w:sz w:val="22"/>
        </w:rPr>
      </w:pPr>
      <w:r>
        <w:rPr>
          <w:rFonts w:hint="eastAsia" w:ascii="宋体" w:hAnsi="宋体"/>
          <w:sz w:val="22"/>
        </w:rPr>
        <w:t>系统应支持对当前告警或者历史告警的查询和统计功能，设置报告内容及报告产生策略，启动相关服务。</w:t>
      </w:r>
    </w:p>
    <w:p>
      <w:pPr>
        <w:spacing w:line="440" w:lineRule="exact"/>
        <w:ind w:left="441" w:leftChars="210" w:firstLine="420"/>
        <w:rPr>
          <w:rFonts w:ascii="宋体" w:hAnsi="宋体"/>
          <w:sz w:val="22"/>
        </w:rPr>
      </w:pPr>
      <w:r>
        <w:rPr>
          <w:rFonts w:hint="eastAsia" w:ascii="宋体" w:hAnsi="宋体"/>
          <w:sz w:val="22"/>
        </w:rPr>
        <w:t>系统支持统计结果的保存、打印和导出。</w:t>
      </w:r>
    </w:p>
    <w:p>
      <w:pPr>
        <w:pStyle w:val="155"/>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性能与状态管理功能</w:t>
      </w:r>
    </w:p>
    <w:p>
      <w:pPr>
        <w:spacing w:line="440" w:lineRule="exact"/>
        <w:ind w:firstLine="103" w:firstLineChars="47"/>
        <w:rPr>
          <w:rFonts w:ascii="宋体" w:hAnsi="宋体"/>
          <w:sz w:val="22"/>
        </w:rPr>
      </w:pPr>
      <w:r>
        <w:rPr>
          <w:rFonts w:hint="eastAsia" w:ascii="宋体" w:hAnsi="宋体"/>
          <w:sz w:val="22"/>
        </w:rPr>
        <w:t>（1）性能与状态管理</w:t>
      </w:r>
    </w:p>
    <w:p>
      <w:pPr>
        <w:spacing w:line="440" w:lineRule="exact"/>
        <w:ind w:firstLine="660" w:firstLineChars="300"/>
        <w:rPr>
          <w:rFonts w:ascii="宋体" w:hAnsi="宋体"/>
          <w:sz w:val="22"/>
        </w:rPr>
      </w:pPr>
      <w:r>
        <w:rPr>
          <w:rFonts w:hint="eastAsia" w:ascii="宋体" w:hAnsi="宋体"/>
          <w:sz w:val="22"/>
        </w:rPr>
        <w:t>监控点视频连接数，统计平台实时连接上的前端设备监控点视频数。</w:t>
      </w:r>
    </w:p>
    <w:p>
      <w:pPr>
        <w:spacing w:line="440" w:lineRule="exact"/>
        <w:ind w:left="732" w:leftChars="303" w:hanging="96" w:hangingChars="44"/>
        <w:rPr>
          <w:rFonts w:ascii="宋体" w:hAnsi="宋体"/>
          <w:sz w:val="22"/>
        </w:rPr>
      </w:pPr>
      <w:r>
        <w:rPr>
          <w:rFonts w:hint="eastAsia" w:ascii="宋体" w:hAnsi="宋体"/>
          <w:sz w:val="22"/>
        </w:rPr>
        <w:t>客户端连接数，统计平台实时连接上的客户端帐号数。</w:t>
      </w:r>
    </w:p>
    <w:p>
      <w:pPr>
        <w:spacing w:line="440" w:lineRule="exact"/>
        <w:ind w:left="732" w:leftChars="303" w:hanging="96" w:hangingChars="44"/>
        <w:rPr>
          <w:rFonts w:ascii="宋体" w:hAnsi="宋体"/>
          <w:sz w:val="22"/>
        </w:rPr>
      </w:pPr>
      <w:r>
        <w:rPr>
          <w:rFonts w:hint="eastAsia" w:ascii="宋体" w:hAnsi="宋体"/>
          <w:sz w:val="22"/>
        </w:rPr>
        <w:t>视频信号质量，统计具体视频点实际视频质量，应支持统计以下指标：</w:t>
      </w:r>
    </w:p>
    <w:p>
      <w:pPr>
        <w:pStyle w:val="155"/>
        <w:numPr>
          <w:ilvl w:val="0"/>
          <w:numId w:val="13"/>
        </w:numPr>
        <w:autoSpaceDE w:val="0"/>
        <w:autoSpaceDN w:val="0"/>
        <w:adjustRightInd w:val="0"/>
        <w:spacing w:line="440" w:lineRule="exact"/>
        <w:ind w:firstLineChars="0"/>
        <w:jc w:val="left"/>
        <w:rPr>
          <w:rFonts w:ascii="宋体" w:hAnsi="宋体"/>
          <w:sz w:val="22"/>
        </w:rPr>
      </w:pPr>
      <w:r>
        <w:rPr>
          <w:rFonts w:hint="eastAsia" w:ascii="宋体" w:hAnsi="宋体"/>
          <w:bCs/>
          <w:sz w:val="22"/>
        </w:rPr>
        <w:t>支持视频信号丢包率的统计。</w:t>
      </w:r>
    </w:p>
    <w:p>
      <w:pPr>
        <w:pStyle w:val="155"/>
        <w:numPr>
          <w:ilvl w:val="0"/>
          <w:numId w:val="13"/>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支持视频信号传输网络延时的统计。</w:t>
      </w:r>
    </w:p>
    <w:p>
      <w:pPr>
        <w:pStyle w:val="155"/>
        <w:numPr>
          <w:ilvl w:val="0"/>
          <w:numId w:val="13"/>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服务器端视频录像、点播情况统计。</w:t>
      </w:r>
    </w:p>
    <w:p>
      <w:pPr>
        <w:pStyle w:val="155"/>
        <w:numPr>
          <w:ilvl w:val="0"/>
          <w:numId w:val="13"/>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分发服务器(VTDU)的当前连接数统计。</w:t>
      </w:r>
    </w:p>
    <w:p>
      <w:pPr>
        <w:pStyle w:val="155"/>
        <w:numPr>
          <w:ilvl w:val="0"/>
          <w:numId w:val="13"/>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客户端视频请求统计</w:t>
      </w:r>
    </w:p>
    <w:p>
      <w:pPr>
        <w:spacing w:line="440" w:lineRule="exact"/>
        <w:ind w:left="548" w:leftChars="261" w:firstLine="440" w:firstLineChars="200"/>
        <w:rPr>
          <w:rFonts w:ascii="宋体" w:hAnsi="宋体"/>
          <w:sz w:val="22"/>
        </w:rPr>
      </w:pPr>
      <w:r>
        <w:rPr>
          <w:rFonts w:hint="eastAsia" w:ascii="宋体" w:hAnsi="宋体"/>
          <w:sz w:val="22"/>
        </w:rPr>
        <w:t>系统应支持周期内的客户端视频请求情况统计，主要包括以下统计数据：建立连接请求、连接成功次数、连接失败次数、释放连接请求、释放成功次数、释放失败次数、连接异常终止次数。</w:t>
      </w:r>
    </w:p>
    <w:p>
      <w:pPr>
        <w:pStyle w:val="155"/>
        <w:numPr>
          <w:ilvl w:val="0"/>
          <w:numId w:val="13"/>
        </w:numPr>
        <w:autoSpaceDE w:val="0"/>
        <w:autoSpaceDN w:val="0"/>
        <w:adjustRightInd w:val="0"/>
        <w:spacing w:line="440" w:lineRule="exact"/>
        <w:ind w:firstLineChars="0"/>
        <w:jc w:val="left"/>
        <w:rPr>
          <w:rFonts w:ascii="宋体" w:hAnsi="宋体"/>
          <w:sz w:val="22"/>
        </w:rPr>
      </w:pPr>
      <w:r>
        <w:rPr>
          <w:rFonts w:hint="eastAsia" w:ascii="宋体" w:hAnsi="宋体"/>
          <w:bCs/>
          <w:sz w:val="22"/>
        </w:rPr>
        <w:t>平台服务器设备的性能指标</w:t>
      </w:r>
    </w:p>
    <w:p>
      <w:pPr>
        <w:numPr>
          <w:ilvl w:val="0"/>
          <w:numId w:val="13"/>
        </w:numPr>
        <w:spacing w:line="440" w:lineRule="exact"/>
        <w:ind w:left="840" w:hanging="315"/>
        <w:rPr>
          <w:rFonts w:ascii="宋体" w:hAnsi="宋体"/>
          <w:sz w:val="22"/>
        </w:rPr>
      </w:pPr>
      <w:r>
        <w:rPr>
          <w:rFonts w:hint="eastAsia" w:ascii="宋体" w:hAnsi="宋体"/>
          <w:sz w:val="22"/>
        </w:rPr>
        <w:t>系统应支持各类平台硬件资源的性能管理，包括管理服务器、存储设备、AAA服务器、数据库服务器、媒体服务器等。</w:t>
      </w:r>
    </w:p>
    <w:p>
      <w:pPr>
        <w:numPr>
          <w:ilvl w:val="0"/>
          <w:numId w:val="13"/>
        </w:numPr>
        <w:spacing w:line="440" w:lineRule="exact"/>
        <w:ind w:left="840" w:hanging="315"/>
        <w:rPr>
          <w:rFonts w:ascii="宋体" w:hAnsi="宋体"/>
          <w:sz w:val="22"/>
        </w:rPr>
      </w:pPr>
      <w:r>
        <w:rPr>
          <w:rFonts w:hint="eastAsia" w:ascii="宋体" w:hAnsi="宋体"/>
          <w:sz w:val="22"/>
        </w:rPr>
        <w:t>系统能够将设备运行转态、进程数及运行情况、CPU、内存、带宽等资源占用率等信息，动态显示在系统维护人员的监视终端上。</w:t>
      </w:r>
    </w:p>
    <w:p>
      <w:pPr>
        <w:pStyle w:val="155"/>
        <w:autoSpaceDE w:val="0"/>
        <w:autoSpaceDN w:val="0"/>
        <w:adjustRightInd w:val="0"/>
        <w:spacing w:line="440" w:lineRule="exact"/>
        <w:ind w:firstLine="330" w:firstLineChars="150"/>
        <w:jc w:val="left"/>
        <w:rPr>
          <w:rFonts w:ascii="宋体" w:hAnsi="宋体"/>
          <w:sz w:val="22"/>
        </w:rPr>
      </w:pPr>
      <w:r>
        <w:rPr>
          <w:rFonts w:hint="eastAsia" w:ascii="宋体" w:hAnsi="宋体"/>
          <w:bCs/>
          <w:sz w:val="22"/>
        </w:rPr>
        <w:t>2）网络接口性能指标</w:t>
      </w:r>
    </w:p>
    <w:p>
      <w:pPr>
        <w:spacing w:line="440" w:lineRule="exact"/>
        <w:ind w:left="657" w:leftChars="313"/>
        <w:rPr>
          <w:rFonts w:ascii="宋体" w:hAnsi="宋体"/>
          <w:sz w:val="22"/>
        </w:rPr>
      </w:pPr>
      <w:r>
        <w:rPr>
          <w:rFonts w:hint="eastAsia" w:ascii="宋体" w:hAnsi="宋体"/>
          <w:sz w:val="22"/>
        </w:rPr>
        <w:t>网络接口性能指标提供网络层和应用层两类统计，系统应支持以接口为单位的以下指标统计：</w:t>
      </w:r>
    </w:p>
    <w:p>
      <w:pPr>
        <w:numPr>
          <w:ilvl w:val="0"/>
          <w:numId w:val="13"/>
        </w:numPr>
        <w:spacing w:line="440" w:lineRule="exact"/>
        <w:ind w:left="840" w:hanging="315"/>
        <w:rPr>
          <w:rFonts w:ascii="宋体" w:hAnsi="宋体"/>
          <w:sz w:val="22"/>
        </w:rPr>
      </w:pPr>
      <w:r>
        <w:rPr>
          <w:rFonts w:hint="eastAsia" w:ascii="宋体" w:hAnsi="宋体"/>
          <w:sz w:val="22"/>
        </w:rPr>
        <w:t>网络层：带宽占用率、丢包率、时延</w:t>
      </w:r>
    </w:p>
    <w:p>
      <w:pPr>
        <w:numPr>
          <w:ilvl w:val="0"/>
          <w:numId w:val="13"/>
        </w:numPr>
        <w:spacing w:line="440" w:lineRule="exact"/>
        <w:ind w:left="840" w:hanging="315"/>
        <w:rPr>
          <w:rFonts w:ascii="宋体" w:hAnsi="宋体"/>
          <w:sz w:val="22"/>
        </w:rPr>
      </w:pPr>
      <w:r>
        <w:rPr>
          <w:rFonts w:hint="eastAsia" w:ascii="宋体" w:hAnsi="宋体"/>
          <w:sz w:val="22"/>
        </w:rPr>
        <w:t>应用层：连接数、请求数等。</w:t>
      </w:r>
    </w:p>
    <w:p>
      <w:pPr>
        <w:spacing w:line="440" w:lineRule="exact"/>
        <w:rPr>
          <w:rFonts w:ascii="宋体" w:hAnsi="宋体"/>
          <w:sz w:val="22"/>
        </w:rPr>
      </w:pPr>
      <w:r>
        <w:rPr>
          <w:rFonts w:hint="eastAsia" w:ascii="宋体" w:hAnsi="宋体"/>
          <w:sz w:val="22"/>
        </w:rPr>
        <w:t>（2）统计报表要求</w:t>
      </w:r>
    </w:p>
    <w:p>
      <w:pPr>
        <w:numPr>
          <w:ilvl w:val="0"/>
          <w:numId w:val="13"/>
        </w:numPr>
        <w:spacing w:line="440" w:lineRule="exact"/>
        <w:ind w:left="840" w:hanging="315"/>
        <w:rPr>
          <w:rFonts w:ascii="宋体" w:hAnsi="宋体"/>
          <w:sz w:val="22"/>
        </w:rPr>
      </w:pPr>
      <w:r>
        <w:rPr>
          <w:rFonts w:hint="eastAsia" w:ascii="宋体" w:hAnsi="宋体"/>
          <w:sz w:val="22"/>
        </w:rPr>
        <w:t>系统应支持按周期对性能数据进行统计，周期性的统计数据应能以折线图形式呈现。</w:t>
      </w:r>
    </w:p>
    <w:p>
      <w:pPr>
        <w:numPr>
          <w:ilvl w:val="0"/>
          <w:numId w:val="13"/>
        </w:numPr>
        <w:spacing w:line="440" w:lineRule="exact"/>
        <w:ind w:left="840" w:hanging="315"/>
        <w:rPr>
          <w:rFonts w:ascii="宋体" w:hAnsi="宋体"/>
          <w:sz w:val="22"/>
        </w:rPr>
      </w:pPr>
      <w:r>
        <w:rPr>
          <w:rFonts w:hint="eastAsia" w:ascii="宋体" w:hAnsi="宋体"/>
          <w:sz w:val="22"/>
        </w:rPr>
        <w:t>系统应提供指定前端单元范围、时间范围的相关数据统计。</w:t>
      </w:r>
    </w:p>
    <w:p>
      <w:pPr>
        <w:numPr>
          <w:ilvl w:val="0"/>
          <w:numId w:val="13"/>
        </w:numPr>
        <w:spacing w:line="440" w:lineRule="exact"/>
        <w:ind w:left="840" w:hanging="315"/>
        <w:rPr>
          <w:rFonts w:ascii="宋体" w:hAnsi="宋体"/>
          <w:sz w:val="22"/>
        </w:rPr>
      </w:pPr>
      <w:r>
        <w:rPr>
          <w:rFonts w:hint="eastAsia" w:ascii="宋体" w:hAnsi="宋体"/>
          <w:sz w:val="22"/>
        </w:rPr>
        <w:t>系统应提供各种性能数据显示形式，如表格、直方图等并提供保存和打印功能，可以定期或按要求保存历史性能数据。</w:t>
      </w:r>
    </w:p>
    <w:p>
      <w:pPr>
        <w:numPr>
          <w:ilvl w:val="0"/>
          <w:numId w:val="13"/>
        </w:numPr>
        <w:spacing w:line="440" w:lineRule="exact"/>
        <w:ind w:left="840" w:hanging="315"/>
        <w:rPr>
          <w:rFonts w:ascii="宋体" w:hAnsi="宋体"/>
          <w:sz w:val="22"/>
        </w:rPr>
      </w:pPr>
      <w:r>
        <w:rPr>
          <w:rFonts w:hint="eastAsia" w:ascii="宋体" w:hAnsi="宋体"/>
          <w:sz w:val="22"/>
        </w:rPr>
        <w:t>系统应能对性能数据进行统计、分析和处理，对于有容量、能力限制的功能模块要有统计数据分析，根据变化趋势，提出扩容建议。此类网元包括：媒体分发服务器、前端接入服务器、客户端接入服务器、中心管理服务器、数据库服务器、AAA服务器等。在考虑这些因素以后，计算出系统的可用率、质量等，并显示结果可以保存和打印。</w:t>
      </w:r>
    </w:p>
    <w:p>
      <w:pPr>
        <w:numPr>
          <w:ilvl w:val="0"/>
          <w:numId w:val="13"/>
        </w:numPr>
        <w:spacing w:line="440" w:lineRule="exact"/>
        <w:ind w:left="840" w:hanging="315"/>
        <w:rPr>
          <w:rFonts w:ascii="宋体" w:hAnsi="宋体"/>
          <w:sz w:val="22"/>
        </w:rPr>
      </w:pPr>
      <w:r>
        <w:rPr>
          <w:rFonts w:hint="eastAsia" w:ascii="宋体" w:hAnsi="宋体"/>
          <w:sz w:val="22"/>
        </w:rPr>
        <w:t>平台选用：符合DB33/629-2011</w:t>
      </w:r>
    </w:p>
    <w:p>
      <w:pPr>
        <w:widowControl/>
        <w:spacing w:line="440" w:lineRule="exact"/>
        <w:ind w:firstLine="440" w:firstLineChars="200"/>
        <w:rPr>
          <w:rFonts w:ascii="宋体" w:hAnsi="宋体"/>
          <w:sz w:val="22"/>
        </w:rPr>
      </w:pPr>
      <w:r>
        <w:rPr>
          <w:rFonts w:hint="eastAsia" w:ascii="宋体" w:hAnsi="宋体"/>
          <w:sz w:val="22"/>
        </w:rPr>
        <w:t>4.3、视频传输网络技术要求</w:t>
      </w:r>
    </w:p>
    <w:p>
      <w:pPr>
        <w:spacing w:line="440" w:lineRule="exact"/>
        <w:ind w:left="415" w:leftChars="198"/>
        <w:rPr>
          <w:rFonts w:ascii="宋体" w:hAnsi="宋体"/>
          <w:sz w:val="22"/>
        </w:rPr>
      </w:pPr>
      <w:r>
        <w:rPr>
          <w:rFonts w:hint="eastAsia" w:ascii="宋体" w:hAnsi="宋体"/>
          <w:sz w:val="22"/>
        </w:rPr>
        <w:t xml:space="preserve">4.3.1本次龙湾区治安动态网络视频监控系统，系统复杂，覆盖范围广，前端设备分散，整个系统的传输问题是一个非常关键和重要的。整个系统的功能实现也完全取决于系统的传输技术。    </w:t>
      </w:r>
    </w:p>
    <w:p>
      <w:pPr>
        <w:spacing w:line="440" w:lineRule="exact"/>
        <w:ind w:left="415" w:leftChars="198"/>
        <w:rPr>
          <w:rFonts w:ascii="宋体" w:hAnsi="宋体"/>
          <w:sz w:val="22"/>
        </w:rPr>
      </w:pPr>
      <w:r>
        <w:rPr>
          <w:rFonts w:hint="eastAsia" w:ascii="宋体" w:hAnsi="宋体"/>
          <w:sz w:val="22"/>
        </w:rPr>
        <w:t>4.3.2 要求网络运营商必须采用光缆接入方式，要求高清IP摄像机直接通过光纤接入相应的平台和存储。根据浙江省公安厅相关规定为了保证网络的安全性，必须提供物理隔离的专网方案，所有的前端设备、存储、服务器等必须通过专网连接。</w:t>
      </w:r>
    </w:p>
    <w:p>
      <w:pPr>
        <w:widowControl/>
        <w:spacing w:line="440" w:lineRule="exact"/>
        <w:ind w:firstLine="440" w:firstLineChars="200"/>
        <w:rPr>
          <w:rFonts w:ascii="宋体" w:hAnsi="宋体"/>
          <w:sz w:val="22"/>
        </w:rPr>
      </w:pPr>
      <w:r>
        <w:rPr>
          <w:rFonts w:hint="eastAsia" w:ascii="宋体" w:hAnsi="宋体"/>
          <w:sz w:val="22"/>
        </w:rPr>
        <w:t>4.4、高清网络摄像机技术要求</w:t>
      </w:r>
    </w:p>
    <w:p>
      <w:pPr>
        <w:autoSpaceDE w:val="0"/>
        <w:autoSpaceDN w:val="0"/>
        <w:adjustRightInd w:val="0"/>
        <w:snapToGrid w:val="0"/>
        <w:spacing w:line="460" w:lineRule="atLeast"/>
        <w:ind w:firstLine="431" w:firstLineChars="196"/>
        <w:textAlignment w:val="bottom"/>
        <w:rPr>
          <w:rFonts w:ascii="宋体" w:hAnsi="宋体"/>
          <w:sz w:val="22"/>
        </w:rPr>
      </w:pPr>
      <w:r>
        <w:rPr>
          <w:rFonts w:hint="eastAsia" w:ascii="宋体" w:hAnsi="宋体"/>
          <w:sz w:val="22"/>
        </w:rPr>
        <w:t>4.4.1 H.264、H.265/25fps/码流1.5-4M可调。</w:t>
      </w:r>
    </w:p>
    <w:p>
      <w:pPr>
        <w:spacing w:line="440" w:lineRule="exact"/>
        <w:ind w:firstLine="431" w:firstLineChars="196"/>
        <w:rPr>
          <w:rFonts w:ascii="宋体" w:hAnsi="宋体"/>
          <w:sz w:val="22"/>
        </w:rPr>
      </w:pPr>
      <w:r>
        <w:rPr>
          <w:rFonts w:hint="eastAsia" w:ascii="宋体" w:hAnsi="宋体"/>
          <w:sz w:val="22"/>
        </w:rPr>
        <w:t>4.4.2 应支持前端视频直接写入存储阵列的功能，并且存储功能和视频监控系统无关。</w:t>
      </w:r>
    </w:p>
    <w:p>
      <w:pPr>
        <w:autoSpaceDE w:val="0"/>
        <w:autoSpaceDN w:val="0"/>
        <w:adjustRightInd w:val="0"/>
        <w:snapToGrid w:val="0"/>
        <w:spacing w:line="460" w:lineRule="atLeast"/>
        <w:ind w:left="438" w:leftChars="209"/>
        <w:textAlignment w:val="bottom"/>
        <w:rPr>
          <w:rFonts w:ascii="宋体" w:hAnsi="宋体"/>
          <w:sz w:val="22"/>
        </w:rPr>
      </w:pPr>
      <w:r>
        <w:rPr>
          <w:rFonts w:hint="eastAsia" w:ascii="宋体" w:hAnsi="宋体"/>
          <w:sz w:val="22"/>
        </w:rPr>
        <w:t>4.4.3高清网络视频监控的数据通过光纤传输到中心机房网存储系统进行集中存储， 25fps/4Mbps码流/30天*24小时，支持断网续传功能。不同监控点可选择不同时间长度、不同录像方式进行录像，且可动态更改。</w:t>
      </w:r>
    </w:p>
    <w:p>
      <w:pPr>
        <w:widowControl/>
        <w:spacing w:line="440" w:lineRule="exact"/>
        <w:ind w:firstLine="440" w:firstLineChars="200"/>
        <w:rPr>
          <w:rFonts w:ascii="宋体" w:hAnsi="宋体"/>
          <w:sz w:val="22"/>
        </w:rPr>
      </w:pPr>
      <w:r>
        <w:rPr>
          <w:rFonts w:hint="eastAsia" w:ascii="宋体" w:hAnsi="宋体"/>
          <w:sz w:val="22"/>
        </w:rPr>
        <w:t>4.5、IP存储技术要求</w:t>
      </w:r>
    </w:p>
    <w:p>
      <w:pPr>
        <w:pStyle w:val="155"/>
        <w:autoSpaceDE w:val="0"/>
        <w:autoSpaceDN w:val="0"/>
        <w:adjustRightInd w:val="0"/>
        <w:spacing w:line="440" w:lineRule="exact"/>
        <w:ind w:left="438" w:leftChars="209" w:firstLine="0" w:firstLineChars="0"/>
        <w:jc w:val="left"/>
        <w:rPr>
          <w:rFonts w:ascii="宋体" w:hAnsi="宋体"/>
          <w:sz w:val="22"/>
        </w:rPr>
      </w:pPr>
      <w:r>
        <w:rPr>
          <w:rFonts w:hint="eastAsia" w:ascii="宋体" w:hAnsi="宋体"/>
          <w:bCs/>
          <w:sz w:val="22"/>
        </w:rPr>
        <w:t>4.5.1 性能参数：高速缓存2GB可扩充，机架式，可支持热插拔SATA盘，Raid5，传输率500MB/S;IO访问率60，000IO/s，2个RJ45 1000M自适应以太网口，硬盘性能参数：1TB以上硬盘，企业级存储专用硬盘：</w:t>
      </w:r>
    </w:p>
    <w:p>
      <w:pPr>
        <w:pStyle w:val="155"/>
        <w:autoSpaceDE w:val="0"/>
        <w:autoSpaceDN w:val="0"/>
        <w:adjustRightInd w:val="0"/>
        <w:spacing w:line="440" w:lineRule="exact"/>
        <w:ind w:left="415" w:leftChars="198" w:firstLine="0" w:firstLineChars="0"/>
        <w:jc w:val="left"/>
        <w:rPr>
          <w:rFonts w:ascii="宋体" w:hAnsi="宋体"/>
          <w:bCs/>
          <w:sz w:val="22"/>
        </w:rPr>
      </w:pPr>
      <w:r>
        <w:rPr>
          <w:rFonts w:hint="eastAsia" w:ascii="宋体" w:hAnsi="宋体"/>
          <w:bCs/>
          <w:sz w:val="22"/>
        </w:rPr>
        <w:t>4.5.2 IPSAN或NAS存储  支持标准的NFS协议。 根据预先定制的存储计划，系统自动将视频流封装在IP报文中，直接写入</w:t>
      </w:r>
      <w:r>
        <w:rPr>
          <w:rFonts w:hint="eastAsia" w:ascii="宋体" w:hAnsi="宋体"/>
          <w:bCs/>
          <w:sz w:val="22"/>
          <w:u w:val="single"/>
        </w:rPr>
        <w:t>IP SAN或NAS</w:t>
      </w:r>
      <w:r>
        <w:rPr>
          <w:rFonts w:hint="eastAsia" w:ascii="宋体" w:hAnsi="宋体"/>
          <w:bCs/>
          <w:sz w:val="22"/>
        </w:rPr>
        <w:t>存储系统，简化系统框架，节省用户投资。支持RAID5配置模式，支持hotspare盘配置</w:t>
      </w:r>
    </w:p>
    <w:p>
      <w:pPr>
        <w:pStyle w:val="155"/>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4.5.3 存储产品的RAID技术要求能够提供极高的可靠性，支持同一RAID组内任意一块磁盘发生故障时数据不丢失，冗余比例不少于1/8；</w:t>
      </w:r>
    </w:p>
    <w:p>
      <w:pPr>
        <w:pStyle w:val="155"/>
        <w:autoSpaceDE w:val="0"/>
        <w:autoSpaceDN w:val="0"/>
        <w:adjustRightInd w:val="0"/>
        <w:spacing w:line="440" w:lineRule="exact"/>
        <w:ind w:firstLine="440"/>
        <w:jc w:val="left"/>
        <w:rPr>
          <w:rFonts w:ascii="宋体" w:hAnsi="宋体"/>
          <w:bCs/>
          <w:sz w:val="22"/>
        </w:rPr>
      </w:pPr>
      <w:r>
        <w:rPr>
          <w:rFonts w:hint="eastAsia" w:ascii="宋体" w:hAnsi="宋体"/>
          <w:bCs/>
          <w:sz w:val="22"/>
        </w:rPr>
        <w:t>4.5.4 硬盘支持热插拔模式；</w:t>
      </w:r>
    </w:p>
    <w:p>
      <w:pPr>
        <w:pStyle w:val="155"/>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4.5.5 存储产品应支持全局热备盘，在磁盘发生故障时，能够自动进行数据重构；存储产品内的易损耗的部件要求冗余配置以防范硬件故障，比如：多电源冗余、多控制器冗余等；</w:t>
      </w:r>
    </w:p>
    <w:p>
      <w:pPr>
        <w:pStyle w:val="155"/>
        <w:autoSpaceDE w:val="0"/>
        <w:autoSpaceDN w:val="0"/>
        <w:adjustRightInd w:val="0"/>
        <w:spacing w:line="440" w:lineRule="exact"/>
        <w:ind w:firstLine="440"/>
        <w:jc w:val="left"/>
        <w:rPr>
          <w:rFonts w:ascii="宋体" w:hAnsi="宋体"/>
          <w:bCs/>
          <w:sz w:val="22"/>
        </w:rPr>
      </w:pPr>
      <w:r>
        <w:rPr>
          <w:rFonts w:hint="eastAsia" w:ascii="宋体" w:hAnsi="宋体"/>
          <w:bCs/>
          <w:sz w:val="22"/>
        </w:rPr>
        <w:t>4.5.6 支持告警和告警管理；</w:t>
      </w:r>
    </w:p>
    <w:p>
      <w:pPr>
        <w:pStyle w:val="155"/>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4.5.7 要求存储产品支持逻辑上、物理上的按需扩容，既能够以单盘为单位进行扩容，也能在逻辑卷的层面上进行卷空间的扩张和收缩，以增加应用的灵活性；</w:t>
      </w:r>
    </w:p>
    <w:p>
      <w:pPr>
        <w:pStyle w:val="155"/>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4.5.8 要求存储产品应提供存储负载的优先级控制，当在存储系统上运行多个应用负荷时，确保关键业务应用程序能够获得较高的存储资源优先级；</w:t>
      </w:r>
    </w:p>
    <w:p>
      <w:pPr>
        <w:pStyle w:val="155"/>
        <w:autoSpaceDE w:val="0"/>
        <w:autoSpaceDN w:val="0"/>
        <w:adjustRightInd w:val="0"/>
        <w:spacing w:line="440" w:lineRule="exact"/>
        <w:ind w:firstLine="440"/>
        <w:jc w:val="left"/>
        <w:rPr>
          <w:rFonts w:ascii="宋体" w:hAnsi="宋体"/>
          <w:bCs/>
          <w:sz w:val="22"/>
        </w:rPr>
      </w:pPr>
      <w:r>
        <w:rPr>
          <w:rFonts w:hint="eastAsia" w:ascii="宋体" w:hAnsi="宋体"/>
          <w:bCs/>
          <w:sz w:val="22"/>
        </w:rPr>
        <w:t>4.5.9 用电源冗余模式，能够支持-48V或220V电源供电。</w:t>
      </w:r>
    </w:p>
    <w:p>
      <w:pPr>
        <w:pStyle w:val="155"/>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4.5.10虑到系统存储的兼容性，存储选用的产品应在民安工程温州市市本级视频监控项目已建存储范围内选择。</w:t>
      </w:r>
    </w:p>
    <w:p>
      <w:pPr>
        <w:spacing w:line="440" w:lineRule="exact"/>
        <w:ind w:firstLine="440" w:firstLineChars="200"/>
        <w:rPr>
          <w:rFonts w:ascii="宋体" w:hAnsi="宋体"/>
          <w:sz w:val="22"/>
        </w:rPr>
      </w:pPr>
      <w:r>
        <w:rPr>
          <w:rFonts w:hint="eastAsia" w:ascii="宋体" w:hAnsi="宋体"/>
          <w:sz w:val="22"/>
        </w:rPr>
        <w:t>5、其他要求</w:t>
      </w:r>
    </w:p>
    <w:p>
      <w:pPr>
        <w:spacing w:line="440" w:lineRule="exact"/>
        <w:ind w:firstLine="440" w:firstLineChars="200"/>
        <w:rPr>
          <w:rFonts w:ascii="宋体" w:hAnsi="宋体"/>
          <w:sz w:val="22"/>
          <w:u w:val="single"/>
        </w:rPr>
      </w:pPr>
      <w:r>
        <w:rPr>
          <w:rFonts w:hint="eastAsia" w:ascii="宋体" w:hAnsi="宋体"/>
          <w:sz w:val="22"/>
        </w:rPr>
        <w:t>5.1</w:t>
      </w:r>
      <w:r>
        <w:rPr>
          <w:rFonts w:hint="eastAsia" w:ascii="宋体" w:hAnsi="宋体"/>
          <w:sz w:val="22"/>
          <w:u w:val="single"/>
        </w:rPr>
        <w:t>在本项目五年运行维护期内，设备的使用权归采购方所有，中标方若因各方面原因中途无法继续提供服务的，或五年运行维护期结束后中标方无法继续提供服务的（包括中标方和采购方无法就续费协议达成一致意见），本项目范围内包含的视频监控系统一切硬件设备使用权（专享）移交采购方。</w:t>
      </w:r>
    </w:p>
    <w:p>
      <w:pPr>
        <w:spacing w:line="440" w:lineRule="exact"/>
        <w:ind w:left="-2" w:leftChars="-1" w:firstLine="440" w:firstLineChars="200"/>
        <w:rPr>
          <w:rFonts w:ascii="宋体" w:hAnsi="宋体"/>
          <w:sz w:val="22"/>
        </w:rPr>
      </w:pPr>
      <w:r>
        <w:rPr>
          <w:rFonts w:hint="eastAsia" w:ascii="宋体" w:hAnsi="宋体"/>
          <w:sz w:val="22"/>
        </w:rPr>
        <w:t>6、货物交货时间地点</w:t>
      </w:r>
    </w:p>
    <w:p>
      <w:pPr>
        <w:pStyle w:val="10"/>
        <w:spacing w:after="0" w:line="440" w:lineRule="exact"/>
        <w:ind w:firstLine="431" w:firstLineChars="196"/>
        <w:rPr>
          <w:rFonts w:ascii="宋体" w:hAnsi="宋体"/>
          <w:sz w:val="22"/>
        </w:rPr>
      </w:pPr>
      <w:r>
        <w:rPr>
          <w:rFonts w:hint="eastAsia" w:ascii="宋体" w:hAnsi="宋体"/>
          <w:sz w:val="22"/>
        </w:rPr>
        <w:t>6.1货物交货及安装地点：</w:t>
      </w:r>
      <w:r>
        <w:rPr>
          <w:rFonts w:hint="eastAsia" w:ascii="宋体" w:hAnsi="宋体"/>
          <w:sz w:val="22"/>
          <w:u w:val="single"/>
        </w:rPr>
        <w:t>用户指定安装地点。</w:t>
      </w:r>
    </w:p>
    <w:p>
      <w:pPr>
        <w:pStyle w:val="10"/>
        <w:spacing w:after="0" w:line="440" w:lineRule="exact"/>
        <w:ind w:firstLine="431" w:firstLineChars="196"/>
        <w:rPr>
          <w:rFonts w:ascii="宋体" w:hAnsi="宋体"/>
          <w:b/>
          <w:bCs/>
          <w:sz w:val="22"/>
        </w:rPr>
      </w:pPr>
      <w:r>
        <w:rPr>
          <w:rFonts w:hint="eastAsia" w:ascii="宋体" w:hAnsi="宋体"/>
          <w:b/>
          <w:bCs/>
          <w:sz w:val="22"/>
        </w:rPr>
        <w:t>6.2货物交货时间：</w:t>
      </w:r>
      <w:r>
        <w:rPr>
          <w:rFonts w:hint="eastAsia" w:ascii="宋体" w:hAnsi="宋体"/>
          <w:b/>
          <w:bCs/>
          <w:sz w:val="22"/>
          <w:u w:val="single"/>
        </w:rPr>
        <w:t>合同签订后2020年11月30日前完成设备安装和系统调试并完成项目验收。</w:t>
      </w:r>
    </w:p>
    <w:p>
      <w:pPr>
        <w:spacing w:line="440" w:lineRule="exact"/>
        <w:ind w:firstLine="440" w:firstLineChars="200"/>
        <w:rPr>
          <w:rFonts w:ascii="宋体" w:hAnsi="宋体"/>
          <w:spacing w:val="20"/>
          <w:sz w:val="22"/>
        </w:rPr>
      </w:pPr>
      <w:r>
        <w:rPr>
          <w:rFonts w:hint="eastAsia" w:ascii="宋体" w:hAnsi="宋体"/>
          <w:sz w:val="22"/>
        </w:rPr>
        <w:t>6.3 到货</w:t>
      </w:r>
      <w:r>
        <w:rPr>
          <w:rFonts w:hint="eastAsia" w:ascii="宋体" w:hAnsi="宋体"/>
          <w:spacing w:val="20"/>
          <w:sz w:val="22"/>
        </w:rPr>
        <w:t xml:space="preserve"> </w:t>
      </w:r>
    </w:p>
    <w:p>
      <w:pPr>
        <w:spacing w:line="440" w:lineRule="exact"/>
        <w:ind w:firstLine="431" w:firstLineChars="196"/>
        <w:rPr>
          <w:rFonts w:ascii="宋体" w:hAnsi="宋体"/>
          <w:sz w:val="22"/>
        </w:rPr>
      </w:pPr>
      <w:r>
        <w:rPr>
          <w:rFonts w:hint="eastAsia" w:ascii="宋体" w:hAnsi="宋体"/>
          <w:sz w:val="22"/>
        </w:rPr>
        <w:t>中标方必须在合同规定的时间内完成设备的供货。设备到达现场后，中标方必须派员到现场与采购方一起开箱并按供货清单验收,若有缺少或损坏，中标方应立即补足或更换全新同规格产品，直至使采购方满意为止。</w:t>
      </w:r>
    </w:p>
    <w:p>
      <w:pPr>
        <w:spacing w:line="440" w:lineRule="exact"/>
        <w:ind w:firstLine="440" w:firstLineChars="200"/>
        <w:rPr>
          <w:rFonts w:ascii="宋体" w:hAnsi="宋体"/>
          <w:sz w:val="22"/>
        </w:rPr>
      </w:pPr>
      <w:r>
        <w:rPr>
          <w:rFonts w:hint="eastAsia" w:ascii="宋体" w:hAnsi="宋体"/>
          <w:sz w:val="22"/>
        </w:rPr>
        <w:t>6.4点位确认  中标方在确认安装点位时应以照片或图像等形式固定点位，同时按照《跨区域视频监控联网共享技术规范》（DB33/T629—2007）要求完成点位的编码工作，按照温州市警用地理信息系统数据库视频监控图层数据的要求提供点位精确的经、纬度、通道编号等数据。</w:t>
      </w:r>
    </w:p>
    <w:p>
      <w:pPr>
        <w:spacing w:line="440" w:lineRule="exact"/>
        <w:ind w:left="317" w:leftChars="151" w:firstLine="110" w:firstLineChars="50"/>
        <w:rPr>
          <w:rFonts w:ascii="宋体" w:hAnsi="宋体"/>
          <w:sz w:val="22"/>
        </w:rPr>
      </w:pPr>
      <w:r>
        <w:rPr>
          <w:rFonts w:hint="eastAsia" w:ascii="宋体" w:hAnsi="宋体"/>
          <w:sz w:val="22"/>
        </w:rPr>
        <w:t>6.5安装、调试</w:t>
      </w:r>
    </w:p>
    <w:p>
      <w:pPr>
        <w:spacing w:line="440" w:lineRule="exact"/>
        <w:ind w:firstLine="431" w:firstLineChars="196"/>
        <w:rPr>
          <w:rFonts w:ascii="宋体" w:hAnsi="宋体"/>
          <w:sz w:val="22"/>
        </w:rPr>
      </w:pPr>
      <w:r>
        <w:rPr>
          <w:rFonts w:hint="eastAsia" w:ascii="宋体" w:hAnsi="宋体"/>
          <w:sz w:val="22"/>
          <w:u w:val="single"/>
        </w:rPr>
        <w:t>开挖审批、接电等由中标方负责，采购方协助，费用计入建设成本。</w:t>
      </w:r>
      <w:r>
        <w:rPr>
          <w:rFonts w:hint="eastAsia" w:ascii="宋体" w:hAnsi="宋体"/>
          <w:sz w:val="22"/>
        </w:rPr>
        <w:t>设备的安装必须符合有关标准和规范，中标方必需选择具备安防资信等级的企业并有以往类似施工经验的施工队伍负责项目施工。设备安装就位、校准后，承建方应按提交初验报告给采购单位，开始至少连续半个月以上的系统试运行，并做好试运行记录。</w:t>
      </w:r>
    </w:p>
    <w:p>
      <w:pPr>
        <w:spacing w:line="440" w:lineRule="exact"/>
        <w:ind w:left="438" w:leftChars="209"/>
        <w:rPr>
          <w:rFonts w:ascii="宋体" w:hAnsi="宋体"/>
          <w:sz w:val="22"/>
        </w:rPr>
      </w:pPr>
      <w:r>
        <w:rPr>
          <w:rFonts w:hint="eastAsia" w:ascii="宋体" w:hAnsi="宋体"/>
          <w:sz w:val="22"/>
        </w:rPr>
        <w:t>6.6检测</w:t>
      </w:r>
    </w:p>
    <w:p>
      <w:pPr>
        <w:spacing w:line="440" w:lineRule="exact"/>
        <w:ind w:firstLine="431" w:firstLineChars="196"/>
        <w:rPr>
          <w:rFonts w:ascii="宋体" w:hAnsi="宋体"/>
          <w:sz w:val="22"/>
        </w:rPr>
      </w:pPr>
      <w:r>
        <w:rPr>
          <w:rFonts w:hint="eastAsia" w:ascii="宋体" w:hAnsi="宋体"/>
          <w:sz w:val="22"/>
        </w:rPr>
        <w:t>系统在正式验收前，必须由国家认证合格的检测部门对系统进行10%检测，并出具检测报告。对于检测不合格的地方应及时进行整改和调整，直至检测合格。</w:t>
      </w:r>
      <w:r>
        <w:rPr>
          <w:rFonts w:hint="eastAsia" w:ascii="宋体" w:hAnsi="宋体"/>
          <w:sz w:val="22"/>
          <w:u w:val="single"/>
        </w:rPr>
        <w:t>中标方负责测试所需的一切费用。</w:t>
      </w:r>
      <w:r>
        <w:rPr>
          <w:rFonts w:hint="eastAsia" w:ascii="宋体" w:hAnsi="宋体"/>
          <w:sz w:val="22"/>
        </w:rPr>
        <w:t>系统检测应执行相关安防行业法规、政策、行业标准及本项目合同的要求。</w:t>
      </w:r>
    </w:p>
    <w:p>
      <w:pPr>
        <w:spacing w:line="440" w:lineRule="exact"/>
        <w:ind w:firstLine="431" w:firstLineChars="196"/>
        <w:rPr>
          <w:rFonts w:ascii="宋体" w:hAnsi="宋体"/>
          <w:sz w:val="22"/>
        </w:rPr>
      </w:pPr>
      <w:r>
        <w:rPr>
          <w:rFonts w:hint="eastAsia" w:ascii="宋体" w:hAnsi="宋体"/>
          <w:sz w:val="22"/>
        </w:rPr>
        <w:t>6.7验收</w:t>
      </w:r>
    </w:p>
    <w:p>
      <w:pPr>
        <w:spacing w:line="440" w:lineRule="exact"/>
        <w:ind w:firstLine="431" w:firstLineChars="196"/>
        <w:rPr>
          <w:rFonts w:ascii="宋体" w:hAnsi="宋体"/>
          <w:sz w:val="22"/>
        </w:rPr>
      </w:pPr>
      <w:r>
        <w:rPr>
          <w:rFonts w:hint="eastAsia" w:ascii="宋体" w:hAnsi="宋体"/>
          <w:sz w:val="22"/>
        </w:rPr>
        <w:t>6.7.1系统调试开通后至少连续试运行15至30天无故障（或存在的故障和隐患均已全部排除），并经第三方检测合格，所有的技术资料和图纸已向采购方提交并被接受后，采购方应及时组织验收，验收合格后，出具验收合格证明（双方组织验收工作时，占合同中摄像头总数10%的故障点位不影响验收工作，但应按照合同要求及时修复）。验收由技术验收、施工验收和资料审查三部分内容组成。未经审核验收通过的监控系统不得投入使用，验收合格方可移交运行。系统验收应执行相关安防行业法规、政策、行业标准及本项目合同的要求。</w:t>
      </w:r>
    </w:p>
    <w:p>
      <w:pPr>
        <w:spacing w:line="440" w:lineRule="exact"/>
        <w:ind w:firstLine="431" w:firstLineChars="196"/>
        <w:rPr>
          <w:rFonts w:ascii="宋体" w:hAnsi="宋体"/>
          <w:sz w:val="22"/>
        </w:rPr>
      </w:pPr>
      <w:r>
        <w:rPr>
          <w:rFonts w:hint="eastAsia" w:ascii="宋体" w:hAnsi="宋体"/>
          <w:sz w:val="22"/>
        </w:rPr>
        <w:t>6.7.2  如采购方接收所有技术资料和图纸后没有提出异议，但超过30天不组织验收的，视为验收合格。若因中标方产品质量或安装技术问题导致验收不合格，中标方应及时予以处理，直至验收合格，期间发生的一切相关费用由中标方承担，采购方保留向中标方索赔的权利。</w:t>
      </w:r>
    </w:p>
    <w:p>
      <w:pPr>
        <w:spacing w:line="440" w:lineRule="exact"/>
        <w:ind w:left="438" w:leftChars="209"/>
        <w:rPr>
          <w:rFonts w:ascii="宋体" w:hAnsi="宋体"/>
          <w:sz w:val="22"/>
        </w:rPr>
      </w:pPr>
      <w:r>
        <w:rPr>
          <w:rFonts w:hint="eastAsia" w:ascii="宋体" w:hAnsi="宋体"/>
          <w:sz w:val="22"/>
        </w:rPr>
        <w:t xml:space="preserve">6.8协调管理  </w:t>
      </w:r>
    </w:p>
    <w:p>
      <w:pPr>
        <w:spacing w:line="440" w:lineRule="exact"/>
        <w:ind w:firstLine="431" w:firstLineChars="196"/>
        <w:rPr>
          <w:rFonts w:ascii="宋体" w:hAnsi="宋体"/>
          <w:sz w:val="22"/>
        </w:rPr>
      </w:pPr>
      <w:r>
        <w:rPr>
          <w:rFonts w:hint="eastAsia" w:ascii="宋体" w:hAnsi="宋体"/>
          <w:sz w:val="22"/>
        </w:rPr>
        <w:t>中标方在设备到货、安装、调试和验收期间应接受采购方的协调和管理，中标方应采取严格的防范措施，承担由于自身原因所造成的事故责任及其发生的一切费用。</w:t>
      </w:r>
    </w:p>
    <w:p>
      <w:pPr>
        <w:spacing w:line="440" w:lineRule="exact"/>
        <w:ind w:left="415" w:leftChars="198"/>
        <w:rPr>
          <w:rFonts w:ascii="宋体" w:hAnsi="宋体"/>
          <w:sz w:val="22"/>
        </w:rPr>
      </w:pPr>
      <w:r>
        <w:rPr>
          <w:rFonts w:hint="eastAsia" w:ascii="宋体" w:hAnsi="宋体"/>
          <w:sz w:val="22"/>
        </w:rPr>
        <w:t xml:space="preserve">6.9．保密 </w:t>
      </w:r>
    </w:p>
    <w:p>
      <w:pPr>
        <w:widowControl/>
        <w:spacing w:line="440" w:lineRule="exact"/>
        <w:ind w:firstLine="431" w:firstLineChars="196"/>
        <w:rPr>
          <w:rFonts w:ascii="宋体" w:hAnsi="宋体"/>
          <w:sz w:val="22"/>
        </w:rPr>
      </w:pPr>
      <w:r>
        <w:rPr>
          <w:rFonts w:hint="eastAsia" w:ascii="宋体" w:hAnsi="宋体"/>
          <w:sz w:val="22"/>
        </w:rPr>
        <w:t>6.9.1本次工程中使用的所有资料，仅供本项目小组人员参考使用，双方须严守资料中所涉秘密、妥善保管，不得遗失、转借、复印。</w:t>
      </w:r>
    </w:p>
    <w:p>
      <w:pPr>
        <w:widowControl/>
        <w:spacing w:line="440" w:lineRule="exact"/>
        <w:ind w:firstLine="431" w:firstLineChars="196"/>
        <w:rPr>
          <w:rFonts w:ascii="宋体" w:hAnsi="宋体"/>
          <w:sz w:val="22"/>
        </w:rPr>
      </w:pPr>
      <w:r>
        <w:rPr>
          <w:rFonts w:hint="eastAsia" w:ascii="宋体" w:hAnsi="宋体"/>
          <w:sz w:val="22"/>
        </w:rPr>
        <w:t>6.9.2当一方发现另一方的保密事项已经泄露或可能泄露时，应当立即采取补救措施，并及时报告对方。</w:t>
      </w:r>
    </w:p>
    <w:p>
      <w:pPr>
        <w:widowControl/>
        <w:spacing w:line="440" w:lineRule="exact"/>
        <w:ind w:firstLine="431" w:firstLineChars="196"/>
        <w:rPr>
          <w:rFonts w:ascii="宋体" w:hAnsi="宋体"/>
          <w:sz w:val="22"/>
        </w:rPr>
      </w:pPr>
      <w:r>
        <w:rPr>
          <w:rFonts w:hint="eastAsia" w:ascii="宋体" w:hAnsi="宋体"/>
          <w:sz w:val="22"/>
        </w:rPr>
        <w:t>6.9.3 双方对本次合作及本合同的具体内容负有保密责任，未经对方授权代表书面许可，任何一方不得向其他方提供或披露和本合同有关的资料和信息，包括合同本身。但中国现行法律、法规另有规定或经另一方书面同意的除外。</w:t>
      </w:r>
    </w:p>
    <w:p>
      <w:pPr>
        <w:widowControl/>
        <w:spacing w:line="440" w:lineRule="exact"/>
        <w:ind w:firstLine="431" w:firstLineChars="196"/>
        <w:rPr>
          <w:rFonts w:hint="eastAsia" w:ascii="宋体" w:hAnsi="宋体"/>
          <w:sz w:val="22"/>
        </w:rPr>
      </w:pPr>
      <w:r>
        <w:rPr>
          <w:rFonts w:hint="eastAsia" w:ascii="宋体" w:hAnsi="宋体"/>
          <w:sz w:val="22"/>
        </w:rPr>
        <w:t>6.10．其他未尽事宜按照国家现行法律、法规、政府文件以及国家、地方、行业视频监控建设相关标准执行，上述项目建设技术要求与国家现行法律、法规、政府文件以及国家、地方、行业视频监控建设相关标准有不一致之处，以国家现行法律、法规、政府文件以及国家、地方、行业视频监控建设相关标准为准。</w:t>
      </w:r>
    </w:p>
    <w:p>
      <w:pPr>
        <w:widowControl/>
        <w:spacing w:line="440" w:lineRule="exact"/>
        <w:ind w:firstLine="431" w:firstLineChars="196"/>
        <w:rPr>
          <w:rFonts w:hint="eastAsia" w:ascii="宋体" w:hAnsi="宋体"/>
          <w:sz w:val="22"/>
        </w:rPr>
      </w:pPr>
      <w:r>
        <w:rPr>
          <w:rFonts w:hint="eastAsia" w:ascii="宋体" w:hAnsi="宋体"/>
          <w:sz w:val="22"/>
        </w:rPr>
        <w:t>6.11项目监理：由招标方确认第三方监理公司，对本项目一次性建设部分实施全程监理。费用参照相关标准执行，由中标方支付。</w:t>
      </w:r>
    </w:p>
    <w:p>
      <w:pPr>
        <w:spacing w:line="440" w:lineRule="exact"/>
        <w:ind w:firstLine="440" w:firstLineChars="200"/>
        <w:rPr>
          <w:rFonts w:ascii="宋体" w:hAnsi="宋体"/>
          <w:sz w:val="22"/>
        </w:rPr>
      </w:pPr>
      <w:r>
        <w:rPr>
          <w:rFonts w:hint="eastAsia" w:ascii="宋体" w:hAnsi="宋体"/>
          <w:sz w:val="22"/>
        </w:rPr>
        <w:t>7、技术服务和人员培训</w:t>
      </w:r>
    </w:p>
    <w:p>
      <w:pPr>
        <w:spacing w:line="440" w:lineRule="exact"/>
        <w:ind w:firstLine="431" w:firstLineChars="196"/>
        <w:rPr>
          <w:rFonts w:ascii="宋体" w:hAnsi="宋体"/>
          <w:sz w:val="22"/>
        </w:rPr>
      </w:pPr>
      <w:r>
        <w:rPr>
          <w:rFonts w:hint="eastAsia" w:ascii="宋体" w:hAnsi="宋体"/>
          <w:sz w:val="22"/>
        </w:rPr>
        <w:t>采购方通过故障保修热线或客户经理报障，合同期内，中标方负责对出现故障的所有设备免费的维修和更换，并提供终身优惠维修保养服务，每次维修都将形成必要的记录，为采购方建立一套完整的运行纪要。</w:t>
      </w:r>
    </w:p>
    <w:p>
      <w:pPr>
        <w:autoSpaceDE w:val="0"/>
        <w:autoSpaceDN w:val="0"/>
        <w:adjustRightInd w:val="0"/>
        <w:snapToGrid w:val="0"/>
        <w:spacing w:line="460" w:lineRule="atLeast"/>
        <w:ind w:firstLine="431" w:firstLineChars="196"/>
        <w:textAlignment w:val="bottom"/>
        <w:rPr>
          <w:rFonts w:ascii="宋体" w:hAnsi="宋体"/>
          <w:sz w:val="22"/>
        </w:rPr>
      </w:pPr>
      <w:r>
        <w:rPr>
          <w:rFonts w:hint="eastAsia" w:ascii="宋体" w:hAnsi="宋体"/>
          <w:sz w:val="22"/>
        </w:rPr>
        <w:t>7.1．提供系统日巡检服务，确保每台服务器在稳定的工作；服务器出现异常情况应在8小时内解决。</w:t>
      </w:r>
    </w:p>
    <w:p>
      <w:pPr>
        <w:spacing w:line="440" w:lineRule="exact"/>
        <w:ind w:firstLine="431" w:firstLineChars="196"/>
        <w:rPr>
          <w:rFonts w:ascii="宋体" w:hAnsi="宋体"/>
          <w:sz w:val="22"/>
        </w:rPr>
      </w:pPr>
      <w:r>
        <w:rPr>
          <w:rFonts w:hint="eastAsia" w:ascii="宋体" w:hAnsi="宋体"/>
          <w:sz w:val="22"/>
        </w:rPr>
        <w:t>7.2．每个季度对整个系统进行现场巡检一次和摄像机镜头擦拭一次，遇重大活动和重要保障任务时，接公安局通知时应立即进行巡检和擦拭，对系统存在的潜在安全或故障隐患进行分析并提出相应的解决方案加以排除。</w:t>
      </w:r>
    </w:p>
    <w:p>
      <w:pPr>
        <w:spacing w:line="440" w:lineRule="exact"/>
        <w:ind w:left="109" w:leftChars="52" w:firstLine="431" w:firstLineChars="196"/>
        <w:rPr>
          <w:rFonts w:ascii="宋体" w:hAnsi="宋体"/>
          <w:sz w:val="22"/>
        </w:rPr>
      </w:pPr>
      <w:r>
        <w:rPr>
          <w:rFonts w:hint="eastAsia" w:ascii="宋体" w:hAnsi="宋体"/>
          <w:sz w:val="22"/>
        </w:rPr>
        <w:t>7.3．提供每周</w:t>
      </w:r>
      <w:r>
        <w:rPr>
          <w:rFonts w:hint="eastAsia" w:ascii="宋体" w:hAnsi="宋体" w:cs="Arial"/>
          <w:sz w:val="22"/>
        </w:rPr>
        <w:t>7</w:t>
      </w:r>
      <w:r>
        <w:rPr>
          <w:rFonts w:hint="eastAsia" w:ascii="宋体" w:hAnsi="宋体"/>
          <w:sz w:val="22"/>
        </w:rPr>
        <w:t>×</w:t>
      </w:r>
      <w:r>
        <w:rPr>
          <w:rFonts w:hint="eastAsia" w:ascii="宋体" w:hAnsi="宋体" w:cs="Arial"/>
          <w:sz w:val="22"/>
        </w:rPr>
        <w:t>24</w:t>
      </w:r>
      <w:r>
        <w:rPr>
          <w:rFonts w:hint="eastAsia" w:ascii="宋体" w:hAnsi="宋体"/>
          <w:sz w:val="22"/>
        </w:rPr>
        <w:t>小时电话技术服务、技术咨询或现场技术服务。</w:t>
      </w:r>
    </w:p>
    <w:p>
      <w:pPr>
        <w:spacing w:line="440" w:lineRule="exact"/>
        <w:ind w:firstLine="431" w:firstLineChars="196"/>
        <w:rPr>
          <w:rFonts w:ascii="宋体" w:hAnsi="宋体"/>
          <w:sz w:val="22"/>
          <w:u w:val="single"/>
        </w:rPr>
      </w:pPr>
      <w:r>
        <w:rPr>
          <w:rFonts w:hint="eastAsia" w:ascii="宋体" w:hAnsi="宋体"/>
          <w:sz w:val="22"/>
          <w:u w:val="single"/>
        </w:rPr>
        <w:t>7.4．针对本项目中的所有设备，中标方需在备件库中有高于或等同于本项目设备型号或系列的备品备件，对无法及时修复的故障先免费更换；备品储备量需达到本项目设备的5%。</w:t>
      </w:r>
    </w:p>
    <w:p>
      <w:pPr>
        <w:spacing w:line="440" w:lineRule="exact"/>
        <w:ind w:firstLine="440" w:firstLineChars="200"/>
        <w:rPr>
          <w:rFonts w:ascii="宋体" w:hAnsi="宋体"/>
          <w:sz w:val="22"/>
        </w:rPr>
      </w:pPr>
      <w:r>
        <w:rPr>
          <w:rFonts w:hint="eastAsia" w:ascii="宋体" w:hAnsi="宋体"/>
          <w:sz w:val="22"/>
        </w:rPr>
        <w:t>7.5．中标方应提供系统所有故障排除服务，确保系统进行实时、有效的视频探测、视频监视，图像显示、记录与回放。</w:t>
      </w:r>
    </w:p>
    <w:p>
      <w:pPr>
        <w:spacing w:line="440" w:lineRule="exact"/>
        <w:ind w:left="109" w:leftChars="52" w:firstLine="330" w:firstLineChars="150"/>
        <w:rPr>
          <w:rFonts w:ascii="宋体" w:hAnsi="宋体"/>
          <w:sz w:val="22"/>
        </w:rPr>
      </w:pPr>
      <w:r>
        <w:rPr>
          <w:rFonts w:hint="eastAsia" w:ascii="宋体" w:hAnsi="宋体"/>
          <w:sz w:val="22"/>
        </w:rPr>
        <w:t>7.6．中标方应提供系统及网络现状测试和评估服务，为客户远程网络视频监控系统提供详细系统测试报告。</w:t>
      </w:r>
    </w:p>
    <w:p>
      <w:pPr>
        <w:spacing w:line="440" w:lineRule="exact"/>
        <w:ind w:left="109" w:leftChars="52" w:firstLine="330" w:firstLineChars="150"/>
        <w:rPr>
          <w:rFonts w:ascii="宋体" w:hAnsi="宋体"/>
          <w:sz w:val="22"/>
        </w:rPr>
      </w:pPr>
      <w:r>
        <w:rPr>
          <w:rFonts w:hint="eastAsia" w:ascii="宋体" w:hAnsi="宋体"/>
          <w:sz w:val="22"/>
        </w:rPr>
        <w:t>7.7．合同期内，中标方应免费提供设备软件升级服务，在网络和设备扩容及软件升级时，卖方需派技术人员到场免费实施或指导。</w:t>
      </w:r>
    </w:p>
    <w:p>
      <w:pPr>
        <w:spacing w:line="440" w:lineRule="exact"/>
        <w:ind w:left="109" w:leftChars="52" w:firstLine="330" w:firstLineChars="150"/>
        <w:rPr>
          <w:rFonts w:ascii="宋体" w:hAnsi="宋体"/>
          <w:sz w:val="22"/>
        </w:rPr>
      </w:pPr>
      <w:r>
        <w:rPr>
          <w:rFonts w:hint="eastAsia" w:ascii="宋体" w:hAnsi="宋体"/>
          <w:sz w:val="22"/>
        </w:rPr>
        <w:t>7.8．在系统验收时，中标方应为客户远程网络视频监控系统提供详细的施工文档、设备操作使用指南和维护手册、以及详细的安装调试文档，并提供文档更新服务。</w:t>
      </w:r>
    </w:p>
    <w:p>
      <w:pPr>
        <w:spacing w:line="440" w:lineRule="exact"/>
        <w:ind w:left="109" w:leftChars="52" w:firstLine="315" w:firstLineChars="150"/>
        <w:rPr>
          <w:rFonts w:ascii="宋体" w:hAnsi="宋体"/>
          <w:sz w:val="22"/>
        </w:rPr>
      </w:pPr>
      <w:r>
        <w:rPr>
          <w:rFonts w:hint="eastAsia" w:ascii="宋体" w:hAnsi="宋体"/>
        </w:rPr>
        <w:t>7.9．</w:t>
      </w:r>
      <w:r>
        <w:rPr>
          <w:rFonts w:hint="eastAsia" w:ascii="宋体" w:hAnsi="宋体"/>
          <w:sz w:val="22"/>
        </w:rPr>
        <w:t>在设备投入运行后，如对系统软件有所改进，增加新功能，中标方应免费为客户远程网络视频监控系统提供使用。</w:t>
      </w:r>
    </w:p>
    <w:p>
      <w:pPr>
        <w:spacing w:line="440" w:lineRule="exact"/>
        <w:ind w:left="109" w:leftChars="52" w:firstLine="315" w:firstLineChars="150"/>
        <w:rPr>
          <w:rFonts w:ascii="宋体" w:hAnsi="宋体"/>
        </w:rPr>
      </w:pPr>
      <w:r>
        <w:rPr>
          <w:rFonts w:hint="eastAsia" w:ascii="宋体" w:hAnsi="宋体"/>
        </w:rPr>
        <w:t>7.10．中标方应具有完整的售后服务。</w:t>
      </w:r>
    </w:p>
    <w:p>
      <w:pPr>
        <w:spacing w:line="440" w:lineRule="exact"/>
        <w:ind w:left="109" w:leftChars="52" w:firstLine="315" w:firstLineChars="150"/>
        <w:rPr>
          <w:rFonts w:ascii="宋体" w:hAnsi="宋体"/>
          <w:sz w:val="22"/>
        </w:rPr>
      </w:pPr>
      <w:r>
        <w:rPr>
          <w:rFonts w:hint="eastAsia" w:ascii="宋体" w:hAnsi="宋体"/>
        </w:rPr>
        <w:t>7.</w:t>
      </w:r>
      <w:r>
        <w:rPr>
          <w:rFonts w:hint="eastAsia" w:ascii="宋体" w:hAnsi="宋体"/>
          <w:sz w:val="22"/>
        </w:rPr>
        <w:t>11．设备安装、调试结束后，中标方应立即派有经验的工程师对采购方人员进行操作和日常管理的培训，并确保采购方参与培训的人员能独立、熟练地进行操作。</w:t>
      </w:r>
    </w:p>
    <w:p>
      <w:pPr>
        <w:spacing w:line="440" w:lineRule="exact"/>
        <w:ind w:left="109" w:leftChars="52" w:firstLine="330" w:firstLineChars="150"/>
        <w:rPr>
          <w:rFonts w:ascii="宋体" w:hAnsi="宋体"/>
          <w:sz w:val="22"/>
        </w:rPr>
      </w:pPr>
      <w:r>
        <w:rPr>
          <w:rFonts w:hint="eastAsia" w:ascii="宋体" w:hAnsi="宋体"/>
          <w:sz w:val="22"/>
        </w:rPr>
        <w:t>7.12．中标方应每年对采购方提供免费培训。</w:t>
      </w:r>
    </w:p>
    <w:p>
      <w:pPr>
        <w:spacing w:line="440" w:lineRule="exact"/>
        <w:ind w:left="109" w:leftChars="52" w:firstLine="330" w:firstLineChars="150"/>
        <w:rPr>
          <w:rFonts w:ascii="宋体" w:hAnsi="宋体"/>
          <w:sz w:val="22"/>
        </w:rPr>
      </w:pPr>
      <w:r>
        <w:rPr>
          <w:rFonts w:hint="eastAsia" w:ascii="宋体" w:hAnsi="宋体"/>
          <w:sz w:val="22"/>
        </w:rPr>
        <w:t>8、付款方式：</w:t>
      </w:r>
    </w:p>
    <w:p>
      <w:pPr>
        <w:widowControl/>
        <w:autoSpaceDE w:val="0"/>
        <w:autoSpaceDN w:val="0"/>
        <w:adjustRightInd w:val="0"/>
        <w:spacing w:line="460" w:lineRule="atLeast"/>
        <w:ind w:firstLine="440" w:firstLineChars="200"/>
        <w:textAlignment w:val="bottom"/>
        <w:rPr>
          <w:rFonts w:ascii="宋体" w:hAnsi="宋体"/>
          <w:sz w:val="22"/>
          <w:u w:val="single"/>
        </w:rPr>
      </w:pPr>
      <w:r>
        <w:rPr>
          <w:rFonts w:hint="eastAsia" w:ascii="宋体" w:hAnsi="宋体"/>
          <w:sz w:val="22"/>
          <w:u w:val="single"/>
        </w:rPr>
        <w:t>合同签订后，在收到乙方提供的单据（等额商业发票一份）后15个工作日内向乙方支付第一年资费的80%，待设备安装完毕，系统开通经甲方确认，试运行15至30天后，经验收合格,在收到乙方提供的单据（等额商业发票一份、甲乙双方出具的验收报告）后15个工作日内向乙方支付第一年资费的20%。后续每年资费先支付后使用，甲方在收到乙方提供的单据（等额商业发票一份，下一年运维期开始前1个月之前开具）后15个工作日内向乙方一次性支付下一年的资费。</w:t>
      </w:r>
    </w:p>
    <w:p>
      <w:pPr>
        <w:widowControl/>
        <w:autoSpaceDE w:val="0"/>
        <w:autoSpaceDN w:val="0"/>
        <w:adjustRightInd w:val="0"/>
        <w:spacing w:line="460" w:lineRule="atLeast"/>
        <w:ind w:firstLine="440" w:firstLineChars="200"/>
        <w:textAlignment w:val="bottom"/>
        <w:rPr>
          <w:rFonts w:ascii="宋体" w:hAnsi="宋体"/>
          <w:b/>
          <w:bCs/>
          <w:sz w:val="22"/>
          <w:u w:val="single"/>
        </w:rPr>
      </w:pPr>
      <w:r>
        <w:rPr>
          <w:rFonts w:hint="eastAsia" w:ascii="宋体" w:hAnsi="宋体"/>
          <w:b/>
          <w:bCs/>
          <w:sz w:val="22"/>
          <w:u w:val="single"/>
        </w:rPr>
        <w:t>备注：1、以上货物采购均为交钥匙工程。安装所需线缆，管线及其它安装材料、辅材均根据现场条件自行核算，计入投标总价，中标供应商不得以任何理由增加该项报价。采购人清单中的货物如有遗漏必须的设备，请投标供应商自行配齐，中标后采购人将不予调整。</w:t>
      </w:r>
    </w:p>
    <w:p>
      <w:pPr>
        <w:spacing w:line="400" w:lineRule="exact"/>
        <w:ind w:firstLine="440" w:firstLineChars="200"/>
        <w:rPr>
          <w:rFonts w:ascii="宋体"/>
          <w:bCs/>
          <w:sz w:val="22"/>
        </w:rPr>
      </w:pPr>
      <w:r>
        <w:rPr>
          <w:rFonts w:hint="eastAsia" w:ascii="宋体" w:hAnsi="宋体"/>
          <w:b/>
          <w:bCs/>
          <w:sz w:val="22"/>
          <w:u w:val="single"/>
        </w:rPr>
        <w:t>2、招标文件与工程量清单中所列的设备材料品牌型号仅为参考，是为了对拟投标的设备、材料的技术指标和功能要求、档次更好的说明，欢迎其他能满足本项目技术需求且性能、档次与所明确品牌相当的产品参加▲。供应商需提供详细的技术规格和选用标准、理由，并需达到采购人需求，同时在技术偏离表中做出详细说明。</w:t>
      </w:r>
    </w:p>
    <w:p>
      <w:pPr>
        <w:pStyle w:val="22"/>
        <w:rPr>
          <w:rFonts w:hint="eastAsia" w:ascii="宋体" w:hAnsi="宋体" w:cs="宋体"/>
          <w:b/>
          <w:bCs/>
        </w:rPr>
        <w:sectPr>
          <w:pgSz w:w="11906" w:h="16838"/>
          <w:pgMar w:top="1440" w:right="1247" w:bottom="1440" w:left="1247" w:header="851" w:footer="992" w:gutter="0"/>
          <w:cols w:space="720" w:num="1"/>
          <w:titlePg/>
          <w:docGrid w:type="linesAndChars" w:linePitch="312" w:charSpace="0"/>
        </w:sectPr>
      </w:pPr>
    </w:p>
    <w:p>
      <w:pPr>
        <w:pStyle w:val="22"/>
        <w:rPr>
          <w:rFonts w:hint="eastAsia" w:ascii="宋体" w:hAnsi="宋体" w:cs="宋体"/>
          <w:b/>
          <w:bCs/>
        </w:rPr>
      </w:pPr>
      <w:bookmarkStart w:id="13" w:name="_Toc2989"/>
      <w:r>
        <w:rPr>
          <w:rFonts w:hint="eastAsia" w:ascii="宋体" w:hAnsi="宋体" w:cs="宋体"/>
          <w:b/>
          <w:bCs/>
        </w:rPr>
        <w:t>第三部分 供应商须知</w:t>
      </w:r>
      <w:bookmarkEnd w:id="13"/>
    </w:p>
    <w:p>
      <w:pPr>
        <w:pStyle w:val="13"/>
        <w:adjustRightInd w:val="0"/>
        <w:snapToGrid w:val="0"/>
        <w:spacing w:line="440" w:lineRule="atLeast"/>
        <w:outlineLvl w:val="0"/>
        <w:rPr>
          <w:rFonts w:hint="eastAsia" w:hAnsi="宋体" w:eastAsia="宋体" w:cs="宋体"/>
          <w:b w:val="0"/>
          <w:sz w:val="22"/>
        </w:rPr>
      </w:pPr>
      <w:bookmarkStart w:id="14" w:name="_Toc1499"/>
      <w:r>
        <w:rPr>
          <w:rFonts w:hint="eastAsia" w:hAnsi="宋体" w:eastAsia="宋体" w:cs="宋体"/>
          <w:sz w:val="22"/>
        </w:rPr>
        <w:t>一、说明</w:t>
      </w:r>
      <w:bookmarkEnd w:id="14"/>
    </w:p>
    <w:p>
      <w:pPr>
        <w:autoSpaceDE w:val="0"/>
        <w:autoSpaceDN w:val="0"/>
        <w:adjustRightInd w:val="0"/>
        <w:snapToGrid w:val="0"/>
        <w:spacing w:line="440" w:lineRule="atLeast"/>
        <w:ind w:firstLine="446" w:firstLineChars="203"/>
        <w:textAlignment w:val="bottom"/>
        <w:rPr>
          <w:rFonts w:hint="eastAsia" w:ascii="宋体" w:hAnsi="宋体"/>
          <w:sz w:val="22"/>
        </w:rPr>
      </w:pPr>
      <w:r>
        <w:rPr>
          <w:rFonts w:hint="eastAsia" w:ascii="宋体" w:hAnsi="宋体"/>
          <w:sz w:val="22"/>
        </w:rPr>
        <w:t>1、本次采购工作是按照《中华人民共和国政府采购法》、《中华人民共和国政府采购法实施条例》、《政府采购货物和服务招标投标管理办法》及相关法律规章组织和实施。</w:t>
      </w:r>
    </w:p>
    <w:p>
      <w:pPr>
        <w:adjustRightInd w:val="0"/>
        <w:spacing w:line="440" w:lineRule="atLeast"/>
        <w:ind w:firstLine="431" w:firstLineChars="196"/>
        <w:rPr>
          <w:rFonts w:hint="eastAsia" w:ascii="宋体" w:hAnsi="宋体"/>
          <w:sz w:val="22"/>
        </w:rPr>
      </w:pPr>
      <w:r>
        <w:rPr>
          <w:rFonts w:hint="eastAsia" w:ascii="宋体" w:hAnsi="宋体"/>
          <w:sz w:val="22"/>
        </w:rPr>
        <w:t>2、供应商必须对全部货物进行投标，否则按无效投标处理。分标段的项目可以选择全部或部分标段进行投标，但每个标段必须投标全部货物。</w:t>
      </w:r>
    </w:p>
    <w:p>
      <w:pPr>
        <w:adjustRightInd w:val="0"/>
        <w:spacing w:line="440" w:lineRule="atLeast"/>
        <w:ind w:firstLine="431" w:firstLineChars="196"/>
        <w:rPr>
          <w:rFonts w:hint="eastAsia" w:ascii="宋体" w:hAnsi="宋体"/>
          <w:sz w:val="22"/>
        </w:rPr>
      </w:pPr>
      <w:r>
        <w:rPr>
          <w:rFonts w:hint="eastAsia" w:ascii="宋体" w:hAnsi="宋体"/>
          <w:sz w:val="22"/>
        </w:rPr>
        <w:t>3、采购人有权选择中标供应商的供货及服务范围（即采购人有权在合理范围内修改10%的采购量）。</w:t>
      </w:r>
    </w:p>
    <w:p>
      <w:pPr>
        <w:adjustRightInd w:val="0"/>
        <w:spacing w:line="440" w:lineRule="atLeast"/>
        <w:ind w:firstLine="431" w:firstLineChars="196"/>
        <w:rPr>
          <w:rFonts w:hint="eastAsia" w:ascii="宋体" w:hAnsi="宋体"/>
          <w:sz w:val="22"/>
        </w:rPr>
      </w:pPr>
      <w:r>
        <w:rPr>
          <w:rFonts w:hint="eastAsia" w:ascii="宋体" w:hAnsi="宋体"/>
          <w:sz w:val="22"/>
        </w:rPr>
        <w:t>4、本次采购报价文件与商务技术文件分别评审，评标委员会首先评审供应商商务技术部分，商务技术部分无效的供应商不进入报价阶段评审。要求供应商商务技术部分的投标文件（含资信与服务）中不得含产品报价，否则做无效投标处理。</w:t>
      </w:r>
    </w:p>
    <w:p>
      <w:pPr>
        <w:adjustRightInd w:val="0"/>
        <w:spacing w:line="440" w:lineRule="atLeast"/>
        <w:ind w:firstLine="431" w:firstLineChars="196"/>
        <w:rPr>
          <w:rFonts w:hint="eastAsia" w:ascii="宋体" w:hAnsi="宋体"/>
          <w:sz w:val="22"/>
        </w:rPr>
      </w:pPr>
      <w:r>
        <w:rPr>
          <w:rFonts w:hint="eastAsia" w:ascii="宋体" w:hAnsi="宋体"/>
          <w:sz w:val="22"/>
        </w:rPr>
        <w:t>5、知识产权</w:t>
      </w:r>
    </w:p>
    <w:p>
      <w:pPr>
        <w:adjustRightInd w:val="0"/>
        <w:spacing w:line="440" w:lineRule="atLeast"/>
        <w:ind w:firstLine="431" w:firstLineChars="196"/>
        <w:rPr>
          <w:rFonts w:hint="eastAsia" w:ascii="宋体" w:hAnsi="宋体"/>
          <w:sz w:val="22"/>
        </w:rPr>
      </w:pPr>
      <w:r>
        <w:rPr>
          <w:rFonts w:hint="eastAsia" w:ascii="宋体" w:hAnsi="宋体"/>
          <w:sz w:val="22"/>
        </w:rPr>
        <w:t>5.1供应商应保证，采购人在中华人民共和国使用货物和服务的任何一部分时，免受第三方提出侵犯其专利权、商标权或其他知识产权的起诉。</w:t>
      </w:r>
    </w:p>
    <w:p>
      <w:pPr>
        <w:adjustRightInd w:val="0"/>
        <w:spacing w:line="440" w:lineRule="atLeast"/>
        <w:ind w:firstLine="431" w:firstLineChars="196"/>
        <w:rPr>
          <w:rFonts w:hint="eastAsia" w:ascii="宋体" w:hAnsi="宋体"/>
          <w:sz w:val="22"/>
        </w:rPr>
      </w:pPr>
      <w:r>
        <w:rPr>
          <w:rFonts w:hint="eastAsia" w:ascii="宋体" w:hAnsi="宋体"/>
          <w:sz w:val="22"/>
        </w:rPr>
        <w:t>5.2投标人应对采购人在使用该产品时所涉及到的专利权负责，不损害采购人的利益。</w:t>
      </w:r>
    </w:p>
    <w:p>
      <w:pPr>
        <w:adjustRightInd w:val="0"/>
        <w:spacing w:line="440" w:lineRule="atLeast"/>
        <w:ind w:firstLine="431" w:firstLineChars="196"/>
        <w:rPr>
          <w:rFonts w:hint="eastAsia" w:ascii="宋体" w:hAnsi="宋体"/>
          <w:sz w:val="22"/>
        </w:rPr>
      </w:pPr>
      <w:r>
        <w:rPr>
          <w:rFonts w:hint="eastAsia" w:ascii="宋体" w:hAnsi="宋体"/>
          <w:sz w:val="22"/>
        </w:rPr>
        <w:t>5.3报价应包括所有应支付的对专利权和版权、设计或其他知识产权而需要向其他方支付的版税。</w:t>
      </w:r>
    </w:p>
    <w:p>
      <w:pPr>
        <w:adjustRightInd w:val="0"/>
        <w:spacing w:line="440" w:lineRule="atLeast"/>
        <w:ind w:firstLine="431" w:firstLineChars="196"/>
        <w:rPr>
          <w:rFonts w:hint="eastAsia" w:ascii="宋体" w:hAnsi="宋体"/>
          <w:sz w:val="22"/>
        </w:rPr>
      </w:pPr>
      <w:r>
        <w:rPr>
          <w:rFonts w:hint="eastAsia" w:ascii="宋体" w:hAnsi="宋体"/>
          <w:sz w:val="22"/>
        </w:rPr>
        <w:t>5.4投标人提供得货物中如使用其他公司的相关专利，应在标书中出示相关授权，如未出示但使用了其他公司的专利，导致供应商中标而引起相关诉讼，由投标人承担。</w:t>
      </w:r>
    </w:p>
    <w:p>
      <w:pPr>
        <w:adjustRightInd w:val="0"/>
        <w:spacing w:line="440" w:lineRule="atLeast"/>
        <w:ind w:firstLine="431" w:firstLineChars="196"/>
        <w:rPr>
          <w:rFonts w:hint="eastAsia" w:ascii="宋体" w:hAnsi="宋体"/>
          <w:sz w:val="22"/>
        </w:rPr>
      </w:pPr>
      <w:r>
        <w:rPr>
          <w:rFonts w:hint="eastAsia" w:ascii="宋体" w:hAnsi="宋体"/>
          <w:sz w:val="22"/>
        </w:rPr>
        <w:t>6、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pPr>
        <w:adjustRightInd w:val="0"/>
        <w:spacing w:line="440" w:lineRule="atLeast"/>
        <w:ind w:firstLine="431" w:firstLineChars="196"/>
        <w:rPr>
          <w:rFonts w:hint="eastAsia" w:ascii="宋体" w:hAnsi="宋体"/>
        </w:rPr>
      </w:pPr>
      <w:r>
        <w:rPr>
          <w:rFonts w:hint="eastAsia" w:ascii="宋体" w:hAnsi="宋体"/>
          <w:sz w:val="22"/>
        </w:rPr>
        <w:t>7、本次招标的货物如涉及国家规定强制认证的，均视为供应商投标产品符合了工业品生产许可证，3C认证，环保产品认证等强制认证规定的，中标供应商须在采购人对上述货物验收时提供相关证书证明资料，否则按验收不能通过处理，并对中标供应商处以合同总金额10%的违约金罚款。</w:t>
      </w:r>
    </w:p>
    <w:p>
      <w:pPr>
        <w:adjustRightInd w:val="0"/>
        <w:spacing w:line="440" w:lineRule="atLeast"/>
        <w:ind w:firstLine="431" w:firstLineChars="196"/>
        <w:rPr>
          <w:rFonts w:hint="eastAsia" w:ascii="宋体" w:hAnsi="宋体"/>
          <w:sz w:val="22"/>
        </w:rPr>
      </w:pPr>
      <w:r>
        <w:rPr>
          <w:rFonts w:hint="eastAsia" w:ascii="宋体" w:hAnsi="宋体"/>
          <w:sz w:val="22"/>
        </w:rPr>
        <w:t>8、本次招标文件中要求的货物制造商授权或质保证明等，中标供应商须在拿到中标通知书5个工作日内提供以上原厂商授权文件或原厂质保证明等。如原厂商无故不予授权，在中标供应商作出保证产品质量和售后服务的承诺，并经采购人认可后，可以不需授权文件将合同授予该供应商，但对此应在合同的验收、结算和违约责任中补充增加相应的制约性条款。</w:t>
      </w:r>
    </w:p>
    <w:p>
      <w:pPr>
        <w:adjustRightInd w:val="0"/>
        <w:spacing w:line="440" w:lineRule="atLeast"/>
        <w:ind w:firstLine="431" w:firstLineChars="196"/>
        <w:rPr>
          <w:rFonts w:hint="eastAsia" w:ascii="宋体" w:hAnsi="宋体"/>
          <w:sz w:val="22"/>
        </w:rPr>
      </w:pPr>
      <w:r>
        <w:rPr>
          <w:rFonts w:hint="eastAsia" w:ascii="宋体" w:hAnsi="宋体"/>
          <w:sz w:val="22"/>
        </w:rPr>
        <w:t>9、采用最低评标价法的采购项目，提供相同品牌产品的不同投标人参加同一合同项下投标的，以其中通过资格审查、符合性审查且报价最低的参加评标；报价相同的，采取随机抽取方式确定，其他投标无效。</w:t>
      </w:r>
    </w:p>
    <w:p>
      <w:pPr>
        <w:adjustRightInd w:val="0"/>
        <w:spacing w:line="440" w:lineRule="atLeast"/>
        <w:ind w:firstLine="431" w:firstLineChars="196"/>
        <w:rPr>
          <w:rFonts w:hint="eastAsia" w:ascii="宋体" w:hAnsi="宋体"/>
          <w:sz w:val="22"/>
        </w:rPr>
      </w:pPr>
      <w:r>
        <w:rPr>
          <w:rFonts w:hint="eastAsia" w:ascii="宋体" w:hAnsi="宋体"/>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line="440" w:lineRule="atLeast"/>
        <w:ind w:firstLine="431" w:firstLineChars="196"/>
        <w:rPr>
          <w:rFonts w:hint="eastAsia" w:ascii="宋体" w:hAnsi="宋体"/>
          <w:sz w:val="22"/>
        </w:rPr>
      </w:pPr>
      <w:r>
        <w:rPr>
          <w:rFonts w:hint="eastAsia" w:ascii="宋体" w:hAnsi="宋体"/>
          <w:sz w:val="22"/>
        </w:rPr>
        <w:t>非单一产品采购项目，单项产品投标价格比重占总投标价50%及以上的认定为核心产品（有效投标供应商中一家供应商该产品投标价格占总投标价50%级以上即认定），多家投标人提供的核心产品品牌相同的，按前两款规定处理。</w:t>
      </w:r>
    </w:p>
    <w:p>
      <w:pPr>
        <w:adjustRightInd w:val="0"/>
        <w:spacing w:line="440" w:lineRule="atLeast"/>
        <w:ind w:firstLine="431" w:firstLineChars="196"/>
        <w:rPr>
          <w:rFonts w:hint="eastAsia" w:ascii="宋体" w:hAnsi="宋体"/>
          <w:sz w:val="22"/>
        </w:rPr>
      </w:pPr>
      <w:r>
        <w:rPr>
          <w:rFonts w:hint="eastAsia" w:ascii="宋体" w:hAnsi="宋体"/>
          <w:sz w:val="22"/>
        </w:rPr>
        <w:t>10、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adjustRightInd w:val="0"/>
        <w:spacing w:line="440" w:lineRule="atLeast"/>
        <w:ind w:firstLine="431" w:firstLineChars="196"/>
        <w:rPr>
          <w:rFonts w:hint="eastAsia" w:ascii="宋体" w:hAnsi="宋体"/>
          <w:sz w:val="22"/>
        </w:rPr>
      </w:pPr>
      <w:r>
        <w:rPr>
          <w:rFonts w:hint="eastAsia" w:ascii="宋体" w:hAnsi="宋体"/>
          <w:sz w:val="22"/>
        </w:rPr>
        <w:t>除单一来源采购项目外，为采购项目提供整体设计、规范编制或者项目管理、监理、检测等服务的供应商，不得再参加该采购项目的其他采购活动。</w:t>
      </w:r>
    </w:p>
    <w:p>
      <w:pPr>
        <w:adjustRightInd w:val="0"/>
        <w:spacing w:line="440" w:lineRule="atLeast"/>
        <w:ind w:firstLine="431" w:firstLineChars="196"/>
        <w:rPr>
          <w:rFonts w:hint="eastAsia" w:ascii="宋体" w:hAnsi="宋体"/>
          <w:sz w:val="22"/>
        </w:rPr>
      </w:pPr>
      <w:r>
        <w:rPr>
          <w:rFonts w:hint="eastAsia" w:ascii="宋体" w:hAnsi="宋体"/>
          <w:sz w:val="22"/>
        </w:rPr>
        <w:t>11、进口产品参与政府采购，按财政部《</w:t>
      </w:r>
      <w:r>
        <w:rPr>
          <w:rFonts w:hint="eastAsia" w:ascii="宋体" w:hAnsi="宋体"/>
        </w:rPr>
        <w:fldChar w:fldCharType="begin"/>
      </w:r>
      <w:r>
        <w:rPr>
          <w:rFonts w:hint="eastAsia" w:ascii="宋体" w:hAnsi="宋体"/>
        </w:rPr>
        <w:instrText xml:space="preserve"> HYPERLINK "http://www.chinaacc.com/new/63/64/80/2008/1/wa2420495431112180022419-0.htm" \t "_blank" </w:instrText>
      </w:r>
      <w:r>
        <w:rPr>
          <w:rFonts w:hint="eastAsia" w:ascii="宋体" w:hAnsi="宋体"/>
        </w:rPr>
        <w:fldChar w:fldCharType="separate"/>
      </w:r>
      <w:r>
        <w:rPr>
          <w:rFonts w:hint="eastAsia" w:ascii="宋体" w:hAnsi="宋体"/>
          <w:sz w:val="22"/>
        </w:rPr>
        <w:t>关于印发〈政府采购进口产品管理办法〉的通知</w:t>
      </w:r>
      <w:r>
        <w:rPr>
          <w:rFonts w:hint="eastAsia" w:ascii="宋体" w:hAnsi="宋体"/>
          <w:sz w:val="22"/>
        </w:rPr>
        <w:fldChar w:fldCharType="end"/>
      </w:r>
      <w:r>
        <w:rPr>
          <w:rFonts w:hint="eastAsia" w:ascii="宋体" w:hAnsi="宋体"/>
          <w:sz w:val="22"/>
        </w:rPr>
        <w:t>》（财库[2007]119号）和财政部办公厅《</w:t>
      </w:r>
      <w:r>
        <w:rPr>
          <w:rFonts w:hint="eastAsia" w:ascii="宋体" w:hAnsi="宋体"/>
        </w:rPr>
        <w:fldChar w:fldCharType="begin"/>
      </w:r>
      <w:r>
        <w:rPr>
          <w:rFonts w:hint="eastAsia" w:ascii="宋体" w:hAnsi="宋体"/>
        </w:rPr>
        <w:instrText xml:space="preserve"> HYPERLINK "http://www.chinaacc.com/new/63/64/80/2008/10/wa29611252241030180027592-0.htm" \t "_blank" </w:instrText>
      </w:r>
      <w:r>
        <w:rPr>
          <w:rFonts w:hint="eastAsia" w:ascii="宋体" w:hAnsi="宋体"/>
        </w:rPr>
        <w:fldChar w:fldCharType="separate"/>
      </w:r>
      <w:r>
        <w:rPr>
          <w:rFonts w:hint="eastAsia" w:ascii="宋体" w:hAnsi="宋体"/>
          <w:sz w:val="22"/>
        </w:rPr>
        <w:t>关于政府采购进口产品管理有关问题的通知</w:t>
      </w:r>
      <w:r>
        <w:rPr>
          <w:rFonts w:hint="eastAsia" w:ascii="宋体" w:hAnsi="宋体"/>
          <w:sz w:val="22"/>
        </w:rPr>
        <w:fldChar w:fldCharType="end"/>
      </w:r>
      <w:r>
        <w:rPr>
          <w:rFonts w:hint="eastAsia" w:ascii="宋体" w:hAnsi="宋体"/>
          <w:sz w:val="22"/>
        </w:rPr>
        <w:t>》（财办库〔2008〕248号）、《浙江省财政厅关于进一步加强政府采购进口产品管理的通知》（浙财采监[2010]51号）</w:t>
      </w:r>
    </w:p>
    <w:p>
      <w:pPr>
        <w:adjustRightInd w:val="0"/>
        <w:spacing w:line="440" w:lineRule="atLeast"/>
        <w:jc w:val="left"/>
        <w:rPr>
          <w:rFonts w:hint="eastAsia" w:ascii="宋体" w:hAnsi="宋体"/>
          <w:sz w:val="22"/>
        </w:rPr>
      </w:pPr>
      <w:r>
        <w:rPr>
          <w:rFonts w:hint="eastAsia" w:ascii="宋体" w:hAnsi="宋体"/>
          <w:sz w:val="22"/>
        </w:rPr>
        <w:t>等相关文件规定处理。</w:t>
      </w:r>
    </w:p>
    <w:p>
      <w:pPr>
        <w:adjustRightInd w:val="0"/>
        <w:spacing w:line="440" w:lineRule="atLeast"/>
        <w:ind w:firstLine="431" w:firstLineChars="196"/>
        <w:rPr>
          <w:rFonts w:hint="eastAsia" w:ascii="宋体" w:hAnsi="宋体"/>
          <w:sz w:val="22"/>
        </w:rPr>
      </w:pPr>
      <w:r>
        <w:rPr>
          <w:rFonts w:hint="eastAsia" w:ascii="宋体" w:hAnsi="宋体"/>
          <w:sz w:val="22"/>
        </w:rPr>
        <w:t>12、</w:t>
      </w:r>
      <w:r>
        <w:rPr>
          <w:rFonts w:hint="eastAsia" w:ascii="宋体" w:hAnsi="宋体"/>
          <w:sz w:val="22"/>
          <w:lang w:val="zh-CN"/>
        </w:rPr>
        <w:t>本项目如果所有供应商的投标报价均超出该标项采购预算（最高限价）金额的，</w:t>
      </w:r>
      <w:r>
        <w:rPr>
          <w:rFonts w:hint="eastAsia" w:ascii="宋体" w:hAnsi="宋体"/>
          <w:sz w:val="22"/>
        </w:rPr>
        <w:t>则</w:t>
      </w:r>
      <w:r>
        <w:rPr>
          <w:rFonts w:hint="eastAsia" w:ascii="宋体" w:hAnsi="宋体"/>
          <w:sz w:val="22"/>
          <w:lang w:val="zh-CN"/>
        </w:rPr>
        <w:t>该标项按流标处理。</w:t>
      </w:r>
      <w:r>
        <w:rPr>
          <w:rFonts w:hint="eastAsia" w:ascii="宋体" w:hAnsi="宋体"/>
          <w:sz w:val="22"/>
        </w:rPr>
        <w:t>如果仅仅某个（些）供应商的投标报价超出该标项采购预算金额的，则该供应商该标项</w:t>
      </w:r>
      <w:r>
        <w:rPr>
          <w:rFonts w:hint="eastAsia" w:ascii="宋体" w:hAnsi="宋体"/>
          <w:sz w:val="22"/>
          <w:lang w:val="zh-CN"/>
        </w:rPr>
        <w:t>按无效投标处理</w:t>
      </w:r>
      <w:r>
        <w:rPr>
          <w:rFonts w:hint="eastAsia" w:ascii="宋体" w:hAnsi="宋体"/>
          <w:sz w:val="22"/>
        </w:rPr>
        <w:t>。</w:t>
      </w:r>
    </w:p>
    <w:p>
      <w:pPr>
        <w:adjustRightInd w:val="0"/>
        <w:spacing w:line="440" w:lineRule="atLeast"/>
        <w:ind w:firstLine="431" w:firstLineChars="196"/>
        <w:rPr>
          <w:rFonts w:hint="eastAsia" w:ascii="宋体" w:hAnsi="宋体"/>
          <w:sz w:val="22"/>
        </w:rPr>
      </w:pPr>
      <w:r>
        <w:rPr>
          <w:rFonts w:hint="eastAsia" w:ascii="宋体" w:hAnsi="宋体"/>
          <w:sz w:val="22"/>
        </w:rPr>
        <w:t>13、本项目招标文件如有补充、更正均见浙江政府采购网（http://www.zjzfcg.gov.cn/）。供应商须在投标截止前自行查看是否有补充、更正文件，并按补充、更正文件要求投标，否则责任自负。</w:t>
      </w:r>
    </w:p>
    <w:p>
      <w:pPr>
        <w:adjustRightInd w:val="0"/>
        <w:spacing w:line="440" w:lineRule="atLeast"/>
        <w:ind w:firstLine="431" w:firstLineChars="196"/>
        <w:rPr>
          <w:rFonts w:hint="eastAsia" w:ascii="宋体" w:hAnsi="宋体"/>
          <w:sz w:val="22"/>
          <w:lang w:val="zh-CN"/>
        </w:rPr>
      </w:pPr>
      <w:r>
        <w:rPr>
          <w:rFonts w:hint="eastAsia" w:ascii="宋体" w:hAnsi="宋体"/>
          <w:sz w:val="22"/>
        </w:rPr>
        <w:t>14、</w:t>
      </w:r>
      <w:r>
        <w:rPr>
          <w:rFonts w:hint="eastAsia" w:ascii="宋体" w:hAnsi="宋体"/>
          <w:sz w:val="22"/>
          <w:lang w:val="zh-CN"/>
        </w:rPr>
        <w:t> 供应商进行电子</w:t>
      </w:r>
      <w:r>
        <w:rPr>
          <w:rFonts w:hint="eastAsia" w:ascii="宋体" w:hAnsi="宋体"/>
          <w:sz w:val="22"/>
        </w:rPr>
        <w:t>响应</w:t>
      </w:r>
      <w:r>
        <w:rPr>
          <w:rFonts w:hint="eastAsia" w:ascii="宋体" w:hAnsi="宋体"/>
          <w:sz w:val="22"/>
          <w:lang w:val="zh-CN"/>
        </w:rPr>
        <w:t>应安装客户端软件，并按照采购文件和电子交易平台的要求编制并加密</w:t>
      </w:r>
      <w:r>
        <w:rPr>
          <w:rFonts w:hint="eastAsia" w:ascii="宋体" w:hAnsi="宋体"/>
          <w:sz w:val="22"/>
        </w:rPr>
        <w:t>投标文件</w:t>
      </w:r>
      <w:r>
        <w:rPr>
          <w:rFonts w:hint="eastAsia" w:ascii="宋体" w:hAnsi="宋体"/>
          <w:sz w:val="22"/>
          <w:lang w:val="zh-CN"/>
        </w:rPr>
        <w:t>。供应商未按规定加密的投标文件，电子交易平台拒收并提示。</w:t>
      </w:r>
    </w:p>
    <w:p>
      <w:pPr>
        <w:adjustRightInd w:val="0"/>
        <w:spacing w:line="440" w:lineRule="atLeast"/>
        <w:ind w:firstLine="431" w:firstLineChars="196"/>
        <w:rPr>
          <w:rFonts w:hint="eastAsia" w:ascii="宋体" w:hAnsi="宋体"/>
        </w:rPr>
      </w:pPr>
      <w:r>
        <w:rPr>
          <w:rFonts w:hint="eastAsia" w:ascii="宋体" w:hAnsi="宋体"/>
          <w:sz w:val="22"/>
        </w:rPr>
        <w:t>15、</w:t>
      </w:r>
      <w:r>
        <w:rPr>
          <w:rFonts w:hint="eastAsia" w:ascii="宋体" w:hAnsi="宋体"/>
          <w:sz w:val="22"/>
          <w:lang w:val="zh-CN"/>
        </w:rPr>
        <w:t>电子投标具体操作流程详见本公告附件《供应商政府采购项目电子交易操作指南》</w:t>
      </w:r>
      <w:r>
        <w:rPr>
          <w:rFonts w:hint="eastAsia" w:ascii="宋体" w:hAnsi="宋体"/>
          <w:sz w:val="22"/>
        </w:rPr>
        <w:t>.</w:t>
      </w:r>
    </w:p>
    <w:p>
      <w:pPr>
        <w:pStyle w:val="13"/>
        <w:adjustRightInd w:val="0"/>
        <w:snapToGrid w:val="0"/>
        <w:spacing w:line="440" w:lineRule="atLeast"/>
        <w:ind w:firstLine="480"/>
        <w:outlineLvl w:val="0"/>
        <w:rPr>
          <w:rFonts w:hint="eastAsia" w:hAnsi="宋体" w:eastAsia="宋体" w:cs="宋体"/>
          <w:b w:val="0"/>
          <w:sz w:val="22"/>
        </w:rPr>
      </w:pPr>
      <w:bookmarkStart w:id="15" w:name="_Toc28834"/>
      <w:r>
        <w:rPr>
          <w:rFonts w:hint="eastAsia" w:hAnsi="宋体" w:eastAsia="宋体" w:cs="宋体"/>
          <w:sz w:val="22"/>
        </w:rPr>
        <w:t>二、招标文件</w:t>
      </w:r>
      <w:bookmarkEnd w:id="15"/>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1、招标文件</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1.1、招标文件约束力</w:t>
      </w:r>
    </w:p>
    <w:p>
      <w:pPr>
        <w:autoSpaceDE w:val="0"/>
        <w:autoSpaceDN w:val="0"/>
        <w:adjustRightInd w:val="0"/>
        <w:snapToGrid w:val="0"/>
        <w:spacing w:line="454" w:lineRule="atLeast"/>
        <w:ind w:firstLine="431" w:firstLineChars="196"/>
        <w:textAlignment w:val="bottom"/>
        <w:rPr>
          <w:rFonts w:hint="eastAsia" w:ascii="宋体" w:hAnsi="宋体"/>
          <w:sz w:val="22"/>
          <w:u w:val="single"/>
        </w:rPr>
      </w:pPr>
      <w:r>
        <w:rPr>
          <w:rFonts w:hint="eastAsia" w:ascii="宋体" w:hAnsi="宋体"/>
          <w:sz w:val="22"/>
        </w:rPr>
        <w:t>▲</w:t>
      </w:r>
      <w:r>
        <w:rPr>
          <w:rFonts w:hint="eastAsia" w:ascii="宋体" w:hAnsi="宋体"/>
          <w:sz w:val="22"/>
          <w:u w:val="single"/>
        </w:rPr>
        <w:t>供应商一旦获取了本招标文件并参加投标，即被认为接受了本招标文件中所有条款和规定。</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1.2、招标文件的组成</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招标文件由招标文件总目录所列内容及补充资料等组成。</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2、招标文件的澄清</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供应商对招标文件如有质疑或需要澄清，可用书面形式（包括信函、传真，下同）通知</w:t>
      </w:r>
      <w:r>
        <w:rPr>
          <w:rFonts w:hint="eastAsia" w:ascii="宋体" w:hAnsi="宋体"/>
          <w:sz w:val="22"/>
          <w:u w:val="single"/>
        </w:rPr>
        <w:t>招标代理机构</w:t>
      </w:r>
      <w:r>
        <w:rPr>
          <w:rFonts w:hint="eastAsia" w:ascii="宋体" w:hAnsi="宋体"/>
          <w:sz w:val="22"/>
        </w:rPr>
        <w:t>，但通知不得迟于规定的质疑时间前使招标代理机构收到，招标代理机构将用书面形式予以答复。如有必要，可将不说明来源的答复书面发给各有关供应商并予以公告。任何口头答复均不作为投标依据。</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3、招标文件的修改</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3.1、在投标截止时间前，采购人有权澄清或者修改招标文件，并以更正公告形式通知供应商。更正公告作为招标文件的组成部分，对所有投标供应商均有约束力。</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3.2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pStyle w:val="13"/>
        <w:adjustRightInd w:val="0"/>
        <w:snapToGrid w:val="0"/>
        <w:spacing w:line="440" w:lineRule="atLeast"/>
        <w:ind w:firstLine="480"/>
        <w:outlineLvl w:val="0"/>
        <w:rPr>
          <w:rFonts w:hint="eastAsia" w:hAnsi="宋体" w:eastAsia="宋体" w:cs="宋体"/>
          <w:b w:val="0"/>
          <w:sz w:val="22"/>
        </w:rPr>
      </w:pPr>
      <w:bookmarkStart w:id="16" w:name="_Toc22349"/>
      <w:r>
        <w:rPr>
          <w:rFonts w:hint="eastAsia" w:hAnsi="宋体" w:eastAsia="宋体" w:cs="宋体"/>
          <w:sz w:val="22"/>
        </w:rPr>
        <w:t>三、投标文件</w:t>
      </w:r>
      <w:bookmarkEnd w:id="16"/>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1、投标文件</w:t>
      </w:r>
    </w:p>
    <w:p>
      <w:pPr>
        <w:autoSpaceDE w:val="0"/>
        <w:autoSpaceDN w:val="0"/>
        <w:adjustRightInd w:val="0"/>
        <w:snapToGrid w:val="0"/>
        <w:spacing w:line="454" w:lineRule="atLeast"/>
        <w:ind w:firstLine="360" w:firstLineChars="150"/>
        <w:textAlignment w:val="bottom"/>
        <w:rPr>
          <w:rFonts w:hint="eastAsia" w:ascii="宋体" w:hAnsi="宋体"/>
          <w:sz w:val="22"/>
        </w:rPr>
      </w:pPr>
      <w:r>
        <w:rPr>
          <w:rFonts w:hint="eastAsia" w:ascii="宋体" w:hAnsi="宋体"/>
          <w:sz w:val="24"/>
        </w:rPr>
        <w:t>1</w:t>
      </w:r>
      <w:r>
        <w:rPr>
          <w:rFonts w:hint="eastAsia" w:ascii="宋体" w:hAnsi="宋体"/>
          <w:sz w:val="22"/>
        </w:rPr>
        <w:t>.1供应商提交的投标文件以及供应商与采购人就有关投标的所有来往函电均应使用中文。供应商可以提交用其他语言印制的资料，但必须译成中文，在有差异和矛盾时以中文为准。</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lang w:val="zh-CN"/>
        </w:rPr>
        <w:t>1.</w:t>
      </w:r>
      <w:r>
        <w:rPr>
          <w:rFonts w:hint="eastAsia" w:ascii="宋体" w:hAnsi="宋体"/>
          <w:sz w:val="22"/>
        </w:rPr>
        <w:t>2供应商提交的投标文件报价均采用人民币报价。</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lang w:val="zh-CN"/>
        </w:rPr>
        <w:t>1.</w:t>
      </w:r>
      <w:r>
        <w:rPr>
          <w:rFonts w:hint="eastAsia" w:ascii="宋体" w:hAnsi="宋体"/>
          <w:sz w:val="22"/>
        </w:rPr>
        <w:t>3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pPr>
        <w:autoSpaceDE w:val="0"/>
        <w:autoSpaceDN w:val="0"/>
        <w:adjustRightInd w:val="0"/>
        <w:snapToGrid w:val="0"/>
        <w:spacing w:line="454" w:lineRule="atLeast"/>
        <w:ind w:firstLine="440" w:firstLineChars="200"/>
        <w:textAlignment w:val="bottom"/>
        <w:rPr>
          <w:rFonts w:hint="eastAsia" w:ascii="宋体" w:hAnsi="宋体"/>
          <w:sz w:val="22"/>
        </w:rPr>
      </w:pPr>
      <w:r>
        <w:rPr>
          <w:rFonts w:hint="eastAsia" w:ascii="宋体" w:hAnsi="宋体"/>
          <w:sz w:val="22"/>
          <w:lang w:val="zh-CN"/>
        </w:rPr>
        <w:t>1.</w:t>
      </w:r>
      <w:r>
        <w:rPr>
          <w:rFonts w:hint="eastAsia" w:ascii="宋体" w:hAnsi="宋体"/>
          <w:sz w:val="22"/>
        </w:rPr>
        <w:t>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30" w:lineRule="atLeast"/>
        <w:ind w:firstLine="440" w:firstLineChars="200"/>
        <w:rPr>
          <w:rFonts w:hint="eastAsia" w:ascii="宋体" w:hAnsi="宋体"/>
          <w:sz w:val="22"/>
          <w:lang w:val="zh-CN"/>
        </w:rPr>
      </w:pPr>
      <w:r>
        <w:rPr>
          <w:rFonts w:hint="eastAsia" w:ascii="宋体" w:hAnsi="宋体"/>
          <w:sz w:val="22"/>
          <w:lang w:val="zh-CN"/>
        </w:rPr>
        <w:t>1.</w:t>
      </w:r>
      <w:r>
        <w:rPr>
          <w:rFonts w:hint="eastAsia" w:ascii="宋体" w:hAnsi="宋体"/>
          <w:sz w:val="22"/>
        </w:rPr>
        <w:t>5</w:t>
      </w:r>
      <w:r>
        <w:rPr>
          <w:rFonts w:hint="eastAsia" w:ascii="宋体" w:hAnsi="宋体"/>
          <w:sz w:val="22"/>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30" w:lineRule="atLeast"/>
        <w:ind w:firstLine="440" w:firstLineChars="200"/>
        <w:rPr>
          <w:rFonts w:hint="eastAsia" w:ascii="宋体" w:hAnsi="宋体"/>
          <w:sz w:val="22"/>
          <w:lang w:val="zh-CN"/>
        </w:rPr>
      </w:pPr>
      <w:r>
        <w:rPr>
          <w:rFonts w:hint="eastAsia" w:ascii="宋体" w:hAnsi="宋体"/>
          <w:sz w:val="22"/>
          <w:lang w:val="zh-CN"/>
        </w:rPr>
        <w:t>2、投标文件的组成</w:t>
      </w:r>
    </w:p>
    <w:p>
      <w:pPr>
        <w:autoSpaceDE w:val="0"/>
        <w:autoSpaceDN w:val="0"/>
        <w:adjustRightInd w:val="0"/>
        <w:snapToGrid w:val="0"/>
        <w:spacing w:line="430" w:lineRule="atLeast"/>
        <w:ind w:firstLine="440" w:firstLineChars="200"/>
        <w:rPr>
          <w:rFonts w:hint="eastAsia" w:ascii="宋体" w:hAnsi="宋体"/>
          <w:sz w:val="22"/>
          <w:lang w:val="zh-CN"/>
        </w:rPr>
      </w:pPr>
      <w:r>
        <w:rPr>
          <w:rFonts w:hint="eastAsia" w:ascii="宋体" w:hAnsi="宋体"/>
          <w:b/>
          <w:bCs/>
          <w:sz w:val="22"/>
          <w:u w:val="single"/>
        </w:rPr>
        <w:t>投标文件由</w:t>
      </w:r>
      <w:r>
        <w:rPr>
          <w:rFonts w:hint="eastAsia" w:ascii="宋体" w:hAnsi="宋体"/>
          <w:b/>
          <w:sz w:val="22"/>
          <w:u w:val="single"/>
        </w:rPr>
        <w:t>资格投标文件、报价要求投标文件、商务技术投标文件</w:t>
      </w:r>
      <w:r>
        <w:rPr>
          <w:rFonts w:hint="eastAsia" w:ascii="宋体" w:hAnsi="宋体"/>
          <w:b/>
          <w:bCs/>
          <w:sz w:val="22"/>
          <w:u w:val="single"/>
        </w:rPr>
        <w:t>三部分组成，须分别制作，分别加密。</w:t>
      </w:r>
      <w:r>
        <w:rPr>
          <w:rFonts w:hint="eastAsia" w:ascii="宋体" w:hAnsi="宋体"/>
          <w:b/>
          <w:sz w:val="22"/>
          <w:u w:val="single"/>
        </w:rPr>
        <w:t>商务技术投标文件中</w:t>
      </w:r>
      <w:r>
        <w:rPr>
          <w:rFonts w:hint="eastAsia" w:ascii="宋体" w:hAnsi="宋体"/>
          <w:b/>
          <w:bCs/>
          <w:sz w:val="22"/>
          <w:u w:val="single"/>
        </w:rPr>
        <w:t>不得含本次投标报价，否则投标将做无效投标处理。</w:t>
      </w:r>
    </w:p>
    <w:p>
      <w:pPr>
        <w:autoSpaceDE w:val="0"/>
        <w:autoSpaceDN w:val="0"/>
        <w:adjustRightInd w:val="0"/>
        <w:spacing w:line="440" w:lineRule="exact"/>
        <w:ind w:firstLine="440" w:firstLineChars="200"/>
        <w:rPr>
          <w:rFonts w:hint="eastAsia" w:ascii="宋体" w:hAnsi="宋体"/>
          <w:b/>
          <w:sz w:val="22"/>
          <w:u w:val="single"/>
        </w:rPr>
      </w:pPr>
      <w:r>
        <w:rPr>
          <w:rFonts w:hint="eastAsia" w:ascii="宋体" w:hAnsi="宋体"/>
          <w:b/>
          <w:sz w:val="22"/>
          <w:lang w:val="zh-CN"/>
        </w:rPr>
        <w:t>2.1、</w:t>
      </w:r>
      <w:r>
        <w:rPr>
          <w:rFonts w:hint="eastAsia" w:ascii="宋体" w:hAnsi="宋体"/>
          <w:b/>
          <w:sz w:val="22"/>
          <w:u w:val="single"/>
        </w:rPr>
        <w:t>资格投标文件组成部分</w:t>
      </w:r>
    </w:p>
    <w:tbl>
      <w:tblPr>
        <w:tblStyle w:val="24"/>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95"/>
        <w:gridCol w:w="6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autoSpaceDE w:val="0"/>
              <w:autoSpaceDN w:val="0"/>
              <w:adjustRightInd w:val="0"/>
              <w:snapToGrid w:val="0"/>
              <w:spacing w:line="240" w:lineRule="atLeast"/>
              <w:rPr>
                <w:rFonts w:hint="eastAsia" w:ascii="宋体" w:hAnsi="宋体"/>
                <w:sz w:val="22"/>
                <w:lang w:val="zh-CN"/>
              </w:rPr>
            </w:pPr>
            <w:r>
              <w:rPr>
                <w:rFonts w:hint="eastAsia" w:ascii="宋体" w:hAnsi="宋体"/>
                <w:sz w:val="22"/>
                <w:lang w:val="zh-CN"/>
              </w:rPr>
              <w:t>序号</w:t>
            </w:r>
          </w:p>
        </w:tc>
        <w:tc>
          <w:tcPr>
            <w:tcW w:w="8736" w:type="dxa"/>
            <w:gridSpan w:val="2"/>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lang w:val="zh-CN"/>
              </w:rPr>
              <w:t>内容（</w:t>
            </w:r>
            <w:r>
              <w:rPr>
                <w:rFonts w:hint="eastAsia" w:ascii="宋体" w:hAnsi="宋体"/>
                <w:sz w:val="22"/>
              </w:rPr>
              <w:t>须单项保存，逐项上传，格式见第七部分附件）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一、基本资格要求（</w:t>
            </w:r>
            <w:r>
              <w:rPr>
                <w:rFonts w:hint="eastAsia" w:ascii="宋体" w:hAnsi="宋体"/>
                <w:b/>
                <w:i/>
                <w:sz w:val="22"/>
                <w:u w:val="single"/>
              </w:rPr>
              <w:t>此项</w:t>
            </w:r>
            <w:r>
              <w:rPr>
                <w:rFonts w:hint="eastAsia" w:ascii="宋体" w:hAnsi="宋体"/>
                <w:b/>
                <w:i/>
                <w:sz w:val="22"/>
                <w:u w:val="single"/>
                <w:lang w:val="zh-CN"/>
              </w:rPr>
              <w:t>供应商必须提供，否则不能通过</w:t>
            </w:r>
            <w:r>
              <w:rPr>
                <w:rFonts w:hint="eastAsia" w:ascii="宋体" w:hAnsi="宋体"/>
                <w:b/>
                <w:i/>
                <w:sz w:val="22"/>
                <w:u w:val="single"/>
              </w:rPr>
              <w:t>资格性</w:t>
            </w:r>
            <w:r>
              <w:rPr>
                <w:rFonts w:hint="eastAsia" w:ascii="宋体" w:hAnsi="宋体"/>
                <w:b/>
                <w:i/>
                <w:sz w:val="22"/>
                <w:u w:val="single"/>
                <w:lang w:val="zh-CN"/>
              </w:rPr>
              <w:t>审查的，责任自负</w:t>
            </w:r>
            <w:r>
              <w:rPr>
                <w:rFonts w:hint="eastAsia" w:ascii="宋体" w:hAnsi="宋体"/>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79" w:type="dxa"/>
            <w:gridSpan w:val="2"/>
            <w:noWrap w:val="0"/>
            <w:vAlign w:val="center"/>
          </w:tcPr>
          <w:p>
            <w:pPr>
              <w:autoSpaceDE w:val="0"/>
              <w:autoSpaceDN w:val="0"/>
              <w:adjustRightInd w:val="0"/>
              <w:snapToGrid w:val="0"/>
              <w:spacing w:line="240" w:lineRule="atLeast"/>
              <w:jc w:val="center"/>
              <w:rPr>
                <w:rFonts w:hint="eastAsia" w:ascii="宋体" w:hAnsi="宋体"/>
                <w:sz w:val="22"/>
              </w:rPr>
            </w:pPr>
            <w:r>
              <w:rPr>
                <w:rFonts w:hint="eastAsia" w:ascii="宋体" w:hAnsi="宋体"/>
                <w:sz w:val="22"/>
              </w:rPr>
              <w:t>资格要求</w:t>
            </w:r>
          </w:p>
        </w:tc>
        <w:tc>
          <w:tcPr>
            <w:tcW w:w="6141" w:type="dxa"/>
            <w:noWrap w:val="0"/>
            <w:vAlign w:val="center"/>
          </w:tcPr>
          <w:p>
            <w:pPr>
              <w:autoSpaceDE w:val="0"/>
              <w:autoSpaceDN w:val="0"/>
              <w:adjustRightInd w:val="0"/>
              <w:snapToGrid w:val="0"/>
              <w:spacing w:line="240" w:lineRule="atLeast"/>
              <w:jc w:val="center"/>
              <w:rPr>
                <w:rFonts w:hint="eastAsia" w:ascii="宋体" w:hAnsi="宋体"/>
                <w:sz w:val="22"/>
              </w:rPr>
            </w:pPr>
            <w:r>
              <w:rPr>
                <w:rFonts w:hint="eastAsia" w:ascii="宋体" w:hAnsi="宋体"/>
                <w:sz w:val="22"/>
              </w:rPr>
              <w:t>证明材料（加盖电子签章）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具有独立承担民事责任的能力；</w:t>
            </w:r>
          </w:p>
        </w:tc>
        <w:tc>
          <w:tcPr>
            <w:tcW w:w="6141"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供应商为营利法人的，应提交营业执照；供应商为依法允许经营的事业单位的，应提交事业单位法人证书；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center"/>
          </w:tcPr>
          <w:p>
            <w:pPr>
              <w:autoSpaceDE w:val="0"/>
              <w:autoSpaceDN w:val="0"/>
              <w:adjustRightInd w:val="0"/>
              <w:snapToGrid w:val="0"/>
              <w:spacing w:line="240" w:lineRule="atLeast"/>
              <w:jc w:val="left"/>
              <w:rPr>
                <w:rFonts w:hint="eastAsia" w:ascii="宋体" w:hAnsi="宋体"/>
                <w:sz w:val="22"/>
              </w:rPr>
            </w:pPr>
            <w:r>
              <w:rPr>
                <w:rFonts w:hint="eastAsia" w:ascii="宋体" w:hAnsi="宋体"/>
                <w:sz w:val="22"/>
              </w:rPr>
              <w:t>具有良好的商业信誉和健全的财务会计制度；</w:t>
            </w:r>
          </w:p>
        </w:tc>
        <w:tc>
          <w:tcPr>
            <w:tcW w:w="6141" w:type="dxa"/>
            <w:noWrap w:val="0"/>
            <w:vAlign w:val="top"/>
          </w:tcPr>
          <w:p>
            <w:pPr>
              <w:autoSpaceDE w:val="0"/>
              <w:autoSpaceDN w:val="0"/>
              <w:adjustRightInd w:val="0"/>
              <w:snapToGrid w:val="0"/>
              <w:spacing w:line="240" w:lineRule="atLeast"/>
              <w:rPr>
                <w:rFonts w:hint="eastAsia" w:ascii="宋体" w:hAnsi="宋体"/>
              </w:rPr>
            </w:pPr>
            <w:r>
              <w:rPr>
                <w:rFonts w:hint="eastAsia" w:ascii="宋体" w:hAnsi="宋体"/>
              </w:rPr>
              <w:t>提供下列之一证明材料：</w:t>
            </w:r>
          </w:p>
          <w:p>
            <w:pPr>
              <w:autoSpaceDE w:val="0"/>
              <w:autoSpaceDN w:val="0"/>
              <w:adjustRightInd w:val="0"/>
              <w:snapToGrid w:val="0"/>
              <w:spacing w:line="240" w:lineRule="atLeast"/>
              <w:rPr>
                <w:rFonts w:hint="eastAsia" w:ascii="宋体" w:hAnsi="宋体"/>
              </w:rPr>
            </w:pPr>
            <w:r>
              <w:rPr>
                <w:rFonts w:hint="eastAsia" w:ascii="宋体" w:hAnsi="宋体"/>
              </w:rPr>
              <w:t>①提供近期财务报表。</w:t>
            </w:r>
          </w:p>
          <w:p>
            <w:pPr>
              <w:autoSpaceDE w:val="0"/>
              <w:autoSpaceDN w:val="0"/>
              <w:adjustRightInd w:val="0"/>
              <w:snapToGrid w:val="0"/>
              <w:spacing w:line="240" w:lineRule="atLeast"/>
              <w:rPr>
                <w:rFonts w:hint="eastAsia" w:ascii="宋体" w:hAnsi="宋体"/>
                <w:sz w:val="22"/>
              </w:rPr>
            </w:pPr>
            <w:r>
              <w:rPr>
                <w:rFonts w:hint="eastAsia" w:ascii="宋体" w:hAnsi="宋体"/>
              </w:rPr>
              <w:t>②银行资信证明。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具有履行合同所必需的设备和专业技术能力；</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有依法缴纳税收和社会保障资金的良好记录；</w:t>
            </w:r>
          </w:p>
        </w:tc>
        <w:tc>
          <w:tcPr>
            <w:tcW w:w="6141" w:type="dxa"/>
            <w:noWrap w:val="0"/>
            <w:vAlign w:val="top"/>
          </w:tcPr>
          <w:p>
            <w:pPr>
              <w:autoSpaceDE w:val="0"/>
              <w:autoSpaceDN w:val="0"/>
              <w:adjustRightInd w:val="0"/>
              <w:snapToGrid w:val="0"/>
              <w:spacing w:line="240" w:lineRule="atLeast"/>
              <w:rPr>
                <w:rFonts w:hint="eastAsia" w:ascii="宋体" w:hAnsi="宋体"/>
              </w:rPr>
            </w:pPr>
            <w:r>
              <w:rPr>
                <w:rFonts w:hint="eastAsia" w:ascii="宋体" w:hAnsi="宋体"/>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文件。</w:t>
            </w:r>
          </w:p>
          <w:p>
            <w:pPr>
              <w:autoSpaceDE w:val="0"/>
              <w:autoSpaceDN w:val="0"/>
              <w:adjustRightInd w:val="0"/>
              <w:snapToGrid w:val="0"/>
              <w:spacing w:line="240" w:lineRule="atLeast"/>
              <w:rPr>
                <w:rFonts w:hint="eastAsia" w:ascii="宋体" w:hAnsi="宋体"/>
                <w:sz w:val="22"/>
              </w:rPr>
            </w:pPr>
            <w:r>
              <w:rPr>
                <w:rFonts w:hint="eastAsia" w:ascii="宋体" w:hAnsi="宋体"/>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参加政府采购活动前三年内，在经营活动中没有重大违法记录；</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供应商未被列入失信被执行人名单、重大税收违法案件当事人名单、政府采购严重违法失信行为记录名单，信用信息以投标截止日信用中国网站（www.creditchina.gov.cn）、中国政府采购网（www.ccgp.gov.cn）公布为准；</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单位负责人为同一人或者存在直接控股、管理关系的不同供应商，不得参加同一合同项下的政府采购活动；</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lang w:val="zh-CN"/>
              </w:rPr>
            </w:pPr>
            <w:r>
              <w:rPr>
                <w:rFonts w:hint="eastAsia" w:ascii="宋体" w:hAnsi="宋体"/>
                <w:color w:val="000000"/>
                <w:sz w:val="22"/>
                <w:shd w:val="clear" w:color="auto" w:fill="FFFFFF"/>
              </w:rPr>
              <w:t>政府采购云平台运营机构，以及与该机构有直接控股或者管理关系的任何单位和个人，不得参与本项目电子交易活动。</w:t>
            </w:r>
          </w:p>
        </w:tc>
        <w:tc>
          <w:tcPr>
            <w:tcW w:w="6141" w:type="dxa"/>
            <w:noWrap w:val="0"/>
            <w:vAlign w:val="center"/>
          </w:tcPr>
          <w:p>
            <w:pPr>
              <w:autoSpaceDE w:val="0"/>
              <w:autoSpaceDN w:val="0"/>
              <w:adjustRightInd w:val="0"/>
              <w:snapToGrid w:val="0"/>
              <w:spacing w:line="240" w:lineRule="atLeast"/>
              <w:rPr>
                <w:rFonts w:hint="eastAsia" w:ascii="宋体" w:hAnsi="宋体"/>
                <w:color w:val="000000"/>
                <w:sz w:val="22"/>
                <w:shd w:val="clear" w:color="auto" w:fill="FFFFFF"/>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color w:val="000000"/>
                <w:sz w:val="22"/>
                <w:shd w:val="clear" w:color="auto" w:fill="FFFFFF"/>
              </w:rPr>
            </w:pPr>
            <w:r>
              <w:rPr>
                <w:rFonts w:hint="eastAsia" w:ascii="宋体" w:hAnsi="宋体"/>
                <w:sz w:val="22"/>
              </w:rPr>
              <w:t>供应商法定代表人授权书；如为法定代表人参与的只须提供法人身份证明。</w:t>
            </w:r>
          </w:p>
        </w:tc>
        <w:tc>
          <w:tcPr>
            <w:tcW w:w="6141"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如为法人提供法人代表身份证明；</w:t>
            </w:r>
          </w:p>
          <w:p>
            <w:pPr>
              <w:autoSpaceDE w:val="0"/>
              <w:autoSpaceDN w:val="0"/>
              <w:adjustRightInd w:val="0"/>
              <w:snapToGrid w:val="0"/>
              <w:spacing w:line="240" w:lineRule="atLeast"/>
              <w:rPr>
                <w:rFonts w:hint="eastAsia" w:ascii="宋体" w:hAnsi="宋体"/>
                <w:color w:val="000000"/>
                <w:sz w:val="22"/>
                <w:shd w:val="clear" w:color="auto" w:fill="FFFFFF"/>
              </w:rPr>
            </w:pPr>
            <w:r>
              <w:rPr>
                <w:rFonts w:hint="eastAsia" w:ascii="宋体" w:hAnsi="宋体"/>
                <w:sz w:val="22"/>
              </w:rPr>
              <w:t>如为授权代表提供授权书；（格式见附件）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3"/>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二、特定资格条件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widowControl/>
              <w:snapToGrid w:val="0"/>
              <w:spacing w:line="380" w:lineRule="exact"/>
              <w:jc w:val="left"/>
              <w:rPr>
                <w:rFonts w:hint="eastAsia" w:ascii="宋体" w:hAnsi="宋体"/>
                <w:sz w:val="22"/>
              </w:rPr>
            </w:pPr>
            <w:r>
              <w:rPr>
                <w:rFonts w:hint="eastAsia" w:ascii="宋体" w:hAnsi="宋体"/>
                <w:sz w:val="22"/>
              </w:rPr>
              <w:t>须具有为系统整体运行、维护的自有管道光纤资源（或提供与运营商就本项目已签订的光纤资源使用协议，可中标后3日内提供）</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须具有为系统整体运行、维护的自有管道光纤资源证明文件或提供与运营商就本项目已签订的光纤资源使用协议；协议如中标后提供的，须提供承诺函，格式自拟。</w:t>
            </w:r>
          </w:p>
        </w:tc>
      </w:tr>
    </w:tbl>
    <w:p>
      <w:pPr>
        <w:autoSpaceDE w:val="0"/>
        <w:autoSpaceDN w:val="0"/>
        <w:adjustRightInd w:val="0"/>
        <w:spacing w:line="460" w:lineRule="atLeast"/>
        <w:ind w:firstLine="440" w:firstLineChars="200"/>
        <w:rPr>
          <w:rFonts w:hint="eastAsia" w:ascii="宋体" w:hAnsi="宋体"/>
          <w:b/>
          <w:sz w:val="22"/>
          <w:lang w:val="zh-CN"/>
        </w:rPr>
      </w:pPr>
      <w:r>
        <w:rPr>
          <w:rFonts w:hint="eastAsia" w:ascii="宋体" w:hAnsi="宋体"/>
          <w:b/>
          <w:sz w:val="22"/>
          <w:lang w:val="zh-CN"/>
        </w:rPr>
        <w:t>2.</w:t>
      </w:r>
      <w:r>
        <w:rPr>
          <w:rFonts w:hint="eastAsia" w:ascii="宋体" w:hAnsi="宋体"/>
          <w:b/>
          <w:sz w:val="22"/>
        </w:rPr>
        <w:t>2</w:t>
      </w:r>
      <w:r>
        <w:rPr>
          <w:rFonts w:hint="eastAsia" w:ascii="宋体" w:hAnsi="宋体"/>
          <w:b/>
          <w:sz w:val="22"/>
          <w:lang w:val="zh-CN"/>
        </w:rPr>
        <w:t>、</w:t>
      </w:r>
      <w:r>
        <w:rPr>
          <w:rFonts w:hint="eastAsia" w:ascii="宋体" w:hAnsi="宋体"/>
          <w:b/>
          <w:sz w:val="22"/>
          <w:u w:val="single"/>
        </w:rPr>
        <w:t>报价要求部分</w:t>
      </w:r>
      <w:r>
        <w:rPr>
          <w:rFonts w:hint="eastAsia" w:ascii="宋体" w:hAnsi="宋体"/>
          <w:b/>
          <w:sz w:val="22"/>
          <w:u w:val="single"/>
          <w:lang w:val="zh-CN"/>
        </w:rPr>
        <w:t>组成</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autoSpaceDE w:val="0"/>
              <w:autoSpaceDN w:val="0"/>
              <w:adjustRightInd w:val="0"/>
              <w:snapToGrid w:val="0"/>
              <w:spacing w:line="430" w:lineRule="atLeast"/>
              <w:rPr>
                <w:rFonts w:hint="eastAsia" w:ascii="宋体" w:hAnsi="宋体"/>
                <w:szCs w:val="21"/>
                <w:lang w:val="zh-CN"/>
              </w:rPr>
            </w:pPr>
            <w:bookmarkStart w:id="17" w:name="_Toc132122410"/>
            <w:bookmarkStart w:id="18" w:name="_Toc132122113"/>
            <w:r>
              <w:rPr>
                <w:rFonts w:hint="eastAsia" w:ascii="宋体" w:hAnsi="宋体"/>
                <w:szCs w:val="21"/>
                <w:lang w:val="zh-CN"/>
              </w:rPr>
              <w:t>序号</w:t>
            </w:r>
          </w:p>
        </w:tc>
        <w:tc>
          <w:tcPr>
            <w:tcW w:w="880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内容（</w:t>
            </w:r>
            <w:r>
              <w:rPr>
                <w:rFonts w:hint="eastAsia" w:ascii="宋体" w:hAnsi="宋体"/>
                <w:color w:val="00B0F0"/>
                <w:szCs w:val="21"/>
                <w:lang w:val="zh-CN"/>
              </w:rPr>
              <w:t>▲序号</w:t>
            </w:r>
            <w:r>
              <w:rPr>
                <w:rFonts w:hint="eastAsia" w:ascii="宋体" w:hAnsi="宋体"/>
                <w:color w:val="00B0F0"/>
                <w:szCs w:val="21"/>
              </w:rPr>
              <w:t>2</w:t>
            </w:r>
            <w:r>
              <w:rPr>
                <w:rFonts w:hint="eastAsia" w:ascii="宋体" w:hAnsi="宋体"/>
                <w:color w:val="00B0F0"/>
                <w:szCs w:val="21"/>
                <w:lang w:val="zh-CN"/>
              </w:rPr>
              <w:t>-</w:t>
            </w:r>
            <w:r>
              <w:rPr>
                <w:rFonts w:hint="eastAsia" w:ascii="宋体" w:hAnsi="宋体"/>
                <w:color w:val="00B0F0"/>
                <w:szCs w:val="21"/>
              </w:rPr>
              <w:t>3</w:t>
            </w:r>
            <w:r>
              <w:rPr>
                <w:rFonts w:hint="eastAsia" w:ascii="宋体" w:hAnsi="宋体"/>
                <w:color w:val="00B0F0"/>
                <w:szCs w:val="21"/>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5"/>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color w:val="000000"/>
                <w:sz w:val="22"/>
              </w:rPr>
              <w:t>报价要求投标文件封面（格式自拟）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5"/>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pacing w:line="430" w:lineRule="atLeast"/>
              <w:textAlignment w:val="bottom"/>
              <w:rPr>
                <w:rFonts w:hint="eastAsia" w:ascii="宋体" w:hAnsi="宋体"/>
                <w:szCs w:val="21"/>
              </w:rPr>
            </w:pPr>
            <w:r>
              <w:rPr>
                <w:rFonts w:hint="eastAsia" w:ascii="宋体" w:hAnsi="宋体"/>
                <w:szCs w:val="21"/>
              </w:rPr>
              <w:t>开标一览表（附件一）；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5"/>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pacing w:line="430" w:lineRule="atLeast"/>
              <w:textAlignment w:val="bottom"/>
              <w:rPr>
                <w:rFonts w:hint="eastAsia" w:ascii="宋体" w:hAnsi="宋体"/>
                <w:szCs w:val="21"/>
                <w:lang w:val="zh-CN"/>
              </w:rPr>
            </w:pPr>
            <w:r>
              <w:rPr>
                <w:rFonts w:hint="eastAsia" w:ascii="宋体" w:hAnsi="宋体"/>
                <w:szCs w:val="21"/>
              </w:rPr>
              <w:t>投标分项价格表（附件二）；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5"/>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Cs w:val="21"/>
              </w:rPr>
              <w:t>享受小微企业</w:t>
            </w:r>
            <w:r>
              <w:rPr>
                <w:rFonts w:hint="eastAsia" w:ascii="宋体" w:hAnsi="宋体"/>
                <w:sz w:val="22"/>
              </w:rPr>
              <w:t>（含监狱企业、残疾人福利性单位）</w:t>
            </w:r>
            <w:r>
              <w:rPr>
                <w:rFonts w:hint="eastAsia" w:ascii="宋体" w:hAnsi="宋体"/>
                <w:szCs w:val="21"/>
              </w:rPr>
              <w:t>价格折扣须按供应商单位性质提供以下相关的证明材料：</w:t>
            </w:r>
          </w:p>
          <w:p>
            <w:pPr>
              <w:autoSpaceDE w:val="0"/>
              <w:autoSpaceDN w:val="0"/>
              <w:adjustRightInd w:val="0"/>
              <w:snapToGrid w:val="0"/>
              <w:spacing w:line="430" w:lineRule="atLeast"/>
              <w:rPr>
                <w:rFonts w:hint="eastAsia" w:ascii="宋体" w:hAnsi="宋体"/>
                <w:szCs w:val="21"/>
              </w:rPr>
            </w:pPr>
            <w:r>
              <w:rPr>
                <w:rFonts w:hint="eastAsia" w:ascii="宋体" w:hAnsi="宋体"/>
                <w:szCs w:val="21"/>
              </w:rPr>
              <w:t>（1）通过浙江政府采购网申请注册加入政府采购供应商库（不包括公示期内，提供浙江省政府采购网页面截图或其他入库证明材料，加盖供应商公章）</w:t>
            </w:r>
          </w:p>
          <w:p>
            <w:pPr>
              <w:autoSpaceDE w:val="0"/>
              <w:autoSpaceDN w:val="0"/>
              <w:adjustRightInd w:val="0"/>
              <w:snapToGrid w:val="0"/>
              <w:spacing w:line="430" w:lineRule="atLeast"/>
              <w:rPr>
                <w:rFonts w:hint="eastAsia" w:ascii="宋体" w:hAnsi="宋体"/>
                <w:szCs w:val="21"/>
              </w:rPr>
            </w:pPr>
            <w:r>
              <w:rPr>
                <w:rFonts w:hint="eastAsia" w:ascii="宋体" w:hAnsi="宋体"/>
                <w:szCs w:val="21"/>
              </w:rPr>
              <w:t>（2）《中小企业声明函》（加盖供应商公章，格式见采购文件第四部分附件1）</w:t>
            </w:r>
          </w:p>
          <w:p>
            <w:pPr>
              <w:autoSpaceDE w:val="0"/>
              <w:autoSpaceDN w:val="0"/>
              <w:adjustRightInd w:val="0"/>
              <w:snapToGrid w:val="0"/>
              <w:spacing w:line="430" w:lineRule="atLeast"/>
              <w:rPr>
                <w:rFonts w:hint="eastAsia" w:ascii="宋体" w:hAnsi="宋体"/>
                <w:szCs w:val="21"/>
              </w:rPr>
            </w:pPr>
            <w:r>
              <w:rPr>
                <w:rFonts w:hint="eastAsia" w:ascii="宋体" w:hAnsi="宋体"/>
                <w:szCs w:val="21"/>
              </w:rPr>
              <w:t>（3）监狱企业参加政府采购活动时，应当提供由省级以上监狱管理局、戒毒管理局(含新疆生产建设兵团)出具的属于监狱企业的证明文件（加盖公章）。在政府采购活动中，监狱企业视同小型、微型企业，享受评审中价格扣除政策。</w:t>
            </w:r>
          </w:p>
          <w:p>
            <w:pPr>
              <w:autoSpaceDE w:val="0"/>
              <w:autoSpaceDN w:val="0"/>
              <w:adjustRightInd w:val="0"/>
              <w:spacing w:line="430" w:lineRule="atLeast"/>
              <w:textAlignment w:val="bottom"/>
              <w:rPr>
                <w:rFonts w:hint="eastAsia" w:ascii="宋体" w:hAnsi="宋体"/>
                <w:szCs w:val="21"/>
              </w:rPr>
            </w:pPr>
            <w:r>
              <w:rPr>
                <w:rFonts w:hint="eastAsia" w:ascii="宋体" w:hAnsi="宋体"/>
                <w:szCs w:val="21"/>
              </w:rPr>
              <w:t>（4）残疾人福利性单位声明函（加盖供应商公章，格式见采购文件第四部分附件3）在政府采购活动中，残疾人福利性单位视同小型、微型企业，享受评审中价格扣除政策。</w:t>
            </w:r>
          </w:p>
        </w:tc>
      </w:tr>
    </w:tbl>
    <w:p>
      <w:pPr>
        <w:autoSpaceDE w:val="0"/>
        <w:autoSpaceDN w:val="0"/>
        <w:adjustRightInd w:val="0"/>
        <w:snapToGrid w:val="0"/>
        <w:spacing w:line="430" w:lineRule="atLeast"/>
        <w:ind w:firstLine="440" w:firstLineChars="200"/>
        <w:textAlignment w:val="bottom"/>
        <w:rPr>
          <w:rFonts w:hint="eastAsia" w:ascii="宋体" w:hAnsi="宋体"/>
          <w:sz w:val="22"/>
        </w:rPr>
      </w:pPr>
      <w:r>
        <w:rPr>
          <w:rFonts w:hint="eastAsia" w:ascii="宋体" w:hAnsi="宋体"/>
          <w:sz w:val="22"/>
        </w:rPr>
        <w:t>2.2商务技术部分组成</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序号</w:t>
            </w:r>
          </w:p>
        </w:tc>
        <w:tc>
          <w:tcPr>
            <w:tcW w:w="875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 w:val="22"/>
              </w:rPr>
              <w:t>商务技术投标文件封面（格式自拟）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0" w:type="dxa"/>
            <w:gridSpan w:val="2"/>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资信部分（▲资料提供不齐全，将可能导致不利的评定）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投标函（见附件）；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法定代表人诚信投标承诺书（见附件）；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供应商供应商基本情况表（见附件）；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供应商质量体系认证证书（如有则提供）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供应商环境体系认证证书（如有则提供）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供应商具有的其他相关资质证书（如有则提供）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根据评分标准需提供的项目业绩清单（附件）.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60" w:type="dxa"/>
            <w:gridSpan w:val="2"/>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Cs w:val="21"/>
              </w:rPr>
              <w:t>技术部分</w:t>
            </w:r>
            <w:r>
              <w:rPr>
                <w:rFonts w:hint="eastAsia" w:ascii="宋体" w:hAnsi="宋体"/>
                <w:szCs w:val="21"/>
                <w:lang w:val="zh-CN"/>
              </w:rPr>
              <w:t>（▲资料提供不齐全，将可能导致不利的评定）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商务偏离表（见附件）、技术偏离表（见附件）；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bCs/>
                <w:sz w:val="22"/>
              </w:rPr>
            </w:pPr>
            <w:r>
              <w:rPr>
                <w:rFonts w:hint="eastAsia" w:ascii="宋体"/>
                <w:sz w:val="22"/>
              </w:rPr>
              <w:t>所投产品的主要部件配置清单（附件）；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sz w:val="22"/>
              </w:rPr>
              <w:t>详细的技术方案；所投产品详细技术规格书及所投产品的主要技术、设计、制造工艺、配置、性能、特点和结构质量水平的详细描述及彩色实物图片；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sz w:val="22"/>
              </w:rPr>
              <w:t>相关所投产品的相关检测报告、相关产品生产销售许可证；自主创新、节能、绿色环保方面认证等；（如有则提供，复印件加盖有效公章）；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rPr>
                <w:rFonts w:hint="eastAsia" w:ascii="宋体" w:hAnsi="宋体"/>
                <w:kern w:val="0"/>
                <w:sz w:val="22"/>
              </w:rPr>
            </w:pPr>
            <w:r>
              <w:rPr>
                <w:rFonts w:hint="eastAsia" w:ascii="宋体" w:hAnsi="宋体"/>
                <w:kern w:val="0"/>
                <w:sz w:val="22"/>
              </w:rPr>
              <w:t>投标人的技术方案，包括但是不限于以下内容：</w:t>
            </w:r>
          </w:p>
          <w:p>
            <w:pPr>
              <w:rPr>
                <w:rFonts w:hint="eastAsia" w:ascii="宋体" w:hAnsi="宋体"/>
                <w:kern w:val="0"/>
                <w:sz w:val="22"/>
              </w:rPr>
            </w:pPr>
            <w:r>
              <w:rPr>
                <w:rFonts w:hint="eastAsia" w:ascii="宋体" w:hAnsi="宋体"/>
                <w:kern w:val="0"/>
                <w:sz w:val="22"/>
              </w:rPr>
              <w:t>1）</w:t>
            </w:r>
            <w:r>
              <w:rPr>
                <w:rFonts w:hint="eastAsia" w:ascii="宋体" w:hAnsi="宋体"/>
                <w:color w:val="000000"/>
                <w:kern w:val="0"/>
                <w:sz w:val="22"/>
              </w:rPr>
              <w:t>投标人提供完整的技术方案，系统建设提出合理的技术应用方案，方案内容包括招标文件所有要求条款；</w:t>
            </w:r>
          </w:p>
          <w:p>
            <w:pPr>
              <w:rPr>
                <w:rFonts w:hint="eastAsia" w:ascii="宋体" w:hAnsi="宋体"/>
                <w:kern w:val="0"/>
                <w:sz w:val="22"/>
              </w:rPr>
            </w:pPr>
            <w:r>
              <w:rPr>
                <w:rFonts w:hint="eastAsia" w:ascii="宋体" w:hAnsi="宋体"/>
                <w:kern w:val="0"/>
                <w:sz w:val="22"/>
              </w:rPr>
              <w:t>2）</w:t>
            </w:r>
            <w:r>
              <w:rPr>
                <w:rFonts w:hint="eastAsia" w:ascii="宋体" w:hAnsi="宋体"/>
                <w:color w:val="000000"/>
                <w:kern w:val="0"/>
                <w:sz w:val="22"/>
              </w:rPr>
              <w:t>结构图、流程图、系统图等完整、准确、规范，对招标文件技术性条款进行详细应答说明；</w:t>
            </w:r>
          </w:p>
          <w:p>
            <w:pPr>
              <w:rPr>
                <w:rFonts w:hint="eastAsia" w:ascii="宋体"/>
                <w:sz w:val="22"/>
              </w:rPr>
            </w:pPr>
            <w:r>
              <w:rPr>
                <w:rFonts w:hint="eastAsia" w:ascii="宋体" w:hAnsi="宋体"/>
                <w:kern w:val="0"/>
                <w:sz w:val="22"/>
              </w:rPr>
              <w:t>3）</w:t>
            </w:r>
            <w:r>
              <w:rPr>
                <w:rFonts w:hint="eastAsia" w:ascii="宋体" w:hAnsi="宋体"/>
                <w:color w:val="000000"/>
                <w:kern w:val="0"/>
                <w:sz w:val="22"/>
              </w:rPr>
              <w:t>针对招标人指定点位（含视频监控、卡口、相关附属设备）的增加、移机、故障处置、**保障等应急解决能力；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center"/>
          </w:tcPr>
          <w:p>
            <w:pPr>
              <w:tabs>
                <w:tab w:val="left" w:pos="2561"/>
              </w:tabs>
              <w:rPr>
                <w:rFonts w:hint="eastAsia" w:ascii="宋体" w:hAnsi="宋体"/>
                <w:kern w:val="0"/>
                <w:sz w:val="22"/>
              </w:rPr>
            </w:pPr>
            <w:r>
              <w:rPr>
                <w:rFonts w:hint="eastAsia" w:ascii="宋体" w:hAnsi="宋体"/>
                <w:color w:val="000000"/>
                <w:kern w:val="0"/>
                <w:sz w:val="22"/>
              </w:rPr>
              <w:t>维护保障能力；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center"/>
          </w:tcPr>
          <w:p>
            <w:pPr>
              <w:tabs>
                <w:tab w:val="left" w:pos="2561"/>
              </w:tabs>
              <w:rPr>
                <w:rFonts w:hint="eastAsia" w:ascii="宋体" w:hAnsi="宋体"/>
                <w:color w:val="000000"/>
                <w:kern w:val="0"/>
                <w:sz w:val="22"/>
              </w:rPr>
            </w:pPr>
            <w:r>
              <w:rPr>
                <w:rFonts w:hint="eastAsia" w:ascii="宋体" w:hAnsi="宋体"/>
                <w:color w:val="000000"/>
                <w:kern w:val="0"/>
                <w:sz w:val="22"/>
              </w:rPr>
              <w:t>施工组织计划；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rPr>
            </w:pPr>
            <w:r>
              <w:rPr>
                <w:rFonts w:hint="eastAsia"/>
              </w:rPr>
              <w:t>技术支持情况与服务支持能力，包括但是不限于以下内容：</w:t>
            </w:r>
          </w:p>
          <w:p>
            <w:pPr>
              <w:autoSpaceDE w:val="0"/>
              <w:autoSpaceDN w:val="0"/>
              <w:adjustRightInd w:val="0"/>
              <w:snapToGrid w:val="0"/>
              <w:spacing w:line="430" w:lineRule="atLeast"/>
              <w:rPr>
                <w:rFonts w:hint="eastAsia"/>
              </w:rPr>
            </w:pPr>
            <w:r>
              <w:rPr>
                <w:rFonts w:hint="eastAsia"/>
              </w:rPr>
              <w:t>项目负责人资格情况表（附件）；</w:t>
            </w:r>
          </w:p>
          <w:p>
            <w:pPr>
              <w:autoSpaceDE w:val="0"/>
              <w:autoSpaceDN w:val="0"/>
              <w:adjustRightInd w:val="0"/>
              <w:snapToGrid w:val="0"/>
              <w:spacing w:line="430" w:lineRule="atLeast"/>
              <w:rPr>
                <w:rFonts w:hint="eastAsia"/>
              </w:rPr>
            </w:pPr>
            <w:r>
              <w:rPr>
                <w:rFonts w:hint="eastAsia"/>
              </w:rPr>
              <w:t>项目服务人员汇总表（附件）；</w:t>
            </w:r>
          </w:p>
          <w:p>
            <w:pPr>
              <w:pStyle w:val="2"/>
              <w:rPr>
                <w:rFonts w:hint="eastAsia" w:ascii="宋体"/>
                <w:sz w:val="22"/>
              </w:rPr>
            </w:pPr>
            <w:r>
              <w:rPr>
                <w:rFonts w:hint="eastAsia" w:ascii="宋体" w:hAnsi="宋体"/>
                <w:color w:val="000000"/>
                <w:kern w:val="0"/>
                <w:sz w:val="22"/>
              </w:rPr>
              <w:t>主要设备厂商在本地区确定的服务点的配备情况；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hAnsi="宋体"/>
                <w:color w:val="000000"/>
                <w:kern w:val="0"/>
                <w:sz w:val="22"/>
              </w:rPr>
              <w:t>点位优惠情况；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center"/>
          </w:tcPr>
          <w:p>
            <w:pPr>
              <w:autoSpaceDE w:val="0"/>
              <w:autoSpaceDN w:val="0"/>
              <w:adjustRightInd w:val="0"/>
              <w:snapToGrid w:val="0"/>
              <w:spacing w:line="430" w:lineRule="atLeast"/>
              <w:rPr>
                <w:rFonts w:hint="eastAsia" w:ascii="宋体" w:hAnsi="宋体"/>
                <w:sz w:val="22"/>
              </w:rPr>
            </w:pPr>
            <w:r>
              <w:rPr>
                <w:rFonts w:hint="eastAsia" w:ascii="宋体"/>
                <w:sz w:val="22"/>
              </w:rPr>
              <w:t xml:space="preserve">服务承诺：技术服务和售后服务的内容、措施、承诺，包括质保期、距采购人最近的服务网点的详细介绍，资质资格、技术力量、成立时间；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根据招标文件中的采购内容与技术要求、评标细则，需要提供的其他文件和资料。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供应商针对评分细则，编制目录索引，注明评标细则项目所在投标文件页码。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制作投标文件时应把打分的相关内容关联到打分点上，以便于专家查找，因没有关联导致专家无法找到相关评分内容的，由投标单位自行承担。</w:t>
            </w:r>
          </w:p>
        </w:tc>
      </w:tr>
      <w:bookmarkEnd w:id="17"/>
      <w:bookmarkEnd w:id="18"/>
    </w:tbl>
    <w:p>
      <w:pPr>
        <w:tabs>
          <w:tab w:val="left" w:pos="422"/>
        </w:tabs>
        <w:autoSpaceDE w:val="0"/>
        <w:autoSpaceDN w:val="0"/>
        <w:adjustRightInd w:val="0"/>
        <w:spacing w:line="450" w:lineRule="atLeast"/>
        <w:ind w:left="422"/>
        <w:textAlignment w:val="bottom"/>
        <w:rPr>
          <w:rFonts w:hint="eastAsia" w:ascii="宋体" w:hAnsi="宋体"/>
          <w:bCs/>
          <w:sz w:val="22"/>
        </w:rPr>
      </w:pPr>
      <w:r>
        <w:rPr>
          <w:rFonts w:hint="eastAsia" w:ascii="宋体" w:hAnsi="宋体"/>
          <w:bCs/>
          <w:sz w:val="22"/>
        </w:rPr>
        <w:t>3、</w:t>
      </w:r>
      <w:r>
        <w:rPr>
          <w:rFonts w:hint="eastAsia" w:ascii="宋体" w:hAnsi="宋体"/>
          <w:sz w:val="22"/>
        </w:rPr>
        <w:t>投标</w:t>
      </w:r>
      <w:r>
        <w:rPr>
          <w:rFonts w:hint="eastAsia" w:ascii="宋体" w:hAnsi="宋体"/>
          <w:bCs/>
          <w:sz w:val="22"/>
        </w:rPr>
        <w:t>内容填写说明</w:t>
      </w:r>
    </w:p>
    <w:p>
      <w:pPr>
        <w:autoSpaceDE w:val="0"/>
        <w:autoSpaceDN w:val="0"/>
        <w:adjustRightInd w:val="0"/>
        <w:spacing w:line="460" w:lineRule="atLeast"/>
        <w:ind w:firstLine="440" w:firstLineChars="200"/>
        <w:textAlignment w:val="bottom"/>
        <w:rPr>
          <w:rFonts w:hint="eastAsia" w:ascii="宋体" w:hAnsi="宋体"/>
          <w:bCs/>
          <w:sz w:val="22"/>
        </w:rPr>
      </w:pPr>
      <w:bookmarkStart w:id="19" w:name="_Toc132125574"/>
      <w:bookmarkStart w:id="20" w:name="_Toc132125095"/>
      <w:bookmarkStart w:id="21" w:name="_Toc132122119"/>
      <w:bookmarkStart w:id="22" w:name="_Toc132126154"/>
      <w:bookmarkStart w:id="23" w:name="_Toc132125151"/>
      <w:bookmarkStart w:id="24" w:name="_Toc132655776"/>
      <w:bookmarkStart w:id="25" w:name="_Toc132125037"/>
      <w:bookmarkStart w:id="26" w:name="_Toc132122416"/>
      <w:bookmarkStart w:id="27" w:name="_Toc132123881"/>
      <w:bookmarkStart w:id="28" w:name="_Toc132123838"/>
      <w:bookmarkStart w:id="29" w:name="_Toc132123547"/>
      <w:bookmarkStart w:id="30" w:name="_Toc132123439"/>
      <w:bookmarkStart w:id="31" w:name="_Toc132125983"/>
      <w:bookmarkStart w:id="32" w:name="_Toc132124594"/>
      <w:bookmarkStart w:id="33" w:name="_Toc132123634"/>
      <w:r>
        <w:rPr>
          <w:rFonts w:hint="eastAsia" w:ascii="宋体" w:hAnsi="宋体"/>
          <w:bCs/>
          <w:sz w:val="22"/>
        </w:rPr>
        <w:t>3.1、投标文件格式</w:t>
      </w:r>
    </w:p>
    <w:p>
      <w:pPr>
        <w:autoSpaceDE w:val="0"/>
        <w:autoSpaceDN w:val="0"/>
        <w:adjustRightInd w:val="0"/>
        <w:spacing w:line="460" w:lineRule="atLeast"/>
        <w:ind w:firstLine="440" w:firstLineChars="200"/>
        <w:textAlignment w:val="bottom"/>
        <w:rPr>
          <w:rFonts w:hint="eastAsia" w:ascii="宋体" w:hAnsi="宋体"/>
          <w:b/>
          <w:bCs/>
          <w:sz w:val="22"/>
        </w:rPr>
      </w:pPr>
      <w:r>
        <w:rPr>
          <w:rFonts w:hint="eastAsia" w:ascii="宋体" w:hAnsi="宋体"/>
          <w:bCs/>
          <w:sz w:val="22"/>
        </w:rPr>
        <w:t>供应商应按照第2条所列出的内容及格式</w:t>
      </w:r>
      <w:r>
        <w:rPr>
          <w:rFonts w:hint="eastAsia" w:ascii="宋体" w:hAnsi="宋体"/>
          <w:bCs/>
          <w:sz w:val="22"/>
          <w:u w:val="thick"/>
        </w:rPr>
        <w:t>逐一按顺序</w:t>
      </w:r>
      <w:r>
        <w:rPr>
          <w:rFonts w:hint="eastAsia" w:ascii="宋体" w:hAnsi="宋体"/>
          <w:bCs/>
          <w:sz w:val="22"/>
        </w:rPr>
        <w:t>组成投标文件</w:t>
      </w:r>
      <w:r>
        <w:rPr>
          <w:rFonts w:hint="eastAsia" w:ascii="宋体" w:hAnsi="宋体"/>
          <w:b/>
          <w:bCs/>
          <w:sz w:val="22"/>
        </w:rPr>
        <w:t>。</w:t>
      </w:r>
      <w:r>
        <w:rPr>
          <w:rFonts w:hint="eastAsia" w:ascii="宋体" w:hAnsi="宋体"/>
          <w:bCs/>
          <w:sz w:val="22"/>
        </w:rPr>
        <w:t>供应商应通过“政采云电子交易客户端”，并按照招标文件和“政府采购云平台”的要求编制并加密投标文件。</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3.2、开标一览表为商务标开标仪式上唱标的内容，供应商需按格式填写，统一规格，不得自行增减内容。</w:t>
      </w:r>
    </w:p>
    <w:p>
      <w:pPr>
        <w:autoSpaceDE w:val="0"/>
        <w:autoSpaceDN w:val="0"/>
        <w:adjustRightInd w:val="0"/>
        <w:spacing w:line="460" w:lineRule="atLeast"/>
        <w:ind w:firstLine="440" w:firstLineChars="200"/>
        <w:textAlignment w:val="bottom"/>
        <w:rPr>
          <w:rFonts w:hint="eastAsia" w:ascii="宋体" w:hAnsi="宋体"/>
          <w:sz w:val="22"/>
        </w:rPr>
      </w:pPr>
      <w:bookmarkStart w:id="34" w:name="_Toc132122115"/>
      <w:bookmarkStart w:id="35" w:name="_Toc132122412"/>
      <w:r>
        <w:rPr>
          <w:rFonts w:hint="eastAsia" w:ascii="宋体" w:hAnsi="宋体"/>
          <w:sz w:val="22"/>
        </w:rPr>
        <w:t>4、投标报价</w:t>
      </w:r>
      <w:bookmarkEnd w:id="34"/>
      <w:bookmarkEnd w:id="35"/>
    </w:p>
    <w:p>
      <w:pPr>
        <w:autoSpaceDE w:val="0"/>
        <w:autoSpaceDN w:val="0"/>
        <w:adjustRightInd w:val="0"/>
        <w:spacing w:line="460" w:lineRule="atLeast"/>
        <w:ind w:firstLine="440" w:firstLineChars="200"/>
        <w:textAlignment w:val="bottom"/>
        <w:rPr>
          <w:rFonts w:hint="eastAsia" w:ascii="宋体" w:hAnsi="宋体"/>
          <w:sz w:val="22"/>
        </w:rPr>
      </w:pPr>
      <w:bookmarkStart w:id="36" w:name="_Toc132122413"/>
      <w:bookmarkStart w:id="37" w:name="_Toc132122116"/>
      <w:r>
        <w:rPr>
          <w:rFonts w:hint="eastAsia" w:ascii="宋体" w:hAnsi="宋体"/>
          <w:sz w:val="22"/>
        </w:rPr>
        <w:t>4.1、供应商应按招标文件中《开标一览表》填写投标货物总价；按照招标文件中《投标分项报价表》填写投标服务数量、价格。</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4.2、本次招标只允许有一个报价，有选择的报价将不予接受。</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4.3、本次招标只有一次投标报价的机会，投标报价为到货并安装调试验收合格的全部费用。供应商应在各自技术和商务占优势的基础上并充分考虑本项目的重要性，提供对采购人最优惠的投标报价。</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4.4投标报价应包含但不限于以下内容。</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6"/>
    <w:bookmarkEnd w:id="37"/>
    <w:p>
      <w:pPr>
        <w:numPr>
          <w:ilvl w:val="0"/>
          <w:numId w:val="17"/>
        </w:numPr>
        <w:tabs>
          <w:tab w:val="left" w:pos="965"/>
          <w:tab w:val="left" w:pos="1025"/>
          <w:tab w:val="clear" w:pos="425"/>
        </w:tabs>
        <w:adjustRightInd w:val="0"/>
        <w:spacing w:line="450" w:lineRule="atLeast"/>
        <w:ind w:left="630" w:leftChars="300"/>
        <w:rPr>
          <w:rFonts w:hint="eastAsia" w:ascii="宋体" w:hAnsi="宋体"/>
          <w:b/>
          <w:sz w:val="22"/>
        </w:rPr>
      </w:pPr>
      <w:r>
        <w:rPr>
          <w:rFonts w:hint="eastAsia" w:ascii="宋体" w:hAnsi="宋体"/>
          <w:sz w:val="22"/>
        </w:rPr>
        <w:t>采购要求中的所有费用、产品价格、人工费用</w:t>
      </w:r>
    </w:p>
    <w:p>
      <w:pPr>
        <w:numPr>
          <w:ilvl w:val="0"/>
          <w:numId w:val="17"/>
        </w:numPr>
        <w:tabs>
          <w:tab w:val="left" w:pos="1025"/>
        </w:tabs>
        <w:adjustRightInd w:val="0"/>
        <w:spacing w:line="450" w:lineRule="atLeast"/>
        <w:ind w:left="630" w:leftChars="300"/>
        <w:rPr>
          <w:rFonts w:hint="eastAsia" w:ascii="宋体" w:hAnsi="宋体"/>
          <w:sz w:val="22"/>
        </w:rPr>
      </w:pPr>
      <w:r>
        <w:rPr>
          <w:rFonts w:hint="eastAsia" w:ascii="宋体" w:hAnsi="宋体"/>
          <w:sz w:val="22"/>
        </w:rPr>
        <w:t>关税、增值税、所得税、其他税与规费（包括产品报关、商检等）</w:t>
      </w:r>
    </w:p>
    <w:p>
      <w:pPr>
        <w:numPr>
          <w:ilvl w:val="0"/>
          <w:numId w:val="17"/>
        </w:numPr>
        <w:tabs>
          <w:tab w:val="left" w:pos="1025"/>
        </w:tabs>
        <w:adjustRightInd w:val="0"/>
        <w:spacing w:line="450" w:lineRule="atLeast"/>
        <w:ind w:left="630" w:leftChars="300"/>
        <w:rPr>
          <w:rFonts w:hint="eastAsia" w:ascii="宋体" w:hAnsi="宋体"/>
          <w:sz w:val="22"/>
        </w:rPr>
      </w:pPr>
      <w:r>
        <w:rPr>
          <w:rFonts w:hint="eastAsia" w:ascii="宋体" w:hAnsi="宋体"/>
          <w:sz w:val="22"/>
        </w:rPr>
        <w:t>随机工具、随机易损件费（计入产品价格，单列报价清单）</w:t>
      </w:r>
    </w:p>
    <w:p>
      <w:pPr>
        <w:numPr>
          <w:ilvl w:val="0"/>
          <w:numId w:val="17"/>
        </w:numPr>
        <w:tabs>
          <w:tab w:val="left" w:pos="1025"/>
        </w:tabs>
        <w:adjustRightInd w:val="0"/>
        <w:spacing w:line="450" w:lineRule="atLeast"/>
        <w:ind w:left="630" w:leftChars="300"/>
        <w:rPr>
          <w:rFonts w:hint="eastAsia" w:ascii="宋体" w:hAnsi="宋体"/>
          <w:sz w:val="22"/>
        </w:rPr>
      </w:pPr>
      <w:r>
        <w:rPr>
          <w:rFonts w:hint="eastAsia" w:ascii="宋体" w:hAnsi="宋体"/>
          <w:sz w:val="22"/>
        </w:rPr>
        <w:t>国内运杂费（包括产品到最终用户的装货、卸车、就位费等）</w:t>
      </w:r>
    </w:p>
    <w:p>
      <w:pPr>
        <w:numPr>
          <w:ilvl w:val="0"/>
          <w:numId w:val="17"/>
        </w:numPr>
        <w:tabs>
          <w:tab w:val="left" w:pos="1025"/>
        </w:tabs>
        <w:adjustRightInd w:val="0"/>
        <w:spacing w:line="450" w:lineRule="atLeast"/>
        <w:ind w:left="630" w:leftChars="300"/>
        <w:rPr>
          <w:rFonts w:hint="eastAsia" w:ascii="宋体" w:hAnsi="宋体"/>
          <w:sz w:val="22"/>
        </w:rPr>
      </w:pPr>
      <w:r>
        <w:rPr>
          <w:rFonts w:hint="eastAsia" w:ascii="宋体" w:hAnsi="宋体"/>
          <w:sz w:val="22"/>
        </w:rPr>
        <w:t>国内运输保险费（是否保险由供应商负责）</w:t>
      </w:r>
    </w:p>
    <w:p>
      <w:pPr>
        <w:numPr>
          <w:ilvl w:val="0"/>
          <w:numId w:val="17"/>
        </w:numPr>
        <w:tabs>
          <w:tab w:val="left" w:pos="1025"/>
        </w:tabs>
        <w:adjustRightInd w:val="0"/>
        <w:spacing w:line="436" w:lineRule="atLeast"/>
        <w:ind w:left="630" w:leftChars="300"/>
        <w:rPr>
          <w:rFonts w:hint="eastAsia" w:ascii="宋体" w:hAnsi="宋体"/>
          <w:sz w:val="22"/>
        </w:rPr>
      </w:pPr>
      <w:r>
        <w:rPr>
          <w:rFonts w:hint="eastAsia" w:ascii="宋体" w:hAnsi="宋体"/>
          <w:sz w:val="22"/>
        </w:rPr>
        <w:t>产品安装、调试、检验及验收费（包括人员的食宿、交通等）</w:t>
      </w:r>
    </w:p>
    <w:p>
      <w:pPr>
        <w:numPr>
          <w:ilvl w:val="0"/>
          <w:numId w:val="17"/>
        </w:numPr>
        <w:tabs>
          <w:tab w:val="left" w:pos="1025"/>
        </w:tabs>
        <w:adjustRightInd w:val="0"/>
        <w:spacing w:line="450" w:lineRule="atLeast"/>
        <w:ind w:left="630" w:leftChars="300"/>
        <w:rPr>
          <w:rFonts w:hint="eastAsia" w:ascii="宋体" w:hAnsi="宋体"/>
          <w:sz w:val="22"/>
          <w:u w:val="single"/>
        </w:rPr>
      </w:pPr>
      <w:r>
        <w:rPr>
          <w:rFonts w:hint="eastAsia" w:ascii="宋体" w:hAnsi="宋体"/>
          <w:sz w:val="22"/>
        </w:rPr>
        <w:t>服务及培训费</w:t>
      </w:r>
    </w:p>
    <w:p>
      <w:pPr>
        <w:numPr>
          <w:ilvl w:val="0"/>
          <w:numId w:val="17"/>
        </w:numPr>
        <w:tabs>
          <w:tab w:val="left" w:pos="1025"/>
        </w:tabs>
        <w:adjustRightInd w:val="0"/>
        <w:spacing w:line="450" w:lineRule="atLeast"/>
        <w:ind w:left="630" w:leftChars="300"/>
        <w:rPr>
          <w:rFonts w:hint="eastAsia"/>
        </w:rPr>
      </w:pPr>
      <w:r>
        <w:rPr>
          <w:rFonts w:hint="eastAsia"/>
        </w:rPr>
        <w:t>维保费用</w:t>
      </w:r>
    </w:p>
    <w:p>
      <w:pPr>
        <w:numPr>
          <w:ilvl w:val="0"/>
          <w:numId w:val="17"/>
        </w:numPr>
        <w:tabs>
          <w:tab w:val="left" w:pos="1025"/>
        </w:tabs>
        <w:adjustRightInd w:val="0"/>
        <w:spacing w:line="450" w:lineRule="atLeast"/>
        <w:ind w:left="630" w:leftChars="300"/>
        <w:rPr>
          <w:rFonts w:hint="eastAsia" w:ascii="宋体" w:hAnsi="宋体"/>
          <w:sz w:val="22"/>
        </w:rPr>
      </w:pPr>
      <w:r>
        <w:rPr>
          <w:rFonts w:hint="eastAsia" w:ascii="宋体" w:hAnsi="宋体"/>
          <w:sz w:val="22"/>
        </w:rPr>
        <w:t>招标代理服务费</w:t>
      </w:r>
    </w:p>
    <w:p>
      <w:pPr>
        <w:autoSpaceDE w:val="0"/>
        <w:autoSpaceDN w:val="0"/>
        <w:adjustRightInd w:val="0"/>
        <w:snapToGrid w:val="0"/>
        <w:spacing w:line="420" w:lineRule="atLeast"/>
        <w:ind w:firstLine="418" w:firstLineChars="190"/>
        <w:textAlignment w:val="bottom"/>
        <w:rPr>
          <w:rFonts w:hint="eastAsia" w:ascii="宋体" w:hAnsi="宋体"/>
          <w:sz w:val="22"/>
        </w:rPr>
      </w:pPr>
      <w:r>
        <w:rPr>
          <w:rFonts w:hint="eastAsia" w:ascii="宋体" w:hAnsi="宋体"/>
          <w:sz w:val="22"/>
        </w:rPr>
        <w:t>供应商在投标报价中应充分考虑所有可能发生的费用，否则采购人将视投标总价中已包括所有费用。</w:t>
      </w:r>
    </w:p>
    <w:p>
      <w:pPr>
        <w:autoSpaceDE w:val="0"/>
        <w:autoSpaceDN w:val="0"/>
        <w:adjustRightInd w:val="0"/>
        <w:snapToGrid w:val="0"/>
        <w:spacing w:line="420" w:lineRule="atLeast"/>
        <w:ind w:firstLine="418" w:firstLineChars="190"/>
        <w:textAlignment w:val="bottom"/>
        <w:rPr>
          <w:rFonts w:hint="eastAsia" w:ascii="宋体" w:hAnsi="宋体"/>
          <w:sz w:val="22"/>
        </w:rPr>
      </w:pPr>
      <w:r>
        <w:rPr>
          <w:rFonts w:hint="eastAsia" w:ascii="宋体" w:hAnsi="宋体"/>
          <w:sz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420" w:lineRule="atLeast"/>
        <w:ind w:firstLine="431" w:firstLineChars="196"/>
        <w:textAlignment w:val="bottom"/>
        <w:rPr>
          <w:rFonts w:hint="eastAsia" w:ascii="宋体" w:hAnsi="宋体"/>
          <w:sz w:val="22"/>
          <w:u w:val="single"/>
        </w:rPr>
      </w:pPr>
      <w:r>
        <w:rPr>
          <w:rFonts w:hint="eastAsia" w:ascii="宋体" w:hAnsi="宋体"/>
          <w:sz w:val="22"/>
        </w:rPr>
        <w:t>填写报价表格时，各项费用应如实填写。</w:t>
      </w:r>
    </w:p>
    <w:p>
      <w:pPr>
        <w:autoSpaceDE w:val="0"/>
        <w:autoSpaceDN w:val="0"/>
        <w:adjustRightInd w:val="0"/>
        <w:snapToGrid w:val="0"/>
        <w:spacing w:line="420" w:lineRule="atLeast"/>
        <w:ind w:firstLine="440" w:firstLineChars="200"/>
        <w:textAlignment w:val="bottom"/>
        <w:rPr>
          <w:rFonts w:hint="eastAsia" w:ascii="宋体" w:hAnsi="宋体"/>
          <w:sz w:val="22"/>
        </w:rPr>
      </w:pPr>
      <w:r>
        <w:rPr>
          <w:rFonts w:hint="eastAsia" w:ascii="宋体" w:hAnsi="宋体"/>
          <w:sz w:val="22"/>
        </w:rPr>
        <w:t>5、采购人要求分类报价是为了方便评标与合同执行，但在任何情况下不限制采购人以其认为最合适的条款签订合同的权利。</w:t>
      </w:r>
    </w:p>
    <w:p>
      <w:pPr>
        <w:pStyle w:val="13"/>
        <w:adjustRightInd w:val="0"/>
        <w:snapToGrid w:val="0"/>
        <w:spacing w:line="430" w:lineRule="atLeast"/>
        <w:ind w:firstLine="440" w:firstLineChars="200"/>
        <w:rPr>
          <w:rFonts w:hint="eastAsia" w:hAnsi="宋体" w:eastAsia="宋体" w:cs="宋体"/>
          <w:b w:val="0"/>
          <w:color w:val="auto"/>
          <w:sz w:val="22"/>
        </w:rPr>
      </w:pPr>
      <w:bookmarkStart w:id="38" w:name="_Toc132122117"/>
      <w:bookmarkStart w:id="39" w:name="_Toc132122414"/>
      <w:r>
        <w:rPr>
          <w:rFonts w:hint="eastAsia" w:hAnsi="宋体" w:eastAsia="宋体" w:cs="宋体"/>
          <w:b w:val="0"/>
          <w:color w:val="auto"/>
          <w:sz w:val="22"/>
        </w:rPr>
        <w:t>7、投标文件的有效期</w:t>
      </w:r>
      <w:bookmarkEnd w:id="38"/>
      <w:bookmarkEnd w:id="39"/>
    </w:p>
    <w:p>
      <w:pPr>
        <w:pStyle w:val="13"/>
        <w:adjustRightInd w:val="0"/>
        <w:snapToGrid w:val="0"/>
        <w:spacing w:line="43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7.1自投标截止时间起90天内，投标文件应保持有效。有效期短于这个规定期限的投标将被拒绝。</w:t>
      </w:r>
    </w:p>
    <w:p>
      <w:pPr>
        <w:pStyle w:val="13"/>
        <w:adjustRightInd w:val="0"/>
        <w:snapToGrid w:val="0"/>
        <w:spacing w:line="43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7.2在特殊情况下，采购人可与供应商协商延长投标文件的有效期，这种要求和答复均应以书面形式进行。</w:t>
      </w:r>
    </w:p>
    <w:p>
      <w:pPr>
        <w:pStyle w:val="13"/>
        <w:adjustRightInd w:val="0"/>
        <w:snapToGrid w:val="0"/>
        <w:spacing w:line="43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7.3供应商可拒绝接受延期要求而不会导致投标保证金被不予退还。同意延长有效期的供应商不能修改投标文件。</w:t>
      </w:r>
    </w:p>
    <w:p>
      <w:pPr>
        <w:pStyle w:val="13"/>
        <w:adjustRightInd w:val="0"/>
        <w:snapToGrid w:val="0"/>
        <w:spacing w:line="454" w:lineRule="atLeast"/>
        <w:ind w:firstLine="440" w:firstLineChars="200"/>
        <w:rPr>
          <w:rFonts w:hint="eastAsia" w:hAnsi="宋体" w:eastAsia="宋体" w:cs="宋体"/>
          <w:b w:val="0"/>
          <w:color w:val="auto"/>
          <w:sz w:val="22"/>
        </w:rPr>
      </w:pPr>
      <w:bookmarkStart w:id="40" w:name="_Toc132122415"/>
      <w:bookmarkStart w:id="41" w:name="_Toc132122118"/>
      <w:r>
        <w:rPr>
          <w:rFonts w:hint="eastAsia" w:hAnsi="宋体" w:eastAsia="宋体" w:cs="宋体"/>
          <w:b w:val="0"/>
          <w:color w:val="auto"/>
          <w:sz w:val="22"/>
        </w:rPr>
        <w:t>8、投标文件的签署</w:t>
      </w:r>
      <w:bookmarkEnd w:id="40"/>
      <w:bookmarkEnd w:id="41"/>
    </w:p>
    <w:p>
      <w:pPr>
        <w:autoSpaceDE w:val="0"/>
        <w:autoSpaceDN w:val="0"/>
        <w:adjustRightInd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8.1、《投标文件》的签章：见《第一部分 投标邀请函（供应商须知前附表）》；</w:t>
      </w:r>
    </w:p>
    <w:p>
      <w:pPr>
        <w:autoSpaceDE w:val="0"/>
        <w:autoSpaceDN w:val="0"/>
        <w:adjustRightInd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8.2、《投标文件》根据招标文件要求在投标文件相应位置由投标供应商法定代表人或授权代表签字（或盖章），需要加盖投标供应商公章的采用CA电子签章。</w:t>
      </w:r>
    </w:p>
    <w:p>
      <w:pPr>
        <w:autoSpaceDE w:val="0"/>
        <w:autoSpaceDN w:val="0"/>
        <w:adjustRightInd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8.3、CA电子签章操作指南详见</w:t>
      </w:r>
      <w:r>
        <w:rPr>
          <w:rFonts w:hint="eastAsia" w:ascii="宋体" w:hAnsi="宋体"/>
          <w:sz w:val="22"/>
          <w:lang w:val="zh-CN"/>
        </w:rPr>
        <w:t>本公告附件《供应商政府采购项目电子交易操作指南》。</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9、投标文件的形式</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9.1、投标文件的形式：见《第一部分 投标邀请函（供应商须知前附表）》；</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9.2、“电子加密投标文件”：“电子加密投标文件”是指通过“政采云电子交易客户端”完成投标文件编制后生成并加密的数据电文形式的投标文件。</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9.3投标文件的份数</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投标文件的份数：见《第一部分 投标邀请函（供应商须知前附表）》。</w:t>
      </w:r>
    </w:p>
    <w:p>
      <w:pPr>
        <w:pStyle w:val="13"/>
        <w:adjustRightInd w:val="0"/>
        <w:snapToGrid w:val="0"/>
        <w:spacing w:line="454" w:lineRule="atLeast"/>
        <w:outlineLvl w:val="0"/>
        <w:rPr>
          <w:rFonts w:hint="eastAsia" w:hAnsi="宋体" w:eastAsia="宋体" w:cs="宋体"/>
          <w:sz w:val="22"/>
        </w:rPr>
      </w:pPr>
      <w:bookmarkStart w:id="42" w:name="_Toc21882"/>
      <w:r>
        <w:rPr>
          <w:rFonts w:hint="eastAsia" w:hAnsi="宋体" w:eastAsia="宋体" w:cs="宋体"/>
          <w:sz w:val="22"/>
        </w:rPr>
        <w:t>四、投标文件的递交</w:t>
      </w:r>
      <w:bookmarkEnd w:id="42"/>
    </w:p>
    <w:p>
      <w:pPr>
        <w:autoSpaceDE w:val="0"/>
        <w:autoSpaceDN w:val="0"/>
        <w:spacing w:line="440" w:lineRule="exact"/>
        <w:ind w:firstLine="440" w:firstLineChars="200"/>
        <w:textAlignment w:val="bottom"/>
        <w:rPr>
          <w:rFonts w:hint="eastAsia" w:ascii="宋体" w:hAnsi="宋体"/>
          <w:sz w:val="22"/>
        </w:rPr>
      </w:pPr>
      <w:r>
        <w:rPr>
          <w:rFonts w:hint="eastAsia" w:ascii="宋体" w:hAnsi="宋体"/>
          <w:color w:val="000000"/>
          <w:sz w:val="22"/>
        </w:rPr>
        <w:t>招标文件中所指的“投标文件”均为“电子加密投标文件”</w:t>
      </w:r>
      <w:r>
        <w:rPr>
          <w:rFonts w:hint="eastAsia" w:ascii="宋体" w:hAnsi="宋体"/>
          <w:b/>
          <w:bCs/>
          <w:sz w:val="22"/>
        </w:rPr>
        <w:t>。</w:t>
      </w:r>
    </w:p>
    <w:p>
      <w:pPr>
        <w:pStyle w:val="13"/>
        <w:adjustRightInd w:val="0"/>
        <w:snapToGrid w:val="0"/>
        <w:spacing w:line="454"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1、投标文件的加密</w:t>
      </w:r>
    </w:p>
    <w:p>
      <w:pPr>
        <w:pStyle w:val="13"/>
        <w:adjustRightInd w:val="0"/>
        <w:snapToGrid w:val="0"/>
        <w:spacing w:line="454" w:lineRule="atLeast"/>
        <w:ind w:firstLine="440" w:firstLineChars="200"/>
        <w:rPr>
          <w:rFonts w:hint="eastAsia" w:hAnsi="宋体" w:eastAsia="宋体" w:cs="宋体"/>
          <w:b w:val="0"/>
          <w:color w:val="auto"/>
          <w:sz w:val="22"/>
          <w:u w:val="single"/>
        </w:rPr>
      </w:pPr>
      <w:r>
        <w:rPr>
          <w:rFonts w:hint="eastAsia" w:hAnsi="宋体" w:eastAsia="宋体" w:cs="宋体"/>
          <w:b w:val="0"/>
          <w:color w:val="auto"/>
          <w:sz w:val="22"/>
        </w:rPr>
        <w:t>1.1供应商应根据政采云平台的制作投标文件要求制作后进行加密上传。</w:t>
      </w:r>
    </w:p>
    <w:p>
      <w:pPr>
        <w:pStyle w:val="13"/>
        <w:adjustRightInd w:val="0"/>
        <w:snapToGrid w:val="0"/>
        <w:spacing w:line="454" w:lineRule="atLeast"/>
        <w:rPr>
          <w:rFonts w:hint="eastAsia" w:hAnsi="宋体" w:eastAsia="宋体" w:cs="宋体"/>
          <w:b w:val="0"/>
          <w:color w:val="auto"/>
          <w:sz w:val="22"/>
        </w:rPr>
      </w:pPr>
      <w:r>
        <w:rPr>
          <w:rFonts w:hint="eastAsia" w:hAnsi="宋体" w:eastAsia="宋体" w:cs="宋体"/>
          <w:b w:val="0"/>
          <w:color w:val="auto"/>
          <w:sz w:val="22"/>
        </w:rPr>
        <w:t xml:space="preserve">    1.2如果供应商未按按照政采云平台操作流程进行操作并加密，导致投标文件被拒绝接收的责任自负。</w:t>
      </w:r>
    </w:p>
    <w:p>
      <w:pPr>
        <w:pStyle w:val="13"/>
        <w:adjustRightInd w:val="0"/>
        <w:snapToGrid w:val="0"/>
        <w:spacing w:line="454" w:lineRule="atLeast"/>
        <w:rPr>
          <w:rFonts w:hint="eastAsia" w:hAnsi="宋体" w:eastAsia="宋体" w:cs="宋体"/>
          <w:b w:val="0"/>
          <w:color w:val="auto"/>
          <w:sz w:val="22"/>
        </w:rPr>
      </w:pPr>
      <w:r>
        <w:rPr>
          <w:rFonts w:hint="eastAsia" w:hAnsi="宋体" w:eastAsia="宋体" w:cs="宋体"/>
          <w:b w:val="0"/>
          <w:color w:val="auto"/>
          <w:sz w:val="22"/>
        </w:rPr>
        <w:t xml:space="preserve">    2、投标截止时间</w:t>
      </w:r>
    </w:p>
    <w:p>
      <w:pPr>
        <w:pStyle w:val="13"/>
        <w:adjustRightInd w:val="0"/>
        <w:snapToGrid w:val="0"/>
        <w:spacing w:line="440" w:lineRule="atLeast"/>
        <w:rPr>
          <w:rFonts w:hint="eastAsia" w:hAnsi="宋体" w:eastAsia="宋体" w:cs="宋体"/>
          <w:b w:val="0"/>
          <w:color w:val="auto"/>
          <w:sz w:val="22"/>
        </w:rPr>
      </w:pPr>
      <w:r>
        <w:rPr>
          <w:rFonts w:hint="eastAsia" w:hAnsi="宋体" w:eastAsia="宋体" w:cs="宋体"/>
          <w:b w:val="0"/>
          <w:color w:val="auto"/>
          <w:sz w:val="22"/>
        </w:rPr>
        <w:t xml:space="preserve">    2.1投标文件必须在投标文件递交截止时间前将“电子加密投标文件”上传至政采云平台。</w:t>
      </w:r>
    </w:p>
    <w:p>
      <w:pPr>
        <w:pStyle w:val="7"/>
        <w:adjustRightInd w:val="0"/>
        <w:snapToGrid w:val="0"/>
        <w:spacing w:before="156" w:beforeLines="50" w:after="50" w:line="400" w:lineRule="atLeast"/>
        <w:ind w:firstLine="440"/>
        <w:rPr>
          <w:rFonts w:hint="eastAsia" w:ascii="宋体" w:eastAsia="宋体"/>
          <w:color w:val="auto"/>
          <w:sz w:val="22"/>
          <w:szCs w:val="22"/>
        </w:rPr>
      </w:pPr>
      <w:r>
        <w:rPr>
          <w:rFonts w:hint="eastAsia" w:ascii="宋体" w:eastAsia="宋体"/>
          <w:color w:val="auto"/>
          <w:sz w:val="22"/>
          <w:szCs w:val="22"/>
        </w:rPr>
        <w:t>2.2采购机构如因故推迟投标截止时间，应在投标截止前以更正公告形式通知所有供应商。在这种情况下，供应商的权利和义务将受到新的截止时间的约束。</w:t>
      </w:r>
    </w:p>
    <w:p>
      <w:pPr>
        <w:pStyle w:val="7"/>
        <w:adjustRightInd w:val="0"/>
        <w:snapToGrid w:val="0"/>
        <w:spacing w:before="156" w:beforeLines="50" w:after="50" w:line="400" w:lineRule="atLeast"/>
        <w:ind w:firstLine="440"/>
        <w:rPr>
          <w:rFonts w:hint="eastAsia" w:ascii="宋体" w:eastAsia="宋体"/>
          <w:color w:val="auto"/>
          <w:sz w:val="22"/>
          <w:szCs w:val="22"/>
        </w:rPr>
      </w:pPr>
      <w:r>
        <w:rPr>
          <w:rFonts w:hint="eastAsia" w:ascii="宋体" w:eastAsia="宋体"/>
          <w:color w:val="auto"/>
          <w:sz w:val="22"/>
          <w:szCs w:val="22"/>
        </w:rPr>
        <w:t>3、投标文件的修改和撤回</w:t>
      </w:r>
    </w:p>
    <w:p>
      <w:pPr>
        <w:pStyle w:val="7"/>
        <w:adjustRightInd w:val="0"/>
        <w:snapToGrid w:val="0"/>
        <w:spacing w:before="156" w:beforeLines="50" w:after="50" w:line="400" w:lineRule="atLeast"/>
        <w:ind w:firstLine="440"/>
        <w:rPr>
          <w:rFonts w:hint="eastAsia" w:ascii="宋体" w:eastAsia="宋体"/>
          <w:color w:val="00B0F0"/>
          <w:sz w:val="22"/>
          <w:szCs w:val="22"/>
        </w:rPr>
      </w:pPr>
      <w:r>
        <w:rPr>
          <w:rFonts w:hint="eastAsia" w:ascii="宋体" w:eastAsia="宋体"/>
          <w:sz w:val="22"/>
          <w:szCs w:val="22"/>
          <w:shd w:val="clear" w:color="auto" w:fill="FFFFFF"/>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拒收。</w:t>
      </w:r>
    </w:p>
    <w:p>
      <w:pPr>
        <w:pStyle w:val="13"/>
        <w:adjustRightInd w:val="0"/>
        <w:snapToGrid w:val="0"/>
        <w:spacing w:line="454" w:lineRule="atLeast"/>
        <w:ind w:firstLine="431" w:firstLineChars="196"/>
        <w:rPr>
          <w:rFonts w:hint="eastAsia" w:hAnsi="宋体" w:eastAsia="宋体" w:cs="宋体"/>
          <w:color w:val="auto"/>
          <w:sz w:val="22"/>
        </w:rPr>
      </w:pPr>
      <w:r>
        <w:rPr>
          <w:rFonts w:hint="eastAsia" w:hAnsi="宋体" w:eastAsia="宋体" w:cs="宋体"/>
          <w:color w:val="auto"/>
          <w:sz w:val="22"/>
        </w:rPr>
        <w:t>4、投标文件的递交</w:t>
      </w:r>
    </w:p>
    <w:p>
      <w:pPr>
        <w:pStyle w:val="10"/>
        <w:adjustRightInd w:val="0"/>
        <w:snapToGrid w:val="0"/>
        <w:spacing w:after="50" w:line="454" w:lineRule="atLeast"/>
        <w:ind w:firstLine="440" w:firstLineChars="200"/>
        <w:rPr>
          <w:rFonts w:hint="eastAsia" w:ascii="宋体" w:hAnsi="宋体" w:cs="宋体"/>
          <w:b/>
          <w:sz w:val="22"/>
        </w:rPr>
      </w:pPr>
      <w:r>
        <w:rPr>
          <w:rFonts w:hint="eastAsia" w:ascii="宋体" w:hAnsi="宋体" w:cs="宋体"/>
          <w:b/>
          <w:sz w:val="22"/>
        </w:rPr>
        <w:t>递交投标文件时，需满足以下要求，否则该投标文件予以拒绝：</w:t>
      </w:r>
    </w:p>
    <w:p>
      <w:pPr>
        <w:pStyle w:val="13"/>
        <w:adjustRightInd w:val="0"/>
        <w:spacing w:line="460" w:lineRule="atLeast"/>
        <w:ind w:firstLine="440" w:firstLineChars="200"/>
        <w:rPr>
          <w:rFonts w:hint="eastAsia" w:hAnsi="宋体" w:eastAsia="宋体" w:cs="宋体"/>
          <w:color w:val="auto"/>
          <w:sz w:val="22"/>
          <w:szCs w:val="22"/>
        </w:rPr>
      </w:pPr>
      <w:r>
        <w:rPr>
          <w:rFonts w:hint="eastAsia" w:hAnsi="宋体" w:eastAsia="宋体" w:cs="宋体"/>
          <w:color w:val="auto"/>
          <w:sz w:val="22"/>
          <w:szCs w:val="22"/>
        </w:rPr>
        <w:t>4.1、在投标截止时间之前上传递交。</w:t>
      </w:r>
    </w:p>
    <w:p>
      <w:pPr>
        <w:pStyle w:val="13"/>
        <w:adjustRightInd w:val="0"/>
        <w:spacing w:line="460" w:lineRule="atLeast"/>
        <w:ind w:firstLine="440" w:firstLineChars="200"/>
        <w:rPr>
          <w:rFonts w:hint="eastAsia" w:hAnsi="宋体" w:eastAsia="宋体" w:cs="宋体"/>
          <w:color w:val="auto"/>
          <w:sz w:val="22"/>
        </w:rPr>
      </w:pPr>
      <w:r>
        <w:rPr>
          <w:rFonts w:hint="eastAsia" w:hAnsi="宋体" w:eastAsia="宋体" w:cs="宋体"/>
          <w:color w:val="auto"/>
          <w:sz w:val="22"/>
          <w:szCs w:val="22"/>
        </w:rPr>
        <w:t>4.2、供应商按规定加密的投标文件。</w:t>
      </w:r>
    </w:p>
    <w:p>
      <w:pPr>
        <w:pStyle w:val="13"/>
        <w:adjustRightInd w:val="0"/>
        <w:snapToGrid w:val="0"/>
        <w:spacing w:line="400" w:lineRule="exact"/>
        <w:ind w:firstLine="480"/>
        <w:outlineLvl w:val="0"/>
        <w:rPr>
          <w:rFonts w:hint="eastAsia" w:hAnsi="宋体" w:eastAsia="宋体" w:cs="宋体"/>
          <w:color w:val="auto"/>
          <w:sz w:val="22"/>
        </w:rPr>
      </w:pPr>
      <w:bookmarkStart w:id="43" w:name="_Toc3796"/>
      <w:r>
        <w:rPr>
          <w:rFonts w:hint="eastAsia" w:hAnsi="宋体" w:eastAsia="宋体" w:cs="宋体"/>
          <w:color w:val="auto"/>
          <w:sz w:val="22"/>
        </w:rPr>
        <w:t>五、开标和评标</w:t>
      </w:r>
      <w:bookmarkEnd w:id="43"/>
    </w:p>
    <w:p>
      <w:pPr>
        <w:pStyle w:val="13"/>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1、开标</w:t>
      </w:r>
    </w:p>
    <w:p>
      <w:pPr>
        <w:pStyle w:val="13"/>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1.1、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pStyle w:val="13"/>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1.2、开标流程</w:t>
      </w:r>
    </w:p>
    <w:p>
      <w:pPr>
        <w:pStyle w:val="13"/>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（1）向各投标供应商发出电子加密投标文件【开始解密】通知，由供应商按招标文件规定的时间（30分钟）内自行进行投标文件解密。投标供应商在规定的时间内无法完成已递交的“电子加密投标文件”解密的，</w:t>
      </w:r>
      <w:r>
        <w:rPr>
          <w:rFonts w:hint="eastAsia" w:hAnsi="宋体" w:eastAsia="宋体" w:cs="宋体"/>
          <w:b w:val="0"/>
          <w:bCs w:val="0"/>
          <w:sz w:val="22"/>
        </w:rPr>
        <w:t>其投标文件按拒收处理</w:t>
      </w:r>
      <w:r>
        <w:rPr>
          <w:rFonts w:hint="eastAsia" w:hAnsi="宋体" w:eastAsia="宋体" w:cs="宋体"/>
          <w:b w:val="0"/>
          <w:bCs w:val="0"/>
          <w:sz w:val="22"/>
          <w:szCs w:val="22"/>
        </w:rPr>
        <w:t>。</w:t>
      </w:r>
    </w:p>
    <w:p>
      <w:pPr>
        <w:pStyle w:val="13"/>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2）投标文件解密结束，在对投标文件的资格性、符合性进行审查时，可以要求供应商对投标文件中含义不明确、同类问题表述不一致或者有明显文字和计算错误的内容等作出必要的澄清、说明或者更正。供应商的澄清、说明或者更正不得超出投标文件的范围或者改变投标文件的实质性内容。</w:t>
      </w:r>
    </w:p>
    <w:p>
      <w:pPr>
        <w:spacing w:line="440" w:lineRule="atLeast"/>
        <w:ind w:firstLine="433" w:firstLineChars="197"/>
        <w:rPr>
          <w:rFonts w:hint="eastAsia" w:ascii="宋体" w:hAnsi="宋体"/>
          <w:bCs/>
          <w:sz w:val="22"/>
        </w:rPr>
      </w:pPr>
      <w:r>
        <w:rPr>
          <w:rFonts w:hint="eastAsia" w:ascii="宋体" w:hAnsi="宋体"/>
          <w:bCs/>
          <w:sz w:val="22"/>
        </w:rPr>
        <w:t>1.3对各投标供应商进行资格审查，通过资格审查的投标供应商，进入其商务技术标评审。资格审查不通过的，不再进入技术评审阶段。</w:t>
      </w:r>
    </w:p>
    <w:p>
      <w:pPr>
        <w:spacing w:line="440" w:lineRule="atLeast"/>
        <w:ind w:firstLine="433" w:firstLineChars="197"/>
        <w:rPr>
          <w:rFonts w:hint="eastAsia" w:ascii="宋体" w:hAnsi="宋体"/>
          <w:bCs/>
          <w:sz w:val="22"/>
        </w:rPr>
      </w:pPr>
      <w:r>
        <w:rPr>
          <w:rFonts w:hint="eastAsia" w:ascii="宋体" w:hAnsi="宋体"/>
          <w:bCs/>
          <w:sz w:val="22"/>
        </w:rPr>
        <w:t>1.4由评标委员会对供应商技术进行评审及符合性进行审查。评审通过的投标人，进入报价标开标。</w:t>
      </w:r>
    </w:p>
    <w:p>
      <w:pPr>
        <w:spacing w:line="440" w:lineRule="atLeast"/>
        <w:ind w:firstLine="433" w:firstLineChars="197"/>
        <w:rPr>
          <w:rFonts w:hint="eastAsia" w:ascii="宋体" w:hAnsi="宋体"/>
          <w:bCs/>
          <w:sz w:val="22"/>
        </w:rPr>
      </w:pPr>
      <w:r>
        <w:rPr>
          <w:rFonts w:hint="eastAsia" w:ascii="宋体" w:hAnsi="宋体"/>
          <w:bCs/>
          <w:sz w:val="22"/>
        </w:rPr>
        <w:t>1.5公布技术评审结果。</w:t>
      </w:r>
    </w:p>
    <w:p>
      <w:pPr>
        <w:spacing w:line="440" w:lineRule="atLeast"/>
        <w:ind w:firstLine="433" w:firstLineChars="197"/>
        <w:rPr>
          <w:rFonts w:hint="eastAsia" w:ascii="宋体" w:hAnsi="宋体"/>
          <w:bCs/>
          <w:sz w:val="22"/>
        </w:rPr>
      </w:pPr>
      <w:r>
        <w:rPr>
          <w:rFonts w:hint="eastAsia" w:ascii="宋体" w:hAnsi="宋体"/>
          <w:bCs/>
          <w:sz w:val="22"/>
        </w:rPr>
        <w:t>1.6技术符合性审查、商务技术评审结束后，开启通过技术符合性审查、商务技术评审有效投标供应商的《报价文件》。由评标委员会对《报价文件》的符合性等进行审查核实。投标供应商在线制作投标文件时《开标一览表》中填写的金额与解密后“电子加密报价文件”中《开标一览表》填写的金额不一致的，以解密后“电子加密投标文件”中《开标一览表》填写的金额进行修正，投标供应商拒绝接受此调整的，按无效报价处理。</w:t>
      </w:r>
    </w:p>
    <w:p>
      <w:pPr>
        <w:spacing w:line="440" w:lineRule="atLeast"/>
        <w:ind w:firstLine="433" w:firstLineChars="197"/>
        <w:rPr>
          <w:rFonts w:hint="eastAsia" w:ascii="宋体" w:hAnsi="宋体"/>
          <w:bCs/>
          <w:sz w:val="22"/>
        </w:rPr>
      </w:pPr>
      <w:r>
        <w:rPr>
          <w:rFonts w:hint="eastAsia" w:ascii="宋体" w:hAnsi="宋体"/>
          <w:bCs/>
          <w:sz w:val="22"/>
        </w:rPr>
        <w:t>开标时，报价文件中投标报价出现前后不一致的，按照下列规定修正：</w:t>
      </w:r>
    </w:p>
    <w:p>
      <w:pPr>
        <w:spacing w:line="440" w:lineRule="atLeast"/>
        <w:ind w:firstLine="433" w:firstLineChars="197"/>
        <w:rPr>
          <w:rFonts w:hint="eastAsia" w:ascii="宋体" w:hAnsi="宋体"/>
          <w:bCs/>
          <w:sz w:val="22"/>
        </w:rPr>
      </w:pPr>
      <w:r>
        <w:rPr>
          <w:rFonts w:hint="eastAsia" w:ascii="宋体" w:hAnsi="宋体"/>
          <w:bCs/>
          <w:sz w:val="22"/>
        </w:rPr>
        <w:t>（一）投标文件中开标一览表内容与投标文件中相应内容不一致的，以开标一览表为准；</w:t>
      </w:r>
    </w:p>
    <w:p>
      <w:pPr>
        <w:spacing w:line="440" w:lineRule="atLeast"/>
        <w:ind w:firstLine="433" w:firstLineChars="197"/>
        <w:rPr>
          <w:rFonts w:hint="eastAsia" w:ascii="宋体" w:hAnsi="宋体"/>
          <w:bCs/>
          <w:sz w:val="22"/>
        </w:rPr>
      </w:pPr>
      <w:r>
        <w:rPr>
          <w:rFonts w:hint="eastAsia" w:ascii="宋体" w:hAnsi="宋体"/>
          <w:bCs/>
          <w:sz w:val="22"/>
        </w:rPr>
        <w:t>（二）大写金额和小写金额不一致的，以大写金额为准；</w:t>
      </w:r>
    </w:p>
    <w:p>
      <w:pPr>
        <w:spacing w:line="440" w:lineRule="atLeast"/>
        <w:ind w:firstLine="433" w:firstLineChars="197"/>
        <w:rPr>
          <w:rFonts w:hint="eastAsia" w:ascii="宋体" w:hAnsi="宋体"/>
          <w:bCs/>
          <w:sz w:val="22"/>
        </w:rPr>
      </w:pPr>
      <w:r>
        <w:rPr>
          <w:rFonts w:hint="eastAsia" w:ascii="宋体" w:hAnsi="宋体"/>
          <w:bCs/>
          <w:sz w:val="22"/>
        </w:rPr>
        <w:t>（三）单价金额小数点或者百分比有明显错位的，以开标一览表的总价为准，并修改单价；</w:t>
      </w:r>
    </w:p>
    <w:p>
      <w:pPr>
        <w:spacing w:line="440" w:lineRule="atLeast"/>
        <w:ind w:firstLine="433" w:firstLineChars="197"/>
        <w:rPr>
          <w:rFonts w:hint="eastAsia" w:ascii="宋体" w:hAnsi="宋体"/>
          <w:bCs/>
          <w:sz w:val="22"/>
        </w:rPr>
      </w:pPr>
      <w:r>
        <w:rPr>
          <w:rFonts w:hint="eastAsia" w:ascii="宋体" w:hAnsi="宋体"/>
          <w:bCs/>
          <w:sz w:val="22"/>
        </w:rPr>
        <w:t>（四）总价金额与按单价汇总金额不一致的，以单价金额计算结果为准。</w:t>
      </w:r>
    </w:p>
    <w:p>
      <w:pPr>
        <w:spacing w:line="440" w:lineRule="atLeast"/>
        <w:ind w:firstLine="433" w:firstLineChars="197"/>
        <w:rPr>
          <w:rFonts w:hint="eastAsia" w:ascii="宋体" w:hAnsi="宋体"/>
          <w:bCs/>
          <w:sz w:val="22"/>
        </w:rPr>
      </w:pPr>
      <w:r>
        <w:rPr>
          <w:rFonts w:hint="eastAsia" w:ascii="宋体" w:hAnsi="宋体"/>
          <w:bCs/>
          <w:sz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spacing w:line="440" w:lineRule="atLeast"/>
        <w:ind w:firstLine="433" w:firstLineChars="197"/>
        <w:rPr>
          <w:rFonts w:hint="eastAsia" w:ascii="宋体" w:hAnsi="宋体"/>
          <w:bCs/>
          <w:sz w:val="22"/>
        </w:rPr>
      </w:pPr>
      <w:r>
        <w:rPr>
          <w:rFonts w:hint="eastAsia" w:ascii="宋体" w:hAnsi="宋体"/>
          <w:bCs/>
          <w:sz w:val="22"/>
        </w:rPr>
        <w:t>1.7评标结束后，公布采购结果。</w:t>
      </w:r>
    </w:p>
    <w:p>
      <w:pPr>
        <w:pStyle w:val="13"/>
        <w:adjustRightInd w:val="0"/>
        <w:snapToGrid w:val="0"/>
        <w:spacing w:line="460" w:lineRule="atLeast"/>
        <w:ind w:firstLine="431" w:firstLineChars="196"/>
        <w:rPr>
          <w:rFonts w:hint="eastAsia" w:hAnsi="宋体" w:eastAsia="宋体" w:cs="宋体"/>
          <w:b w:val="0"/>
          <w:bCs w:val="0"/>
          <w:sz w:val="22"/>
          <w:szCs w:val="22"/>
        </w:rPr>
      </w:pPr>
      <w:r>
        <w:rPr>
          <w:rFonts w:hint="eastAsia" w:hAnsi="宋体" w:eastAsia="宋体" w:cs="宋体"/>
          <w:b w:val="0"/>
          <w:bCs w:val="0"/>
          <w:sz w:val="22"/>
          <w:szCs w:val="22"/>
        </w:rPr>
        <w:t>特别说明：如遇“政府采购云平台”电子化开标或评审程序调整的，按调整后程序执行。</w:t>
      </w:r>
    </w:p>
    <w:p>
      <w:pPr>
        <w:pStyle w:val="13"/>
        <w:adjustRightInd w:val="0"/>
        <w:snapToGrid w:val="0"/>
        <w:spacing w:line="460" w:lineRule="atLeast"/>
        <w:ind w:firstLine="440" w:firstLineChars="200"/>
        <w:rPr>
          <w:rFonts w:hint="eastAsia" w:hAnsi="宋体" w:eastAsia="宋体" w:cs="宋体"/>
          <w:b w:val="0"/>
          <w:sz w:val="22"/>
        </w:rPr>
      </w:pPr>
      <w:r>
        <w:rPr>
          <w:rFonts w:hint="eastAsia" w:hAnsi="宋体" w:eastAsia="宋体" w:cs="宋体"/>
          <w:bCs w:val="0"/>
          <w:sz w:val="22"/>
        </w:rPr>
        <w:t>2、资格审查</w:t>
      </w:r>
    </w:p>
    <w:p>
      <w:pPr>
        <w:pStyle w:val="13"/>
        <w:adjustRightInd w:val="0"/>
        <w:spacing w:line="460" w:lineRule="atLeast"/>
        <w:ind w:firstLine="660" w:firstLineChars="300"/>
        <w:rPr>
          <w:rFonts w:hint="eastAsia" w:hAnsi="宋体" w:eastAsia="宋体" w:cs="宋体"/>
          <w:b w:val="0"/>
          <w:bCs w:val="0"/>
          <w:sz w:val="22"/>
        </w:rPr>
      </w:pPr>
      <w:r>
        <w:rPr>
          <w:rFonts w:hint="eastAsia" w:hAnsi="宋体" w:eastAsia="宋体" w:cs="宋体"/>
          <w:b w:val="0"/>
          <w:bCs w:val="0"/>
          <w:sz w:val="22"/>
        </w:rPr>
        <w:t>采购人或代理机构首先依法对各投标供应商的资格进行审查，审查各投标供应商的资格是否满足招标文件的要求。</w:t>
      </w:r>
    </w:p>
    <w:p>
      <w:pPr>
        <w:adjustRightInd w:val="0"/>
        <w:snapToGrid w:val="0"/>
        <w:spacing w:before="156" w:beforeLines="50" w:line="360" w:lineRule="auto"/>
        <w:ind w:firstLine="660" w:firstLineChars="300"/>
        <w:rPr>
          <w:rFonts w:hint="eastAsia" w:ascii="宋体" w:hAnsi="宋体"/>
          <w:sz w:val="22"/>
        </w:rPr>
      </w:pPr>
      <w:r>
        <w:rPr>
          <w:rFonts w:hint="eastAsia" w:ascii="宋体" w:hAnsi="宋体"/>
          <w:sz w:val="22"/>
        </w:rPr>
        <w:t>投标人有下列情形之一的，资格审查不通过，视为无效投标，并不再将其投标提交评标委员会进行后续评审：</w:t>
      </w:r>
    </w:p>
    <w:p>
      <w:pPr>
        <w:adjustRightInd w:val="0"/>
        <w:snapToGrid w:val="0"/>
        <w:spacing w:before="156" w:beforeLines="50" w:line="360" w:lineRule="auto"/>
        <w:ind w:firstLine="660" w:firstLineChars="300"/>
        <w:rPr>
          <w:rFonts w:hint="eastAsia" w:ascii="宋体" w:hAnsi="宋体"/>
          <w:bCs/>
          <w:sz w:val="22"/>
        </w:rPr>
      </w:pPr>
      <w:r>
        <w:rPr>
          <w:rFonts w:hint="eastAsia" w:ascii="宋体" w:hAnsi="宋体"/>
          <w:sz w:val="22"/>
        </w:rPr>
        <w:t>1）</w:t>
      </w:r>
      <w:r>
        <w:rPr>
          <w:rFonts w:hint="eastAsia" w:ascii="宋体" w:hAnsi="宋体"/>
          <w:bCs/>
          <w:sz w:val="22"/>
        </w:rPr>
        <w:t>未按采购文件“资格投标文件组成部分”要求提交资格证明文件的；</w:t>
      </w:r>
    </w:p>
    <w:p>
      <w:pPr>
        <w:adjustRightInd w:val="0"/>
        <w:snapToGrid w:val="0"/>
        <w:spacing w:before="156" w:beforeLines="50" w:line="360" w:lineRule="auto"/>
        <w:ind w:firstLine="660" w:firstLineChars="300"/>
        <w:rPr>
          <w:rFonts w:hint="eastAsia" w:ascii="宋体" w:hAnsi="宋体"/>
          <w:bCs/>
          <w:sz w:val="22"/>
        </w:rPr>
      </w:pPr>
      <w:r>
        <w:rPr>
          <w:rFonts w:hint="eastAsia" w:ascii="宋体" w:hAnsi="宋体"/>
          <w:sz w:val="22"/>
        </w:rPr>
        <w:t>2）</w:t>
      </w:r>
      <w:r>
        <w:rPr>
          <w:rFonts w:hint="eastAsia" w:ascii="宋体" w:hAnsi="宋体"/>
          <w:bCs/>
          <w:sz w:val="22"/>
        </w:rPr>
        <w:t>提供的资格证明文件不符合采购文件要求或提供虚假资格证明文件的；</w:t>
      </w:r>
    </w:p>
    <w:p>
      <w:pPr>
        <w:adjustRightInd w:val="0"/>
        <w:snapToGrid w:val="0"/>
        <w:spacing w:before="156" w:beforeLines="50" w:line="360" w:lineRule="auto"/>
        <w:ind w:firstLine="660" w:firstLineChars="300"/>
        <w:rPr>
          <w:rFonts w:hint="eastAsia" w:ascii="宋体" w:hAnsi="宋体"/>
          <w:bCs/>
          <w:szCs w:val="21"/>
        </w:rPr>
      </w:pPr>
      <w:r>
        <w:rPr>
          <w:rFonts w:hint="eastAsia" w:ascii="宋体" w:hAnsi="宋体"/>
          <w:sz w:val="22"/>
        </w:rPr>
        <w:t>3）</w:t>
      </w:r>
      <w:r>
        <w:rPr>
          <w:rFonts w:hint="eastAsia" w:ascii="宋体" w:hAnsi="宋体"/>
          <w:bCs/>
          <w:sz w:val="22"/>
        </w:rPr>
        <w:t>资格证明文件未按采购文件要求加盖供应商单位CA电子签章或</w:t>
      </w:r>
      <w:r>
        <w:rPr>
          <w:rFonts w:hint="eastAsia" w:ascii="宋体" w:hAnsi="宋体"/>
          <w:sz w:val="22"/>
        </w:rPr>
        <w:t>签字</w:t>
      </w:r>
      <w:r>
        <w:rPr>
          <w:rFonts w:hint="eastAsia" w:ascii="宋体" w:hAnsi="宋体"/>
          <w:bCs/>
          <w:sz w:val="22"/>
        </w:rPr>
        <w:t>的；</w:t>
      </w:r>
    </w:p>
    <w:p>
      <w:pPr>
        <w:adjustRightInd w:val="0"/>
        <w:snapToGrid w:val="0"/>
        <w:spacing w:before="156" w:beforeLines="50" w:line="360" w:lineRule="auto"/>
        <w:ind w:firstLine="660" w:firstLineChars="300"/>
        <w:rPr>
          <w:rFonts w:hint="eastAsia" w:ascii="宋体" w:hAnsi="宋体"/>
          <w:bCs/>
          <w:sz w:val="22"/>
        </w:rPr>
      </w:pPr>
      <w:r>
        <w:rPr>
          <w:rFonts w:hint="eastAsia" w:ascii="宋体" w:hAnsi="宋体"/>
          <w:bCs/>
          <w:sz w:val="22"/>
        </w:rPr>
        <w:t>4）资格证明文件过了有效期的或未按有关规定年审合格的。</w:t>
      </w:r>
    </w:p>
    <w:p>
      <w:pPr>
        <w:pStyle w:val="10"/>
        <w:ind w:firstLine="660" w:firstLineChars="300"/>
        <w:rPr>
          <w:rFonts w:hint="eastAsia" w:ascii="宋体" w:hAnsi="宋体" w:cs="宋体"/>
        </w:rPr>
      </w:pPr>
      <w:r>
        <w:rPr>
          <w:rFonts w:hint="eastAsia" w:ascii="宋体" w:hAnsi="宋体" w:cs="宋体"/>
          <w:bCs/>
          <w:kern w:val="2"/>
          <w:sz w:val="22"/>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13"/>
        <w:adjustRightInd w:val="0"/>
        <w:spacing w:line="46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3、评标</w:t>
      </w:r>
    </w:p>
    <w:p>
      <w:pPr>
        <w:pStyle w:val="13"/>
        <w:adjustRightInd w:val="0"/>
        <w:spacing w:line="46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3.1评标由采购人依法组建的评标委员会负责，并独立履行下列职责：</w:t>
      </w:r>
    </w:p>
    <w:p>
      <w:pPr>
        <w:spacing w:line="460" w:lineRule="atLeast"/>
        <w:ind w:firstLine="431" w:firstLineChars="196"/>
        <w:rPr>
          <w:rFonts w:hint="eastAsia" w:ascii="宋体" w:hAnsi="宋体"/>
          <w:bCs/>
          <w:sz w:val="22"/>
        </w:rPr>
      </w:pPr>
      <w:r>
        <w:rPr>
          <w:rFonts w:hint="eastAsia" w:ascii="宋体" w:hAnsi="宋体"/>
          <w:bCs/>
          <w:sz w:val="22"/>
        </w:rPr>
        <w:t>（1）审查、评价投标文件是否符合招标文件的商务、技术等实质性要求；</w:t>
      </w:r>
    </w:p>
    <w:p>
      <w:pPr>
        <w:spacing w:line="460" w:lineRule="atLeast"/>
        <w:ind w:firstLine="431" w:firstLineChars="196"/>
        <w:rPr>
          <w:rFonts w:hint="eastAsia" w:ascii="宋体" w:hAnsi="宋体"/>
          <w:bCs/>
          <w:sz w:val="22"/>
        </w:rPr>
      </w:pPr>
      <w:r>
        <w:rPr>
          <w:rFonts w:hint="eastAsia" w:ascii="宋体" w:hAnsi="宋体"/>
          <w:bCs/>
          <w:sz w:val="22"/>
        </w:rPr>
        <w:t>（2）要求投标人对投标文件有关事项作出澄清或者说明；</w:t>
      </w:r>
    </w:p>
    <w:p>
      <w:pPr>
        <w:spacing w:line="460" w:lineRule="atLeast"/>
        <w:ind w:firstLine="431" w:firstLineChars="196"/>
        <w:rPr>
          <w:rFonts w:hint="eastAsia" w:ascii="宋体" w:hAnsi="宋体"/>
          <w:bCs/>
          <w:sz w:val="22"/>
        </w:rPr>
      </w:pPr>
      <w:r>
        <w:rPr>
          <w:rFonts w:hint="eastAsia" w:ascii="宋体" w:hAnsi="宋体"/>
          <w:bCs/>
          <w:sz w:val="22"/>
        </w:rPr>
        <w:t>（3）对投标文件进行比较和评价；</w:t>
      </w:r>
    </w:p>
    <w:p>
      <w:pPr>
        <w:spacing w:line="460" w:lineRule="atLeast"/>
        <w:ind w:firstLine="431" w:firstLineChars="196"/>
        <w:rPr>
          <w:rFonts w:hint="eastAsia" w:ascii="宋体" w:hAnsi="宋体"/>
          <w:bCs/>
          <w:sz w:val="22"/>
        </w:rPr>
      </w:pPr>
      <w:r>
        <w:rPr>
          <w:rFonts w:hint="eastAsia" w:ascii="宋体" w:hAnsi="宋体"/>
          <w:bCs/>
          <w:sz w:val="22"/>
        </w:rPr>
        <w:t>（4）确定中标候选人名单，以及根据采购人委托直接确定中标人；</w:t>
      </w:r>
    </w:p>
    <w:p>
      <w:pPr>
        <w:spacing w:line="460" w:lineRule="atLeast"/>
        <w:ind w:firstLine="431" w:firstLineChars="196"/>
        <w:rPr>
          <w:rFonts w:hint="eastAsia" w:ascii="宋体" w:hAnsi="宋体"/>
          <w:bCs/>
          <w:sz w:val="22"/>
        </w:rPr>
      </w:pPr>
      <w:r>
        <w:rPr>
          <w:rFonts w:hint="eastAsia" w:ascii="宋体" w:hAnsi="宋体"/>
          <w:bCs/>
          <w:sz w:val="22"/>
        </w:rPr>
        <w:t>（5）向采购人、采购代理机构或者有关部门报告评标中发现的违法行为。</w:t>
      </w:r>
    </w:p>
    <w:p>
      <w:pPr>
        <w:spacing w:line="460" w:lineRule="atLeast"/>
        <w:ind w:firstLine="431" w:firstLineChars="196"/>
        <w:rPr>
          <w:rFonts w:hint="eastAsia" w:ascii="宋体" w:hAnsi="宋体"/>
          <w:bCs/>
          <w:sz w:val="22"/>
        </w:rPr>
      </w:pPr>
      <w:r>
        <w:rPr>
          <w:rFonts w:hint="eastAsia" w:ascii="宋体" w:hAnsi="宋体"/>
          <w:bCs/>
          <w:sz w:val="22"/>
        </w:rPr>
        <w:t>3.2评标应当遵循下列工作程序：</w:t>
      </w:r>
    </w:p>
    <w:p>
      <w:pPr>
        <w:spacing w:line="460" w:lineRule="atLeast"/>
        <w:rPr>
          <w:rFonts w:hint="eastAsia" w:ascii="宋体" w:hAnsi="宋体"/>
          <w:bCs/>
          <w:sz w:val="22"/>
        </w:rPr>
      </w:pPr>
      <w:r>
        <w:rPr>
          <w:rFonts w:hint="eastAsia" w:ascii="宋体" w:hAnsi="宋体"/>
          <w:bCs/>
          <w:sz w:val="22"/>
        </w:rPr>
        <w:t xml:space="preserve">    1）符合性检查。依据招标文件的规定，从投标文件的有效性、完整性和对招标文件的响应程度进行审查，以确定是否对招标文件的实质性要求作出响应。</w:t>
      </w:r>
    </w:p>
    <w:p>
      <w:pPr>
        <w:spacing w:line="460" w:lineRule="atLeast"/>
        <w:ind w:firstLine="440"/>
        <w:rPr>
          <w:rFonts w:hint="eastAsia" w:ascii="宋体" w:hAnsi="宋体"/>
          <w:bCs/>
          <w:sz w:val="22"/>
        </w:rPr>
      </w:pPr>
      <w:r>
        <w:rPr>
          <w:rFonts w:hint="eastAsia" w:ascii="宋体" w:hAnsi="宋体"/>
          <w:bCs/>
          <w:sz w:val="22"/>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pPr>
        <w:adjustRightInd w:val="0"/>
        <w:snapToGrid w:val="0"/>
        <w:spacing w:line="410" w:lineRule="atLeast"/>
        <w:ind w:firstLine="433" w:firstLineChars="197"/>
        <w:rPr>
          <w:rFonts w:hint="eastAsia" w:ascii="宋体" w:hAnsi="宋体"/>
          <w:sz w:val="22"/>
        </w:rPr>
      </w:pPr>
      <w:r>
        <w:rPr>
          <w:rFonts w:hint="eastAsia" w:ascii="宋体" w:hAnsi="宋体"/>
          <w:sz w:val="22"/>
        </w:rPr>
        <w:t>实质上没有响应招标文件要求的投标将被拒绝。供应商不得通过修正或撤消不合要求的偏离从而使其投标成为实质上响应的投标。</w:t>
      </w:r>
    </w:p>
    <w:p>
      <w:pPr>
        <w:spacing w:line="460" w:lineRule="atLeast"/>
        <w:ind w:firstLine="440"/>
        <w:rPr>
          <w:rFonts w:hint="eastAsia" w:ascii="宋体" w:hAnsi="宋体"/>
          <w:bCs/>
          <w:sz w:val="22"/>
        </w:rPr>
      </w:pPr>
      <w:r>
        <w:rPr>
          <w:rFonts w:hint="eastAsia" w:ascii="宋体" w:hAnsi="宋体"/>
          <w:sz w:val="22"/>
        </w:rPr>
        <w:t>评标委员会对投标文件的判定，只依据投标文件内容本身，不依靠开标后的任何外来证明。</w:t>
      </w:r>
    </w:p>
    <w:p>
      <w:pPr>
        <w:spacing w:line="460" w:lineRule="atLeast"/>
        <w:ind w:firstLine="440"/>
        <w:rPr>
          <w:rFonts w:hint="eastAsia" w:ascii="宋体" w:hAnsi="宋体"/>
          <w:bCs/>
          <w:sz w:val="22"/>
        </w:rPr>
      </w:pPr>
      <w:r>
        <w:rPr>
          <w:rFonts w:hint="eastAsia" w:ascii="宋体" w:hAnsi="宋体"/>
          <w:bCs/>
          <w:sz w:val="22"/>
        </w:rPr>
        <w:t>3）比较与评价。按招标文件中规定的评标方法和标准，对资格性检查和符合性检查合格的投标文件进行商务和技术评估，综合比较与评价。</w:t>
      </w:r>
    </w:p>
    <w:p>
      <w:pPr>
        <w:spacing w:line="460" w:lineRule="atLeast"/>
        <w:ind w:firstLine="440"/>
        <w:rPr>
          <w:rFonts w:hint="eastAsia" w:ascii="宋体" w:hAnsi="宋体"/>
          <w:bCs/>
          <w:sz w:val="22"/>
        </w:rPr>
      </w:pPr>
      <w:r>
        <w:rPr>
          <w:rFonts w:hint="eastAsia" w:ascii="宋体" w:hAnsi="宋体"/>
          <w:bCs/>
          <w:sz w:val="22"/>
        </w:rPr>
        <w:t>4）推荐中标人候选人名单，并根据采购人的授权确定中标人。</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rPr>
        <w:t xml:space="preserve">3.3 </w:t>
      </w:r>
      <w:r>
        <w:rPr>
          <w:rFonts w:hint="eastAsia" w:hAnsi="宋体" w:eastAsia="宋体" w:cs="宋体"/>
          <w:color w:val="auto"/>
          <w:sz w:val="22"/>
          <w:u w:val="single"/>
        </w:rPr>
        <w:t>▲投标人存在下列情况之一的，投标无效:</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1）投标文件正本未按招标文件要求签署</w:t>
      </w:r>
      <w:r>
        <w:rPr>
          <w:rFonts w:hint="eastAsia" w:hAnsi="宋体" w:eastAsia="宋体" w:cs="宋体"/>
          <w:color w:val="auto"/>
          <w:sz w:val="22"/>
          <w:szCs w:val="22"/>
          <w:u w:val="single"/>
        </w:rPr>
        <w:t>或CA电子签章的</w:t>
      </w:r>
      <w:r>
        <w:rPr>
          <w:rFonts w:hint="eastAsia" w:hAnsi="宋体" w:eastAsia="宋体" w:cs="宋体"/>
          <w:color w:val="auto"/>
          <w:sz w:val="22"/>
          <w:u w:val="single"/>
        </w:rPr>
        <w:t>；</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2）不具备招标文件中规定的资格要求的；</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3）报价超过招标文件中规定的预算金额或者最高限价的；</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4）投标文件含有采购人不能接受的附加条件的（包括招标文件中明确要求不得偏离的招标要求，存在负偏离的）;</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5）供应商递交两份或两份以上内容不同的投标文件，未声明哪一份有效的；</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6）对关键条文的偏离、保留或反对，例如关于投标有效期、付款方式、完工期（服务期）、免费质保期、适用法律法规、标准、税费等其他内容；</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7）存在串标、抬标或弄虚作假情况的；</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8）参与本项目的不同供应商单位负责人为同一人或者存在直接控股、管理关系的；</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9）供应商的资格文件或者商务技术文件中出现投标报价的；</w:t>
      </w:r>
    </w:p>
    <w:p>
      <w:pPr>
        <w:pStyle w:val="13"/>
        <w:adjustRightInd w:val="0"/>
        <w:snapToGrid w:val="0"/>
        <w:spacing w:line="440" w:lineRule="atLeast"/>
        <w:ind w:firstLine="433" w:firstLineChars="197"/>
        <w:rPr>
          <w:rFonts w:hint="eastAsia" w:hAnsi="宋体" w:eastAsia="宋体" w:cs="宋体"/>
          <w:color w:val="auto"/>
          <w:sz w:val="22"/>
          <w:szCs w:val="22"/>
        </w:rPr>
      </w:pPr>
      <w:r>
        <w:rPr>
          <w:rFonts w:hint="eastAsia" w:hAnsi="宋体" w:eastAsia="宋体" w:cs="宋体"/>
          <w:color w:val="auto"/>
          <w:sz w:val="22"/>
          <w:u w:val="single"/>
        </w:rPr>
        <w:t>10）投标供应商在线制作投标文件时《开标一览表》中填写的金额与解密后“电子加密投标文件”中《开标一览表》填写的金额不一致并拒绝按招标文件要求接受此调整的；</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11）法律、法规和招标文件规定的其他无效情形（或出现重大偏差）。</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rPr>
        <w:t>3.4</w:t>
      </w:r>
      <w:r>
        <w:rPr>
          <w:rFonts w:hint="eastAsia" w:hAnsi="宋体" w:eastAsia="宋体" w:cs="宋体"/>
          <w:color w:val="auto"/>
          <w:sz w:val="22"/>
          <w:u w:val="single"/>
        </w:rPr>
        <w:t>▲评标委员会发现投标文件有下列情形之一的属于重大偏差(评标委员会按少数服从多数原则认定),按照无效投标处理：</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1）未按招标文件要求编制或字迹模糊、辨认不清的投标文件；</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2）供应商商务技术投标文件中出现投标报价；</w:t>
      </w:r>
    </w:p>
    <w:p>
      <w:pPr>
        <w:pStyle w:val="13"/>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3）除3.3条款以外，出现其他明显不符合技术规格、技术标准的要求或不满足招标文件技术规格书中的主要参数的投标文件；</w:t>
      </w:r>
    </w:p>
    <w:p>
      <w:pPr>
        <w:pStyle w:val="13"/>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4）除3.3条款以外，出现投标项目数量与招标文件对比出现较大偏差；报价明细表计算错误，出现较大差错；</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color w:val="auto"/>
          <w:sz w:val="22"/>
          <w:u w:val="single"/>
        </w:rPr>
        <w:t>5）除3.3条款以外，出现其他不符合招标文件中规定的实质性要求的投标文件，是否为偏离实质性要求由评标委员会认定。</w:t>
      </w:r>
    </w:p>
    <w:p>
      <w:pPr>
        <w:pStyle w:val="13"/>
        <w:adjustRightInd w:val="0"/>
        <w:snapToGrid w:val="0"/>
        <w:spacing w:line="410" w:lineRule="atLeast"/>
        <w:ind w:firstLine="433" w:firstLineChars="197"/>
        <w:rPr>
          <w:rFonts w:hint="eastAsia" w:hAnsi="宋体" w:eastAsia="宋体" w:cs="宋体"/>
          <w:color w:val="auto"/>
          <w:sz w:val="22"/>
        </w:rPr>
      </w:pPr>
      <w:r>
        <w:rPr>
          <w:rFonts w:hint="eastAsia" w:hAnsi="宋体" w:eastAsia="宋体" w:cs="宋体"/>
          <w:color w:val="auto"/>
          <w:sz w:val="22"/>
        </w:rPr>
        <w:t>3.5 开启供应商报价文件后发现价格、数量有误，其投标价将按下述原则处理：</w:t>
      </w:r>
    </w:p>
    <w:p>
      <w:pPr>
        <w:adjustRightInd w:val="0"/>
        <w:snapToGrid w:val="0"/>
        <w:spacing w:line="410" w:lineRule="atLeast"/>
        <w:ind w:firstLine="433" w:firstLineChars="197"/>
        <w:rPr>
          <w:rFonts w:hint="eastAsia" w:ascii="宋体" w:hAnsi="宋体"/>
          <w:sz w:val="22"/>
        </w:rPr>
      </w:pPr>
      <w:r>
        <w:rPr>
          <w:rFonts w:hint="eastAsia" w:ascii="宋体" w:hAnsi="宋体"/>
          <w:sz w:val="22"/>
        </w:rPr>
        <w:t>1) 任何有漏去一些小项工程或服务的投标将被视为其费用已包含在投标总价中，投标价格不予调整。如果供应商不接受上述处理方式，将作为无效投标。</w:t>
      </w:r>
    </w:p>
    <w:p>
      <w:pPr>
        <w:adjustRightInd w:val="0"/>
        <w:snapToGrid w:val="0"/>
        <w:spacing w:line="410" w:lineRule="atLeast"/>
        <w:ind w:firstLine="433" w:firstLineChars="197"/>
        <w:rPr>
          <w:rFonts w:hint="eastAsia" w:ascii="宋体" w:hAnsi="宋体"/>
          <w:sz w:val="22"/>
        </w:rPr>
      </w:pPr>
      <w:r>
        <w:rPr>
          <w:rFonts w:hint="eastAsia" w:ascii="宋体" w:hAnsi="宋体"/>
          <w:sz w:val="22"/>
        </w:rPr>
        <w:t>2) 任何有多报一些小项工程或货物的投标其投标价不予调整，如果该供应商中标，则合同价格必须为核减掉多报的一些小项工程或货物后的价格。如果供应商不接受上述处理方式，将作为无效投标。</w:t>
      </w:r>
    </w:p>
    <w:p>
      <w:pPr>
        <w:adjustRightInd w:val="0"/>
        <w:snapToGrid w:val="0"/>
        <w:spacing w:line="410" w:lineRule="atLeast"/>
        <w:ind w:firstLine="433" w:firstLineChars="197"/>
        <w:rPr>
          <w:rFonts w:hint="eastAsia" w:ascii="宋体" w:hAnsi="宋体"/>
          <w:sz w:val="22"/>
        </w:rPr>
      </w:pPr>
      <w:r>
        <w:rPr>
          <w:rFonts w:hint="eastAsia" w:ascii="宋体" w:hAnsi="宋体"/>
          <w:sz w:val="22"/>
        </w:rPr>
        <w:t>3）对于计算错误的其投标价不予调整，如果该供应商中标，如其投标价格计算错误导致多报者合同价格予以据实核减，少报者合同价格不予调整。如果供应商不接受上述处理方式，将作为无效投标。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10" w:lineRule="atLeast"/>
        <w:ind w:firstLine="433" w:firstLineChars="197"/>
        <w:rPr>
          <w:rFonts w:hint="eastAsia" w:ascii="宋体" w:hAnsi="宋体"/>
          <w:sz w:val="22"/>
          <w:u w:val="single"/>
        </w:rPr>
      </w:pPr>
      <w:r>
        <w:rPr>
          <w:rFonts w:hint="eastAsia" w:ascii="宋体" w:hAnsi="宋体"/>
          <w:sz w:val="22"/>
          <w:u w:val="single"/>
        </w:rPr>
        <w:t>4）对于计算错误，多报或漏报的一些小项工程或货物、服务的仅仅为非实质性重大偏差范围内的偏离，并经过评标委员会按少数服从多数原则认定为细微偏差，评审时其投标价不予调整。如认定为重大偏差的，做无效投标处理。</w:t>
      </w:r>
    </w:p>
    <w:p>
      <w:pPr>
        <w:adjustRightInd w:val="0"/>
        <w:snapToGrid w:val="0"/>
        <w:spacing w:line="410" w:lineRule="atLeast"/>
        <w:ind w:firstLine="433" w:firstLineChars="197"/>
        <w:rPr>
          <w:rFonts w:hint="eastAsia" w:ascii="宋体" w:hAnsi="宋体"/>
          <w:sz w:val="22"/>
          <w:u w:val="single"/>
        </w:rPr>
      </w:pPr>
      <w:r>
        <w:rPr>
          <w:rFonts w:hint="eastAsia" w:ascii="宋体" w:hAnsi="宋体"/>
          <w:sz w:val="22"/>
          <w:u w:val="single"/>
        </w:rPr>
        <w:t>3.6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3.7 评标委员会在评标中，不得改变招标文件中规定的评标标准、方法和中标条件。</w:t>
      </w:r>
    </w:p>
    <w:p>
      <w:pPr>
        <w:pStyle w:val="13"/>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3.8 评标时如遇到招标文件未规定的特殊情况，由评标委员会按少数服从多数原则集体决定处理。</w:t>
      </w:r>
    </w:p>
    <w:p>
      <w:pPr>
        <w:pStyle w:val="13"/>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3.9评标委员会对未中标的供应商不作解释。同时根据政府采购法实施条例第四十条规定，本项目不对供应商公布详细的评审情况，不公布具体评标细则中小项得分。</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4、投标文件的澄清</w:t>
      </w:r>
    </w:p>
    <w:p>
      <w:pPr>
        <w:adjustRightInd w:val="0"/>
        <w:snapToGrid w:val="0"/>
        <w:spacing w:line="410" w:lineRule="atLeast"/>
        <w:ind w:firstLine="433" w:firstLineChars="197"/>
        <w:rPr>
          <w:rFonts w:hint="eastAsia" w:ascii="宋体" w:hAnsi="宋体"/>
          <w:sz w:val="22"/>
        </w:rPr>
      </w:pPr>
      <w:r>
        <w:rPr>
          <w:rFonts w:hint="eastAsia" w:ascii="宋体" w:hAnsi="宋体"/>
          <w:sz w:val="22"/>
        </w:rPr>
        <w:t>4.1 为有利于对投标文件的比较和评议，必要时采购人及评标委员会可要求供应商对投标文件及合同条款进行澄清，并在线做出书面答复。书面答复须有投标授权代表签字或盖章并作为投标内容的一部分。</w:t>
      </w:r>
    </w:p>
    <w:p>
      <w:pPr>
        <w:adjustRightInd w:val="0"/>
        <w:snapToGrid w:val="0"/>
        <w:spacing w:line="410" w:lineRule="atLeast"/>
        <w:ind w:firstLine="433" w:firstLineChars="197"/>
        <w:rPr>
          <w:rFonts w:hint="eastAsia" w:ascii="宋体" w:hAnsi="宋体"/>
          <w:sz w:val="22"/>
        </w:rPr>
      </w:pPr>
      <w:r>
        <w:rPr>
          <w:rFonts w:hint="eastAsia" w:ascii="宋体" w:hAnsi="宋体"/>
          <w:sz w:val="22"/>
        </w:rPr>
        <w:t xml:space="preserve">4.2 供应商对投标文件的澄清不得寻求、提供或允许改变投标价格等实质性内容。 </w:t>
      </w:r>
    </w:p>
    <w:p>
      <w:pPr>
        <w:adjustRightInd w:val="0"/>
        <w:snapToGrid w:val="0"/>
        <w:spacing w:line="410" w:lineRule="atLeast"/>
        <w:ind w:left="413" w:leftChars="197"/>
        <w:rPr>
          <w:rFonts w:hint="eastAsia" w:ascii="宋体" w:hAnsi="宋体"/>
          <w:sz w:val="22"/>
        </w:rPr>
      </w:pPr>
      <w:r>
        <w:rPr>
          <w:rFonts w:hint="eastAsia" w:ascii="宋体" w:hAnsi="宋体"/>
          <w:sz w:val="22"/>
        </w:rPr>
        <w:t>5、有下列情形之一的，视为供应商相互串通投标：</w:t>
      </w:r>
      <w:r>
        <w:rPr>
          <w:rFonts w:hint="eastAsia" w:ascii="宋体" w:hAnsi="宋体"/>
          <w:sz w:val="22"/>
        </w:rPr>
        <w:br w:type="textWrapping"/>
      </w:r>
      <w:r>
        <w:rPr>
          <w:rFonts w:hint="eastAsia" w:ascii="宋体" w:hAnsi="宋体"/>
          <w:sz w:val="22"/>
        </w:rPr>
        <w:t>5.1不同供应商的投标文件由同一单位或者个人编制；</w:t>
      </w:r>
      <w:r>
        <w:rPr>
          <w:rFonts w:hint="eastAsia" w:ascii="宋体" w:hAnsi="宋体"/>
          <w:sz w:val="22"/>
        </w:rPr>
        <w:br w:type="textWrapping"/>
      </w:r>
      <w:r>
        <w:rPr>
          <w:rFonts w:hint="eastAsia" w:ascii="宋体" w:hAnsi="宋体"/>
          <w:sz w:val="22"/>
        </w:rPr>
        <w:t>5.2不同供应商委托同一单位或者个人办理投标事宜；</w:t>
      </w:r>
      <w:r>
        <w:rPr>
          <w:rFonts w:hint="eastAsia" w:ascii="宋体" w:hAnsi="宋体"/>
          <w:sz w:val="22"/>
        </w:rPr>
        <w:br w:type="textWrapping"/>
      </w:r>
      <w:r>
        <w:rPr>
          <w:rFonts w:hint="eastAsia" w:ascii="宋体" w:hAnsi="宋体"/>
          <w:sz w:val="22"/>
        </w:rPr>
        <w:t>5.3不同供应商的投标文件载明的项目管理成员为同一人；</w:t>
      </w:r>
      <w:r>
        <w:rPr>
          <w:rFonts w:hint="eastAsia" w:ascii="宋体" w:hAnsi="宋体"/>
          <w:sz w:val="22"/>
        </w:rPr>
        <w:br w:type="textWrapping"/>
      </w:r>
      <w:r>
        <w:rPr>
          <w:rFonts w:hint="eastAsia" w:ascii="宋体" w:hAnsi="宋体"/>
          <w:sz w:val="22"/>
        </w:rPr>
        <w:t>5.4不同供应商的投标文件异常一致或者投标报价呈规律性差异；</w:t>
      </w:r>
      <w:r>
        <w:rPr>
          <w:rFonts w:hint="eastAsia" w:ascii="宋体" w:hAnsi="宋体"/>
          <w:sz w:val="22"/>
        </w:rPr>
        <w:br w:type="textWrapping"/>
      </w:r>
      <w:r>
        <w:rPr>
          <w:rFonts w:hint="eastAsia" w:ascii="宋体" w:hAnsi="宋体"/>
          <w:sz w:val="22"/>
        </w:rPr>
        <w:t>5.5不同供应商的投标文件相互混装；</w:t>
      </w:r>
      <w:r>
        <w:rPr>
          <w:rFonts w:hint="eastAsia" w:ascii="宋体" w:hAnsi="宋体"/>
          <w:sz w:val="22"/>
        </w:rPr>
        <w:br w:type="textWrapping"/>
      </w:r>
      <w:r>
        <w:rPr>
          <w:rFonts w:hint="eastAsia" w:ascii="宋体" w:hAnsi="宋体"/>
          <w:sz w:val="22"/>
        </w:rPr>
        <w:t>5.6不同供应商的投标保证金从同一单位或者个人的账户转出；</w:t>
      </w:r>
    </w:p>
    <w:p>
      <w:pPr>
        <w:pStyle w:val="13"/>
        <w:adjustRightInd w:val="0"/>
        <w:spacing w:line="460" w:lineRule="atLeast"/>
        <w:rPr>
          <w:rFonts w:hint="eastAsia" w:hAnsi="宋体" w:eastAsia="宋体" w:cs="宋体"/>
          <w:b w:val="0"/>
          <w:color w:val="auto"/>
          <w:sz w:val="22"/>
        </w:rPr>
      </w:pPr>
      <w:r>
        <w:rPr>
          <w:rFonts w:hint="eastAsia" w:hAnsi="宋体" w:eastAsia="宋体" w:cs="宋体"/>
          <w:b w:val="0"/>
          <w:color w:val="auto"/>
          <w:sz w:val="22"/>
        </w:rPr>
        <w:t xml:space="preserve">    5.7经评标委员会认定供应商进行串通投标的，评标委员会可以对相关供应商做出无效投标处理，并上报政府采购管理部门进行进一步处理。</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6、评标原则</w:t>
      </w:r>
    </w:p>
    <w:p>
      <w:pPr>
        <w:pStyle w:val="13"/>
        <w:adjustRightInd w:val="0"/>
        <w:snapToGrid w:val="0"/>
        <w:spacing w:line="410" w:lineRule="atLeast"/>
        <w:ind w:firstLine="433" w:firstLineChars="197"/>
        <w:rPr>
          <w:rFonts w:hint="eastAsia" w:hAnsi="宋体" w:eastAsia="宋体" w:cs="宋体"/>
          <w:color w:val="auto"/>
          <w:sz w:val="22"/>
        </w:rPr>
      </w:pPr>
      <w:r>
        <w:rPr>
          <w:rFonts w:hint="eastAsia" w:hAnsi="宋体" w:eastAsia="宋体" w:cs="宋体"/>
          <w:color w:val="auto"/>
          <w:sz w:val="22"/>
        </w:rPr>
        <w:t>▲</w:t>
      </w:r>
      <w:r>
        <w:rPr>
          <w:rFonts w:hint="eastAsia" w:hAnsi="宋体" w:eastAsia="宋体" w:cs="宋体"/>
          <w:color w:val="auto"/>
          <w:sz w:val="22"/>
          <w:u w:val="single"/>
        </w:rPr>
        <w:t>投标截止时或评审过程中有效投标供应商不足三家的，不予开标或评标。</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评标委员会按照招标文件的要求和条件对投标文件进行商务和技术评估，综合比较与评价。</w:t>
      </w:r>
    </w:p>
    <w:p>
      <w:pPr>
        <w:pStyle w:val="13"/>
        <w:adjustRightInd w:val="0"/>
        <w:spacing w:line="460" w:lineRule="atLeast"/>
        <w:rPr>
          <w:rFonts w:hint="eastAsia" w:hAnsi="宋体" w:eastAsia="宋体" w:cs="宋体"/>
          <w:b w:val="0"/>
          <w:color w:val="auto"/>
          <w:sz w:val="22"/>
        </w:rPr>
      </w:pPr>
      <w:r>
        <w:rPr>
          <w:rFonts w:hint="eastAsia" w:hAnsi="宋体" w:eastAsia="宋体" w:cs="宋体"/>
          <w:b w:val="0"/>
          <w:color w:val="auto"/>
          <w:sz w:val="22"/>
        </w:rPr>
        <w:t xml:space="preserve">评标办法具体见本招标文件的评标定标办法。   </w:t>
      </w:r>
    </w:p>
    <w:p>
      <w:pPr>
        <w:pStyle w:val="13"/>
        <w:adjustRightInd w:val="0"/>
        <w:snapToGrid w:val="0"/>
        <w:spacing w:line="410" w:lineRule="atLeast"/>
        <w:ind w:firstLine="433" w:firstLineChars="197"/>
        <w:rPr>
          <w:rFonts w:hint="eastAsia" w:hAnsi="宋体" w:eastAsia="宋体" w:cs="宋体"/>
          <w:sz w:val="24"/>
          <w:szCs w:val="24"/>
        </w:rPr>
      </w:pPr>
      <w:r>
        <w:rPr>
          <w:rFonts w:hint="eastAsia" w:hAnsi="宋体" w:eastAsia="宋体" w:cs="宋体"/>
          <w:b w:val="0"/>
          <w:color w:val="auto"/>
          <w:sz w:val="22"/>
        </w:rPr>
        <w:t>7、</w:t>
      </w:r>
      <w:r>
        <w:rPr>
          <w:rFonts w:hint="eastAsia" w:hAnsi="宋体" w:eastAsia="宋体" w:cs="宋体"/>
          <w:color w:val="auto"/>
          <w:kern w:val="2"/>
          <w:sz w:val="22"/>
          <w:szCs w:val="22"/>
          <w:u w:val="single"/>
        </w:rPr>
        <w:t>可中止电子交易活动的情形</w:t>
      </w:r>
    </w:p>
    <w:p>
      <w:pPr>
        <w:pStyle w:val="13"/>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采购过程中出现以下情形，导致电子交易平台无法正常运行，或者无法保证电子交易的公平、公正和安全时，采购组织机构可中止电子交易活动：</w:t>
      </w:r>
    </w:p>
    <w:p>
      <w:pPr>
        <w:pStyle w:val="13"/>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1、电子交易平台发生故障而无法登录访问的；</w:t>
      </w:r>
    </w:p>
    <w:p>
      <w:pPr>
        <w:pStyle w:val="13"/>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2、电子交易平台应用或数据库出现错误，不能进行正常操作的；</w:t>
      </w:r>
    </w:p>
    <w:p>
      <w:pPr>
        <w:pStyle w:val="13"/>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3、电子交易平台发现严重安全漏洞，有潜在泄密危险的；</w:t>
      </w:r>
    </w:p>
    <w:p>
      <w:pPr>
        <w:pStyle w:val="13"/>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4、病毒发作导致不能进行正常操作的；</w:t>
      </w:r>
    </w:p>
    <w:p>
      <w:pPr>
        <w:pStyle w:val="13"/>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5、其他无法保证电子交易的公平、公正和安全的情况。</w:t>
      </w:r>
    </w:p>
    <w:p>
      <w:pPr>
        <w:pStyle w:val="13"/>
        <w:adjustRightInd w:val="0"/>
        <w:spacing w:line="460" w:lineRule="atLeast"/>
        <w:rPr>
          <w:rFonts w:hint="eastAsia" w:hAnsi="宋体" w:eastAsia="宋体" w:cs="宋体"/>
          <w:b w:val="0"/>
          <w:color w:val="auto"/>
          <w:sz w:val="22"/>
        </w:rPr>
      </w:pPr>
      <w:r>
        <w:rPr>
          <w:rFonts w:hint="eastAsia" w:hAnsi="宋体" w:eastAsia="宋体" w:cs="宋体"/>
          <w:b w:val="0"/>
          <w:bCs w:val="0"/>
          <w:color w:val="auto"/>
          <w:sz w:val="22"/>
        </w:rPr>
        <w:t>出现前款规定情形，不影响采购公平、公正性的，采购组织机构可以待上述情形消除后继续组织电子交易活动；影响或可能影响采购公平、公正性的，应当重新采购。</w:t>
      </w:r>
    </w:p>
    <w:p>
      <w:pPr>
        <w:pStyle w:val="13"/>
        <w:adjustRightInd w:val="0"/>
        <w:snapToGrid w:val="0"/>
        <w:spacing w:line="400" w:lineRule="exact"/>
        <w:ind w:firstLine="480"/>
        <w:outlineLvl w:val="0"/>
        <w:rPr>
          <w:rFonts w:hint="eastAsia" w:hAnsi="宋体" w:eastAsia="宋体" w:cs="宋体"/>
          <w:color w:val="auto"/>
          <w:sz w:val="22"/>
        </w:rPr>
      </w:pPr>
      <w:bookmarkStart w:id="44" w:name="_Toc10197"/>
      <w:r>
        <w:rPr>
          <w:rFonts w:hint="eastAsia" w:hAnsi="宋体" w:eastAsia="宋体" w:cs="宋体"/>
          <w:sz w:val="22"/>
        </w:rPr>
        <w:t>六、授予合同</w:t>
      </w:r>
      <w:bookmarkEnd w:id="44"/>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1、决标</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评标结束后，评标委员会按照招标文件确</w:t>
      </w:r>
      <w:r>
        <w:rPr>
          <w:rFonts w:hint="eastAsia" w:hAnsi="宋体" w:eastAsia="宋体" w:cs="宋体"/>
          <w:b w:val="0"/>
          <w:bCs w:val="0"/>
          <w:color w:val="auto"/>
          <w:sz w:val="22"/>
        </w:rPr>
        <w:t>定的评标办法推荐候选供应商。采购人通过电子交易平台确认中标供应商。</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2、中标通知书</w:t>
      </w:r>
    </w:p>
    <w:p>
      <w:pPr>
        <w:spacing w:line="410" w:lineRule="atLeast"/>
        <w:ind w:firstLine="433" w:firstLineChars="197"/>
        <w:rPr>
          <w:rFonts w:hint="eastAsia" w:ascii="宋体" w:hAnsi="宋体"/>
          <w:sz w:val="22"/>
        </w:rPr>
      </w:pPr>
      <w:r>
        <w:rPr>
          <w:rFonts w:hint="eastAsia" w:ascii="宋体" w:hAnsi="宋体"/>
          <w:sz w:val="22"/>
        </w:rPr>
        <w:t>2.1、采购人依法确认中标供应商后，代理机构在浙江省政府采购网上公告中标结果，公告期限为1个工作日。同时向中标供应商发出中标通知书。</w:t>
      </w:r>
    </w:p>
    <w:p>
      <w:pPr>
        <w:adjustRightInd w:val="0"/>
        <w:snapToGrid w:val="0"/>
        <w:spacing w:line="410" w:lineRule="atLeast"/>
        <w:ind w:firstLine="433" w:firstLineChars="197"/>
        <w:rPr>
          <w:rFonts w:hint="eastAsia" w:ascii="宋体" w:hAnsi="宋体"/>
          <w:sz w:val="22"/>
        </w:rPr>
      </w:pPr>
      <w:r>
        <w:rPr>
          <w:rFonts w:hint="eastAsia" w:ascii="宋体" w:hAnsi="宋体"/>
          <w:sz w:val="22"/>
        </w:rPr>
        <w:t>2.2、中标通知书对采购人和中标人具有法律约束力。中标通知书发出后，采购人改变中标结果或者中标人放弃中标的，应当承担法律责任。</w:t>
      </w:r>
    </w:p>
    <w:p>
      <w:pPr>
        <w:adjustRightInd w:val="0"/>
        <w:snapToGrid w:val="0"/>
        <w:spacing w:line="410" w:lineRule="atLeast"/>
        <w:ind w:firstLine="433" w:firstLineChars="197"/>
        <w:rPr>
          <w:rFonts w:hint="eastAsia" w:ascii="宋体" w:hAnsi="宋体"/>
          <w:sz w:val="22"/>
        </w:rPr>
      </w:pPr>
      <w:r>
        <w:rPr>
          <w:rFonts w:hint="eastAsia" w:ascii="宋体" w:hAnsi="宋体"/>
          <w:sz w:val="22"/>
        </w:rPr>
        <w:t>2.3、中标无效</w:t>
      </w:r>
    </w:p>
    <w:p>
      <w:pPr>
        <w:adjustRightInd w:val="0"/>
        <w:snapToGrid w:val="0"/>
        <w:spacing w:line="410" w:lineRule="atLeast"/>
        <w:ind w:firstLine="433" w:firstLineChars="197"/>
        <w:rPr>
          <w:rFonts w:hint="eastAsia" w:ascii="宋体" w:hAnsi="宋体"/>
          <w:sz w:val="22"/>
        </w:rPr>
      </w:pPr>
      <w:r>
        <w:rPr>
          <w:rFonts w:hint="eastAsia" w:ascii="宋体" w:hAnsi="宋体"/>
          <w:sz w:val="22"/>
        </w:rPr>
        <w:t>1）发现中标供应商资格无效或中标供应商放弃中标或拒绝与采购人签订合同的,采购人可以按照评审报告推荐的中标候选人名单排序，确定下一候选人为中标供应商，也可以重新开展政府采购活动。</w:t>
      </w:r>
      <w:r>
        <w:rPr>
          <w:rFonts w:hint="eastAsia" w:ascii="宋体" w:hAnsi="宋体"/>
          <w:sz w:val="22"/>
        </w:rPr>
        <w:br w:type="textWrapping"/>
      </w:r>
      <w:r>
        <w:rPr>
          <w:rFonts w:hint="eastAsia" w:ascii="宋体" w:hAnsi="宋体"/>
          <w:sz w:val="22"/>
        </w:rPr>
        <w:t xml:space="preserve">    2）有《中华人民共和国政府采购法实施条例》第七十一条、第七十二条、第七十三条、第七十四条规定的违法行为之一，由政府采购监管部门依法处理。</w:t>
      </w:r>
    </w:p>
    <w:p>
      <w:pPr>
        <w:adjustRightInd w:val="0"/>
        <w:snapToGrid w:val="0"/>
        <w:spacing w:line="410" w:lineRule="atLeast"/>
        <w:ind w:firstLine="433" w:firstLineChars="197"/>
        <w:rPr>
          <w:rFonts w:hint="eastAsia" w:ascii="宋体" w:hAnsi="宋体"/>
          <w:sz w:val="22"/>
        </w:rPr>
      </w:pPr>
      <w:r>
        <w:rPr>
          <w:rFonts w:hint="eastAsia" w:ascii="宋体" w:hAnsi="宋体"/>
          <w:sz w:val="22"/>
        </w:rPr>
        <w:t>4、签订合同</w:t>
      </w:r>
    </w:p>
    <w:p>
      <w:pPr>
        <w:adjustRightInd w:val="0"/>
        <w:snapToGrid w:val="0"/>
        <w:spacing w:line="410" w:lineRule="atLeast"/>
        <w:ind w:firstLine="433" w:firstLineChars="197"/>
        <w:rPr>
          <w:rFonts w:hint="eastAsia" w:ascii="宋体" w:hAnsi="宋体"/>
          <w:sz w:val="22"/>
        </w:rPr>
      </w:pPr>
      <w:r>
        <w:rPr>
          <w:rFonts w:hint="eastAsia" w:ascii="宋体" w:hAnsi="宋体"/>
          <w:sz w:val="22"/>
        </w:rPr>
        <w:t>4.1 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pPr>
        <w:adjustRightInd w:val="0"/>
        <w:snapToGrid w:val="0"/>
        <w:spacing w:line="410" w:lineRule="atLeast"/>
        <w:ind w:firstLine="433" w:firstLineChars="197"/>
        <w:rPr>
          <w:rFonts w:hint="eastAsia" w:ascii="宋体" w:hAnsi="宋体"/>
          <w:sz w:val="22"/>
        </w:rPr>
      </w:pPr>
      <w:r>
        <w:rPr>
          <w:rFonts w:hint="eastAsia" w:ascii="宋体" w:hAnsi="宋体"/>
          <w:sz w:val="22"/>
        </w:rPr>
        <w:t>4.2 招标文件、中标供应商的投标文件及投标修改文件、评标过程中有关澄清文件及经双方签字的询标纪要（承诺）和中标通知书均作为合同附件。</w:t>
      </w:r>
    </w:p>
    <w:p>
      <w:pPr>
        <w:adjustRightInd w:val="0"/>
        <w:snapToGrid w:val="0"/>
        <w:spacing w:line="410" w:lineRule="atLeast"/>
        <w:ind w:firstLine="433" w:firstLineChars="197"/>
        <w:rPr>
          <w:rFonts w:hint="eastAsia" w:ascii="宋体" w:hAnsi="宋体"/>
          <w:sz w:val="22"/>
        </w:rPr>
      </w:pPr>
      <w:r>
        <w:rPr>
          <w:rFonts w:hint="eastAsia" w:ascii="宋体" w:hAnsi="宋体"/>
          <w:sz w:val="22"/>
        </w:rPr>
        <w:t>4.3 拒签合同的责任</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中标供应商在规定时间内（30日历天）借故否认已经承诺的条件、拒签合同者，以投标违约处理，赔偿采购人由此造成的直接经济损失；采购人重新组织招标的，所需费用由原中标供应商承担。</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5</w:t>
      </w:r>
      <w:r>
        <w:rPr>
          <w:rFonts w:hint="eastAsia" w:ascii="宋体" w:hAnsi="宋体"/>
          <w:sz w:val="22"/>
          <w:lang w:val="zh-CN"/>
        </w:rPr>
        <w:t>、</w:t>
      </w:r>
      <w:r>
        <w:rPr>
          <w:rFonts w:hint="eastAsia" w:ascii="宋体" w:hAnsi="宋体"/>
          <w:sz w:val="22"/>
        </w:rPr>
        <w:t>招标代理服务费</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中标供应商在领取中标通知书同时向代理机构支付招标代理服务费.招标代理服务费按原国家计委印发的《招标代理服务收费管理暂行办法》计价格【2002】1980号文件（服务类）收费标准*0.8收取。</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招标代理服务费汇入以下帐号：</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开户银行：中国工商银行股份有限公司温州龙湾支行</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开户名称：杭州华旗招标代理有限公司温州龙湾分公司</w:t>
      </w:r>
    </w:p>
    <w:p>
      <w:pPr>
        <w:autoSpaceDE w:val="0"/>
        <w:autoSpaceDN w:val="0"/>
        <w:adjustRightInd w:val="0"/>
        <w:snapToGrid w:val="0"/>
        <w:spacing w:line="410" w:lineRule="atLeast"/>
        <w:ind w:firstLine="433" w:firstLineChars="197"/>
        <w:textAlignment w:val="bottom"/>
        <w:rPr>
          <w:rFonts w:hint="eastAsia" w:ascii="宋体" w:hAnsi="宋体"/>
        </w:rPr>
      </w:pPr>
      <w:r>
        <w:rPr>
          <w:rFonts w:hint="eastAsia" w:ascii="宋体" w:hAnsi="宋体"/>
          <w:sz w:val="22"/>
        </w:rPr>
        <w:t>开户帐号：1203227309200168770</w:t>
      </w:r>
    </w:p>
    <w:p>
      <w:pPr>
        <w:pStyle w:val="22"/>
        <w:spacing w:line="400" w:lineRule="exact"/>
        <w:ind w:firstLine="210"/>
        <w:rPr>
          <w:rFonts w:hint="eastAsia" w:ascii="宋体" w:hAnsi="宋体" w:cs="宋体"/>
          <w:b/>
          <w:bCs/>
          <w:lang w:val="zh-CN"/>
        </w:rPr>
        <w:sectPr>
          <w:pgSz w:w="11906" w:h="16838"/>
          <w:pgMar w:top="1440" w:right="1247" w:bottom="1440" w:left="1247" w:header="851" w:footer="992" w:gutter="0"/>
          <w:cols w:space="720" w:num="1"/>
          <w:titlePg/>
          <w:docGrid w:type="linesAndChars" w:linePitch="312" w:charSpace="0"/>
        </w:sectPr>
      </w:pPr>
    </w:p>
    <w:p>
      <w:pPr>
        <w:pStyle w:val="22"/>
        <w:spacing w:line="400" w:lineRule="exact"/>
        <w:ind w:firstLine="210"/>
        <w:rPr>
          <w:rFonts w:hint="eastAsia" w:ascii="宋体" w:hAnsi="宋体" w:cs="宋体"/>
        </w:rPr>
      </w:pPr>
      <w:bookmarkStart w:id="45" w:name="_Toc11159"/>
      <w:r>
        <w:rPr>
          <w:rFonts w:hint="eastAsia" w:ascii="宋体" w:hAnsi="宋体" w:cs="宋体"/>
          <w:b/>
          <w:bCs/>
          <w:lang w:val="zh-CN"/>
        </w:rPr>
        <w:t>第四部分 政府采购政策功能相关说明</w:t>
      </w:r>
      <w:bookmarkEnd w:id="45"/>
    </w:p>
    <w:p>
      <w:pPr>
        <w:jc w:val="left"/>
        <w:rPr>
          <w:rFonts w:hint="eastAsia" w:ascii="宋体" w:hAnsi="宋体"/>
          <w:sz w:val="22"/>
        </w:rPr>
      </w:pPr>
      <w:r>
        <w:rPr>
          <w:rFonts w:hint="eastAsia" w:ascii="宋体" w:hAnsi="宋体"/>
          <w:sz w:val="22"/>
        </w:rPr>
        <w:t>一、小、微企业（含监狱企业、残疾人福利性单位）扶持政策说明</w:t>
      </w:r>
    </w:p>
    <w:p>
      <w:pPr>
        <w:spacing w:line="440" w:lineRule="atLeast"/>
        <w:jc w:val="left"/>
        <w:rPr>
          <w:rFonts w:hint="eastAsia" w:ascii="宋体" w:hAnsi="宋体"/>
          <w:b/>
          <w:sz w:val="22"/>
        </w:rPr>
      </w:pPr>
      <w:r>
        <w:rPr>
          <w:rFonts w:hint="eastAsia" w:ascii="宋体" w:hAnsi="宋体"/>
          <w:b/>
          <w:sz w:val="22"/>
        </w:rPr>
        <w:t>1.文件依据</w:t>
      </w:r>
    </w:p>
    <w:p>
      <w:pPr>
        <w:spacing w:line="440" w:lineRule="atLeast"/>
        <w:jc w:val="left"/>
        <w:rPr>
          <w:rFonts w:hint="eastAsia" w:ascii="宋体" w:hAnsi="宋体"/>
          <w:b/>
          <w:sz w:val="22"/>
        </w:rPr>
      </w:pPr>
      <w:r>
        <w:rPr>
          <w:rFonts w:hint="eastAsia" w:ascii="宋体" w:hAnsi="宋体"/>
          <w:b/>
          <w:sz w:val="22"/>
        </w:rPr>
        <w:t>（1）关于印发《政府采购促进中小企业发展暂行办法》的通知（财库[2011]181号）</w:t>
      </w:r>
    </w:p>
    <w:p>
      <w:pPr>
        <w:spacing w:line="440" w:lineRule="atLeast"/>
        <w:jc w:val="left"/>
        <w:rPr>
          <w:rFonts w:hint="eastAsia" w:ascii="宋体" w:hAnsi="宋体"/>
          <w:b/>
          <w:sz w:val="22"/>
        </w:rPr>
      </w:pPr>
      <w:r>
        <w:rPr>
          <w:rFonts w:hint="eastAsia" w:ascii="宋体" w:hAnsi="宋体"/>
          <w:b/>
          <w:sz w:val="22"/>
        </w:rPr>
        <w:t>（2）浙江省财政厅转发财政部 工业和信息化部关于印发《政府采购促进中小企业发展暂行办法》的通知（浙财采监[2012]11号）</w:t>
      </w:r>
    </w:p>
    <w:p>
      <w:pPr>
        <w:spacing w:line="440" w:lineRule="atLeast"/>
        <w:jc w:val="left"/>
        <w:rPr>
          <w:rFonts w:hint="eastAsia" w:ascii="宋体" w:hAnsi="宋体"/>
          <w:b/>
          <w:sz w:val="22"/>
        </w:rPr>
      </w:pPr>
      <w:r>
        <w:rPr>
          <w:rFonts w:hint="eastAsia" w:ascii="宋体" w:hAnsi="宋体"/>
          <w:b/>
          <w:sz w:val="22"/>
        </w:rPr>
        <w:t>（3）浙江省省财政厅《关于开展政府采购供应商网上注册登记和诚信管理工作的通知》（浙财采监〔2010〕8号)</w:t>
      </w:r>
    </w:p>
    <w:p>
      <w:pPr>
        <w:spacing w:line="440" w:lineRule="atLeast"/>
        <w:jc w:val="left"/>
        <w:rPr>
          <w:rFonts w:hint="eastAsia" w:ascii="宋体" w:hAnsi="宋体"/>
          <w:b/>
          <w:sz w:val="22"/>
        </w:rPr>
      </w:pPr>
      <w:r>
        <w:rPr>
          <w:rFonts w:hint="eastAsia" w:ascii="宋体" w:hAnsi="宋体"/>
          <w:b/>
          <w:sz w:val="22"/>
        </w:rPr>
        <w:t>（4）《工业和信息化部、国家统计局、国家发展和改革委员会、财政部关于印发中小企业划型标准规定的通知》（工信部联企业[2011]300号）</w:t>
      </w:r>
    </w:p>
    <w:p>
      <w:pPr>
        <w:spacing w:line="440" w:lineRule="atLeast"/>
        <w:jc w:val="left"/>
        <w:rPr>
          <w:rFonts w:hint="eastAsia" w:ascii="宋体" w:hAnsi="宋体"/>
          <w:b/>
          <w:sz w:val="22"/>
        </w:rPr>
      </w:pPr>
      <w:r>
        <w:rPr>
          <w:rFonts w:hint="eastAsia" w:ascii="宋体" w:hAnsi="宋体"/>
          <w:b/>
          <w:sz w:val="22"/>
        </w:rPr>
        <w:t>（5）财政部、司法部《关于政府采购支持监狱企业发展有关问题的通知》（财库〔2014〕68号）</w:t>
      </w:r>
    </w:p>
    <w:p>
      <w:pPr>
        <w:spacing w:line="440" w:lineRule="atLeast"/>
        <w:jc w:val="left"/>
        <w:rPr>
          <w:rFonts w:hint="eastAsia" w:ascii="宋体" w:hAnsi="宋体"/>
          <w:b/>
          <w:sz w:val="22"/>
        </w:rPr>
      </w:pPr>
      <w:r>
        <w:rPr>
          <w:rFonts w:hint="eastAsia" w:ascii="宋体" w:hAnsi="宋体"/>
          <w:b/>
          <w:sz w:val="22"/>
        </w:rPr>
        <w:t>（6）《财政部 民政部 中国残疾人联合会关于促进残疾人就业政府采购政策的通知》（财库〔2017〕 141号）</w:t>
      </w:r>
    </w:p>
    <w:p>
      <w:pPr>
        <w:spacing w:line="440" w:lineRule="atLeast"/>
        <w:jc w:val="left"/>
        <w:rPr>
          <w:rFonts w:hint="eastAsia" w:ascii="宋体" w:hAnsi="宋体"/>
          <w:b/>
          <w:sz w:val="22"/>
        </w:rPr>
      </w:pPr>
      <w:r>
        <w:rPr>
          <w:rFonts w:hint="eastAsia" w:ascii="宋体" w:hAnsi="宋体"/>
          <w:b/>
          <w:sz w:val="22"/>
        </w:rPr>
        <w:t>2.享受小微企业价格折扣应具备的条件与价格折扣比例</w:t>
      </w:r>
    </w:p>
    <w:p>
      <w:pPr>
        <w:spacing w:line="440" w:lineRule="atLeast"/>
        <w:jc w:val="left"/>
        <w:rPr>
          <w:rFonts w:hint="eastAsia" w:ascii="宋体" w:hAnsi="宋体"/>
          <w:sz w:val="22"/>
        </w:rPr>
      </w:pPr>
      <w:r>
        <w:rPr>
          <w:rFonts w:hint="eastAsia" w:ascii="宋体" w:hAnsi="宋体"/>
          <w:sz w:val="22"/>
        </w:rPr>
        <w:t>（1）符合中小企业划分标准；</w:t>
      </w:r>
      <w:r>
        <w:rPr>
          <w:rFonts w:hint="eastAsia" w:ascii="宋体" w:hAnsi="宋体"/>
          <w:sz w:val="22"/>
        </w:rPr>
        <w:br w:type="textWrapping"/>
      </w:r>
      <w:r>
        <w:rPr>
          <w:rFonts w:hint="eastAsia" w:ascii="宋体" w:hAnsi="宋体"/>
          <w:sz w:val="22"/>
        </w:rPr>
        <w:t>（2）提供本企业制造的货物、承担的工程或者服务，或者提供其他中小企业制造的货物。本项所称货物不包括使用大型企业注册商标的货物。</w:t>
      </w:r>
      <w:r>
        <w:rPr>
          <w:rFonts w:hint="eastAsia" w:ascii="宋体" w:hAnsi="宋体"/>
          <w:sz w:val="22"/>
        </w:rPr>
        <w:br w:type="textWrapping"/>
      </w:r>
      <w:r>
        <w:rPr>
          <w:rFonts w:hint="eastAsia" w:ascii="宋体" w:hAnsi="宋体"/>
          <w:sz w:val="22"/>
        </w:rPr>
        <w:t>  中小企业划分标准，是指国务院有关部门根据企业从业人员、营业收入、资产总额等指标制定的中小企业划型标准。</w:t>
      </w:r>
      <w:r>
        <w:rPr>
          <w:rFonts w:hint="eastAsia" w:ascii="宋体" w:hAnsi="宋体"/>
          <w:sz w:val="22"/>
        </w:rPr>
        <w:br w:type="textWrapping"/>
      </w:r>
      <w:r>
        <w:rPr>
          <w:rFonts w:hint="eastAsia" w:ascii="宋体" w:hAnsi="宋体"/>
          <w:sz w:val="22"/>
        </w:rPr>
        <w:t>  小型、微型企业提供中型企业制造的货物的，视同为中型企业。</w:t>
      </w:r>
    </w:p>
    <w:p>
      <w:pPr>
        <w:spacing w:line="440" w:lineRule="atLeast"/>
        <w:jc w:val="left"/>
        <w:rPr>
          <w:rFonts w:hint="eastAsia" w:ascii="宋体" w:hAnsi="宋体"/>
          <w:sz w:val="22"/>
          <w:u w:val="single"/>
        </w:rPr>
      </w:pPr>
      <w:r>
        <w:rPr>
          <w:rFonts w:hint="eastAsia" w:ascii="宋体" w:hAnsi="宋体"/>
          <w:sz w:val="22"/>
          <w:u w:val="single"/>
        </w:rPr>
        <w:t>（3）本项目对小型和微型企业产品的价格给予6%的扣除，用扣除后的价格参与评审。</w:t>
      </w:r>
    </w:p>
    <w:p>
      <w:pPr>
        <w:spacing w:line="440" w:lineRule="atLeast"/>
        <w:jc w:val="left"/>
        <w:rPr>
          <w:rFonts w:hint="eastAsia" w:ascii="宋体" w:hAnsi="宋体"/>
          <w:b/>
          <w:sz w:val="22"/>
        </w:rPr>
      </w:pPr>
      <w:r>
        <w:rPr>
          <w:rFonts w:hint="eastAsia" w:ascii="宋体" w:hAnsi="宋体"/>
          <w:b/>
          <w:sz w:val="22"/>
          <w:u w:val="single"/>
        </w:rPr>
        <w:t>3.享受小微企业价格折扣应提供以下证明材料（投标文件商务技术标中，缺一不可）</w:t>
      </w:r>
      <w:r>
        <w:rPr>
          <w:rFonts w:hint="eastAsia" w:ascii="宋体" w:hAnsi="宋体"/>
          <w:b/>
          <w:sz w:val="22"/>
        </w:rPr>
        <w:t>：</w:t>
      </w:r>
    </w:p>
    <w:p>
      <w:pPr>
        <w:spacing w:line="440" w:lineRule="atLeast"/>
        <w:jc w:val="left"/>
        <w:rPr>
          <w:rFonts w:hint="eastAsia" w:ascii="宋体" w:hAnsi="宋体"/>
          <w:b/>
          <w:sz w:val="22"/>
        </w:rPr>
      </w:pPr>
      <w:r>
        <w:rPr>
          <w:rFonts w:hint="eastAsia" w:ascii="宋体" w:hAnsi="宋体"/>
          <w:b/>
          <w:sz w:val="22"/>
        </w:rPr>
        <w:t>（1）通过浙江政府采购网申请注册加入政府采购供应商库（不包括公示期内，提供浙江省政府采购网页面截图或其他入库证明材料，加盖供应商公章）</w:t>
      </w:r>
    </w:p>
    <w:p>
      <w:pPr>
        <w:spacing w:line="440" w:lineRule="atLeast"/>
        <w:jc w:val="left"/>
        <w:rPr>
          <w:rFonts w:hint="eastAsia" w:ascii="宋体" w:hAnsi="宋体"/>
          <w:b/>
          <w:sz w:val="22"/>
        </w:rPr>
      </w:pPr>
      <w:r>
        <w:rPr>
          <w:rFonts w:hint="eastAsia" w:ascii="宋体" w:hAnsi="宋体"/>
          <w:b/>
          <w:sz w:val="22"/>
        </w:rPr>
        <w:t>（2）《中小企业声明函》（加盖供应商公章，格式见附件1）</w:t>
      </w:r>
    </w:p>
    <w:p>
      <w:pPr>
        <w:spacing w:line="440" w:lineRule="atLeast"/>
        <w:jc w:val="left"/>
        <w:rPr>
          <w:rFonts w:hint="eastAsia" w:ascii="宋体" w:hAnsi="宋体"/>
          <w:b/>
          <w:sz w:val="22"/>
        </w:rPr>
      </w:pPr>
      <w:r>
        <w:rPr>
          <w:rFonts w:hint="eastAsia" w:ascii="宋体" w:hAnsi="宋体"/>
          <w:b/>
          <w:sz w:val="22"/>
        </w:rPr>
        <w:t>4.</w:t>
      </w:r>
      <w:r>
        <w:rPr>
          <w:rFonts w:hint="eastAsia" w:ascii="宋体" w:hAnsi="宋体"/>
          <w:b/>
          <w:sz w:val="22"/>
          <w:u w:val="single"/>
        </w:rPr>
        <w:t>享受监狱企业价格折扣应提供以下证明材料（投标文件商务技术标中，不提供的不享受价格折扣）</w:t>
      </w:r>
      <w:r>
        <w:rPr>
          <w:rFonts w:hint="eastAsia" w:ascii="宋体" w:hAnsi="宋体"/>
          <w:b/>
          <w:sz w:val="22"/>
        </w:rPr>
        <w:t>：</w:t>
      </w:r>
    </w:p>
    <w:p>
      <w:pPr>
        <w:spacing w:line="440" w:lineRule="atLeast"/>
        <w:jc w:val="left"/>
        <w:rPr>
          <w:rFonts w:hint="eastAsia" w:ascii="宋体" w:hAnsi="宋体"/>
          <w:b/>
          <w:sz w:val="22"/>
        </w:rPr>
      </w:pPr>
      <w:r>
        <w:rPr>
          <w:rFonts w:hint="eastAsia" w:ascii="宋体" w:hAnsi="宋体"/>
          <w:b/>
          <w:sz w:val="22"/>
        </w:rPr>
        <w:t>（1）监狱企业参加政府采购活动时，应当提供由省级以上监狱管理局、戒毒管理局(含新疆生产建设兵团)出具的属于监狱企业的证明文件（加盖公章）。在政府采购活动中，监狱企业视同小型、微型企业，享受评审中价格扣除政策。</w:t>
      </w:r>
    </w:p>
    <w:p>
      <w:pPr>
        <w:spacing w:line="440" w:lineRule="atLeast"/>
        <w:jc w:val="left"/>
        <w:rPr>
          <w:rFonts w:hint="eastAsia" w:ascii="宋体" w:hAnsi="宋体"/>
          <w:b/>
          <w:sz w:val="22"/>
        </w:rPr>
      </w:pPr>
      <w:r>
        <w:rPr>
          <w:rFonts w:hint="eastAsia" w:ascii="宋体" w:hAnsi="宋体"/>
          <w:b/>
          <w:sz w:val="22"/>
        </w:rPr>
        <w:t>5.</w:t>
      </w:r>
      <w:r>
        <w:rPr>
          <w:rFonts w:hint="eastAsia" w:ascii="宋体" w:hAnsi="宋体"/>
          <w:b/>
          <w:sz w:val="22"/>
          <w:u w:val="single"/>
        </w:rPr>
        <w:t>享受残疾人福利性单位格折扣应提供以下证明材料（投标文件商务技术标中，不提供的不享受价格折扣）</w:t>
      </w:r>
      <w:r>
        <w:rPr>
          <w:rFonts w:hint="eastAsia" w:ascii="宋体" w:hAnsi="宋体"/>
          <w:b/>
          <w:sz w:val="22"/>
        </w:rPr>
        <w:t>：</w:t>
      </w:r>
    </w:p>
    <w:p>
      <w:pPr>
        <w:spacing w:line="440" w:lineRule="atLeast"/>
        <w:jc w:val="left"/>
        <w:rPr>
          <w:rFonts w:hint="eastAsia" w:ascii="宋体" w:hAnsi="宋体"/>
          <w:b/>
          <w:sz w:val="22"/>
        </w:rPr>
      </w:pPr>
      <w:r>
        <w:rPr>
          <w:rFonts w:hint="eastAsia" w:ascii="宋体" w:hAnsi="宋体"/>
          <w:b/>
          <w:sz w:val="22"/>
        </w:rPr>
        <w:t>（1）残疾人福利性单位声明函；</w:t>
      </w:r>
    </w:p>
    <w:p>
      <w:pPr>
        <w:spacing w:line="440" w:lineRule="atLeast"/>
        <w:jc w:val="left"/>
        <w:rPr>
          <w:rFonts w:hint="eastAsia" w:ascii="宋体" w:hAnsi="宋体"/>
          <w:b/>
          <w:sz w:val="22"/>
        </w:rPr>
      </w:pPr>
      <w:r>
        <w:rPr>
          <w:rFonts w:hint="eastAsia" w:ascii="宋体" w:hAnsi="宋体"/>
          <w:b/>
          <w:sz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hint="eastAsia" w:ascii="宋体" w:hAnsi="宋体"/>
          <w:b/>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widowControl/>
        <w:shd w:val="clear" w:color="auto" w:fill="FDFAF5"/>
        <w:spacing w:before="100" w:beforeAutospacing="1" w:after="100" w:afterAutospacing="1" w:line="440" w:lineRule="atLeast"/>
        <w:jc w:val="left"/>
        <w:rPr>
          <w:rFonts w:hint="eastAsia" w:ascii="宋体" w:hAnsi="宋体"/>
          <w:b/>
          <w:sz w:val="24"/>
          <w:szCs w:val="24"/>
        </w:rPr>
      </w:pPr>
    </w:p>
    <w:p>
      <w:pPr>
        <w:widowControl/>
        <w:shd w:val="clear" w:color="auto" w:fill="FDFAF5"/>
        <w:spacing w:before="100" w:beforeAutospacing="1" w:after="100" w:afterAutospacing="1" w:line="440" w:lineRule="atLeast"/>
        <w:jc w:val="left"/>
        <w:rPr>
          <w:rFonts w:hint="eastAsia" w:ascii="宋体" w:hAnsi="宋体"/>
          <w:b/>
          <w:sz w:val="24"/>
          <w:szCs w:val="24"/>
        </w:rPr>
        <w:sectPr>
          <w:pgSz w:w="11906" w:h="16838"/>
          <w:pgMar w:top="1440" w:right="1247" w:bottom="1440" w:left="1247" w:header="851" w:footer="992" w:gutter="0"/>
          <w:cols w:space="720" w:num="1"/>
          <w:titlePg/>
          <w:docGrid w:type="linesAndChars" w:linePitch="312" w:charSpace="0"/>
        </w:sectPr>
      </w:pPr>
    </w:p>
    <w:p>
      <w:pPr>
        <w:widowControl/>
        <w:shd w:val="clear" w:color="auto" w:fill="FDFAF5"/>
        <w:spacing w:before="100" w:beforeAutospacing="1" w:after="100" w:afterAutospacing="1" w:line="440" w:lineRule="atLeast"/>
        <w:jc w:val="left"/>
        <w:rPr>
          <w:rFonts w:hint="eastAsia" w:ascii="宋体" w:hAnsi="宋体"/>
          <w:b/>
          <w:sz w:val="24"/>
          <w:szCs w:val="24"/>
        </w:rPr>
      </w:pPr>
      <w:r>
        <w:rPr>
          <w:rFonts w:hint="eastAsia" w:ascii="宋体" w:hAnsi="宋体"/>
          <w:b/>
          <w:sz w:val="24"/>
          <w:szCs w:val="24"/>
        </w:rPr>
        <w:t>附件1：</w:t>
      </w:r>
    </w:p>
    <w:p>
      <w:pPr>
        <w:widowControl/>
        <w:shd w:val="clear" w:color="auto" w:fill="FDFAF5"/>
        <w:spacing w:before="100" w:beforeAutospacing="1" w:after="100" w:afterAutospacing="1" w:line="440" w:lineRule="atLeast"/>
        <w:jc w:val="center"/>
        <w:rPr>
          <w:rFonts w:hint="eastAsia" w:ascii="宋体" w:hAnsi="宋体"/>
          <w:b/>
          <w:sz w:val="24"/>
          <w:szCs w:val="24"/>
        </w:rPr>
      </w:pPr>
      <w:r>
        <w:rPr>
          <w:rFonts w:hint="eastAsia" w:ascii="宋体" w:hAnsi="宋体"/>
          <w:b/>
          <w:bCs/>
          <w:sz w:val="24"/>
          <w:szCs w:val="24"/>
        </w:rPr>
        <w:t>中小企业声明函</w:t>
      </w:r>
    </w:p>
    <w:p>
      <w:pPr>
        <w:widowControl/>
        <w:shd w:val="clear" w:color="auto" w:fill="FDFAF5"/>
        <w:spacing w:before="100" w:beforeAutospacing="1" w:after="100" w:afterAutospacing="1" w:line="440" w:lineRule="atLeast"/>
        <w:ind w:firstLine="840"/>
        <w:jc w:val="left"/>
        <w:rPr>
          <w:rFonts w:hint="eastAsia" w:ascii="宋体" w:hAnsi="宋体"/>
          <w:b/>
          <w:sz w:val="24"/>
          <w:szCs w:val="24"/>
        </w:rPr>
      </w:pPr>
      <w:r>
        <w:rPr>
          <w:rFonts w:hint="eastAsia" w:ascii="宋体" w:hAnsi="宋体"/>
          <w:b/>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b/>
          <w:sz w:val="24"/>
          <w:szCs w:val="24"/>
        </w:rPr>
        <w:br w:type="textWrapping"/>
      </w:r>
      <w:r>
        <w:rPr>
          <w:rFonts w:hint="eastAsia" w:ascii="宋体" w:hAnsi="宋体"/>
          <w:b/>
          <w:sz w:val="24"/>
          <w:szCs w:val="24"/>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b/>
          <w:sz w:val="24"/>
          <w:szCs w:val="24"/>
        </w:rPr>
        <w:br w:type="textWrapping"/>
      </w:r>
      <w:r>
        <w:rPr>
          <w:rFonts w:hint="eastAsia" w:ascii="宋体" w:hAnsi="宋体"/>
          <w:b/>
          <w:sz w:val="24"/>
          <w:szCs w:val="24"/>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宋体" w:hAnsi="宋体"/>
          <w:b/>
          <w:sz w:val="24"/>
          <w:szCs w:val="24"/>
        </w:rPr>
        <w:br w:type="textWrapping"/>
      </w:r>
      <w:r>
        <w:rPr>
          <w:rFonts w:hint="eastAsia" w:ascii="宋体" w:hAnsi="宋体"/>
          <w:b/>
          <w:sz w:val="24"/>
          <w:szCs w:val="24"/>
        </w:rPr>
        <w:t>    本公司对上述声明的真实性负责。如有虚假，将依法承担相应责任。</w:t>
      </w:r>
    </w:p>
    <w:p>
      <w:pPr>
        <w:widowControl/>
        <w:shd w:val="clear" w:color="auto" w:fill="FDFAF5"/>
        <w:spacing w:before="100" w:beforeAutospacing="1" w:after="100" w:afterAutospacing="1" w:line="440" w:lineRule="atLeast"/>
        <w:jc w:val="left"/>
        <w:rPr>
          <w:rFonts w:hint="eastAsia" w:ascii="宋体" w:hAnsi="宋体"/>
          <w:b/>
          <w:sz w:val="24"/>
          <w:szCs w:val="24"/>
        </w:rPr>
      </w:pPr>
    </w:p>
    <w:p>
      <w:pPr>
        <w:widowControl/>
        <w:shd w:val="clear" w:color="auto" w:fill="FDFAF5"/>
        <w:spacing w:before="100" w:beforeAutospacing="1" w:after="100" w:afterAutospacing="1" w:line="440" w:lineRule="atLeast"/>
        <w:jc w:val="left"/>
        <w:rPr>
          <w:rFonts w:hint="eastAsia" w:ascii="宋体" w:hAnsi="宋体"/>
          <w:b/>
          <w:sz w:val="24"/>
          <w:szCs w:val="24"/>
        </w:rPr>
      </w:pPr>
      <w:r>
        <w:rPr>
          <w:rFonts w:hint="eastAsia" w:ascii="宋体" w:hAnsi="宋体"/>
          <w:b/>
          <w:sz w:val="24"/>
          <w:szCs w:val="24"/>
        </w:rPr>
        <w:t>投标供应商名称（盖章）：                </w:t>
      </w:r>
      <w:r>
        <w:rPr>
          <w:rFonts w:hint="eastAsia" w:ascii="宋体" w:hAnsi="宋体"/>
          <w:b/>
          <w:sz w:val="24"/>
          <w:szCs w:val="24"/>
        </w:rPr>
        <w:br w:type="textWrapping"/>
      </w:r>
      <w:r>
        <w:rPr>
          <w:rFonts w:hint="eastAsia" w:ascii="宋体" w:hAnsi="宋体"/>
          <w:b/>
          <w:sz w:val="24"/>
          <w:szCs w:val="24"/>
        </w:rPr>
        <w:t>日期：                             　　　　　</w:t>
      </w:r>
    </w:p>
    <w:p>
      <w:pPr>
        <w:widowControl/>
        <w:shd w:val="clear" w:color="auto" w:fill="FDFAF5"/>
        <w:spacing w:before="100" w:beforeAutospacing="1" w:after="100" w:afterAutospacing="1" w:line="440" w:lineRule="atLeast"/>
        <w:jc w:val="left"/>
        <w:rPr>
          <w:rFonts w:hint="eastAsia" w:ascii="宋体" w:hAnsi="宋体"/>
          <w:b/>
          <w:sz w:val="24"/>
          <w:szCs w:val="24"/>
        </w:rPr>
      </w:pPr>
      <w:r>
        <w:rPr>
          <w:rFonts w:hint="eastAsia" w:ascii="宋体" w:hAnsi="宋体"/>
          <w:b/>
          <w:sz w:val="24"/>
          <w:szCs w:val="24"/>
        </w:rPr>
        <w:t>附件3</w:t>
      </w:r>
    </w:p>
    <w:p>
      <w:pPr>
        <w:spacing w:line="588" w:lineRule="exact"/>
        <w:jc w:val="center"/>
        <w:rPr>
          <w:rFonts w:hint="eastAsia" w:ascii="宋体" w:hAnsi="宋体"/>
          <w:b/>
          <w:spacing w:val="6"/>
          <w:sz w:val="32"/>
          <w:szCs w:val="32"/>
        </w:rPr>
      </w:pPr>
      <w:bookmarkStart w:id="46" w:name="OLE_LINK13"/>
      <w:bookmarkStart w:id="47" w:name="OLE_LINK14"/>
      <w:r>
        <w:rPr>
          <w:rFonts w:hint="eastAsia" w:ascii="宋体" w:hAnsi="宋体"/>
          <w:spacing w:val="6"/>
          <w:sz w:val="32"/>
          <w:szCs w:val="32"/>
        </w:rPr>
        <w:t>残疾人福利性单位声明函</w:t>
      </w:r>
    </w:p>
    <w:bookmarkEnd w:id="46"/>
    <w:bookmarkEnd w:id="47"/>
    <w:p>
      <w:pPr>
        <w:spacing w:line="588" w:lineRule="exact"/>
        <w:rPr>
          <w:rFonts w:hint="eastAsia" w:ascii="宋体" w:hAnsi="宋体"/>
          <w:b/>
          <w:spacing w:val="6"/>
          <w:sz w:val="30"/>
          <w:szCs w:val="30"/>
        </w:rPr>
      </w:pPr>
    </w:p>
    <w:p>
      <w:pPr>
        <w:spacing w:line="588" w:lineRule="exact"/>
        <w:ind w:firstLine="624" w:firstLineChars="200"/>
        <w:rPr>
          <w:rFonts w:hint="eastAsia" w:ascii="宋体" w:hAnsi="宋体"/>
          <w:spacing w:val="6"/>
          <w:sz w:val="30"/>
          <w:szCs w:val="30"/>
        </w:rPr>
      </w:pPr>
      <w:r>
        <w:rPr>
          <w:rFonts w:hint="eastAsia" w:ascii="宋体" w:hAnsi="宋体"/>
          <w:spacing w:val="6"/>
          <w:sz w:val="30"/>
          <w:szCs w:val="30"/>
        </w:rPr>
        <w:t>本单位郑重声明，根据《财政部 民政部 中国残疾人联合会关于促进残疾人就业政府采购政策的通知》（财库</w:t>
      </w:r>
      <w:r>
        <w:rPr>
          <w:rFonts w:hint="eastAsia" w:ascii="宋体" w:hAnsi="宋体"/>
          <w:sz w:val="32"/>
          <w:szCs w:val="32"/>
        </w:rPr>
        <w:t>〔2017〕 141</w:t>
      </w:r>
      <w:r>
        <w:rPr>
          <w:rFonts w:hint="eastAsia" w:ascii="宋体" w:hAnsi="宋体"/>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hint="eastAsia" w:ascii="宋体" w:hAnsi="宋体"/>
          <w:spacing w:val="6"/>
          <w:sz w:val="30"/>
          <w:szCs w:val="30"/>
        </w:rPr>
      </w:pPr>
      <w:r>
        <w:rPr>
          <w:rFonts w:hint="eastAsia" w:ascii="宋体" w:hAnsi="宋体"/>
          <w:spacing w:val="6"/>
          <w:sz w:val="30"/>
          <w:szCs w:val="30"/>
        </w:rPr>
        <w:t>本单位对上述声明的真实性负责。如有虚假，将依法承担相应责任。</w:t>
      </w:r>
    </w:p>
    <w:p>
      <w:pPr>
        <w:spacing w:line="588" w:lineRule="exact"/>
        <w:ind w:firstLine="624" w:firstLineChars="200"/>
        <w:rPr>
          <w:rFonts w:hint="eastAsia" w:ascii="宋体" w:hAnsi="宋体"/>
          <w:spacing w:val="6"/>
          <w:sz w:val="30"/>
          <w:szCs w:val="30"/>
        </w:rPr>
      </w:pPr>
    </w:p>
    <w:p>
      <w:pPr>
        <w:spacing w:line="588" w:lineRule="exact"/>
        <w:ind w:firstLine="624" w:firstLineChars="200"/>
        <w:rPr>
          <w:rFonts w:hint="eastAsia" w:ascii="宋体" w:hAnsi="宋体"/>
          <w:spacing w:val="6"/>
          <w:sz w:val="30"/>
          <w:szCs w:val="30"/>
        </w:rPr>
      </w:pPr>
    </w:p>
    <w:p>
      <w:pPr>
        <w:tabs>
          <w:tab w:val="left" w:pos="4860"/>
        </w:tabs>
        <w:spacing w:line="588" w:lineRule="exact"/>
        <w:ind w:right="1560" w:firstLine="624" w:firstLineChars="200"/>
        <w:jc w:val="center"/>
        <w:rPr>
          <w:rFonts w:hint="eastAsia" w:ascii="宋体" w:hAnsi="宋体"/>
          <w:spacing w:val="6"/>
          <w:sz w:val="30"/>
          <w:szCs w:val="30"/>
        </w:rPr>
      </w:pPr>
      <w:r>
        <w:rPr>
          <w:rFonts w:hint="eastAsia" w:ascii="宋体" w:hAnsi="宋体"/>
          <w:spacing w:val="6"/>
          <w:sz w:val="30"/>
          <w:szCs w:val="30"/>
        </w:rPr>
        <w:t xml:space="preserve">               单位名称（盖章）：</w:t>
      </w:r>
    </w:p>
    <w:p>
      <w:pPr>
        <w:tabs>
          <w:tab w:val="left" w:pos="4860"/>
        </w:tabs>
        <w:spacing w:line="588" w:lineRule="exact"/>
        <w:ind w:right="1560" w:firstLine="624" w:firstLineChars="200"/>
        <w:jc w:val="center"/>
        <w:rPr>
          <w:rFonts w:hint="eastAsia" w:ascii="宋体" w:hAnsi="宋体"/>
          <w:spacing w:val="6"/>
          <w:sz w:val="30"/>
          <w:szCs w:val="30"/>
        </w:rPr>
      </w:pPr>
      <w:r>
        <w:rPr>
          <w:rFonts w:hint="eastAsia" w:ascii="宋体" w:hAnsi="宋体"/>
          <w:spacing w:val="6"/>
          <w:sz w:val="30"/>
          <w:szCs w:val="30"/>
        </w:rPr>
        <w:t xml:space="preserve">       日  期：</w:t>
      </w:r>
    </w:p>
    <w:p>
      <w:pPr>
        <w:tabs>
          <w:tab w:val="left" w:pos="4860"/>
        </w:tabs>
        <w:spacing w:line="588" w:lineRule="exact"/>
        <w:ind w:right="1560" w:firstLine="624" w:firstLineChars="200"/>
        <w:jc w:val="center"/>
        <w:rPr>
          <w:rFonts w:hint="eastAsia" w:ascii="宋体" w:hAnsi="宋体"/>
          <w:spacing w:val="6"/>
          <w:sz w:val="30"/>
          <w:szCs w:val="30"/>
        </w:rPr>
      </w:pPr>
    </w:p>
    <w:p>
      <w:pPr>
        <w:tabs>
          <w:tab w:val="left" w:pos="4860"/>
        </w:tabs>
        <w:spacing w:line="588" w:lineRule="exact"/>
        <w:ind w:right="1560" w:firstLine="624" w:firstLineChars="200"/>
        <w:jc w:val="center"/>
        <w:rPr>
          <w:rFonts w:hint="eastAsia" w:ascii="宋体" w:hAnsi="宋体"/>
          <w:spacing w:val="6"/>
          <w:sz w:val="30"/>
          <w:szCs w:val="30"/>
        </w:rPr>
      </w:pPr>
    </w:p>
    <w:p>
      <w:pPr>
        <w:tabs>
          <w:tab w:val="left" w:pos="4860"/>
        </w:tabs>
        <w:spacing w:line="588" w:lineRule="exact"/>
        <w:ind w:right="1560"/>
        <w:jc w:val="left"/>
        <w:rPr>
          <w:rFonts w:hint="eastAsia" w:ascii="宋体" w:hAnsi="宋体"/>
          <w:b/>
          <w:sz w:val="22"/>
        </w:rPr>
      </w:pPr>
      <w:r>
        <w:rPr>
          <w:rFonts w:hint="eastAsia" w:ascii="宋体" w:hAnsi="宋体"/>
          <w:b/>
          <w:sz w:val="22"/>
        </w:rPr>
        <w:t>备注说明：</w:t>
      </w:r>
    </w:p>
    <w:p>
      <w:pPr>
        <w:tabs>
          <w:tab w:val="left" w:pos="4860"/>
        </w:tabs>
        <w:spacing w:line="588" w:lineRule="exact"/>
        <w:ind w:right="1560"/>
        <w:jc w:val="left"/>
        <w:rPr>
          <w:rFonts w:hint="eastAsia" w:ascii="宋体" w:hAnsi="宋体"/>
          <w:b/>
          <w:sz w:val="22"/>
        </w:rPr>
      </w:pPr>
      <w:r>
        <w:rPr>
          <w:rFonts w:hint="eastAsia" w:ascii="宋体" w:hAnsi="宋体"/>
          <w:b/>
          <w:sz w:val="22"/>
        </w:rPr>
        <w:t>1.如中标，将在中标公示中将此残疾人福利性单位声明函予以公示，接受社会监督；</w:t>
      </w:r>
    </w:p>
    <w:p>
      <w:pPr>
        <w:tabs>
          <w:tab w:val="left" w:pos="4860"/>
        </w:tabs>
        <w:spacing w:line="588" w:lineRule="exact"/>
        <w:ind w:right="1560"/>
        <w:jc w:val="left"/>
        <w:rPr>
          <w:rFonts w:hint="eastAsia" w:ascii="宋体" w:hAnsi="宋体"/>
          <w:spacing w:val="6"/>
          <w:sz w:val="30"/>
          <w:szCs w:val="30"/>
        </w:rPr>
      </w:pPr>
      <w:r>
        <w:rPr>
          <w:rFonts w:hint="eastAsia" w:ascii="宋体" w:hAnsi="宋体"/>
          <w:b/>
          <w:sz w:val="22"/>
        </w:rPr>
        <w:t>2.供应商提供的《残疾人福利性单位声明函》与事实不符的，依照《政府采购法》第七十七条第一款的规定追究法律责任。</w:t>
      </w:r>
    </w:p>
    <w:p>
      <w:pPr>
        <w:widowControl/>
        <w:shd w:val="clear" w:color="auto" w:fill="FDFAF5"/>
        <w:spacing w:before="100" w:beforeAutospacing="1" w:after="100" w:afterAutospacing="1" w:line="440" w:lineRule="atLeast"/>
        <w:jc w:val="left"/>
        <w:rPr>
          <w:rFonts w:hint="eastAsia" w:ascii="宋体" w:hAnsi="宋体"/>
          <w:sz w:val="24"/>
          <w:szCs w:val="24"/>
        </w:rPr>
      </w:pP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二、节能、环保产品优先（强制）采购政策说明</w:t>
      </w:r>
    </w:p>
    <w:p>
      <w:pPr>
        <w:widowControl/>
        <w:shd w:val="clear" w:color="auto" w:fill="FDFAF5"/>
        <w:spacing w:before="100" w:beforeAutospacing="1" w:after="100" w:afterAutospacing="1" w:line="440" w:lineRule="atLeast"/>
        <w:ind w:firstLine="840"/>
        <w:jc w:val="left"/>
        <w:rPr>
          <w:rFonts w:hint="eastAsia" w:ascii="宋体" w:hAnsi="宋体"/>
          <w:sz w:val="24"/>
          <w:szCs w:val="24"/>
        </w:rPr>
      </w:pPr>
      <w:r>
        <w:rPr>
          <w:rFonts w:hint="eastAsia" w:ascii="宋体" w:hAnsi="宋体"/>
          <w:sz w:val="24"/>
          <w:szCs w:val="24"/>
        </w:rPr>
        <w:t>1、政策依据</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（一）《国务院办公厅关于建立政府强制采购节能产品制度的通知》(国办发[2007]51号)</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（二）财政部、发展改革委发布的《节能产品政府采购实施意见》(财库[2004]185号)</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（三）财政部、原环保总局印发的《环境标志产品政府采购实施的意见》（财库 [2006]90号）</w:t>
      </w:r>
    </w:p>
    <w:p>
      <w:pPr>
        <w:widowControl/>
        <w:shd w:val="clear" w:color="auto" w:fill="FDFAF5"/>
        <w:spacing w:before="100" w:beforeAutospacing="1" w:after="100" w:afterAutospacing="1" w:line="440" w:lineRule="atLeast"/>
        <w:ind w:firstLine="840"/>
        <w:jc w:val="left"/>
        <w:rPr>
          <w:rFonts w:hint="eastAsia" w:ascii="宋体" w:hAnsi="宋体"/>
          <w:sz w:val="24"/>
          <w:szCs w:val="24"/>
        </w:rPr>
      </w:pPr>
      <w:r>
        <w:rPr>
          <w:rFonts w:hint="eastAsia" w:ascii="宋体" w:hAnsi="宋体"/>
          <w:sz w:val="24"/>
          <w:szCs w:val="24"/>
        </w:rPr>
        <w:t>2、供应商投标货物属于节能、环保优先（强制）采购范围的，须提供相关证明材料。</w:t>
      </w:r>
    </w:p>
    <w:p>
      <w:pPr>
        <w:widowControl/>
        <w:spacing w:before="402" w:after="202" w:line="320" w:lineRule="atLeast"/>
        <w:ind w:left="202" w:right="150"/>
        <w:rPr>
          <w:rFonts w:hint="eastAsia" w:ascii="宋体" w:hAnsi="宋体"/>
          <w:sz w:val="22"/>
        </w:rPr>
      </w:pPr>
      <w:r>
        <w:rPr>
          <w:rFonts w:hint="eastAsia" w:ascii="宋体" w:hAnsi="宋体"/>
          <w:color w:val="383838"/>
          <w:kern w:val="0"/>
          <w:sz w:val="22"/>
          <w:shd w:val="clear" w:color="auto" w:fill="FFFFFF"/>
          <w:lang w:bidi="ar"/>
        </w:rPr>
        <w:t>3</w:t>
      </w:r>
      <w:r>
        <w:rPr>
          <w:rFonts w:hint="eastAsia" w:ascii="宋体" w:hAnsi="宋体"/>
          <w:kern w:val="0"/>
          <w:sz w:val="22"/>
          <w:shd w:val="clear" w:color="auto" w:fill="FFFFFF"/>
          <w:lang w:bidi="ar"/>
        </w:rPr>
        <w:t>、参与实施政府采购节能产品认证机构名录</w:t>
      </w:r>
    </w:p>
    <w:tbl>
      <w:tblPr>
        <w:tblStyle w:val="24"/>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206"/>
        <w:gridCol w:w="1155"/>
        <w:gridCol w:w="1554"/>
        <w:gridCol w:w="1497"/>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序号</w:t>
            </w:r>
          </w:p>
        </w:tc>
        <w:tc>
          <w:tcPr>
            <w:tcW w:w="33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一级目录</w:t>
            </w:r>
          </w:p>
        </w:tc>
        <w:tc>
          <w:tcPr>
            <w:tcW w:w="40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二级目录</w:t>
            </w:r>
          </w:p>
        </w:tc>
        <w:tc>
          <w:tcPr>
            <w:tcW w:w="58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产品代码</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产品名称</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产品代码</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产品名称</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w:t>
            </w:r>
          </w:p>
        </w:tc>
        <w:tc>
          <w:tcPr>
            <w:tcW w:w="14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w:t>
            </w:r>
          </w:p>
        </w:tc>
        <w:tc>
          <w:tcPr>
            <w:tcW w:w="18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计算机设备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A02010104</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台式计算机</w:t>
            </w:r>
          </w:p>
        </w:tc>
        <w:tc>
          <w:tcPr>
            <w:tcW w:w="58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北京赛西认证有限责任公司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中国网络安全审查技术与认证中心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A02010105</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便携式计算机</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A02010107</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平板式微型计算机</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2</w:t>
            </w:r>
          </w:p>
        </w:tc>
        <w:tc>
          <w:tcPr>
            <w:tcW w:w="14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w:t>
            </w:r>
          </w:p>
        </w:tc>
        <w:tc>
          <w:tcPr>
            <w:tcW w:w="18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输入输出设备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打印设备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A02010604</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显示设备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A02010609</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图形图像输入设备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3</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A020202</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投影仪</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4</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A020204</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多功能一体机</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5</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A020519</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泵</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A02051901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离心泵</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6</w:t>
            </w:r>
          </w:p>
        </w:tc>
        <w:tc>
          <w:tcPr>
            <w:tcW w:w="14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w:t>
            </w:r>
          </w:p>
        </w:tc>
        <w:tc>
          <w:tcPr>
            <w:tcW w:w="18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制冷空调设备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制冷压缩机</w:t>
            </w:r>
          </w:p>
        </w:tc>
        <w:tc>
          <w:tcPr>
            <w:tcW w:w="58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A02052305</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空调机组</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A02052309</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专用制冷、空调设备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A02052399</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其他制冷空调设备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7</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A020601</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电机</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8</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A020602</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变压器</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9</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A020609</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镇流器</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深圳市计量质量检测研究院</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10</w:t>
            </w:r>
          </w:p>
        </w:tc>
        <w:tc>
          <w:tcPr>
            <w:tcW w:w="14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w:t>
            </w:r>
          </w:p>
        </w:tc>
        <w:tc>
          <w:tcPr>
            <w:tcW w:w="18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生活用电器</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A0206180101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电冰箱</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A0206180203</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空调机</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A0206180301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洗衣机</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A02061808</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热水器</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11</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A020619</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照明设备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深圳市计量质量检测研究院</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12</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A020910</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电视设备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A02091001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普通电视设备（电视机）</w:t>
            </w:r>
          </w:p>
        </w:tc>
        <w:tc>
          <w:tcPr>
            <w:tcW w:w="58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北京泰瑞特认证有限责任公司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13</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A020911</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视频设备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A02091107</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视频监控设备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14</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A031210</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饮食炊事机械</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北京鉴衡认证中心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15</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A060805</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便器</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北京新华节水产品认证有限公司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16</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A060806</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水嘴</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17</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A060807</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便器冲洗阀</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18</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A060810</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淋浴器</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bl>
    <w:p>
      <w:pPr>
        <w:widowControl/>
        <w:spacing w:before="402" w:after="202" w:line="320" w:lineRule="atLeast"/>
        <w:ind w:left="202" w:right="150"/>
        <w:jc w:val="center"/>
        <w:rPr>
          <w:rFonts w:hint="eastAsia" w:ascii="宋体" w:hAnsi="宋体"/>
          <w:sz w:val="22"/>
        </w:rPr>
      </w:pPr>
      <w:r>
        <w:rPr>
          <w:rFonts w:hint="eastAsia" w:ascii="宋体" w:hAnsi="宋体"/>
          <w:kern w:val="0"/>
          <w:sz w:val="22"/>
          <w:shd w:val="clear" w:color="auto" w:fill="FFFFFF"/>
          <w:lang w:bidi="ar"/>
        </w:rPr>
        <w:t>参与实施政府采购环境标志产品认证机构名录 </w:t>
      </w:r>
    </w:p>
    <w:tbl>
      <w:tblPr>
        <w:tblStyle w:val="24"/>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233"/>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序号</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目录</w:t>
            </w:r>
          </w:p>
        </w:tc>
        <w:tc>
          <w:tcPr>
            <w:tcW w:w="988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环境标志产品</w:t>
            </w:r>
          </w:p>
        </w:tc>
        <w:tc>
          <w:tcPr>
            <w:tcW w:w="988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中环联合（北京）认证中心有限公司</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中标合信（北京）认证有限公司</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中环协（北京）认证中心</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天津华诚认证有限公司</w:t>
            </w:r>
          </w:p>
        </w:tc>
      </w:tr>
    </w:tbl>
    <w:p/>
    <w:p>
      <w:pPr>
        <w:pStyle w:val="2"/>
        <w:rPr>
          <w:rFonts w:hint="eastAsia"/>
        </w:rPr>
      </w:pPr>
    </w:p>
    <w:p>
      <w:pPr>
        <w:pStyle w:val="22"/>
        <w:spacing w:line="400" w:lineRule="exact"/>
        <w:ind w:firstLine="210"/>
        <w:jc w:val="left"/>
        <w:rPr>
          <w:rFonts w:hint="eastAsia" w:ascii="宋体" w:hAnsi="宋体" w:cs="宋体"/>
          <w:kern w:val="2"/>
          <w:sz w:val="24"/>
          <w:szCs w:val="24"/>
        </w:rPr>
      </w:pPr>
      <w:bookmarkStart w:id="48" w:name="_Toc6708"/>
      <w:r>
        <w:rPr>
          <w:rFonts w:hint="eastAsia" w:ascii="宋体" w:hAnsi="宋体" w:cs="宋体"/>
          <w:kern w:val="2"/>
          <w:sz w:val="24"/>
          <w:szCs w:val="24"/>
        </w:rPr>
        <w:t>三、政府采购信用融资政策</w:t>
      </w:r>
      <w:bookmarkEnd w:id="48"/>
    </w:p>
    <w:p>
      <w:pPr>
        <w:jc w:val="center"/>
        <w:rPr>
          <w:rFonts w:hint="eastAsia" w:ascii="宋体" w:hAnsi="宋体"/>
          <w:sz w:val="22"/>
        </w:rPr>
      </w:pPr>
      <w:r>
        <w:rPr>
          <w:rFonts w:hint="eastAsia" w:ascii="宋体" w:hAnsi="宋体"/>
          <w:sz w:val="22"/>
        </w:rPr>
        <w:t>温州市政府采购信用融资意向银行选择表</w:t>
      </w:r>
    </w:p>
    <w:p>
      <w:pPr>
        <w:jc w:val="center"/>
        <w:rPr>
          <w:rFonts w:hint="eastAsia" w:ascii="宋体" w:hAnsi="宋体"/>
          <w:sz w:val="22"/>
        </w:rPr>
      </w:pPr>
      <w:r>
        <w:rPr>
          <w:rFonts w:hint="eastAsia" w:ascii="宋体" w:hAnsi="宋体"/>
          <w:sz w:val="22"/>
        </w:rPr>
        <w:t>（温州市供应商填写）</w:t>
      </w:r>
    </w:p>
    <w:tbl>
      <w:tblPr>
        <w:tblStyle w:val="24"/>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549"/>
        <w:gridCol w:w="1593"/>
        <w:gridCol w:w="956"/>
        <w:gridCol w:w="17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noWrap w:val="0"/>
            <w:vAlign w:val="top"/>
          </w:tcPr>
          <w:p>
            <w:pPr>
              <w:pStyle w:val="147"/>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企业名称</w:t>
            </w:r>
          </w:p>
        </w:tc>
        <w:tc>
          <w:tcPr>
            <w:tcW w:w="7704" w:type="dxa"/>
            <w:gridSpan w:val="5"/>
            <w:noWrap w:val="0"/>
            <w:vAlign w:val="top"/>
          </w:tcPr>
          <w:p>
            <w:pPr>
              <w:pStyle w:val="147"/>
              <w:spacing w:line="360" w:lineRule="auto"/>
              <w:ind w:firstLine="0" w:firstLineChars="0"/>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noWrap w:val="0"/>
            <w:vAlign w:val="top"/>
          </w:tcPr>
          <w:p>
            <w:pPr>
              <w:pStyle w:val="147"/>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企业注册地</w:t>
            </w:r>
          </w:p>
        </w:tc>
        <w:tc>
          <w:tcPr>
            <w:tcW w:w="4142" w:type="dxa"/>
            <w:gridSpan w:val="2"/>
            <w:noWrap w:val="0"/>
            <w:vAlign w:val="top"/>
          </w:tcPr>
          <w:p>
            <w:pPr>
              <w:pStyle w:val="147"/>
              <w:spacing w:line="360" w:lineRule="auto"/>
              <w:ind w:firstLine="0" w:firstLineChars="0"/>
              <w:jc w:val="center"/>
              <w:rPr>
                <w:rFonts w:hint="eastAsia" w:ascii="宋体" w:hAnsi="宋体" w:eastAsia="宋体" w:cs="宋体"/>
                <w:color w:val="000000"/>
                <w:kern w:val="0"/>
                <w:sz w:val="22"/>
                <w:szCs w:val="22"/>
              </w:rPr>
            </w:pPr>
          </w:p>
        </w:tc>
        <w:tc>
          <w:tcPr>
            <w:tcW w:w="2709" w:type="dxa"/>
            <w:gridSpan w:val="2"/>
            <w:noWrap w:val="0"/>
            <w:vAlign w:val="top"/>
          </w:tcPr>
          <w:p>
            <w:pPr>
              <w:pStyle w:val="147"/>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是否有融资意向</w:t>
            </w:r>
          </w:p>
        </w:tc>
        <w:tc>
          <w:tcPr>
            <w:tcW w:w="853" w:type="dxa"/>
            <w:noWrap w:val="0"/>
            <w:vAlign w:val="top"/>
          </w:tcPr>
          <w:p>
            <w:pPr>
              <w:pStyle w:val="147"/>
              <w:spacing w:line="360" w:lineRule="auto"/>
              <w:ind w:firstLine="0" w:firstLineChars="0"/>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noWrap w:val="0"/>
            <w:vAlign w:val="top"/>
          </w:tcPr>
          <w:p>
            <w:pPr>
              <w:pStyle w:val="147"/>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融资联系人</w:t>
            </w:r>
          </w:p>
        </w:tc>
        <w:tc>
          <w:tcPr>
            <w:tcW w:w="2549" w:type="dxa"/>
            <w:noWrap w:val="0"/>
            <w:vAlign w:val="top"/>
          </w:tcPr>
          <w:p>
            <w:pPr>
              <w:pStyle w:val="147"/>
              <w:spacing w:line="360" w:lineRule="auto"/>
              <w:ind w:firstLine="0" w:firstLineChars="0"/>
              <w:jc w:val="center"/>
              <w:rPr>
                <w:rFonts w:hint="eastAsia" w:ascii="宋体" w:hAnsi="宋体" w:eastAsia="宋体" w:cs="宋体"/>
                <w:color w:val="000000"/>
                <w:kern w:val="0"/>
                <w:sz w:val="22"/>
                <w:szCs w:val="22"/>
              </w:rPr>
            </w:pPr>
          </w:p>
        </w:tc>
        <w:tc>
          <w:tcPr>
            <w:tcW w:w="2549" w:type="dxa"/>
            <w:gridSpan w:val="2"/>
            <w:noWrap w:val="0"/>
            <w:vAlign w:val="top"/>
          </w:tcPr>
          <w:p>
            <w:pPr>
              <w:pStyle w:val="147"/>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联系方式</w:t>
            </w:r>
          </w:p>
        </w:tc>
        <w:tc>
          <w:tcPr>
            <w:tcW w:w="2606" w:type="dxa"/>
            <w:gridSpan w:val="2"/>
            <w:noWrap w:val="0"/>
            <w:vAlign w:val="top"/>
          </w:tcPr>
          <w:p>
            <w:pPr>
              <w:pStyle w:val="147"/>
              <w:spacing w:line="360" w:lineRule="auto"/>
              <w:ind w:firstLine="0" w:firstLineChars="0"/>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973" w:type="dxa"/>
            <w:gridSpan w:val="4"/>
            <w:noWrap w:val="0"/>
            <w:vAlign w:val="center"/>
          </w:tcPr>
          <w:p>
            <w:pPr>
              <w:pStyle w:val="147"/>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温州市政府采购信用融资合作银行</w:t>
            </w:r>
          </w:p>
        </w:tc>
        <w:tc>
          <w:tcPr>
            <w:tcW w:w="2606" w:type="dxa"/>
            <w:gridSpan w:val="2"/>
            <w:noWrap w:val="0"/>
            <w:vAlign w:val="top"/>
          </w:tcPr>
          <w:p>
            <w:pPr>
              <w:pStyle w:val="147"/>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7"/>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温州银行股份有限公司温州分行</w:t>
            </w:r>
          </w:p>
        </w:tc>
        <w:tc>
          <w:tcPr>
            <w:tcW w:w="2606" w:type="dxa"/>
            <w:gridSpan w:val="2"/>
            <w:noWrap w:val="0"/>
            <w:vAlign w:val="top"/>
          </w:tcPr>
          <w:p>
            <w:pPr>
              <w:pStyle w:val="147"/>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7"/>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温州银行股份有限公司鹿城分行</w:t>
            </w:r>
          </w:p>
        </w:tc>
        <w:tc>
          <w:tcPr>
            <w:tcW w:w="2606" w:type="dxa"/>
            <w:gridSpan w:val="2"/>
            <w:noWrap w:val="0"/>
            <w:vAlign w:val="top"/>
          </w:tcPr>
          <w:p>
            <w:pPr>
              <w:pStyle w:val="147"/>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7"/>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中国工商银行股份有限公司温州分行</w:t>
            </w:r>
          </w:p>
        </w:tc>
        <w:tc>
          <w:tcPr>
            <w:tcW w:w="2606" w:type="dxa"/>
            <w:gridSpan w:val="2"/>
            <w:noWrap w:val="0"/>
            <w:vAlign w:val="top"/>
          </w:tcPr>
          <w:p>
            <w:pPr>
              <w:pStyle w:val="147"/>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73" w:type="dxa"/>
            <w:gridSpan w:val="4"/>
            <w:noWrap w:val="0"/>
            <w:vAlign w:val="top"/>
          </w:tcPr>
          <w:p>
            <w:pPr>
              <w:rPr>
                <w:rFonts w:hint="eastAsia" w:ascii="宋体" w:hAnsi="宋体"/>
                <w:color w:val="000000"/>
                <w:kern w:val="0"/>
                <w:sz w:val="22"/>
              </w:rPr>
            </w:pPr>
            <w:r>
              <w:rPr>
                <w:rFonts w:hint="eastAsia" w:ascii="宋体" w:hAnsi="宋体"/>
                <w:color w:val="000000"/>
                <w:kern w:val="0"/>
                <w:sz w:val="22"/>
              </w:rPr>
              <w:t>中国建设银行股份有限公司温州分行</w:t>
            </w:r>
          </w:p>
        </w:tc>
        <w:tc>
          <w:tcPr>
            <w:tcW w:w="2606" w:type="dxa"/>
            <w:gridSpan w:val="2"/>
            <w:noWrap w:val="0"/>
            <w:vAlign w:val="top"/>
          </w:tcPr>
          <w:p>
            <w:pPr>
              <w:rPr>
                <w:rFonts w:hint="eastAsia" w:ascii="宋体" w:hAnsi="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7"/>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中国邮政储蓄银行股份有限公司温州市分行</w:t>
            </w:r>
          </w:p>
        </w:tc>
        <w:tc>
          <w:tcPr>
            <w:tcW w:w="2606" w:type="dxa"/>
            <w:gridSpan w:val="2"/>
            <w:noWrap w:val="0"/>
            <w:vAlign w:val="top"/>
          </w:tcPr>
          <w:p>
            <w:pPr>
              <w:pStyle w:val="147"/>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7"/>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中国民生银行股份有限公司温州分行</w:t>
            </w:r>
          </w:p>
        </w:tc>
        <w:tc>
          <w:tcPr>
            <w:tcW w:w="2606" w:type="dxa"/>
            <w:gridSpan w:val="2"/>
            <w:noWrap w:val="0"/>
            <w:vAlign w:val="top"/>
          </w:tcPr>
          <w:p>
            <w:pPr>
              <w:pStyle w:val="147"/>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7"/>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宁波银行股份有限公司温州分行</w:t>
            </w:r>
          </w:p>
        </w:tc>
        <w:tc>
          <w:tcPr>
            <w:tcW w:w="2606" w:type="dxa"/>
            <w:gridSpan w:val="2"/>
            <w:noWrap w:val="0"/>
            <w:vAlign w:val="top"/>
          </w:tcPr>
          <w:p>
            <w:pPr>
              <w:pStyle w:val="147"/>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7"/>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杭州银行股份有限公司温州分行</w:t>
            </w:r>
          </w:p>
        </w:tc>
        <w:tc>
          <w:tcPr>
            <w:tcW w:w="2606" w:type="dxa"/>
            <w:gridSpan w:val="2"/>
            <w:noWrap w:val="0"/>
            <w:vAlign w:val="top"/>
          </w:tcPr>
          <w:p>
            <w:pPr>
              <w:pStyle w:val="147"/>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7"/>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招商银行股份有限公司温州分行</w:t>
            </w:r>
          </w:p>
        </w:tc>
        <w:tc>
          <w:tcPr>
            <w:tcW w:w="2606" w:type="dxa"/>
            <w:gridSpan w:val="2"/>
            <w:noWrap w:val="0"/>
            <w:vAlign w:val="top"/>
          </w:tcPr>
          <w:p>
            <w:pPr>
              <w:pStyle w:val="147"/>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7"/>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兴业银行股份有限公司温州分行</w:t>
            </w:r>
          </w:p>
        </w:tc>
        <w:tc>
          <w:tcPr>
            <w:tcW w:w="2606" w:type="dxa"/>
            <w:gridSpan w:val="2"/>
            <w:noWrap w:val="0"/>
            <w:vAlign w:val="top"/>
          </w:tcPr>
          <w:p>
            <w:pPr>
              <w:pStyle w:val="147"/>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7"/>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交通银行股份有限公司温州分行</w:t>
            </w:r>
          </w:p>
        </w:tc>
        <w:tc>
          <w:tcPr>
            <w:tcW w:w="2606" w:type="dxa"/>
            <w:gridSpan w:val="2"/>
            <w:noWrap w:val="0"/>
            <w:vAlign w:val="top"/>
          </w:tcPr>
          <w:p>
            <w:pPr>
              <w:pStyle w:val="147"/>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973" w:type="dxa"/>
            <w:gridSpan w:val="4"/>
            <w:noWrap w:val="0"/>
            <w:vAlign w:val="top"/>
          </w:tcPr>
          <w:p>
            <w:pPr>
              <w:pStyle w:val="147"/>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上海浦东发展银行股份有限公司温州分行</w:t>
            </w:r>
          </w:p>
        </w:tc>
        <w:tc>
          <w:tcPr>
            <w:tcW w:w="2606" w:type="dxa"/>
            <w:gridSpan w:val="2"/>
            <w:noWrap w:val="0"/>
            <w:vAlign w:val="top"/>
          </w:tcPr>
          <w:p>
            <w:pPr>
              <w:pStyle w:val="147"/>
              <w:spacing w:line="360" w:lineRule="auto"/>
              <w:ind w:firstLine="0" w:firstLineChars="0"/>
              <w:rPr>
                <w:rFonts w:hint="eastAsia" w:ascii="宋体" w:hAnsi="宋体" w:eastAsia="宋体" w:cs="宋体"/>
                <w:color w:val="000000"/>
                <w:kern w:val="0"/>
                <w:sz w:val="22"/>
                <w:szCs w:val="22"/>
              </w:rPr>
            </w:pPr>
          </w:p>
        </w:tc>
      </w:tr>
    </w:tbl>
    <w:p>
      <w:pPr>
        <w:rPr>
          <w:rFonts w:hint="eastAsia" w:ascii="宋体" w:hAnsi="宋体"/>
          <w:sz w:val="22"/>
        </w:rPr>
      </w:pPr>
      <w:r>
        <w:rPr>
          <w:rFonts w:hint="eastAsia" w:ascii="宋体" w:hAnsi="宋体"/>
          <w:sz w:val="22"/>
        </w:rPr>
        <w:t>注：1、本表填写对象为注册地在温州市域内的供应商。</w:t>
      </w:r>
    </w:p>
    <w:p>
      <w:pPr>
        <w:ind w:firstLine="440" w:firstLineChars="200"/>
        <w:rPr>
          <w:rFonts w:hint="eastAsia" w:ascii="宋体" w:hAnsi="宋体"/>
          <w:sz w:val="22"/>
        </w:rPr>
      </w:pPr>
      <w:r>
        <w:rPr>
          <w:rFonts w:hint="eastAsia" w:ascii="宋体" w:hAnsi="宋体"/>
          <w:sz w:val="22"/>
        </w:rPr>
        <w:t>2、财政部门根据企业自行选择，将本表及企业相关信息推送至相对应的融资意向银行经办人。</w:t>
      </w:r>
    </w:p>
    <w:p>
      <w:pPr>
        <w:pStyle w:val="22"/>
        <w:spacing w:line="400" w:lineRule="exact"/>
        <w:ind w:firstLine="210"/>
        <w:jc w:val="left"/>
        <w:rPr>
          <w:rFonts w:hint="eastAsia" w:ascii="宋体" w:hAnsi="宋体" w:cs="宋体"/>
          <w:kern w:val="2"/>
          <w:sz w:val="24"/>
          <w:szCs w:val="24"/>
        </w:rPr>
      </w:pPr>
      <w:bookmarkStart w:id="49" w:name="_Toc28192"/>
      <w:r>
        <w:rPr>
          <w:rFonts w:hint="eastAsia" w:ascii="宋体" w:hAnsi="宋体" w:cs="宋体"/>
          <w:kern w:val="2"/>
          <w:sz w:val="24"/>
          <w:szCs w:val="24"/>
        </w:rPr>
        <w:t>中标单位如需要融资，可联系以下银行：</w:t>
      </w:r>
      <w:bookmarkEnd w:id="49"/>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245"/>
        <w:gridCol w:w="1012"/>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4"/>
            <w:noWrap w:val="0"/>
            <w:vAlign w:val="top"/>
          </w:tcPr>
          <w:p>
            <w:pPr>
              <w:jc w:val="center"/>
              <w:rPr>
                <w:rFonts w:hint="eastAsia" w:ascii="宋体" w:hAnsi="宋体"/>
                <w:sz w:val="22"/>
              </w:rPr>
            </w:pPr>
            <w:r>
              <w:rPr>
                <w:rFonts w:hint="eastAsia" w:ascii="宋体" w:hAnsi="宋体"/>
                <w:color w:val="333333"/>
                <w:sz w:val="22"/>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77" w:type="dxa"/>
            <w:noWrap w:val="0"/>
            <w:vAlign w:val="center"/>
          </w:tcPr>
          <w:p>
            <w:pPr>
              <w:pStyle w:val="147"/>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银行名称</w:t>
            </w:r>
          </w:p>
        </w:tc>
        <w:tc>
          <w:tcPr>
            <w:tcW w:w="5497" w:type="dxa"/>
            <w:noWrap w:val="0"/>
            <w:vAlign w:val="top"/>
          </w:tcPr>
          <w:p>
            <w:pPr>
              <w:pStyle w:val="147"/>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产品特点（不超过120字）</w:t>
            </w:r>
          </w:p>
        </w:tc>
        <w:tc>
          <w:tcPr>
            <w:tcW w:w="1559" w:type="dxa"/>
            <w:noWrap w:val="0"/>
            <w:vAlign w:val="center"/>
          </w:tcPr>
          <w:p>
            <w:pPr>
              <w:pStyle w:val="147"/>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经办人</w:t>
            </w:r>
          </w:p>
        </w:tc>
        <w:tc>
          <w:tcPr>
            <w:tcW w:w="2841" w:type="dxa"/>
            <w:noWrap w:val="0"/>
            <w:vAlign w:val="center"/>
          </w:tcPr>
          <w:p>
            <w:pPr>
              <w:rPr>
                <w:rFonts w:hint="eastAsia" w:ascii="宋体" w:hAnsi="宋体"/>
                <w:color w:val="000000"/>
                <w:kern w:val="0"/>
                <w:sz w:val="22"/>
              </w:rPr>
            </w:pPr>
            <w:r>
              <w:rPr>
                <w:rFonts w:hint="eastAsia" w:ascii="宋体" w:hAnsi="宋体"/>
                <w:color w:val="000000"/>
                <w:kern w:val="0"/>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7"/>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中国工商银行股份有限公司温州分行</w:t>
            </w:r>
          </w:p>
        </w:tc>
        <w:tc>
          <w:tcPr>
            <w:tcW w:w="5497" w:type="dxa"/>
            <w:noWrap w:val="0"/>
            <w:vAlign w:val="top"/>
          </w:tcPr>
          <w:p>
            <w:pPr>
              <w:rPr>
                <w:rFonts w:hint="eastAsia" w:ascii="宋体" w:hAnsi="宋体"/>
                <w:sz w:val="22"/>
              </w:rPr>
            </w:pPr>
            <w:r>
              <w:rPr>
                <w:rFonts w:hint="eastAsia" w:ascii="宋体" w:hAnsi="宋体"/>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559" w:type="dxa"/>
            <w:noWrap w:val="0"/>
            <w:vAlign w:val="center"/>
          </w:tcPr>
          <w:p>
            <w:pPr>
              <w:pStyle w:val="147"/>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王经理</w:t>
            </w:r>
          </w:p>
        </w:tc>
        <w:tc>
          <w:tcPr>
            <w:tcW w:w="2841" w:type="dxa"/>
            <w:noWrap w:val="0"/>
            <w:vAlign w:val="center"/>
          </w:tcPr>
          <w:p>
            <w:pPr>
              <w:rPr>
                <w:rFonts w:hint="eastAsia" w:ascii="宋体" w:hAnsi="宋体"/>
                <w:kern w:val="0"/>
                <w:sz w:val="22"/>
              </w:rPr>
            </w:pPr>
            <w:r>
              <w:rPr>
                <w:rFonts w:hint="eastAsia" w:ascii="宋体" w:hAnsi="宋体"/>
                <w:kern w:val="0"/>
                <w:sz w:val="22"/>
              </w:rPr>
              <w:t>0577-88186626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277" w:type="dxa"/>
            <w:noWrap w:val="0"/>
            <w:vAlign w:val="center"/>
          </w:tcPr>
          <w:p>
            <w:pPr>
              <w:rPr>
                <w:rFonts w:hint="eastAsia" w:ascii="宋体" w:hAnsi="宋体"/>
                <w:color w:val="000000"/>
                <w:sz w:val="22"/>
              </w:rPr>
            </w:pPr>
            <w:r>
              <w:rPr>
                <w:rFonts w:hint="eastAsia" w:ascii="宋体" w:hAnsi="宋体"/>
                <w:color w:val="000000"/>
                <w:kern w:val="0"/>
                <w:sz w:val="22"/>
              </w:rPr>
              <w:t>中国建设银行股份有限公司温州分行</w:t>
            </w:r>
          </w:p>
        </w:tc>
        <w:tc>
          <w:tcPr>
            <w:tcW w:w="5497" w:type="dxa"/>
            <w:noWrap w:val="0"/>
            <w:vAlign w:val="top"/>
          </w:tcPr>
          <w:p>
            <w:pPr>
              <w:rPr>
                <w:rFonts w:hint="eastAsia" w:ascii="宋体" w:hAnsi="宋体"/>
                <w:sz w:val="22"/>
              </w:rPr>
            </w:pPr>
            <w:r>
              <w:rPr>
                <w:rFonts w:hint="eastAsia" w:ascii="宋体" w:hAnsi="宋体"/>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559" w:type="dxa"/>
            <w:noWrap w:val="0"/>
            <w:vAlign w:val="center"/>
          </w:tcPr>
          <w:p>
            <w:pPr>
              <w:rPr>
                <w:rFonts w:hint="eastAsia" w:ascii="宋体" w:hAnsi="宋体"/>
                <w:color w:val="000000"/>
                <w:kern w:val="0"/>
                <w:sz w:val="22"/>
              </w:rPr>
            </w:pPr>
            <w:r>
              <w:rPr>
                <w:rFonts w:hint="eastAsia" w:ascii="宋体" w:hAnsi="宋体"/>
                <w:color w:val="000000"/>
                <w:kern w:val="0"/>
                <w:sz w:val="22"/>
              </w:rPr>
              <w:t>张经理</w:t>
            </w:r>
          </w:p>
        </w:tc>
        <w:tc>
          <w:tcPr>
            <w:tcW w:w="2841" w:type="dxa"/>
            <w:noWrap w:val="0"/>
            <w:vAlign w:val="center"/>
          </w:tcPr>
          <w:p>
            <w:pPr>
              <w:rPr>
                <w:rFonts w:hint="eastAsia" w:ascii="宋体" w:hAnsi="宋体"/>
                <w:color w:val="000000"/>
                <w:kern w:val="0"/>
                <w:sz w:val="22"/>
              </w:rPr>
            </w:pPr>
            <w:r>
              <w:rPr>
                <w:rFonts w:hint="eastAsia" w:ascii="宋体" w:hAnsi="宋体"/>
                <w:color w:val="000000"/>
                <w:kern w:val="0"/>
                <w:sz w:val="22"/>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7"/>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中国邮政储蓄银行股份有限公司温州市分行</w:t>
            </w:r>
          </w:p>
        </w:tc>
        <w:tc>
          <w:tcPr>
            <w:tcW w:w="5497" w:type="dxa"/>
            <w:noWrap w:val="0"/>
            <w:vAlign w:val="center"/>
          </w:tcPr>
          <w:p>
            <w:pPr>
              <w:rPr>
                <w:rFonts w:hint="eastAsia" w:ascii="宋体" w:hAnsi="宋体"/>
                <w:sz w:val="22"/>
              </w:rPr>
            </w:pPr>
            <w:r>
              <w:rPr>
                <w:rFonts w:hint="eastAsia" w:ascii="宋体" w:hAnsi="宋体"/>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559" w:type="dxa"/>
            <w:noWrap w:val="0"/>
            <w:vAlign w:val="center"/>
          </w:tcPr>
          <w:p>
            <w:pPr>
              <w:rPr>
                <w:rFonts w:hint="eastAsia" w:ascii="宋体" w:hAnsi="宋体"/>
                <w:sz w:val="22"/>
              </w:rPr>
            </w:pPr>
            <w:r>
              <w:rPr>
                <w:rFonts w:hint="eastAsia" w:ascii="宋体" w:hAnsi="宋体"/>
                <w:sz w:val="22"/>
              </w:rPr>
              <w:t>郑经理</w:t>
            </w:r>
          </w:p>
        </w:tc>
        <w:tc>
          <w:tcPr>
            <w:tcW w:w="2841" w:type="dxa"/>
            <w:noWrap w:val="0"/>
            <w:vAlign w:val="center"/>
          </w:tcPr>
          <w:p>
            <w:pPr>
              <w:rPr>
                <w:rFonts w:hint="eastAsia" w:ascii="宋体" w:hAnsi="宋体"/>
                <w:kern w:val="0"/>
                <w:sz w:val="22"/>
              </w:rPr>
            </w:pPr>
            <w:r>
              <w:rPr>
                <w:rFonts w:hint="eastAsia" w:ascii="宋体" w:hAnsi="宋体"/>
                <w:kern w:val="0"/>
                <w:sz w:val="22"/>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7"/>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中国民生银行股份有限公司温州分行</w:t>
            </w:r>
          </w:p>
        </w:tc>
        <w:tc>
          <w:tcPr>
            <w:tcW w:w="5497" w:type="dxa"/>
            <w:noWrap w:val="0"/>
            <w:vAlign w:val="top"/>
          </w:tcPr>
          <w:p>
            <w:pPr>
              <w:jc w:val="left"/>
              <w:rPr>
                <w:rFonts w:hint="eastAsia" w:ascii="宋体" w:hAnsi="宋体"/>
                <w:sz w:val="22"/>
              </w:rPr>
            </w:pPr>
            <w:r>
              <w:rPr>
                <w:rFonts w:hint="eastAsia" w:ascii="宋体" w:hAnsi="宋体"/>
                <w:color w:val="000000"/>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559" w:type="dxa"/>
            <w:noWrap w:val="0"/>
            <w:vAlign w:val="center"/>
          </w:tcPr>
          <w:p>
            <w:pPr>
              <w:rPr>
                <w:rFonts w:hint="eastAsia" w:ascii="宋体" w:hAnsi="宋体"/>
                <w:sz w:val="22"/>
              </w:rPr>
            </w:pPr>
            <w:r>
              <w:rPr>
                <w:rFonts w:hint="eastAsia" w:ascii="宋体" w:hAnsi="宋体"/>
                <w:sz w:val="22"/>
              </w:rPr>
              <w:t>项经理</w:t>
            </w:r>
          </w:p>
        </w:tc>
        <w:tc>
          <w:tcPr>
            <w:tcW w:w="2841" w:type="dxa"/>
            <w:noWrap w:val="0"/>
            <w:vAlign w:val="center"/>
          </w:tcPr>
          <w:p>
            <w:pPr>
              <w:rPr>
                <w:rFonts w:hint="eastAsia" w:ascii="宋体" w:hAnsi="宋体"/>
                <w:kern w:val="0"/>
                <w:sz w:val="22"/>
              </w:rPr>
            </w:pPr>
            <w:r>
              <w:rPr>
                <w:rFonts w:hint="eastAsia" w:ascii="宋体" w:hAnsi="宋体"/>
                <w:kern w:val="0"/>
                <w:sz w:val="22"/>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7"/>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宁波银行股份有限公司温州分行</w:t>
            </w:r>
          </w:p>
        </w:tc>
        <w:tc>
          <w:tcPr>
            <w:tcW w:w="5497" w:type="dxa"/>
            <w:noWrap w:val="0"/>
            <w:vAlign w:val="top"/>
          </w:tcPr>
          <w:p>
            <w:pPr>
              <w:rPr>
                <w:rFonts w:hint="eastAsia" w:ascii="宋体" w:hAnsi="宋体"/>
                <w:sz w:val="22"/>
              </w:rPr>
            </w:pPr>
            <w:r>
              <w:rPr>
                <w:rFonts w:hint="eastAsia" w:ascii="宋体" w:hAnsi="宋体"/>
                <w:color w:val="000000"/>
                <w:kern w:val="0"/>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559" w:type="dxa"/>
            <w:noWrap w:val="0"/>
            <w:vAlign w:val="center"/>
          </w:tcPr>
          <w:p>
            <w:pPr>
              <w:rPr>
                <w:rFonts w:hint="eastAsia" w:ascii="宋体" w:hAnsi="宋体"/>
                <w:sz w:val="22"/>
              </w:rPr>
            </w:pPr>
            <w:r>
              <w:rPr>
                <w:rFonts w:hint="eastAsia" w:ascii="宋体" w:hAnsi="宋体"/>
                <w:sz w:val="22"/>
              </w:rPr>
              <w:t>陈经理</w:t>
            </w:r>
          </w:p>
        </w:tc>
        <w:tc>
          <w:tcPr>
            <w:tcW w:w="2841" w:type="dxa"/>
            <w:noWrap w:val="0"/>
            <w:vAlign w:val="center"/>
          </w:tcPr>
          <w:p>
            <w:pPr>
              <w:rPr>
                <w:rFonts w:hint="eastAsia" w:ascii="宋体" w:hAnsi="宋体"/>
                <w:kern w:val="0"/>
                <w:sz w:val="22"/>
              </w:rPr>
            </w:pPr>
            <w:r>
              <w:rPr>
                <w:rFonts w:hint="eastAsia" w:ascii="宋体" w:hAnsi="宋体"/>
                <w:kern w:val="0"/>
                <w:sz w:val="22"/>
              </w:rPr>
              <w:t>0577－88007377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7"/>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杭州银行股份有限公司温州分行</w:t>
            </w:r>
          </w:p>
        </w:tc>
        <w:tc>
          <w:tcPr>
            <w:tcW w:w="5497" w:type="dxa"/>
            <w:noWrap w:val="0"/>
            <w:vAlign w:val="top"/>
          </w:tcPr>
          <w:p>
            <w:pPr>
              <w:rPr>
                <w:rFonts w:hint="eastAsia" w:ascii="宋体" w:hAnsi="宋体"/>
                <w:bCs/>
                <w:sz w:val="22"/>
              </w:rPr>
            </w:pPr>
            <w:r>
              <w:rPr>
                <w:rFonts w:hint="eastAsia" w:ascii="宋体" w:hAnsi="宋体"/>
                <w:bCs/>
                <w:sz w:val="22"/>
              </w:rPr>
              <w:t>门槛低：纯信用，平台注册入库并取得采购合同即可申请</w:t>
            </w:r>
          </w:p>
          <w:p>
            <w:pPr>
              <w:rPr>
                <w:rFonts w:hint="eastAsia" w:ascii="宋体" w:hAnsi="宋体"/>
                <w:bCs/>
                <w:sz w:val="22"/>
              </w:rPr>
            </w:pPr>
            <w:r>
              <w:rPr>
                <w:rFonts w:hint="eastAsia" w:ascii="宋体" w:hAnsi="宋体"/>
                <w:bCs/>
                <w:sz w:val="22"/>
              </w:rPr>
              <w:t>手续简：线上申请+线上签约，足不出户</w:t>
            </w:r>
          </w:p>
          <w:p>
            <w:pPr>
              <w:rPr>
                <w:rFonts w:hint="eastAsia" w:ascii="宋体" w:hAnsi="宋体"/>
                <w:bCs/>
                <w:sz w:val="22"/>
              </w:rPr>
            </w:pPr>
            <w:r>
              <w:rPr>
                <w:rFonts w:hint="eastAsia" w:ascii="宋体" w:hAnsi="宋体"/>
                <w:bCs/>
                <w:sz w:val="22"/>
              </w:rPr>
              <w:t>利率优：按优于一般中小企业贷款利率执行</w:t>
            </w:r>
          </w:p>
          <w:p>
            <w:pPr>
              <w:rPr>
                <w:rFonts w:hint="eastAsia" w:ascii="宋体" w:hAnsi="宋体"/>
                <w:sz w:val="22"/>
              </w:rPr>
            </w:pPr>
            <w:r>
              <w:rPr>
                <w:rFonts w:hint="eastAsia" w:ascii="宋体" w:hAnsi="宋体"/>
                <w:bCs/>
                <w:sz w:val="22"/>
              </w:rPr>
              <w:t>额度高：最高为合同金额的80%</w:t>
            </w:r>
          </w:p>
        </w:tc>
        <w:tc>
          <w:tcPr>
            <w:tcW w:w="1559" w:type="dxa"/>
            <w:noWrap w:val="0"/>
            <w:vAlign w:val="center"/>
          </w:tcPr>
          <w:p>
            <w:pPr>
              <w:rPr>
                <w:rFonts w:hint="eastAsia" w:ascii="宋体" w:hAnsi="宋体"/>
                <w:sz w:val="22"/>
              </w:rPr>
            </w:pPr>
            <w:r>
              <w:rPr>
                <w:rFonts w:hint="eastAsia" w:ascii="宋体" w:hAnsi="宋体"/>
                <w:sz w:val="22"/>
              </w:rPr>
              <w:t>叶经理</w:t>
            </w:r>
          </w:p>
        </w:tc>
        <w:tc>
          <w:tcPr>
            <w:tcW w:w="2841" w:type="dxa"/>
            <w:noWrap w:val="0"/>
            <w:vAlign w:val="center"/>
          </w:tcPr>
          <w:p>
            <w:pPr>
              <w:rPr>
                <w:rFonts w:hint="eastAsia" w:ascii="宋体" w:hAnsi="宋体"/>
                <w:kern w:val="0"/>
                <w:sz w:val="22"/>
              </w:rPr>
            </w:pPr>
            <w:r>
              <w:rPr>
                <w:rFonts w:hint="eastAsia" w:ascii="宋体" w:hAnsi="宋体"/>
                <w:kern w:val="0"/>
                <w:sz w:val="22"/>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7"/>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招商银行股份有限公司温州分行</w:t>
            </w:r>
          </w:p>
        </w:tc>
        <w:tc>
          <w:tcPr>
            <w:tcW w:w="5497" w:type="dxa"/>
            <w:noWrap w:val="0"/>
            <w:vAlign w:val="top"/>
          </w:tcPr>
          <w:p>
            <w:pPr>
              <w:rPr>
                <w:rFonts w:hint="eastAsia" w:ascii="宋体" w:hAnsi="宋体"/>
                <w:sz w:val="22"/>
              </w:rPr>
            </w:pPr>
            <w:r>
              <w:rPr>
                <w:rFonts w:hint="eastAsia" w:ascii="宋体" w:hAnsi="宋体"/>
                <w:sz w:val="22"/>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559" w:type="dxa"/>
            <w:noWrap w:val="0"/>
            <w:vAlign w:val="center"/>
          </w:tcPr>
          <w:p>
            <w:pPr>
              <w:rPr>
                <w:rFonts w:hint="eastAsia" w:ascii="宋体" w:hAnsi="宋体"/>
                <w:sz w:val="22"/>
              </w:rPr>
            </w:pPr>
            <w:r>
              <w:rPr>
                <w:rFonts w:hint="eastAsia" w:ascii="宋体" w:hAnsi="宋体"/>
                <w:sz w:val="22"/>
              </w:rPr>
              <w:t>陈经理</w:t>
            </w:r>
          </w:p>
        </w:tc>
        <w:tc>
          <w:tcPr>
            <w:tcW w:w="2841" w:type="dxa"/>
            <w:noWrap w:val="0"/>
            <w:vAlign w:val="center"/>
          </w:tcPr>
          <w:p>
            <w:pPr>
              <w:rPr>
                <w:rFonts w:hint="eastAsia" w:ascii="宋体" w:hAnsi="宋体"/>
                <w:kern w:val="0"/>
                <w:sz w:val="22"/>
              </w:rPr>
            </w:pPr>
            <w:r>
              <w:rPr>
                <w:rFonts w:hint="eastAsia" w:ascii="宋体" w:hAnsi="宋体"/>
                <w:kern w:val="0"/>
                <w:sz w:val="22"/>
              </w:rPr>
              <w:t>0577-88056876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7"/>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兴业银行股份有限公司温州分行</w:t>
            </w:r>
          </w:p>
        </w:tc>
        <w:tc>
          <w:tcPr>
            <w:tcW w:w="5497" w:type="dxa"/>
            <w:noWrap w:val="0"/>
            <w:vAlign w:val="center"/>
          </w:tcPr>
          <w:p>
            <w:pPr>
              <w:pStyle w:val="147"/>
              <w:spacing w:line="240" w:lineRule="auto"/>
              <w:ind w:firstLine="0" w:firstLineChars="0"/>
              <w:jc w:val="both"/>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559" w:type="dxa"/>
            <w:noWrap w:val="0"/>
            <w:vAlign w:val="center"/>
          </w:tcPr>
          <w:p>
            <w:pPr>
              <w:rPr>
                <w:rFonts w:hint="eastAsia" w:ascii="宋体" w:hAnsi="宋体"/>
                <w:sz w:val="22"/>
              </w:rPr>
            </w:pPr>
            <w:r>
              <w:rPr>
                <w:rFonts w:hint="eastAsia" w:ascii="宋体" w:hAnsi="宋体"/>
                <w:sz w:val="22"/>
              </w:rPr>
              <w:t>张经理</w:t>
            </w:r>
          </w:p>
          <w:p>
            <w:pPr>
              <w:rPr>
                <w:rFonts w:hint="eastAsia" w:ascii="宋体" w:hAnsi="宋体"/>
                <w:sz w:val="22"/>
              </w:rPr>
            </w:pPr>
            <w:r>
              <w:rPr>
                <w:rFonts w:hint="eastAsia" w:ascii="宋体" w:hAnsi="宋体"/>
                <w:sz w:val="22"/>
              </w:rPr>
              <w:t>陈经理</w:t>
            </w:r>
          </w:p>
        </w:tc>
        <w:tc>
          <w:tcPr>
            <w:tcW w:w="2841" w:type="dxa"/>
            <w:noWrap w:val="0"/>
            <w:vAlign w:val="center"/>
          </w:tcPr>
          <w:p>
            <w:pPr>
              <w:pStyle w:val="147"/>
              <w:spacing w:line="360" w:lineRule="auto"/>
              <w:ind w:firstLine="0" w:firstLineChars="0"/>
              <w:jc w:val="both"/>
              <w:rPr>
                <w:rFonts w:hint="eastAsia" w:ascii="宋体" w:hAnsi="宋体" w:eastAsia="宋体" w:cs="宋体"/>
                <w:kern w:val="0"/>
                <w:sz w:val="22"/>
                <w:szCs w:val="22"/>
              </w:rPr>
            </w:pPr>
            <w:r>
              <w:rPr>
                <w:rFonts w:hint="eastAsia" w:ascii="宋体" w:hAnsi="宋体" w:eastAsia="宋体" w:cs="宋体"/>
                <w:kern w:val="0"/>
                <w:sz w:val="22"/>
                <w:szCs w:val="22"/>
              </w:rPr>
              <w:t>0577-88369368/13857713118</w:t>
            </w:r>
          </w:p>
          <w:p>
            <w:pPr>
              <w:pStyle w:val="147"/>
              <w:spacing w:line="360" w:lineRule="auto"/>
              <w:ind w:firstLine="0" w:firstLineChars="0"/>
              <w:jc w:val="both"/>
              <w:rPr>
                <w:rFonts w:hint="eastAsia" w:ascii="宋体" w:hAnsi="宋体" w:eastAsia="宋体" w:cs="宋体"/>
                <w:kern w:val="0"/>
                <w:sz w:val="22"/>
                <w:szCs w:val="22"/>
              </w:rPr>
            </w:pPr>
            <w:r>
              <w:rPr>
                <w:rFonts w:hint="eastAsia" w:ascii="宋体" w:hAnsi="宋体" w:eastAsia="宋体" w:cs="宋体"/>
                <w:kern w:val="0"/>
                <w:sz w:val="22"/>
                <w:szCs w:val="22"/>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7"/>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温州银行股份有限公司温州分行</w:t>
            </w:r>
          </w:p>
        </w:tc>
        <w:tc>
          <w:tcPr>
            <w:tcW w:w="5497" w:type="dxa"/>
            <w:noWrap w:val="0"/>
            <w:vAlign w:val="top"/>
          </w:tcPr>
          <w:p>
            <w:pPr>
              <w:rPr>
                <w:rFonts w:hint="eastAsia" w:ascii="宋体" w:hAnsi="宋体"/>
                <w:bCs/>
                <w:color w:val="000000"/>
                <w:kern w:val="0"/>
                <w:sz w:val="22"/>
              </w:rPr>
            </w:pPr>
            <w:r>
              <w:rPr>
                <w:rFonts w:hint="eastAsia" w:ascii="宋体" w:hAnsi="宋体"/>
                <w:bCs/>
                <w:color w:val="000000"/>
                <w:kern w:val="0"/>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559" w:type="dxa"/>
            <w:noWrap w:val="0"/>
            <w:vAlign w:val="center"/>
          </w:tcPr>
          <w:p>
            <w:pPr>
              <w:rPr>
                <w:rFonts w:hint="eastAsia" w:ascii="宋体" w:hAnsi="宋体"/>
                <w:color w:val="000000"/>
                <w:kern w:val="0"/>
                <w:sz w:val="22"/>
              </w:rPr>
            </w:pPr>
            <w:r>
              <w:rPr>
                <w:rFonts w:hint="eastAsia" w:ascii="宋体" w:hAnsi="宋体"/>
                <w:color w:val="000000"/>
                <w:kern w:val="0"/>
                <w:sz w:val="22"/>
              </w:rPr>
              <w:t>陈经理</w:t>
            </w:r>
          </w:p>
        </w:tc>
        <w:tc>
          <w:tcPr>
            <w:tcW w:w="2841" w:type="dxa"/>
            <w:noWrap w:val="0"/>
            <w:vAlign w:val="center"/>
          </w:tcPr>
          <w:p>
            <w:pPr>
              <w:rPr>
                <w:rFonts w:hint="eastAsia" w:ascii="宋体" w:hAnsi="宋体"/>
                <w:kern w:val="0"/>
                <w:sz w:val="22"/>
              </w:rPr>
            </w:pPr>
            <w:r>
              <w:rPr>
                <w:rFonts w:hint="eastAsia" w:ascii="宋体" w:hAnsi="宋体"/>
                <w:kern w:val="0"/>
                <w:sz w:val="22"/>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7"/>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温州银行股份有限公司鹿城分行</w:t>
            </w:r>
          </w:p>
        </w:tc>
        <w:tc>
          <w:tcPr>
            <w:tcW w:w="5497" w:type="dxa"/>
            <w:noWrap w:val="0"/>
            <w:vAlign w:val="top"/>
          </w:tcPr>
          <w:p>
            <w:pPr>
              <w:rPr>
                <w:rFonts w:hint="eastAsia" w:ascii="宋体" w:hAnsi="宋体"/>
                <w:sz w:val="22"/>
              </w:rPr>
            </w:pPr>
            <w:r>
              <w:rPr>
                <w:rFonts w:hint="eastAsia" w:ascii="宋体" w:hAnsi="宋体"/>
                <w:sz w:val="22"/>
              </w:rPr>
              <w:t>政采订单贷：1、面向政府采购项目供应商，满足供应商资金周转需求，凭中标通知书即可申请，2、秒知额高，最高可贷500万元，单笔业务金额可贷中标金额的80%，</w:t>
            </w:r>
          </w:p>
          <w:p>
            <w:pPr>
              <w:pStyle w:val="155"/>
              <w:ind w:left="5" w:firstLine="0" w:firstLineChars="0"/>
              <w:rPr>
                <w:rFonts w:hint="eastAsia" w:ascii="宋体" w:hAnsi="宋体"/>
                <w:sz w:val="22"/>
              </w:rPr>
            </w:pPr>
            <w:r>
              <w:rPr>
                <w:rFonts w:hint="eastAsia" w:ascii="宋体" w:hAnsi="宋体"/>
                <w:sz w:val="22"/>
              </w:rPr>
              <w:t>最长期限可贷1年。信保贷：1、额度最高可达500万元</w:t>
            </w:r>
          </w:p>
          <w:p>
            <w:pPr>
              <w:rPr>
                <w:rFonts w:hint="eastAsia" w:ascii="宋体" w:hAnsi="宋体"/>
                <w:sz w:val="22"/>
              </w:rPr>
            </w:pPr>
            <w:r>
              <w:rPr>
                <w:rFonts w:hint="eastAsia" w:ascii="宋体" w:hAnsi="宋体"/>
                <w:sz w:val="22"/>
              </w:rPr>
              <w:t>2、担保灵活，信用贷款3、贷款年利率至少可享受本单位一般性中小企业信用贷款利率基础上下浮10 %</w:t>
            </w:r>
          </w:p>
        </w:tc>
        <w:tc>
          <w:tcPr>
            <w:tcW w:w="1559" w:type="dxa"/>
            <w:noWrap w:val="0"/>
            <w:vAlign w:val="center"/>
          </w:tcPr>
          <w:p>
            <w:pPr>
              <w:rPr>
                <w:rFonts w:hint="eastAsia" w:ascii="宋体" w:hAnsi="宋体"/>
                <w:kern w:val="0"/>
                <w:sz w:val="22"/>
              </w:rPr>
            </w:pPr>
            <w:r>
              <w:rPr>
                <w:rFonts w:hint="eastAsia" w:ascii="宋体" w:hAnsi="宋体"/>
                <w:kern w:val="0"/>
                <w:sz w:val="22"/>
              </w:rPr>
              <w:t>戴经理</w:t>
            </w:r>
          </w:p>
        </w:tc>
        <w:tc>
          <w:tcPr>
            <w:tcW w:w="2841" w:type="dxa"/>
            <w:noWrap w:val="0"/>
            <w:vAlign w:val="center"/>
          </w:tcPr>
          <w:p>
            <w:pPr>
              <w:rPr>
                <w:rFonts w:hint="eastAsia" w:ascii="宋体" w:hAnsi="宋体"/>
                <w:kern w:val="0"/>
                <w:sz w:val="22"/>
              </w:rPr>
            </w:pPr>
            <w:r>
              <w:rPr>
                <w:rFonts w:hint="eastAsia" w:ascii="宋体" w:hAnsi="宋体"/>
                <w:kern w:val="0"/>
                <w:sz w:val="22"/>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7"/>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交通银行股份有限公司温州分行</w:t>
            </w:r>
          </w:p>
        </w:tc>
        <w:tc>
          <w:tcPr>
            <w:tcW w:w="5497" w:type="dxa"/>
            <w:noWrap w:val="0"/>
            <w:vAlign w:val="top"/>
          </w:tcPr>
          <w:p>
            <w:pPr>
              <w:autoSpaceDE w:val="0"/>
              <w:autoSpaceDN w:val="0"/>
              <w:adjustRightInd w:val="0"/>
              <w:jc w:val="left"/>
              <w:rPr>
                <w:rFonts w:hint="eastAsia" w:ascii="宋体" w:hAnsi="宋体"/>
                <w:color w:val="000000"/>
                <w:kern w:val="0"/>
                <w:sz w:val="22"/>
              </w:rPr>
            </w:pPr>
            <w:r>
              <w:rPr>
                <w:rFonts w:hint="eastAsia" w:ascii="宋体" w:hAnsi="宋体"/>
                <w:color w:val="000000"/>
                <w:kern w:val="0"/>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559" w:type="dxa"/>
            <w:noWrap w:val="0"/>
            <w:vAlign w:val="center"/>
          </w:tcPr>
          <w:p>
            <w:pPr>
              <w:rPr>
                <w:rFonts w:hint="eastAsia" w:ascii="宋体" w:hAnsi="宋体"/>
                <w:sz w:val="22"/>
              </w:rPr>
            </w:pPr>
            <w:r>
              <w:rPr>
                <w:rFonts w:hint="eastAsia" w:ascii="宋体" w:hAnsi="宋体"/>
                <w:sz w:val="22"/>
              </w:rPr>
              <w:t>缪经理</w:t>
            </w:r>
          </w:p>
        </w:tc>
        <w:tc>
          <w:tcPr>
            <w:tcW w:w="2841" w:type="dxa"/>
            <w:noWrap w:val="0"/>
            <w:vAlign w:val="center"/>
          </w:tcPr>
          <w:p>
            <w:pPr>
              <w:rPr>
                <w:rFonts w:hint="eastAsia" w:ascii="宋体" w:hAnsi="宋体"/>
                <w:sz w:val="22"/>
              </w:rPr>
            </w:pPr>
            <w:r>
              <w:rPr>
                <w:rFonts w:hint="eastAsia" w:ascii="宋体" w:hAnsi="宋体"/>
                <w:kern w:val="0"/>
                <w:sz w:val="22"/>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77" w:type="dxa"/>
            <w:noWrap w:val="0"/>
            <w:vAlign w:val="center"/>
          </w:tcPr>
          <w:p>
            <w:pPr>
              <w:pStyle w:val="147"/>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上海浦东发展银行股份有限公司温州分行</w:t>
            </w:r>
          </w:p>
        </w:tc>
        <w:tc>
          <w:tcPr>
            <w:tcW w:w="5497" w:type="dxa"/>
            <w:noWrap w:val="0"/>
            <w:vAlign w:val="top"/>
          </w:tcPr>
          <w:p>
            <w:pPr>
              <w:jc w:val="left"/>
              <w:rPr>
                <w:rFonts w:hint="eastAsia" w:ascii="宋体" w:hAnsi="宋体"/>
                <w:bCs/>
                <w:color w:val="000000"/>
                <w:kern w:val="0"/>
                <w:sz w:val="22"/>
              </w:rPr>
            </w:pPr>
            <w:r>
              <w:rPr>
                <w:rFonts w:hint="eastAsia" w:ascii="宋体" w:hAnsi="宋体"/>
                <w:bCs/>
                <w:color w:val="000000"/>
                <w:kern w:val="0"/>
                <w:sz w:val="22"/>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rFonts w:hint="eastAsia" w:ascii="宋体" w:hAnsi="宋体"/>
                <w:sz w:val="22"/>
              </w:rPr>
            </w:pPr>
            <w:r>
              <w:rPr>
                <w:rFonts w:hint="eastAsia" w:ascii="宋体" w:hAnsi="宋体"/>
                <w:bCs/>
                <w:color w:val="000000"/>
                <w:kern w:val="0"/>
                <w:sz w:val="22"/>
              </w:rPr>
              <w:t>所需材料：企业基础证件、相关中标文件（中标通知书 、采购合同等）、其他必要文件</w:t>
            </w:r>
          </w:p>
        </w:tc>
        <w:tc>
          <w:tcPr>
            <w:tcW w:w="1559" w:type="dxa"/>
            <w:noWrap w:val="0"/>
            <w:vAlign w:val="center"/>
          </w:tcPr>
          <w:p>
            <w:pPr>
              <w:rPr>
                <w:rFonts w:hint="eastAsia" w:ascii="宋体" w:hAnsi="宋体"/>
                <w:color w:val="000000"/>
                <w:kern w:val="0"/>
                <w:sz w:val="22"/>
              </w:rPr>
            </w:pPr>
            <w:r>
              <w:rPr>
                <w:rFonts w:hint="eastAsia" w:ascii="宋体" w:hAnsi="宋体"/>
                <w:color w:val="000000"/>
                <w:kern w:val="0"/>
                <w:sz w:val="22"/>
              </w:rPr>
              <w:t>叶经理</w:t>
            </w:r>
          </w:p>
        </w:tc>
        <w:tc>
          <w:tcPr>
            <w:tcW w:w="2841" w:type="dxa"/>
            <w:noWrap w:val="0"/>
            <w:vAlign w:val="center"/>
          </w:tcPr>
          <w:p>
            <w:pPr>
              <w:rPr>
                <w:rFonts w:hint="eastAsia" w:ascii="宋体" w:hAnsi="宋体"/>
                <w:kern w:val="0"/>
                <w:sz w:val="22"/>
              </w:rPr>
            </w:pPr>
            <w:r>
              <w:rPr>
                <w:rFonts w:hint="eastAsia" w:ascii="宋体" w:hAnsi="宋体"/>
                <w:kern w:val="0"/>
                <w:sz w:val="22"/>
              </w:rPr>
              <w:t>0577-55570829</w:t>
            </w:r>
          </w:p>
          <w:p>
            <w:pPr>
              <w:rPr>
                <w:rFonts w:hint="eastAsia" w:ascii="宋体" w:hAnsi="宋体"/>
                <w:kern w:val="0"/>
                <w:sz w:val="22"/>
              </w:rPr>
            </w:pPr>
          </w:p>
        </w:tc>
      </w:tr>
    </w:tbl>
    <w:p>
      <w:pPr>
        <w:pStyle w:val="22"/>
        <w:spacing w:line="400" w:lineRule="exact"/>
        <w:ind w:firstLine="210"/>
        <w:jc w:val="left"/>
        <w:rPr>
          <w:rFonts w:hint="eastAsia" w:ascii="宋体" w:hAnsi="宋体" w:cs="宋体"/>
          <w:kern w:val="2"/>
          <w:sz w:val="24"/>
          <w:szCs w:val="24"/>
        </w:rPr>
        <w:sectPr>
          <w:pgSz w:w="11906" w:h="16838"/>
          <w:pgMar w:top="1440" w:right="1247" w:bottom="1440" w:left="1247" w:header="851" w:footer="992" w:gutter="0"/>
          <w:cols w:space="720" w:num="1"/>
          <w:titlePg/>
          <w:docGrid w:type="linesAndChars" w:linePitch="312" w:charSpace="0"/>
        </w:sectPr>
      </w:pPr>
    </w:p>
    <w:p>
      <w:pPr>
        <w:pStyle w:val="22"/>
        <w:spacing w:line="400" w:lineRule="exact"/>
        <w:ind w:firstLine="210"/>
        <w:rPr>
          <w:rFonts w:hint="eastAsia" w:ascii="宋体" w:hAnsi="宋体" w:cs="宋体"/>
          <w:b/>
          <w:bCs/>
        </w:rPr>
      </w:pPr>
      <w:bookmarkStart w:id="50" w:name="_Toc7082"/>
      <w:bookmarkStart w:id="51" w:name="_Toc10950"/>
      <w:r>
        <w:rPr>
          <w:rFonts w:hint="eastAsia" w:ascii="宋体" w:hAnsi="宋体" w:cs="宋体"/>
          <w:b/>
          <w:bCs/>
        </w:rPr>
        <w:t>第五部分 合同格式（参考格式）</w:t>
      </w:r>
      <w:bookmarkEnd w:id="50"/>
      <w:bookmarkEnd w:id="51"/>
    </w:p>
    <w:p>
      <w:pPr>
        <w:pStyle w:val="13"/>
        <w:spacing w:line="400" w:lineRule="exact"/>
        <w:jc w:val="left"/>
        <w:rPr>
          <w:rFonts w:hint="eastAsia" w:hAnsi="宋体" w:eastAsia="宋体" w:cs="宋体"/>
          <w:b w:val="0"/>
          <w:sz w:val="22"/>
        </w:rPr>
      </w:pPr>
      <w:r>
        <w:rPr>
          <w:rFonts w:hint="eastAsia" w:hAnsi="宋体" w:eastAsia="宋体" w:cs="宋体"/>
          <w:b w:val="0"/>
          <w:sz w:val="24"/>
          <w:szCs w:val="24"/>
        </w:rPr>
        <w:t xml:space="preserve">                                 </w:t>
      </w:r>
      <w:r>
        <w:rPr>
          <w:rFonts w:hint="eastAsia" w:hAnsi="宋体" w:eastAsia="宋体" w:cs="宋体"/>
          <w:b w:val="0"/>
          <w:sz w:val="22"/>
        </w:rPr>
        <w:t xml:space="preserve">   编号  ：</w:t>
      </w:r>
    </w:p>
    <w:p>
      <w:pPr>
        <w:pStyle w:val="14"/>
        <w:spacing w:line="400" w:lineRule="atLeast"/>
        <w:rPr>
          <w:rFonts w:ascii="宋体" w:hAnsi="宋体"/>
          <w:sz w:val="22"/>
        </w:rPr>
      </w:pPr>
      <w:r>
        <w:rPr>
          <w:rFonts w:hint="eastAsia" w:ascii="宋体" w:hAnsi="宋体"/>
          <w:sz w:val="22"/>
        </w:rPr>
        <w:t>发包方(采购单位)：                         （以下简称甲方）</w:t>
      </w:r>
    </w:p>
    <w:p>
      <w:pPr>
        <w:spacing w:line="400" w:lineRule="atLeast"/>
        <w:ind w:firstLine="110" w:firstLineChars="50"/>
        <w:rPr>
          <w:rFonts w:ascii="宋体" w:hAnsi="宋体"/>
          <w:sz w:val="22"/>
        </w:rPr>
      </w:pPr>
      <w:r>
        <w:rPr>
          <w:rFonts w:hint="eastAsia" w:ascii="宋体" w:hAnsi="宋体"/>
          <w:sz w:val="22"/>
        </w:rPr>
        <w:t>承包方(中标供应商)：                       （以下简称乙方）</w:t>
      </w:r>
    </w:p>
    <w:p>
      <w:pPr>
        <w:spacing w:line="400" w:lineRule="atLeast"/>
        <w:ind w:firstLine="550" w:firstLineChars="250"/>
        <w:rPr>
          <w:rFonts w:ascii="宋体" w:hAnsi="宋体"/>
          <w:sz w:val="22"/>
        </w:rPr>
      </w:pPr>
      <w:r>
        <w:rPr>
          <w:rFonts w:hint="eastAsia" w:ascii="宋体" w:hAnsi="宋体"/>
          <w:sz w:val="22"/>
        </w:rPr>
        <w:t>温州市公安局龙湾区分局的</w:t>
      </w:r>
      <w:r>
        <w:rPr>
          <w:rFonts w:hint="eastAsia" w:ascii="宋体" w:hAnsi="宋体"/>
          <w:sz w:val="22"/>
          <w:u w:val="single"/>
        </w:rPr>
        <w:t xml:space="preserve">              </w:t>
      </w:r>
      <w:r>
        <w:rPr>
          <w:rFonts w:hint="eastAsia" w:ascii="宋体" w:hAnsi="宋体"/>
          <w:sz w:val="22"/>
        </w:rPr>
        <w:t xml:space="preserve"> （项目名称、编号）在国内以公开招标方式进行采购，经评标委员会评定</w:t>
      </w:r>
      <w:r>
        <w:rPr>
          <w:rFonts w:hint="eastAsia" w:ascii="宋体" w:hAnsi="宋体"/>
          <w:sz w:val="22"/>
          <w:u w:val="single"/>
        </w:rPr>
        <w:t xml:space="preserve">                 </w:t>
      </w:r>
      <w:r>
        <w:rPr>
          <w:rFonts w:hint="eastAsia" w:ascii="宋体" w:hAnsi="宋体"/>
          <w:sz w:val="22"/>
        </w:rPr>
        <w:t>（中标供应商名称）为中标供应商。甲、乙双方本着诚信及互利互惠的原则，同意按照下面条款和条件，签署本合同。</w:t>
      </w:r>
    </w:p>
    <w:p>
      <w:pPr>
        <w:spacing w:line="400" w:lineRule="atLeast"/>
        <w:rPr>
          <w:rFonts w:ascii="宋体" w:hAnsi="宋体"/>
          <w:sz w:val="22"/>
        </w:rPr>
      </w:pPr>
      <w:r>
        <w:rPr>
          <w:rFonts w:hint="eastAsia" w:ascii="宋体" w:hAnsi="宋体"/>
          <w:sz w:val="22"/>
        </w:rPr>
        <w:t>一、本合同文件的优先次序</w:t>
      </w:r>
    </w:p>
    <w:p>
      <w:pPr>
        <w:spacing w:line="400" w:lineRule="atLeast"/>
        <w:ind w:firstLine="440" w:firstLineChars="200"/>
        <w:rPr>
          <w:rFonts w:ascii="宋体" w:hAnsi="宋体"/>
          <w:sz w:val="22"/>
        </w:rPr>
      </w:pPr>
      <w:r>
        <w:rPr>
          <w:rFonts w:hint="eastAsia" w:ascii="宋体" w:hAnsi="宋体"/>
          <w:sz w:val="22"/>
        </w:rPr>
        <w:t>合同文件由以下文件组成，如存在歧义或不一致则根据以下优先次序来判断：</w:t>
      </w:r>
    </w:p>
    <w:p>
      <w:pPr>
        <w:spacing w:line="400" w:lineRule="atLeast"/>
        <w:ind w:firstLine="110" w:firstLineChars="50"/>
        <w:rPr>
          <w:rFonts w:ascii="宋体" w:hAnsi="宋体"/>
          <w:sz w:val="22"/>
        </w:rPr>
      </w:pPr>
      <w:r>
        <w:rPr>
          <w:rFonts w:hint="eastAsia" w:ascii="宋体" w:hAnsi="宋体"/>
          <w:sz w:val="22"/>
        </w:rPr>
        <w:t xml:space="preserve">1、合同书及合同补充条款或说明 </w:t>
      </w:r>
    </w:p>
    <w:p>
      <w:pPr>
        <w:spacing w:line="400" w:lineRule="atLeast"/>
        <w:ind w:firstLine="110" w:firstLineChars="50"/>
        <w:rPr>
          <w:rFonts w:ascii="宋体" w:hAnsi="宋体"/>
          <w:sz w:val="22"/>
        </w:rPr>
      </w:pPr>
      <w:r>
        <w:rPr>
          <w:rFonts w:hint="eastAsia" w:ascii="宋体" w:hAnsi="宋体"/>
          <w:sz w:val="22"/>
        </w:rPr>
        <w:t>2、中标通知书</w:t>
      </w:r>
    </w:p>
    <w:p>
      <w:pPr>
        <w:spacing w:line="400" w:lineRule="atLeast"/>
        <w:ind w:firstLine="110" w:firstLineChars="50"/>
        <w:rPr>
          <w:rFonts w:ascii="宋体" w:hAnsi="宋体"/>
          <w:sz w:val="22"/>
        </w:rPr>
      </w:pPr>
      <w:r>
        <w:rPr>
          <w:rFonts w:hint="eastAsia" w:ascii="宋体" w:hAnsi="宋体"/>
          <w:sz w:val="22"/>
        </w:rPr>
        <w:t>3、承诺书（含询标记录和优惠条款）</w:t>
      </w:r>
    </w:p>
    <w:p>
      <w:pPr>
        <w:spacing w:line="400" w:lineRule="atLeast"/>
        <w:ind w:firstLine="110" w:firstLineChars="50"/>
        <w:rPr>
          <w:rFonts w:ascii="宋体" w:hAnsi="宋体"/>
          <w:sz w:val="22"/>
        </w:rPr>
      </w:pPr>
      <w:r>
        <w:rPr>
          <w:rFonts w:hint="eastAsia" w:ascii="宋体" w:hAnsi="宋体"/>
          <w:sz w:val="22"/>
        </w:rPr>
        <w:t>4、招标文件</w:t>
      </w:r>
    </w:p>
    <w:p>
      <w:pPr>
        <w:pStyle w:val="13"/>
        <w:spacing w:line="400" w:lineRule="atLeast"/>
        <w:ind w:firstLine="110" w:firstLineChars="50"/>
        <w:rPr>
          <w:rFonts w:hAnsi="宋体" w:eastAsia="宋体"/>
          <w:color w:val="auto"/>
          <w:sz w:val="22"/>
        </w:rPr>
      </w:pPr>
      <w:r>
        <w:rPr>
          <w:rFonts w:hint="eastAsia" w:hAnsi="宋体" w:eastAsia="宋体"/>
          <w:b w:val="0"/>
          <w:bCs w:val="0"/>
          <w:color w:val="auto"/>
          <w:sz w:val="22"/>
        </w:rPr>
        <w:t>5、投标文件</w:t>
      </w:r>
    </w:p>
    <w:p>
      <w:pPr>
        <w:spacing w:line="400" w:lineRule="atLeast"/>
        <w:ind w:firstLine="110" w:firstLineChars="50"/>
        <w:rPr>
          <w:rFonts w:ascii="宋体" w:hAnsi="宋体"/>
          <w:sz w:val="22"/>
        </w:rPr>
      </w:pPr>
      <w:r>
        <w:rPr>
          <w:rFonts w:hint="eastAsia" w:ascii="宋体" w:hAnsi="宋体"/>
          <w:sz w:val="22"/>
        </w:rPr>
        <w:t>二、项目的实施规模、范围：</w:t>
      </w:r>
    </w:p>
    <w:p>
      <w:pPr>
        <w:spacing w:line="400" w:lineRule="atLeast"/>
        <w:ind w:firstLine="330" w:firstLineChars="150"/>
        <w:rPr>
          <w:rFonts w:ascii="宋体" w:hAnsi="宋体"/>
          <w:sz w:val="22"/>
        </w:rPr>
      </w:pPr>
      <w:r>
        <w:rPr>
          <w:rFonts w:hint="eastAsia" w:ascii="宋体" w:hAnsi="宋体"/>
          <w:sz w:val="22"/>
        </w:rPr>
        <w:t>2020年龙湾区“雪亮工程”高位监控和简易监控及技术防护体系整体运行维护管理服务，具体要求以招标文件要求为准。</w:t>
      </w:r>
    </w:p>
    <w:p>
      <w:pPr>
        <w:spacing w:line="400" w:lineRule="atLeast"/>
        <w:ind w:firstLine="110" w:firstLineChars="50"/>
        <w:rPr>
          <w:rFonts w:ascii="宋体" w:hAnsi="宋体"/>
          <w:sz w:val="22"/>
        </w:rPr>
      </w:pPr>
      <w:r>
        <w:rPr>
          <w:rFonts w:hint="eastAsia" w:ascii="宋体" w:hAnsi="宋体"/>
          <w:sz w:val="22"/>
        </w:rPr>
        <w:t>三、要求质量标准：先进、主流、可靠、安全、开放、实用、性价比高。</w:t>
      </w:r>
    </w:p>
    <w:p>
      <w:pPr>
        <w:spacing w:line="400" w:lineRule="atLeast"/>
        <w:rPr>
          <w:rFonts w:ascii="宋体" w:hAnsi="宋体"/>
          <w:sz w:val="22"/>
        </w:rPr>
      </w:pPr>
      <w:r>
        <w:rPr>
          <w:rFonts w:hint="eastAsia" w:ascii="宋体" w:hAnsi="宋体"/>
          <w:sz w:val="22"/>
        </w:rPr>
        <w:t>四、合同主要条款：</w:t>
      </w:r>
    </w:p>
    <w:p>
      <w:pPr>
        <w:spacing w:line="400" w:lineRule="atLeast"/>
        <w:ind w:firstLine="330" w:firstLineChars="150"/>
        <w:rPr>
          <w:rFonts w:ascii="宋体" w:hAnsi="宋体"/>
          <w:sz w:val="22"/>
        </w:rPr>
      </w:pPr>
      <w:r>
        <w:rPr>
          <w:rFonts w:hint="eastAsia" w:ascii="宋体" w:hAnsi="宋体"/>
          <w:sz w:val="22"/>
        </w:rPr>
        <w:t>1、公安基于公共运营商的治安动态监控系统的总体架构和技术标准由甲方确定。</w:t>
      </w:r>
    </w:p>
    <w:p>
      <w:pPr>
        <w:spacing w:line="400" w:lineRule="atLeast"/>
        <w:ind w:left="657" w:leftChars="156" w:hanging="330" w:hangingChars="150"/>
        <w:rPr>
          <w:rFonts w:ascii="宋体" w:hAnsi="宋体"/>
          <w:sz w:val="22"/>
        </w:rPr>
      </w:pPr>
      <w:r>
        <w:rPr>
          <w:rFonts w:hint="eastAsia" w:ascii="宋体" w:hAnsi="宋体"/>
          <w:sz w:val="22"/>
        </w:rPr>
        <w:t>2、公安基于公共运营商的治安动态监控系统应遵循开放系统的原则，能提供符合国际标准和软件、硬件、通信、网络、操作系统和数据库管理系统等方面的接口和协议，并为今后的二次开发预留接口和开放协议。</w:t>
      </w:r>
    </w:p>
    <w:p>
      <w:pPr>
        <w:spacing w:line="400" w:lineRule="atLeast"/>
        <w:ind w:left="657" w:leftChars="156" w:hanging="330" w:hangingChars="150"/>
        <w:rPr>
          <w:rFonts w:ascii="宋体" w:hAnsi="宋体"/>
          <w:sz w:val="22"/>
        </w:rPr>
      </w:pPr>
      <w:r>
        <w:rPr>
          <w:rFonts w:hint="eastAsia" w:ascii="宋体" w:hAnsi="宋体"/>
          <w:sz w:val="22"/>
        </w:rPr>
        <w:t>3、公安基于公共运营商的治安动态监控系统中图像数据的所有权归属甲方，未经甲方同意，乙方不得私自泄露、转让给第三方使用。</w:t>
      </w:r>
    </w:p>
    <w:p>
      <w:pPr>
        <w:spacing w:line="400" w:lineRule="atLeast"/>
        <w:ind w:firstLine="330" w:firstLineChars="150"/>
        <w:rPr>
          <w:rFonts w:ascii="宋体" w:hAnsi="宋体"/>
          <w:sz w:val="22"/>
        </w:rPr>
      </w:pPr>
      <w:r>
        <w:rPr>
          <w:rFonts w:hint="eastAsia" w:ascii="宋体" w:hAnsi="宋体"/>
          <w:sz w:val="22"/>
        </w:rPr>
        <w:t>4、公安基于公共运营商的治安动态监控系统的账号管理权、图像应用及管理权归属甲方。</w:t>
      </w:r>
    </w:p>
    <w:p>
      <w:pPr>
        <w:spacing w:line="400" w:lineRule="atLeast"/>
        <w:ind w:left="657" w:leftChars="156" w:hanging="330" w:hangingChars="150"/>
        <w:rPr>
          <w:rFonts w:ascii="宋体" w:hAnsi="宋体"/>
          <w:sz w:val="22"/>
        </w:rPr>
      </w:pPr>
      <w:r>
        <w:rPr>
          <w:rFonts w:hint="eastAsia" w:ascii="宋体" w:hAnsi="宋体"/>
          <w:sz w:val="22"/>
        </w:rPr>
        <w:t>5、甲方对乙方的平台不能正常运行或因平台技术维护原因造成图像数据丢失有权要求乙方及时改进。如遇乙方平台技术升级、承载网链路割接等，并在征得甲方同意的基础上，乙方应提前48小时通知甲方，说明可能造成的影响和范围，并确保每次平台技术升级和承载网链路割接在6小时内完成，在此时间内所造成的图像数据丢失，乙方不承担违约责任。</w:t>
      </w:r>
    </w:p>
    <w:p>
      <w:pPr>
        <w:spacing w:line="400" w:lineRule="atLeast"/>
        <w:ind w:left="657" w:leftChars="156" w:hanging="330" w:hangingChars="150"/>
        <w:rPr>
          <w:rFonts w:ascii="宋体" w:hAnsi="宋体"/>
          <w:sz w:val="22"/>
        </w:rPr>
      </w:pPr>
      <w:r>
        <w:rPr>
          <w:rFonts w:hint="eastAsia" w:ascii="宋体" w:hAnsi="宋体"/>
          <w:sz w:val="22"/>
        </w:rPr>
        <w:t>6、乙方应保证所提供设备达到整套系统运行质量要求，符合相关的技术标准和规范要求，保证满足甲方正常工作需求。</w:t>
      </w:r>
    </w:p>
    <w:p>
      <w:pPr>
        <w:spacing w:line="400" w:lineRule="atLeast"/>
        <w:ind w:firstLine="330" w:firstLineChars="150"/>
        <w:rPr>
          <w:rFonts w:ascii="宋体" w:hAnsi="宋体"/>
          <w:sz w:val="22"/>
        </w:rPr>
      </w:pPr>
      <w:r>
        <w:rPr>
          <w:rFonts w:hint="eastAsia" w:ascii="宋体" w:hAnsi="宋体"/>
          <w:sz w:val="22"/>
        </w:rPr>
        <w:t>7、乙方所提供的通讯线路和设备质量应符合国家质量标准和技术要求，满足甲方通讯需求。</w:t>
      </w:r>
    </w:p>
    <w:p>
      <w:pPr>
        <w:spacing w:line="400" w:lineRule="atLeast"/>
        <w:ind w:left="657" w:leftChars="156" w:hanging="330" w:hangingChars="150"/>
        <w:rPr>
          <w:rFonts w:ascii="宋体" w:hAnsi="宋体"/>
          <w:sz w:val="22"/>
        </w:rPr>
      </w:pPr>
      <w:r>
        <w:rPr>
          <w:rFonts w:hint="eastAsia" w:ascii="宋体" w:hAnsi="宋体"/>
          <w:sz w:val="22"/>
        </w:rPr>
        <w:t>8、乙方应建立健全公安基于公共运营商的治安动态监控系统的技术档案和维护档案并提供给甲方。</w:t>
      </w:r>
    </w:p>
    <w:p>
      <w:pPr>
        <w:spacing w:line="400" w:lineRule="atLeast"/>
        <w:ind w:left="767" w:leftChars="156" w:hanging="440" w:hangingChars="200"/>
        <w:rPr>
          <w:rFonts w:ascii="宋体" w:hAnsi="宋体"/>
          <w:sz w:val="22"/>
        </w:rPr>
      </w:pPr>
      <w:r>
        <w:rPr>
          <w:rFonts w:hint="eastAsia" w:ascii="宋体" w:hAnsi="宋体"/>
          <w:sz w:val="22"/>
        </w:rPr>
        <w:t>9、乙方应负责监控图像集中存储设备级的配置和管理，不具有监控图像浏览、录像调用权限。乙方应做好运行维护人员的保密安全教育和管理，未经甲方允许不得对基于公共运营商的治安动态监控系统中的图像数据进行下载和传播。</w:t>
      </w:r>
    </w:p>
    <w:p>
      <w:pPr>
        <w:spacing w:line="400" w:lineRule="atLeast"/>
        <w:ind w:left="839" w:leftChars="138" w:hanging="550" w:hangingChars="250"/>
        <w:rPr>
          <w:rFonts w:ascii="宋体" w:hAnsi="宋体"/>
          <w:sz w:val="22"/>
        </w:rPr>
      </w:pPr>
      <w:r>
        <w:rPr>
          <w:rFonts w:hint="eastAsia" w:ascii="宋体" w:hAnsi="宋体"/>
          <w:sz w:val="22"/>
        </w:rPr>
        <w:t>10、乙方应指定专门的联络人，负责公安基于公共运营商的治安动态监控系统的技术咨询、业务开通、平台维护、前端及监控中心软硬件维护的接洽工作。</w:t>
      </w:r>
    </w:p>
    <w:p>
      <w:pPr>
        <w:spacing w:line="400" w:lineRule="atLeast"/>
        <w:ind w:left="768" w:leftChars="104" w:hanging="550" w:hangingChars="250"/>
        <w:rPr>
          <w:rFonts w:ascii="宋体" w:hAnsi="宋体"/>
          <w:sz w:val="22"/>
        </w:rPr>
      </w:pPr>
      <w:r>
        <w:rPr>
          <w:rFonts w:hint="eastAsia" w:ascii="宋体" w:hAnsi="宋体"/>
          <w:sz w:val="22"/>
        </w:rPr>
        <w:t>11、保证提供的社会治安动态视频监控系统的视频采集压缩采用H.264/H.265/25fps/码流1.5-4M可调。后端存储达到每路30*24小时标准容量。</w:t>
      </w:r>
    </w:p>
    <w:p>
      <w:pPr>
        <w:spacing w:line="400" w:lineRule="atLeast"/>
        <w:ind w:left="767" w:leftChars="156" w:hanging="440" w:hangingChars="200"/>
        <w:rPr>
          <w:rFonts w:ascii="宋体" w:hAnsi="宋体"/>
          <w:sz w:val="22"/>
        </w:rPr>
      </w:pPr>
      <w:r>
        <w:rPr>
          <w:rFonts w:hint="eastAsia" w:ascii="宋体" w:hAnsi="宋体"/>
          <w:sz w:val="22"/>
        </w:rPr>
        <w:t>12、乙方应为公安基于公共运营商的治安动态监控系统建立光纤承载专用网，达到与公安内网互连的安全性要求。</w:t>
      </w:r>
    </w:p>
    <w:p>
      <w:pPr>
        <w:spacing w:line="400" w:lineRule="atLeast"/>
        <w:ind w:left="767" w:leftChars="156" w:hanging="440" w:hangingChars="200"/>
        <w:rPr>
          <w:rFonts w:ascii="宋体" w:hAnsi="宋体"/>
          <w:sz w:val="22"/>
        </w:rPr>
      </w:pPr>
      <w:r>
        <w:rPr>
          <w:rFonts w:hint="eastAsia" w:ascii="宋体" w:hAnsi="宋体"/>
          <w:sz w:val="22"/>
        </w:rPr>
        <w:t>13、乙方应为甲方提供及时优质的服务，保障网络的运行稳定，负责故障的全程处理，乙方将提供365天7×24小时热线电话服务，并确定专人联系。</w:t>
      </w:r>
    </w:p>
    <w:p>
      <w:pPr>
        <w:spacing w:line="400" w:lineRule="atLeast"/>
        <w:ind w:left="767" w:leftChars="156" w:hanging="440" w:hangingChars="200"/>
        <w:rPr>
          <w:rFonts w:ascii="宋体" w:hAnsi="宋体"/>
          <w:sz w:val="22"/>
        </w:rPr>
      </w:pPr>
      <w:r>
        <w:rPr>
          <w:rFonts w:hint="eastAsia" w:ascii="宋体" w:hAnsi="宋体"/>
          <w:sz w:val="22"/>
        </w:rPr>
        <w:t xml:space="preserve">14、乙方承诺本次项目所涉监控点（含简易监控）月平均完好率不低于98％，每低0.1％扣除月使用费5000元，费用直接在后续支付的资费中扣除。 </w:t>
      </w:r>
    </w:p>
    <w:p>
      <w:pPr>
        <w:spacing w:line="400" w:lineRule="atLeast"/>
        <w:ind w:left="689" w:leftChars="171" w:hanging="330" w:hangingChars="150"/>
        <w:rPr>
          <w:rFonts w:ascii="宋体" w:hAnsi="宋体"/>
          <w:sz w:val="22"/>
        </w:rPr>
      </w:pPr>
      <w:r>
        <w:rPr>
          <w:rFonts w:hint="eastAsia" w:ascii="宋体" w:hAnsi="宋体"/>
          <w:sz w:val="22"/>
        </w:rPr>
        <w:t>15、乙方除不可抗拒的因素（包含战争、自然灾害等不可抗力以及视频监控系统建设中必需的道路开挖审批和电力接入等客观因素）外，应在2020年11月30日前基本完成工程的设备安装和系统调试工作并组织工程验收工作（双方组织验收工作时，占合同中摄像头总数10%的故障点位不影响验收工作，但应按照合同要求及时修复），误期赔偿按合同总价的0.05%/每天计算，最高赔偿限额为合同总价的5%。</w:t>
      </w:r>
    </w:p>
    <w:p>
      <w:pPr>
        <w:spacing w:line="400" w:lineRule="atLeast"/>
        <w:ind w:left="431" w:hanging="431" w:hangingChars="196"/>
        <w:rPr>
          <w:rFonts w:ascii="宋体" w:hAnsi="宋体"/>
          <w:sz w:val="22"/>
        </w:rPr>
      </w:pPr>
      <w:r>
        <w:rPr>
          <w:rFonts w:hint="eastAsia" w:ascii="宋体" w:hAnsi="宋体"/>
          <w:sz w:val="22"/>
        </w:rPr>
        <w:t>五、系统维护期：不限期，根据用户实际使用用时长而定，要求提供7*24小时免费技术支持服务：包括系统管理、运行维护、系统保障、性能调优、故障排除、例行巡检、技术支持等。</w:t>
      </w:r>
    </w:p>
    <w:p>
      <w:pPr>
        <w:spacing w:line="400" w:lineRule="atLeast"/>
        <w:ind w:left="431" w:hanging="431" w:hangingChars="196"/>
        <w:rPr>
          <w:rFonts w:ascii="宋体" w:hAnsi="宋体"/>
          <w:sz w:val="22"/>
        </w:rPr>
      </w:pPr>
      <w:r>
        <w:rPr>
          <w:rFonts w:hint="eastAsia" w:ascii="宋体" w:hAnsi="宋体"/>
          <w:sz w:val="22"/>
        </w:rPr>
        <w:t>六、技术支持期：在系统使用的所有时间范围内，提供多种方式的运行技术支持，特别是新应用、新功能的添加。</w:t>
      </w:r>
    </w:p>
    <w:p>
      <w:pPr>
        <w:spacing w:line="400" w:lineRule="atLeast"/>
        <w:ind w:left="440" w:hanging="440" w:hangingChars="200"/>
        <w:rPr>
          <w:rFonts w:ascii="宋体" w:hAnsi="宋体"/>
          <w:sz w:val="22"/>
        </w:rPr>
      </w:pPr>
      <w:r>
        <w:rPr>
          <w:rFonts w:hint="eastAsia" w:ascii="宋体" w:hAnsi="宋体"/>
          <w:sz w:val="22"/>
        </w:rPr>
        <w:t>七、设备清单中立杆等设备只提供了参考标准，甲方及下属各级公安机关可根据实际情况对相关设备做出调整。</w:t>
      </w:r>
    </w:p>
    <w:p>
      <w:pPr>
        <w:spacing w:line="400" w:lineRule="atLeast"/>
        <w:rPr>
          <w:rFonts w:ascii="宋体" w:hAnsi="宋体"/>
          <w:sz w:val="22"/>
        </w:rPr>
      </w:pPr>
      <w:r>
        <w:rPr>
          <w:rFonts w:hint="eastAsia" w:ascii="宋体" w:hAnsi="宋体"/>
          <w:sz w:val="22"/>
        </w:rPr>
        <w:t>八、对于开通的业务点，按月计费周期计算以自然月为准。</w:t>
      </w:r>
    </w:p>
    <w:p>
      <w:pPr>
        <w:spacing w:line="400" w:lineRule="atLeast"/>
        <w:ind w:left="431" w:hanging="431" w:hangingChars="196"/>
        <w:rPr>
          <w:rFonts w:ascii="宋体" w:hAnsi="宋体"/>
          <w:sz w:val="22"/>
        </w:rPr>
      </w:pPr>
      <w:r>
        <w:rPr>
          <w:rFonts w:hint="eastAsia" w:ascii="宋体" w:hAnsi="宋体"/>
          <w:sz w:val="22"/>
        </w:rPr>
        <w:t>九、项目建设实施时间：合同签订之日起至</w:t>
      </w:r>
      <w:r>
        <w:rPr>
          <w:rFonts w:hint="eastAsia" w:ascii="宋体" w:hAnsi="宋体"/>
          <w:sz w:val="22"/>
          <w:u w:val="single"/>
        </w:rPr>
        <w:t>2020年11月30日前</w:t>
      </w:r>
      <w:r>
        <w:rPr>
          <w:rFonts w:hint="eastAsia" w:ascii="宋体" w:hAnsi="宋体"/>
          <w:sz w:val="22"/>
        </w:rPr>
        <w:t>完成项目验收。以后根据用户使用监控点的不断增长，对系统平台和存储服务器进行相应的扩容。</w:t>
      </w:r>
    </w:p>
    <w:p>
      <w:pPr>
        <w:widowControl/>
        <w:snapToGrid w:val="0"/>
        <w:spacing w:line="400" w:lineRule="atLeast"/>
        <w:jc w:val="left"/>
        <w:rPr>
          <w:rFonts w:ascii="宋体" w:hAnsi="宋体"/>
          <w:sz w:val="22"/>
        </w:rPr>
      </w:pPr>
      <w:r>
        <w:rPr>
          <w:rFonts w:hint="eastAsia" w:ascii="宋体" w:hAnsi="宋体"/>
          <w:sz w:val="22"/>
        </w:rPr>
        <w:t>十、本项目实施地点：</w:t>
      </w:r>
      <w:r>
        <w:rPr>
          <w:rFonts w:hint="eastAsia" w:ascii="宋体" w:hAnsi="宋体"/>
          <w:sz w:val="22"/>
          <w:u w:val="single"/>
        </w:rPr>
        <w:t xml:space="preserve">龙湾区 </w:t>
      </w:r>
    </w:p>
    <w:p>
      <w:pPr>
        <w:widowControl/>
        <w:snapToGrid w:val="0"/>
        <w:spacing w:line="400" w:lineRule="atLeast"/>
        <w:jc w:val="left"/>
        <w:rPr>
          <w:rFonts w:ascii="宋体" w:hAnsi="宋体"/>
          <w:sz w:val="22"/>
        </w:rPr>
      </w:pPr>
      <w:r>
        <w:rPr>
          <w:rFonts w:hint="eastAsia" w:ascii="宋体" w:hAnsi="宋体"/>
          <w:sz w:val="22"/>
        </w:rPr>
        <w:t>十一、合同价款及付款方式：</w:t>
      </w:r>
    </w:p>
    <w:p>
      <w:pPr>
        <w:widowControl/>
        <w:autoSpaceDE w:val="0"/>
        <w:autoSpaceDN w:val="0"/>
        <w:adjustRightInd w:val="0"/>
        <w:spacing w:line="460" w:lineRule="atLeast"/>
        <w:ind w:left="438" w:leftChars="209"/>
        <w:textAlignment w:val="bottom"/>
        <w:rPr>
          <w:rFonts w:ascii="宋体" w:hAnsi="宋体"/>
          <w:sz w:val="22"/>
        </w:rPr>
      </w:pPr>
      <w:r>
        <w:rPr>
          <w:rFonts w:hint="eastAsia" w:ascii="宋体" w:hAnsi="宋体"/>
          <w:sz w:val="22"/>
        </w:rPr>
        <w:t>运行维护期限为5年，起始日以本合同项目全部验收合格移交之日为准。</w:t>
      </w:r>
      <w:r>
        <w:rPr>
          <w:rFonts w:hint="eastAsia" w:ascii="宋体" w:hAnsi="宋体"/>
          <w:sz w:val="22"/>
          <w:u w:val="single"/>
        </w:rPr>
        <w:t>合同签订后，在收到乙方提供的单据（等额商业发票一份）后15个工作日内向乙方支付第一年资费的80%，待设备安装完毕，系统开通经甲方确认，试运行15至30天后，经验收合格,在收到乙方提供的单据（等额商业发票一份、甲乙双方出具的验收报告）后15个工作日内向乙方支付第一年资费的20%。后续每年资费先支付后使用，甲方在收到乙方提供的单据（等额商业发票一份，下一年使用期开始前1个月前开具）后15个工作日内向乙方一次性支付下一年的资费。在本项目服务期内，乙方若因各方面原因中途无法继续提供服务的，或五年运行维护期结束后乙方无法继续提供服务的（包括甲方和乙方无法就续费协议达成一致意见），本项目范围内包含的视频监控系统一切硬件设备使用权（专享）移交采购方。</w:t>
      </w:r>
    </w:p>
    <w:p>
      <w:pPr>
        <w:widowControl/>
        <w:snapToGrid w:val="0"/>
        <w:spacing w:line="400" w:lineRule="atLeast"/>
        <w:ind w:firstLine="323" w:firstLineChars="147"/>
        <w:jc w:val="left"/>
        <w:rPr>
          <w:rFonts w:ascii="宋体" w:hAnsi="宋体"/>
          <w:sz w:val="22"/>
        </w:rPr>
      </w:pPr>
      <w:r>
        <w:rPr>
          <w:rFonts w:hint="eastAsia" w:ascii="宋体" w:hAnsi="宋体"/>
          <w:sz w:val="22"/>
        </w:rPr>
        <w:t>下列单据包括：（1）等额商业发票一份；（2）甲乙双方出具的验收报告</w:t>
      </w:r>
    </w:p>
    <w:p>
      <w:pPr>
        <w:spacing w:line="400" w:lineRule="atLeast"/>
        <w:ind w:left="440" w:hanging="440" w:hangingChars="200"/>
        <w:rPr>
          <w:rFonts w:ascii="宋体" w:hAnsi="宋体"/>
          <w:sz w:val="22"/>
        </w:rPr>
      </w:pPr>
      <w:r>
        <w:rPr>
          <w:rFonts w:hint="eastAsia" w:ascii="宋体" w:hAnsi="宋体"/>
          <w:sz w:val="22"/>
        </w:rPr>
        <w:t>十二、保密条款</w:t>
      </w:r>
    </w:p>
    <w:p>
      <w:pPr>
        <w:spacing w:line="400" w:lineRule="atLeast"/>
        <w:ind w:left="438" w:leftChars="209"/>
        <w:rPr>
          <w:rFonts w:ascii="宋体" w:hAnsi="宋体"/>
          <w:sz w:val="22"/>
        </w:rPr>
      </w:pPr>
      <w:r>
        <w:rPr>
          <w:rFonts w:hint="eastAsia" w:ascii="宋体" w:hAnsi="宋体"/>
          <w:sz w:val="22"/>
        </w:rPr>
        <w:t>乙方对甲方提供的业务资料、技术资料应严格保密，不得扩散，不论本协议或合同是否变更、解除、终止，本条款均有效；</w:t>
      </w:r>
    </w:p>
    <w:p>
      <w:pPr>
        <w:spacing w:line="400" w:lineRule="atLeast"/>
        <w:ind w:left="440" w:hanging="440" w:hangingChars="200"/>
        <w:rPr>
          <w:rFonts w:ascii="宋体" w:hAnsi="宋体"/>
          <w:sz w:val="22"/>
        </w:rPr>
      </w:pPr>
      <w:r>
        <w:rPr>
          <w:rFonts w:hint="eastAsia" w:ascii="宋体" w:hAnsi="宋体"/>
          <w:sz w:val="22"/>
        </w:rPr>
        <w:t>十三、在本合同履行过程中发生争议，双方应当协商解决。双方不愿协商、调解解决或者协商、调解不成的，双方商定，申请温州仲裁委员会仲裁。</w:t>
      </w:r>
    </w:p>
    <w:p>
      <w:pPr>
        <w:spacing w:line="400" w:lineRule="atLeast"/>
        <w:rPr>
          <w:rFonts w:ascii="宋体" w:hAnsi="宋体"/>
          <w:sz w:val="22"/>
        </w:rPr>
      </w:pPr>
      <w:r>
        <w:rPr>
          <w:rFonts w:hint="eastAsia" w:ascii="宋体" w:hAnsi="宋体"/>
          <w:sz w:val="22"/>
        </w:rPr>
        <w:t>十四、适用法律</w:t>
      </w:r>
    </w:p>
    <w:p>
      <w:pPr>
        <w:spacing w:line="400" w:lineRule="atLeast"/>
        <w:ind w:firstLine="440" w:firstLineChars="200"/>
        <w:rPr>
          <w:rFonts w:ascii="宋体" w:hAnsi="宋体"/>
          <w:sz w:val="22"/>
        </w:rPr>
      </w:pPr>
      <w:r>
        <w:rPr>
          <w:rFonts w:hint="eastAsia" w:ascii="宋体" w:hAnsi="宋体"/>
          <w:sz w:val="22"/>
        </w:rPr>
        <w:t>本合同应按照中华人民共和国的法律进行解释。</w:t>
      </w:r>
    </w:p>
    <w:p>
      <w:pPr>
        <w:spacing w:line="400" w:lineRule="atLeast"/>
        <w:ind w:left="440" w:hanging="440" w:hangingChars="200"/>
        <w:rPr>
          <w:rFonts w:ascii="宋体" w:hAnsi="宋体"/>
          <w:sz w:val="22"/>
        </w:rPr>
      </w:pPr>
      <w:r>
        <w:rPr>
          <w:rFonts w:hint="eastAsia" w:ascii="宋体" w:hAnsi="宋体"/>
          <w:sz w:val="22"/>
        </w:rPr>
        <w:t>十五、不可抗力：如果双方中任何一方由于战争、严重火灾、水灾、台风和地震以及其它经双方同意属于不可抗力的事故，致使合同履行受阻时，履行合同的期限应予延长，延长的期限应相当于事故所影响的时间。</w:t>
      </w:r>
    </w:p>
    <w:p>
      <w:pPr>
        <w:spacing w:line="400" w:lineRule="atLeast"/>
        <w:ind w:left="440" w:hanging="440" w:hangingChars="200"/>
        <w:rPr>
          <w:rFonts w:ascii="宋体" w:hAnsi="宋体"/>
          <w:sz w:val="22"/>
        </w:rPr>
      </w:pPr>
      <w:r>
        <w:rPr>
          <w:rFonts w:hint="eastAsia" w:ascii="宋体" w:hAnsi="宋体"/>
          <w:sz w:val="22"/>
        </w:rPr>
        <w:t>十六、因不可抗力导致甲乙双方或一方不能履行或不能完全履行本合同项下有关义务时，双方相互不承担违约责任。但遇有不可抗力的一方或双方应于不可抗力发生后15日内将情况告知对方，并提供有关部门的证明。在不可抗力影响消除后的合理时间内，一方或双方应当继续履行合同。</w:t>
      </w:r>
    </w:p>
    <w:p>
      <w:pPr>
        <w:spacing w:line="400" w:lineRule="atLeast"/>
        <w:ind w:left="440" w:hanging="440" w:hangingChars="200"/>
        <w:rPr>
          <w:rFonts w:ascii="宋体" w:hAnsi="宋体"/>
          <w:sz w:val="22"/>
        </w:rPr>
      </w:pPr>
      <w:r>
        <w:rPr>
          <w:rFonts w:hint="eastAsia" w:ascii="宋体" w:hAnsi="宋体"/>
          <w:sz w:val="22"/>
        </w:rPr>
        <w:t>十七、本合同如有未尽事宜，双方协商解决。</w:t>
      </w:r>
      <w:r>
        <w:rPr>
          <w:rFonts w:hint="eastAsia" w:ascii="宋体" w:hAnsi="宋体"/>
          <w:sz w:val="22"/>
          <w:u w:val="single"/>
        </w:rPr>
        <w:t>合同一式六份，（其中正本二份，副本四份）双方各执三份，具有同等效力；合同签订后，乙方应将合同送招标代理1份备案</w:t>
      </w:r>
      <w:r>
        <w:rPr>
          <w:rFonts w:hint="eastAsia" w:ascii="宋体" w:hAnsi="宋体"/>
          <w:sz w:val="22"/>
        </w:rPr>
        <w:t>。合同及所含附件的有效期为五年，自系统建成并验收合格之日起计算。</w:t>
      </w:r>
    </w:p>
    <w:p>
      <w:pPr>
        <w:spacing w:line="400" w:lineRule="atLeast"/>
        <w:rPr>
          <w:rFonts w:ascii="宋体" w:hAnsi="宋体"/>
          <w:sz w:val="22"/>
        </w:rPr>
      </w:pPr>
      <w:r>
        <w:rPr>
          <w:rFonts w:hint="eastAsia" w:ascii="宋体" w:hAnsi="宋体"/>
          <w:sz w:val="22"/>
        </w:rPr>
        <w:t>十八、合同修改</w:t>
      </w:r>
    </w:p>
    <w:p>
      <w:pPr>
        <w:spacing w:line="400" w:lineRule="atLeast"/>
        <w:ind w:firstLine="480"/>
        <w:rPr>
          <w:rFonts w:ascii="宋体" w:hAnsi="宋体"/>
          <w:sz w:val="22"/>
        </w:rPr>
      </w:pPr>
      <w:r>
        <w:rPr>
          <w:rFonts w:hint="eastAsia" w:ascii="宋体" w:hAnsi="宋体"/>
          <w:sz w:val="22"/>
        </w:rPr>
        <w:t>除了双方签署书面修改合同，并成为本合同不可分割的一部分之外，本合同条件不得有任何变化或修改。</w:t>
      </w:r>
    </w:p>
    <w:p>
      <w:pPr>
        <w:pStyle w:val="13"/>
        <w:spacing w:line="400" w:lineRule="atLeast"/>
        <w:rPr>
          <w:rFonts w:hAnsi="宋体"/>
          <w:color w:val="auto"/>
          <w:sz w:val="22"/>
        </w:rPr>
      </w:pPr>
      <w:r>
        <w:rPr>
          <w:rFonts w:hint="eastAsia" w:hAnsi="宋体" w:eastAsia="宋体"/>
          <w:b w:val="0"/>
          <w:bCs w:val="0"/>
          <w:color w:val="auto"/>
          <w:sz w:val="22"/>
        </w:rPr>
        <w:t>十九、合同附件</w:t>
      </w:r>
    </w:p>
    <w:p>
      <w:pPr>
        <w:spacing w:line="400" w:lineRule="atLeast"/>
        <w:rPr>
          <w:rFonts w:ascii="宋体" w:hAnsi="宋体"/>
          <w:sz w:val="22"/>
        </w:rPr>
      </w:pPr>
      <w:r>
        <w:rPr>
          <w:rFonts w:hint="eastAsia" w:ascii="宋体" w:hAnsi="宋体"/>
          <w:sz w:val="22"/>
        </w:rPr>
        <w:t xml:space="preserve">    下列文件与本合同具有同等法律效力：</w:t>
      </w:r>
    </w:p>
    <w:p>
      <w:pPr>
        <w:spacing w:line="400" w:lineRule="atLeast"/>
        <w:ind w:firstLine="431" w:firstLineChars="196"/>
        <w:rPr>
          <w:rFonts w:ascii="宋体" w:hAnsi="宋体"/>
          <w:sz w:val="22"/>
        </w:rPr>
      </w:pPr>
      <w:r>
        <w:rPr>
          <w:rFonts w:hint="eastAsia" w:ascii="宋体" w:hAnsi="宋体"/>
          <w:sz w:val="22"/>
        </w:rPr>
        <w:t>1、采购人的招标文件与招标补充文件；</w:t>
      </w:r>
    </w:p>
    <w:p>
      <w:pPr>
        <w:spacing w:line="400" w:lineRule="atLeast"/>
        <w:ind w:firstLine="431" w:firstLineChars="196"/>
        <w:rPr>
          <w:rFonts w:ascii="宋体" w:hAnsi="宋体"/>
          <w:sz w:val="22"/>
        </w:rPr>
      </w:pPr>
      <w:r>
        <w:rPr>
          <w:rFonts w:hint="eastAsia" w:ascii="宋体" w:hAnsi="宋体"/>
          <w:sz w:val="22"/>
        </w:rPr>
        <w:t>2、中标供应商投标文件；</w:t>
      </w:r>
    </w:p>
    <w:p>
      <w:pPr>
        <w:pStyle w:val="13"/>
        <w:spacing w:line="400" w:lineRule="atLeast"/>
        <w:ind w:firstLine="323" w:firstLineChars="147"/>
        <w:rPr>
          <w:rFonts w:hAnsi="宋体" w:eastAsia="宋体"/>
          <w:b w:val="0"/>
          <w:bCs w:val="0"/>
          <w:color w:val="auto"/>
          <w:sz w:val="22"/>
        </w:rPr>
      </w:pPr>
      <w:r>
        <w:rPr>
          <w:rFonts w:hint="eastAsia" w:hAnsi="宋体" w:eastAsia="宋体"/>
          <w:b w:val="0"/>
          <w:bCs w:val="0"/>
          <w:color w:val="auto"/>
          <w:sz w:val="22"/>
        </w:rPr>
        <w:t xml:space="preserve"> 3、询标纪要和承诺书；</w:t>
      </w:r>
    </w:p>
    <w:p>
      <w:pPr>
        <w:numPr>
          <w:ilvl w:val="0"/>
          <w:numId w:val="18"/>
        </w:numPr>
        <w:spacing w:line="400" w:lineRule="atLeast"/>
        <w:ind w:firstLine="440" w:firstLineChars="200"/>
        <w:rPr>
          <w:rFonts w:ascii="宋体" w:hAnsi="宋体"/>
          <w:sz w:val="22"/>
        </w:rPr>
      </w:pPr>
      <w:r>
        <w:rPr>
          <w:rFonts w:hint="eastAsia" w:ascii="宋体" w:hAnsi="宋体"/>
          <w:sz w:val="22"/>
        </w:rPr>
        <w:t>中标通知书。</w:t>
      </w:r>
    </w:p>
    <w:p>
      <w:pPr>
        <w:spacing w:line="400" w:lineRule="atLeast"/>
        <w:rPr>
          <w:rFonts w:ascii="宋体" w:hAnsi="宋体"/>
          <w:sz w:val="22"/>
        </w:rPr>
      </w:pPr>
      <w:r>
        <w:rPr>
          <w:rFonts w:hint="eastAsia" w:ascii="宋体" w:hAnsi="宋体"/>
          <w:sz w:val="22"/>
        </w:rPr>
        <w:t xml:space="preserve"> </w:t>
      </w:r>
    </w:p>
    <w:p>
      <w:pPr>
        <w:spacing w:line="400" w:lineRule="atLeast"/>
        <w:rPr>
          <w:rFonts w:ascii="宋体" w:hAnsi="宋体"/>
          <w:sz w:val="22"/>
        </w:rPr>
      </w:pPr>
      <w:r>
        <w:rPr>
          <w:rFonts w:hint="eastAsia" w:ascii="宋体" w:hAnsi="宋体"/>
          <w:sz w:val="22"/>
        </w:rPr>
        <w:t xml:space="preserve"> </w:t>
      </w:r>
    </w:p>
    <w:p>
      <w:pPr>
        <w:pStyle w:val="13"/>
        <w:spacing w:line="400" w:lineRule="atLeast"/>
        <w:ind w:firstLine="323" w:firstLineChars="147"/>
        <w:rPr>
          <w:rFonts w:hAnsi="宋体" w:eastAsia="宋体"/>
          <w:b w:val="0"/>
          <w:bCs w:val="0"/>
          <w:color w:val="auto"/>
          <w:sz w:val="22"/>
        </w:rPr>
      </w:pPr>
      <w:r>
        <w:rPr>
          <w:rFonts w:hint="eastAsia" w:hAnsi="宋体" w:eastAsia="宋体"/>
          <w:b w:val="0"/>
          <w:bCs w:val="0"/>
          <w:color w:val="auto"/>
          <w:sz w:val="22"/>
        </w:rPr>
        <w:t>采购人：（印章）                     供应商：（印章）</w:t>
      </w:r>
    </w:p>
    <w:p>
      <w:pPr>
        <w:pStyle w:val="13"/>
        <w:spacing w:line="400" w:lineRule="atLeast"/>
        <w:ind w:firstLine="323" w:firstLineChars="147"/>
        <w:rPr>
          <w:rFonts w:hAnsi="宋体" w:eastAsia="宋体"/>
          <w:b w:val="0"/>
          <w:bCs w:val="0"/>
          <w:color w:val="auto"/>
          <w:sz w:val="22"/>
        </w:rPr>
      </w:pPr>
      <w:r>
        <w:rPr>
          <w:rFonts w:hint="eastAsia" w:hAnsi="宋体" w:eastAsia="宋体"/>
          <w:b w:val="0"/>
          <w:bCs w:val="0"/>
          <w:color w:val="auto"/>
          <w:sz w:val="22"/>
        </w:rPr>
        <w:t>全权代表:（签字）                    全权代表:（签字）</w:t>
      </w:r>
    </w:p>
    <w:p>
      <w:pPr>
        <w:pStyle w:val="13"/>
        <w:spacing w:line="400" w:lineRule="atLeast"/>
        <w:ind w:firstLine="323" w:firstLineChars="147"/>
        <w:rPr>
          <w:rFonts w:hAnsi="宋体" w:eastAsia="宋体"/>
          <w:b w:val="0"/>
          <w:bCs w:val="0"/>
          <w:color w:val="auto"/>
          <w:sz w:val="22"/>
        </w:rPr>
      </w:pPr>
      <w:r>
        <w:rPr>
          <w:rFonts w:hint="eastAsia" w:hAnsi="宋体" w:eastAsia="宋体"/>
          <w:b w:val="0"/>
          <w:bCs w:val="0"/>
          <w:color w:val="auto"/>
          <w:sz w:val="22"/>
        </w:rPr>
        <w:t>地址：                               地址：</w:t>
      </w:r>
    </w:p>
    <w:p>
      <w:pPr>
        <w:snapToGrid w:val="0"/>
        <w:spacing w:line="440" w:lineRule="atLeast"/>
        <w:ind w:firstLine="440" w:firstLineChars="200"/>
        <w:rPr>
          <w:rFonts w:hint="eastAsia" w:ascii="宋体" w:hAnsi="宋体"/>
          <w:sz w:val="22"/>
        </w:rPr>
      </w:pPr>
    </w:p>
    <w:p>
      <w:pPr>
        <w:spacing w:line="400" w:lineRule="exact"/>
        <w:jc w:val="center"/>
        <w:rPr>
          <w:rStyle w:val="31"/>
          <w:rFonts w:hint="eastAsia" w:ascii="宋体" w:hAnsi="宋体"/>
          <w:b/>
          <w:bCs/>
          <w:sz w:val="22"/>
        </w:rPr>
      </w:pPr>
      <w:r>
        <w:rPr>
          <w:rFonts w:hint="eastAsia" w:ascii="宋体" w:hAnsi="宋体"/>
        </w:rPr>
        <w:fldChar w:fldCharType="begin"/>
      </w:r>
      <w:r>
        <w:rPr>
          <w:rFonts w:hint="eastAsia" w:ascii="宋体" w:hAnsi="宋体"/>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rPr>
        <w:fldChar w:fldCharType="separate"/>
      </w:r>
      <w:r>
        <w:rPr>
          <w:rStyle w:val="31"/>
          <w:rFonts w:hint="eastAsia" w:ascii="宋体" w:hAnsi="宋体"/>
          <w:b/>
          <w:bCs/>
          <w:sz w:val="22"/>
        </w:rPr>
        <w:t>（合同签订后供应商须将合同扫描发至250453502@qq.com邮箱备案）</w:t>
      </w:r>
      <w:r>
        <w:rPr>
          <w:rFonts w:hint="eastAsia" w:ascii="宋体" w:hAnsi="宋体"/>
          <w:b/>
          <w:bCs/>
          <w:sz w:val="22"/>
        </w:rPr>
        <w:fldChar w:fldCharType="end"/>
      </w:r>
    </w:p>
    <w:p>
      <w:pPr>
        <w:spacing w:line="400" w:lineRule="exact"/>
        <w:jc w:val="center"/>
        <w:rPr>
          <w:rFonts w:hint="eastAsia" w:ascii="宋体" w:hAnsi="宋体"/>
          <w:b/>
          <w:bCs/>
          <w:sz w:val="22"/>
        </w:rPr>
      </w:pPr>
    </w:p>
    <w:p>
      <w:pPr>
        <w:autoSpaceDE w:val="0"/>
        <w:autoSpaceDN w:val="0"/>
        <w:adjustRightInd w:val="0"/>
        <w:spacing w:line="360" w:lineRule="exact"/>
        <w:jc w:val="center"/>
        <w:rPr>
          <w:rStyle w:val="31"/>
          <w:rFonts w:hint="eastAsia" w:ascii="宋体" w:hAnsi="宋体"/>
          <w:b/>
          <w:bCs/>
          <w:sz w:val="22"/>
        </w:rPr>
      </w:pPr>
    </w:p>
    <w:p>
      <w:pPr>
        <w:tabs>
          <w:tab w:val="left" w:pos="465"/>
        </w:tabs>
        <w:jc w:val="center"/>
        <w:rPr>
          <w:rFonts w:hint="eastAsia" w:ascii="宋体" w:hAnsi="宋体"/>
          <w:sz w:val="32"/>
          <w:szCs w:val="32"/>
        </w:rPr>
        <w:sectPr>
          <w:pgSz w:w="11906" w:h="16838"/>
          <w:pgMar w:top="1440" w:right="1247" w:bottom="1440" w:left="1247" w:header="851" w:footer="992" w:gutter="0"/>
          <w:cols w:space="720" w:num="1"/>
          <w:titlePg/>
          <w:docGrid w:type="linesAndChars" w:linePitch="312" w:charSpace="0"/>
        </w:sectPr>
      </w:pPr>
    </w:p>
    <w:p>
      <w:pPr>
        <w:pStyle w:val="22"/>
        <w:spacing w:line="400" w:lineRule="exact"/>
        <w:rPr>
          <w:rFonts w:hint="eastAsia" w:ascii="宋体" w:hAnsi="宋体" w:cs="宋体"/>
          <w:b/>
          <w:bCs/>
        </w:rPr>
      </w:pPr>
      <w:bookmarkStart w:id="52" w:name="_Toc17542"/>
      <w:r>
        <w:rPr>
          <w:rFonts w:hint="eastAsia" w:ascii="宋体" w:hAnsi="宋体" w:cs="宋体"/>
          <w:b/>
          <w:bCs/>
        </w:rPr>
        <w:t>第六部分 投标文件格式</w:t>
      </w:r>
      <w:bookmarkEnd w:id="52"/>
    </w:p>
    <w:p>
      <w:pPr>
        <w:pStyle w:val="22"/>
        <w:spacing w:line="400" w:lineRule="exact"/>
        <w:rPr>
          <w:rFonts w:hint="eastAsia" w:ascii="宋体" w:hAnsi="宋体" w:cs="宋体"/>
          <w:b/>
          <w:bCs/>
        </w:rPr>
      </w:pPr>
      <w:bookmarkStart w:id="53" w:name="_Toc23899"/>
      <w:r>
        <w:rPr>
          <w:rFonts w:hint="eastAsia" w:ascii="宋体" w:hAnsi="宋体" w:cs="宋体"/>
          <w:b/>
          <w:bCs/>
        </w:rPr>
        <w:t>一、资格投标文件组成部分</w:t>
      </w:r>
      <w:bookmarkEnd w:id="53"/>
    </w:p>
    <w:p>
      <w:pPr>
        <w:pStyle w:val="22"/>
        <w:spacing w:line="400" w:lineRule="exact"/>
        <w:rPr>
          <w:rFonts w:hint="eastAsia" w:ascii="宋体" w:hAnsi="宋体" w:cs="宋体"/>
          <w:b/>
          <w:bCs/>
        </w:rPr>
      </w:pPr>
    </w:p>
    <w:p>
      <w:pPr>
        <w:adjustRightInd w:val="0"/>
        <w:snapToGrid w:val="0"/>
        <w:spacing w:before="156" w:beforeLines="50" w:line="360" w:lineRule="auto"/>
        <w:jc w:val="center"/>
        <w:rPr>
          <w:rFonts w:hint="eastAsia" w:ascii="宋体" w:hAnsi="宋体"/>
          <w:b/>
          <w:bCs/>
          <w:szCs w:val="21"/>
        </w:rPr>
      </w:pPr>
      <w:r>
        <w:rPr>
          <w:rFonts w:hint="eastAsia" w:ascii="宋体" w:hAnsi="宋体"/>
          <w:b/>
          <w:bCs/>
          <w:sz w:val="32"/>
          <w:szCs w:val="32"/>
        </w:rPr>
        <w:t>填写须知</w:t>
      </w:r>
    </w:p>
    <w:p>
      <w:pPr>
        <w:adjustRightInd w:val="0"/>
        <w:snapToGrid w:val="0"/>
        <w:spacing w:before="156" w:beforeLines="50" w:line="360" w:lineRule="auto"/>
        <w:rPr>
          <w:rFonts w:hint="eastAsia" w:ascii="宋体" w:hAnsi="宋体"/>
          <w:b/>
          <w:bCs/>
          <w:sz w:val="22"/>
        </w:rPr>
      </w:pPr>
      <w:r>
        <w:rPr>
          <w:rFonts w:hint="eastAsia" w:ascii="宋体" w:hAnsi="宋体"/>
          <w:b/>
          <w:bCs/>
          <w:sz w:val="22"/>
        </w:rPr>
        <w:t>（一）</w:t>
      </w:r>
      <w:r>
        <w:rPr>
          <w:rFonts w:hint="eastAsia" w:ascii="宋体" w:hAnsi="宋体"/>
          <w:b/>
          <w:sz w:val="22"/>
        </w:rPr>
        <w:t>投标人</w:t>
      </w:r>
      <w:r>
        <w:rPr>
          <w:rFonts w:hint="eastAsia" w:ascii="宋体" w:hAnsi="宋体"/>
          <w:b/>
          <w:bCs/>
          <w:sz w:val="22"/>
        </w:rPr>
        <w:t>有下列情形之一的，资格审查不通过，视为无效投标：</w:t>
      </w:r>
    </w:p>
    <w:p>
      <w:pPr>
        <w:adjustRightInd w:val="0"/>
        <w:snapToGrid w:val="0"/>
        <w:spacing w:before="78" w:beforeLines="25" w:line="360" w:lineRule="auto"/>
        <w:ind w:firstLine="431" w:firstLineChars="196"/>
        <w:rPr>
          <w:rFonts w:hint="eastAsia" w:ascii="宋体" w:hAnsi="宋体"/>
          <w:bCs/>
          <w:sz w:val="22"/>
        </w:rPr>
      </w:pPr>
      <w:r>
        <w:rPr>
          <w:rFonts w:hint="eastAsia" w:ascii="宋体" w:hAnsi="宋体"/>
          <w:sz w:val="22"/>
        </w:rPr>
        <w:t>1．</w:t>
      </w:r>
      <w:r>
        <w:rPr>
          <w:rFonts w:hint="eastAsia" w:ascii="宋体" w:hAnsi="宋体"/>
          <w:bCs/>
          <w:sz w:val="22"/>
        </w:rPr>
        <w:t>未按采购文件要求提交资格证明文件的；</w:t>
      </w:r>
    </w:p>
    <w:p>
      <w:pPr>
        <w:adjustRightInd w:val="0"/>
        <w:snapToGrid w:val="0"/>
        <w:spacing w:before="78" w:beforeLines="25" w:line="360" w:lineRule="auto"/>
        <w:ind w:firstLine="431" w:firstLineChars="196"/>
        <w:rPr>
          <w:rFonts w:hint="eastAsia" w:ascii="宋体" w:hAnsi="宋体"/>
          <w:bCs/>
          <w:sz w:val="22"/>
        </w:rPr>
      </w:pPr>
      <w:r>
        <w:rPr>
          <w:rFonts w:hint="eastAsia" w:ascii="宋体" w:hAnsi="宋体"/>
          <w:sz w:val="22"/>
        </w:rPr>
        <w:t>2．</w:t>
      </w:r>
      <w:r>
        <w:rPr>
          <w:rFonts w:hint="eastAsia" w:ascii="宋体" w:hAnsi="宋体"/>
          <w:bCs/>
          <w:sz w:val="22"/>
        </w:rPr>
        <w:t>提供的资格证明文件不符合采购文件要求或提供虚假资格证明文件的；</w:t>
      </w:r>
    </w:p>
    <w:p>
      <w:pPr>
        <w:adjustRightInd w:val="0"/>
        <w:snapToGrid w:val="0"/>
        <w:spacing w:before="78" w:beforeLines="25" w:line="360" w:lineRule="auto"/>
        <w:ind w:firstLine="431" w:firstLineChars="196"/>
        <w:rPr>
          <w:rFonts w:hint="eastAsia" w:ascii="宋体" w:hAnsi="宋体"/>
          <w:bCs/>
          <w:szCs w:val="21"/>
        </w:rPr>
      </w:pPr>
      <w:r>
        <w:rPr>
          <w:rFonts w:hint="eastAsia" w:ascii="宋体" w:hAnsi="宋体"/>
          <w:sz w:val="22"/>
        </w:rPr>
        <w:t>3．</w:t>
      </w:r>
      <w:r>
        <w:rPr>
          <w:rFonts w:hint="eastAsia" w:ascii="宋体" w:hAnsi="宋体"/>
          <w:bCs/>
          <w:sz w:val="22"/>
        </w:rPr>
        <w:t>资格证明文件未按采购文件要求加盖供应商单位CA电子签章或</w:t>
      </w:r>
      <w:r>
        <w:rPr>
          <w:rFonts w:hint="eastAsia" w:ascii="宋体" w:hAnsi="宋体"/>
          <w:sz w:val="22"/>
        </w:rPr>
        <w:t>签字</w:t>
      </w:r>
      <w:r>
        <w:rPr>
          <w:rFonts w:hint="eastAsia" w:ascii="宋体" w:hAnsi="宋体"/>
          <w:bCs/>
          <w:sz w:val="22"/>
        </w:rPr>
        <w:t>的；</w:t>
      </w:r>
    </w:p>
    <w:p>
      <w:pPr>
        <w:adjustRightInd w:val="0"/>
        <w:snapToGrid w:val="0"/>
        <w:spacing w:before="78" w:beforeLines="25" w:line="360" w:lineRule="auto"/>
        <w:ind w:firstLine="431" w:firstLineChars="196"/>
        <w:rPr>
          <w:rFonts w:hint="eastAsia" w:ascii="宋体" w:hAnsi="宋体"/>
          <w:b/>
          <w:bCs/>
        </w:rPr>
      </w:pPr>
      <w:r>
        <w:rPr>
          <w:rFonts w:hint="eastAsia" w:ascii="宋体" w:hAnsi="宋体"/>
          <w:bCs/>
          <w:sz w:val="22"/>
        </w:rPr>
        <w:t>4．资格证明文件过了有效期的或未按有关规定年审合格的。</w:t>
      </w:r>
    </w:p>
    <w:p>
      <w:pPr>
        <w:adjustRightInd w:val="0"/>
        <w:snapToGrid w:val="0"/>
        <w:spacing w:before="156" w:beforeLines="50" w:line="360" w:lineRule="auto"/>
        <w:rPr>
          <w:rFonts w:hint="eastAsia" w:ascii="宋体" w:hAnsi="宋体"/>
          <w:color w:val="000000"/>
          <w:sz w:val="22"/>
        </w:rPr>
      </w:pPr>
      <w:r>
        <w:rPr>
          <w:rFonts w:hint="eastAsia" w:ascii="宋体" w:hAnsi="宋体"/>
          <w:b/>
          <w:sz w:val="22"/>
        </w:rPr>
        <w:t>（二）投标人应提供的证明材料：</w:t>
      </w:r>
    </w:p>
    <w:p>
      <w:pPr>
        <w:snapToGrid w:val="0"/>
        <w:spacing w:line="360" w:lineRule="auto"/>
        <w:jc w:val="center"/>
        <w:rPr>
          <w:rFonts w:hint="eastAsia" w:ascii="宋体" w:hAnsi="宋体"/>
          <w:color w:val="000000"/>
          <w:sz w:val="22"/>
        </w:rPr>
      </w:pPr>
      <w:r>
        <w:rPr>
          <w:rFonts w:hint="eastAsia" w:ascii="宋体" w:hAnsi="宋体"/>
          <w:b/>
          <w:bCs/>
          <w:sz w:val="32"/>
          <w:szCs w:val="32"/>
        </w:rPr>
        <w:t>基本资格要求证明文件</w:t>
      </w:r>
    </w:p>
    <w:p>
      <w:pPr>
        <w:adjustRightInd w:val="0"/>
        <w:snapToGrid w:val="0"/>
        <w:spacing w:before="78" w:beforeLines="25" w:line="360" w:lineRule="auto"/>
        <w:rPr>
          <w:rFonts w:hint="eastAsia" w:ascii="宋体" w:hAnsi="宋体"/>
          <w:sz w:val="22"/>
        </w:rPr>
      </w:pPr>
    </w:p>
    <w:p>
      <w:pPr>
        <w:adjustRightInd w:val="0"/>
        <w:snapToGrid w:val="0"/>
        <w:spacing w:before="78" w:beforeLines="25" w:line="360" w:lineRule="auto"/>
        <w:rPr>
          <w:rFonts w:hint="eastAsia" w:ascii="宋体" w:hAnsi="宋体"/>
          <w:b/>
          <w:color w:val="000000"/>
          <w:kern w:val="36"/>
          <w:sz w:val="22"/>
        </w:rPr>
      </w:pPr>
      <w:r>
        <w:rPr>
          <w:rFonts w:hint="eastAsia" w:ascii="宋体" w:hAnsi="宋体"/>
          <w:sz w:val="22"/>
        </w:rPr>
        <w:t>1.供应商为营利法人的，应提交营业执照；供应商为依法允许经营的事业单位的，应提交事业单位法人证书；</w:t>
      </w:r>
    </w:p>
    <w:p>
      <w:pPr>
        <w:adjustRightInd w:val="0"/>
        <w:snapToGrid w:val="0"/>
        <w:spacing w:before="78" w:beforeLines="25" w:line="360" w:lineRule="auto"/>
        <w:rPr>
          <w:rFonts w:hint="eastAsia" w:ascii="宋体" w:hAnsi="宋体"/>
          <w:bCs/>
          <w:sz w:val="22"/>
        </w:rPr>
      </w:pPr>
      <w:r>
        <w:rPr>
          <w:rFonts w:hint="eastAsia" w:ascii="宋体" w:hAnsi="宋体"/>
          <w:bCs/>
          <w:sz w:val="22"/>
        </w:rPr>
        <w:t>2.</w:t>
      </w:r>
      <w:r>
        <w:rPr>
          <w:rFonts w:hint="eastAsia" w:ascii="宋体" w:hAnsi="宋体"/>
        </w:rPr>
        <w:t>提供下列之一证明材料：</w:t>
      </w:r>
      <w:r>
        <w:rPr>
          <w:rFonts w:hint="eastAsia" w:ascii="宋体" w:hAnsi="宋体"/>
        </w:rPr>
        <w:sym w:font="Wingdings" w:char="F081"/>
      </w:r>
      <w:r>
        <w:rPr>
          <w:rFonts w:hint="eastAsia" w:ascii="宋体" w:hAnsi="宋体"/>
          <w:bCs/>
          <w:sz w:val="22"/>
        </w:rPr>
        <w:t>提供近期的财务报表</w:t>
      </w:r>
      <w:r>
        <w:rPr>
          <w:rFonts w:hint="eastAsia" w:ascii="宋体" w:hAnsi="宋体"/>
          <w:sz w:val="22"/>
        </w:rPr>
        <w:t>；</w:t>
      </w:r>
    </w:p>
    <w:p>
      <w:pPr>
        <w:adjustRightInd w:val="0"/>
        <w:snapToGrid w:val="0"/>
        <w:spacing w:before="78" w:beforeLines="25" w:line="360" w:lineRule="auto"/>
        <w:ind w:firstLine="2640" w:firstLineChars="1200"/>
        <w:rPr>
          <w:rFonts w:hint="eastAsia" w:ascii="宋体" w:hAnsi="宋体"/>
          <w:color w:val="000000"/>
          <w:sz w:val="22"/>
        </w:rPr>
      </w:pPr>
      <w:r>
        <w:rPr>
          <w:rFonts w:hint="eastAsia" w:ascii="宋体" w:hAnsi="宋体"/>
          <w:bCs/>
          <w:sz w:val="22"/>
        </w:rPr>
        <w:sym w:font="Wingdings" w:char="F082"/>
      </w:r>
      <w:r>
        <w:rPr>
          <w:rFonts w:hint="eastAsia" w:ascii="宋体" w:hAnsi="宋体"/>
          <w:bCs/>
          <w:sz w:val="22"/>
        </w:rPr>
        <w:t>银行资信证明。</w:t>
      </w:r>
    </w:p>
    <w:p>
      <w:pPr>
        <w:rPr>
          <w:rFonts w:hint="eastAsia" w:ascii="宋体" w:hAnsi="宋体"/>
          <w:b/>
          <w:bCs/>
          <w:sz w:val="22"/>
        </w:rPr>
      </w:pPr>
    </w:p>
    <w:p>
      <w:pPr>
        <w:pStyle w:val="10"/>
        <w:rPr>
          <w:rFonts w:hint="eastAsia" w:ascii="宋体" w:hAnsi="宋体" w:cs="宋体"/>
          <w:b/>
          <w:bCs/>
          <w:sz w:val="22"/>
        </w:rPr>
      </w:pPr>
    </w:p>
    <w:p>
      <w:pPr>
        <w:pStyle w:val="11"/>
        <w:ind w:firstLine="221"/>
        <w:rPr>
          <w:rFonts w:hint="eastAsia" w:ascii="宋体" w:hAnsi="宋体" w:cs="宋体"/>
          <w:b/>
          <w:bCs/>
          <w:sz w:val="22"/>
        </w:rPr>
      </w:pPr>
    </w:p>
    <w:p>
      <w:pPr>
        <w:pStyle w:val="11"/>
        <w:ind w:firstLine="221"/>
        <w:rPr>
          <w:rFonts w:hint="eastAsia" w:ascii="宋体" w:hAnsi="宋体" w:cs="宋体"/>
          <w:b/>
          <w:bCs/>
          <w:sz w:val="22"/>
        </w:rPr>
      </w:pPr>
    </w:p>
    <w:p>
      <w:pPr>
        <w:pStyle w:val="11"/>
        <w:ind w:firstLine="221"/>
        <w:rPr>
          <w:rFonts w:hint="eastAsia" w:ascii="宋体" w:hAnsi="宋体" w:cs="宋体"/>
          <w:b/>
          <w:bCs/>
          <w:sz w:val="22"/>
        </w:rPr>
      </w:pPr>
    </w:p>
    <w:p>
      <w:pPr>
        <w:pStyle w:val="11"/>
        <w:ind w:firstLine="221"/>
        <w:rPr>
          <w:rFonts w:hint="eastAsia" w:ascii="宋体" w:hAnsi="宋体" w:cs="宋体"/>
          <w:b/>
          <w:bCs/>
          <w:sz w:val="22"/>
        </w:rPr>
      </w:pPr>
    </w:p>
    <w:p>
      <w:pPr>
        <w:pStyle w:val="11"/>
        <w:ind w:firstLine="221"/>
        <w:rPr>
          <w:rFonts w:hint="eastAsia" w:ascii="宋体" w:hAnsi="宋体" w:cs="宋体"/>
          <w:b/>
          <w:bCs/>
          <w:sz w:val="22"/>
        </w:rPr>
      </w:pPr>
    </w:p>
    <w:p>
      <w:pPr>
        <w:pStyle w:val="11"/>
        <w:ind w:firstLine="221"/>
        <w:rPr>
          <w:rFonts w:hint="eastAsia" w:ascii="宋体" w:hAnsi="宋体" w:cs="宋体"/>
          <w:b/>
          <w:bCs/>
          <w:sz w:val="22"/>
        </w:rPr>
      </w:pPr>
    </w:p>
    <w:p>
      <w:pPr>
        <w:pStyle w:val="11"/>
        <w:ind w:firstLine="221"/>
        <w:rPr>
          <w:rFonts w:hint="eastAsia" w:ascii="宋体" w:hAnsi="宋体" w:cs="宋体"/>
          <w:b/>
          <w:bCs/>
          <w:sz w:val="22"/>
        </w:rPr>
      </w:pPr>
    </w:p>
    <w:p>
      <w:pPr>
        <w:pStyle w:val="11"/>
        <w:ind w:firstLine="221"/>
        <w:rPr>
          <w:rFonts w:hint="eastAsia" w:ascii="宋体" w:hAnsi="宋体" w:cs="宋体"/>
          <w:b/>
          <w:bCs/>
          <w:sz w:val="22"/>
        </w:rPr>
      </w:pPr>
    </w:p>
    <w:p>
      <w:pPr>
        <w:rPr>
          <w:rFonts w:hint="eastAsia" w:ascii="宋体" w:hAnsi="宋体"/>
          <w:b/>
          <w:bCs/>
          <w:sz w:val="22"/>
        </w:rPr>
      </w:pPr>
    </w:p>
    <w:p>
      <w:pPr>
        <w:adjustRightInd w:val="0"/>
        <w:snapToGrid w:val="0"/>
        <w:spacing w:before="78" w:beforeLines="25" w:line="360" w:lineRule="auto"/>
        <w:ind w:firstLine="431" w:firstLineChars="196"/>
        <w:rPr>
          <w:rFonts w:hint="eastAsia" w:ascii="宋体" w:hAnsi="宋体"/>
          <w:b/>
          <w:bCs/>
          <w:kern w:val="44"/>
          <w:sz w:val="22"/>
          <w:szCs w:val="36"/>
        </w:rPr>
      </w:pPr>
    </w:p>
    <w:p>
      <w:pPr>
        <w:adjustRightInd w:val="0"/>
        <w:snapToGrid w:val="0"/>
        <w:spacing w:before="78" w:beforeLines="25" w:line="360" w:lineRule="auto"/>
        <w:ind w:firstLine="431" w:firstLineChars="196"/>
        <w:rPr>
          <w:rFonts w:hint="eastAsia" w:ascii="宋体" w:hAnsi="宋体"/>
        </w:rPr>
      </w:pPr>
      <w:r>
        <w:rPr>
          <w:rFonts w:hint="eastAsia" w:ascii="宋体" w:hAnsi="宋体"/>
          <w:b/>
          <w:bCs/>
          <w:kern w:val="44"/>
          <w:sz w:val="22"/>
          <w:szCs w:val="36"/>
        </w:rPr>
        <w:t>3.具有履行合同所必需的场地、设备和专业技术能力的承诺函</w:t>
      </w:r>
    </w:p>
    <w:p>
      <w:pPr>
        <w:snapToGrid w:val="0"/>
        <w:spacing w:line="360" w:lineRule="auto"/>
        <w:rPr>
          <w:rFonts w:hint="eastAsia" w:ascii="宋体" w:hAnsi="宋体"/>
          <w:color w:val="000000"/>
          <w:sz w:val="22"/>
        </w:rPr>
      </w:pPr>
    </w:p>
    <w:p>
      <w:pPr>
        <w:snapToGrid w:val="0"/>
        <w:spacing w:line="360" w:lineRule="auto"/>
        <w:jc w:val="center"/>
        <w:rPr>
          <w:rFonts w:hint="eastAsia" w:ascii="宋体" w:hAnsi="宋体"/>
          <w:color w:val="000000"/>
          <w:sz w:val="22"/>
        </w:rPr>
      </w:pPr>
      <w:r>
        <w:rPr>
          <w:rFonts w:hint="eastAsia" w:ascii="宋体" w:hAnsi="宋体"/>
          <w:b/>
          <w:bCs/>
          <w:kern w:val="44"/>
          <w:sz w:val="30"/>
          <w:szCs w:val="30"/>
        </w:rPr>
        <w:t>具有履行合同所必需的场地、设备和专业技术能力的承诺函</w:t>
      </w:r>
    </w:p>
    <w:p>
      <w:pPr>
        <w:shd w:val="clear" w:color="auto" w:fill="FFFFFF"/>
        <w:snapToGrid w:val="0"/>
        <w:spacing w:line="360" w:lineRule="auto"/>
        <w:rPr>
          <w:rFonts w:hint="eastAsia" w:ascii="宋体" w:hAnsi="宋体"/>
          <w:color w:val="000000"/>
          <w:sz w:val="22"/>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我司</w:t>
      </w:r>
      <w:r>
        <w:rPr>
          <w:rFonts w:hint="eastAsia" w:ascii="宋体" w:hAnsi="宋体"/>
          <w:color w:val="000000"/>
          <w:kern w:val="0"/>
          <w:sz w:val="22"/>
          <w:u w:val="single"/>
        </w:rPr>
        <w:t xml:space="preserve"> （供应商）</w:t>
      </w:r>
      <w:r>
        <w:rPr>
          <w:rFonts w:hint="eastAsia" w:ascii="宋体" w:hAnsi="宋体"/>
          <w:color w:val="000000"/>
          <w:kern w:val="0"/>
          <w:sz w:val="22"/>
        </w:rPr>
        <w:t>承诺具有履行合同所必需的场地、设备和专业技术能力。如有虚假，采购人可取消我方任何资格（投标/中标/签订合同），我方对此无任何异议。</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12"/>
        <w:rPr>
          <w:rFonts w:hint="eastAsia" w:ascii="宋体" w:hAnsi="宋体" w:cs="宋体"/>
        </w:rPr>
      </w:pPr>
    </w:p>
    <w:p>
      <w:pPr>
        <w:widowControl/>
        <w:snapToGrid w:val="0"/>
        <w:spacing w:line="360" w:lineRule="auto"/>
        <w:ind w:firstLine="440" w:firstLineChars="200"/>
        <w:jc w:val="left"/>
        <w:rPr>
          <w:rFonts w:hint="eastAsia" w:ascii="宋体" w:hAnsi="宋体"/>
          <w:color w:val="000000"/>
          <w:kern w:val="0"/>
          <w:sz w:val="22"/>
        </w:rPr>
      </w:pPr>
    </w:p>
    <w:p>
      <w:pPr>
        <w:adjustRightInd w:val="0"/>
        <w:snapToGrid w:val="0"/>
        <w:spacing w:before="78" w:beforeLines="25" w:line="360" w:lineRule="auto"/>
        <w:ind w:firstLine="431" w:firstLineChars="196"/>
        <w:rPr>
          <w:rFonts w:hint="eastAsia" w:ascii="宋体" w:hAnsi="宋体"/>
          <w:color w:val="000000"/>
          <w:kern w:val="0"/>
          <w:sz w:val="22"/>
        </w:rPr>
      </w:pPr>
      <w:r>
        <w:rPr>
          <w:rFonts w:hint="eastAsia" w:ascii="宋体" w:hAnsi="宋体"/>
          <w:color w:val="000000"/>
          <w:kern w:val="0"/>
          <w:sz w:val="22"/>
        </w:rPr>
        <w:t>4.1</w:t>
      </w:r>
      <w:r>
        <w:rPr>
          <w:rFonts w:hint="eastAsia" w:ascii="宋体" w:hAnsi="宋体"/>
        </w:rPr>
        <w:t>缴纳税收证明资料（提供下列之一证明材料）：</w:t>
      </w:r>
    </w:p>
    <w:p>
      <w:pPr>
        <w:autoSpaceDE w:val="0"/>
        <w:autoSpaceDN w:val="0"/>
        <w:adjustRightInd w:val="0"/>
        <w:snapToGrid w:val="0"/>
        <w:spacing w:line="430" w:lineRule="atLeast"/>
        <w:ind w:firstLine="420" w:firstLineChars="200"/>
        <w:rPr>
          <w:rFonts w:hint="eastAsia" w:ascii="宋体" w:hAnsi="宋体"/>
        </w:rPr>
      </w:pPr>
      <w:r>
        <w:rPr>
          <w:rFonts w:hint="eastAsia" w:ascii="宋体" w:hAnsi="宋体"/>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文件。</w:t>
      </w:r>
    </w:p>
    <w:p>
      <w:pPr>
        <w:pStyle w:val="12"/>
        <w:rPr>
          <w:rFonts w:hint="eastAsia" w:ascii="宋体" w:hAnsi="宋体" w:cs="宋体"/>
        </w:rPr>
      </w:pPr>
    </w:p>
    <w:p>
      <w:pPr>
        <w:widowControl/>
        <w:snapToGrid w:val="0"/>
        <w:spacing w:line="360" w:lineRule="auto"/>
        <w:ind w:firstLine="420" w:firstLineChars="200"/>
        <w:jc w:val="left"/>
        <w:rPr>
          <w:rFonts w:hint="eastAsia" w:ascii="宋体" w:hAnsi="宋体"/>
        </w:rPr>
      </w:pPr>
      <w:r>
        <w:rPr>
          <w:rFonts w:hint="eastAsia" w:ascii="宋体" w:hAnsi="宋体"/>
        </w:rPr>
        <w:t>4.2缴纳社会保险证明资料（提供下列之一证明材料）：</w:t>
      </w:r>
    </w:p>
    <w:p>
      <w:pPr>
        <w:widowControl/>
        <w:snapToGrid w:val="0"/>
        <w:spacing w:line="360" w:lineRule="auto"/>
        <w:ind w:firstLine="420" w:firstLineChars="200"/>
        <w:jc w:val="left"/>
        <w:rPr>
          <w:rFonts w:hint="eastAsia" w:ascii="宋体" w:hAnsi="宋体"/>
          <w:color w:val="000000"/>
          <w:kern w:val="0"/>
          <w:sz w:val="22"/>
        </w:rPr>
      </w:pPr>
      <w:r>
        <w:rPr>
          <w:rFonts w:hint="eastAsia" w:ascii="宋体" w:hAnsi="宋体"/>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文件。</w:t>
      </w:r>
    </w:p>
    <w:p>
      <w:pPr>
        <w:widowControl/>
        <w:snapToGrid w:val="0"/>
        <w:spacing w:line="360" w:lineRule="auto"/>
        <w:jc w:val="left"/>
        <w:rPr>
          <w:rFonts w:hint="eastAsia" w:ascii="宋体" w:hAnsi="宋体"/>
          <w:color w:val="000000"/>
          <w:kern w:val="0"/>
          <w:sz w:val="22"/>
        </w:rPr>
      </w:pPr>
    </w:p>
    <w:p>
      <w:pPr>
        <w:pStyle w:val="11"/>
        <w:ind w:firstLine="220"/>
        <w:rPr>
          <w:rFonts w:hint="eastAsia" w:ascii="宋体" w:hAnsi="宋体" w:cs="宋体"/>
          <w:color w:val="000000"/>
          <w:sz w:val="22"/>
          <w:szCs w:val="22"/>
        </w:rPr>
      </w:pPr>
    </w:p>
    <w:p>
      <w:pPr>
        <w:pStyle w:val="11"/>
        <w:ind w:firstLine="220"/>
        <w:rPr>
          <w:rFonts w:hint="eastAsia" w:ascii="宋体" w:hAnsi="宋体" w:cs="宋体"/>
          <w:color w:val="000000"/>
          <w:sz w:val="22"/>
          <w:szCs w:val="22"/>
        </w:rPr>
      </w:pPr>
    </w:p>
    <w:p>
      <w:pPr>
        <w:adjustRightInd w:val="0"/>
        <w:snapToGrid w:val="0"/>
        <w:spacing w:before="78" w:beforeLines="25" w:line="360" w:lineRule="auto"/>
        <w:ind w:firstLine="431" w:firstLineChars="196"/>
        <w:rPr>
          <w:rFonts w:hint="eastAsia" w:ascii="宋体" w:hAnsi="宋体"/>
          <w:color w:val="000000"/>
          <w:sz w:val="22"/>
        </w:rPr>
      </w:pPr>
      <w:bookmarkStart w:id="54" w:name="_Toc11360"/>
      <w:bookmarkStart w:id="55" w:name="_Toc31544"/>
      <w:bookmarkStart w:id="56" w:name="_Toc14589"/>
      <w:bookmarkStart w:id="57" w:name="_Toc31784"/>
      <w:bookmarkStart w:id="58" w:name="_Toc13669"/>
      <w:bookmarkStart w:id="59" w:name="_Toc27119255"/>
      <w:bookmarkStart w:id="60" w:name="_Toc28957"/>
      <w:bookmarkStart w:id="61" w:name="_Toc18304"/>
      <w:bookmarkStart w:id="62" w:name="_Toc33194406"/>
      <w:bookmarkStart w:id="63" w:name="_Toc6606"/>
      <w:bookmarkStart w:id="64" w:name="_Toc14988"/>
      <w:bookmarkStart w:id="65" w:name="_Toc10630"/>
      <w:r>
        <w:rPr>
          <w:rFonts w:hint="eastAsia" w:ascii="宋体" w:hAnsi="宋体"/>
          <w:color w:val="000000"/>
          <w:sz w:val="22"/>
        </w:rPr>
        <w:t>5.参加政府采购活动前3年内在经营活动中没有重大违法记录的声明函</w:t>
      </w:r>
      <w:bookmarkEnd w:id="54"/>
      <w:bookmarkEnd w:id="55"/>
      <w:bookmarkEnd w:id="56"/>
      <w:bookmarkEnd w:id="57"/>
      <w:bookmarkEnd w:id="58"/>
      <w:bookmarkEnd w:id="59"/>
      <w:bookmarkEnd w:id="60"/>
      <w:bookmarkEnd w:id="61"/>
      <w:bookmarkEnd w:id="62"/>
      <w:bookmarkEnd w:id="63"/>
      <w:bookmarkEnd w:id="64"/>
      <w:bookmarkEnd w:id="65"/>
    </w:p>
    <w:p>
      <w:pPr>
        <w:jc w:val="center"/>
        <w:rPr>
          <w:rFonts w:hint="eastAsia" w:ascii="宋体" w:hAnsi="宋体"/>
          <w:b/>
          <w:bCs/>
          <w:kern w:val="44"/>
          <w:sz w:val="30"/>
          <w:szCs w:val="30"/>
        </w:rPr>
      </w:pPr>
      <w:r>
        <w:rPr>
          <w:rFonts w:hint="eastAsia" w:ascii="宋体" w:hAnsi="宋体"/>
          <w:b/>
          <w:bCs/>
          <w:kern w:val="44"/>
          <w:sz w:val="30"/>
          <w:szCs w:val="30"/>
        </w:rPr>
        <w:t>参加政府采购活动前3年内在经营活动中没有重大违法记录的声明函</w:t>
      </w:r>
    </w:p>
    <w:p>
      <w:pPr>
        <w:pStyle w:val="12"/>
        <w:rPr>
          <w:rFonts w:hint="eastAsia" w:ascii="宋体" w:hAnsi="宋体" w:cs="宋体"/>
          <w:b/>
          <w:bCs/>
          <w:kern w:val="44"/>
          <w:sz w:val="30"/>
          <w:szCs w:val="30"/>
        </w:rPr>
      </w:pPr>
    </w:p>
    <w:p>
      <w:pPr>
        <w:pStyle w:val="12"/>
        <w:rPr>
          <w:rFonts w:hint="eastAsia" w:ascii="宋体" w:hAnsi="宋体" w:cs="宋体"/>
          <w:b/>
          <w:bCs/>
          <w:kern w:val="44"/>
          <w:sz w:val="30"/>
          <w:szCs w:val="30"/>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我司</w:t>
      </w:r>
      <w:r>
        <w:rPr>
          <w:rFonts w:hint="eastAsia" w:ascii="宋体" w:hAnsi="宋体"/>
          <w:color w:val="000000"/>
          <w:kern w:val="0"/>
          <w:sz w:val="22"/>
          <w:u w:val="single"/>
        </w:rPr>
        <w:t xml:space="preserve"> （供应商）</w:t>
      </w:r>
      <w:r>
        <w:rPr>
          <w:rFonts w:hint="eastAsia" w:ascii="宋体" w:hAnsi="宋体"/>
          <w:color w:val="000000"/>
          <w:kern w:val="0"/>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djustRightInd w:val="0"/>
        <w:snapToGrid w:val="0"/>
        <w:spacing w:before="78" w:beforeLines="25" w:line="360" w:lineRule="auto"/>
        <w:ind w:firstLine="431" w:firstLineChars="196"/>
        <w:rPr>
          <w:rFonts w:hint="eastAsia" w:ascii="宋体" w:hAnsi="宋体"/>
          <w:b/>
          <w:bCs/>
          <w:kern w:val="44"/>
          <w:sz w:val="22"/>
          <w:szCs w:val="36"/>
        </w:rPr>
      </w:pPr>
      <w:r>
        <w:rPr>
          <w:rFonts w:hint="eastAsia" w:ascii="宋体" w:hAnsi="宋体"/>
          <w:b/>
          <w:bCs/>
          <w:kern w:val="44"/>
          <w:sz w:val="22"/>
          <w:szCs w:val="36"/>
        </w:rPr>
        <w:t>6.响应供应商没有失信记录承诺函</w:t>
      </w:r>
    </w:p>
    <w:p>
      <w:pPr>
        <w:jc w:val="center"/>
        <w:rPr>
          <w:rFonts w:hint="eastAsia" w:ascii="宋体" w:hAnsi="宋体"/>
          <w:b/>
          <w:bCs/>
          <w:kern w:val="44"/>
          <w:sz w:val="30"/>
          <w:szCs w:val="30"/>
        </w:rPr>
      </w:pPr>
      <w:r>
        <w:rPr>
          <w:rFonts w:hint="eastAsia" w:ascii="宋体" w:hAnsi="宋体"/>
          <w:b/>
          <w:bCs/>
          <w:kern w:val="44"/>
          <w:sz w:val="30"/>
          <w:szCs w:val="30"/>
        </w:rPr>
        <w:t>响应供应商没有失信记录承诺函</w:t>
      </w:r>
    </w:p>
    <w:p>
      <w:pPr>
        <w:pStyle w:val="12"/>
        <w:rPr>
          <w:rFonts w:hint="eastAsia" w:ascii="宋体" w:hAnsi="宋体" w:cs="宋体"/>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360" w:lineRule="auto"/>
        <w:ind w:firstLine="444" w:firstLineChars="202"/>
        <w:jc w:val="left"/>
        <w:rPr>
          <w:rFonts w:hint="eastAsia" w:ascii="宋体" w:hAnsi="宋体"/>
          <w:color w:val="000000"/>
          <w:kern w:val="0"/>
          <w:sz w:val="22"/>
        </w:rPr>
      </w:pPr>
      <w:r>
        <w:rPr>
          <w:rFonts w:hint="eastAsia" w:ascii="宋体" w:hAnsi="宋体"/>
          <w:color w:val="000000"/>
          <w:kern w:val="0"/>
          <w:sz w:val="22"/>
        </w:rPr>
        <w:t>我司郑重承诺：到本项目投标截止时间为止，我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宋体" w:hAnsi="宋体"/>
          <w:color w:val="00000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rPr>
      </w:pPr>
    </w:p>
    <w:p>
      <w:pPr>
        <w:widowControl/>
        <w:adjustRightInd w:val="0"/>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djustRightInd w:val="0"/>
        <w:snapToGrid w:val="0"/>
        <w:spacing w:before="78" w:beforeLines="25" w:line="360" w:lineRule="auto"/>
        <w:ind w:firstLine="431" w:firstLineChars="196"/>
        <w:rPr>
          <w:rFonts w:hint="eastAsia" w:ascii="宋体" w:hAnsi="宋体"/>
          <w:b/>
          <w:color w:val="000000"/>
          <w:kern w:val="0"/>
          <w:sz w:val="22"/>
        </w:rPr>
      </w:pPr>
      <w:r>
        <w:rPr>
          <w:rFonts w:hint="eastAsia" w:ascii="宋体" w:hAnsi="宋体"/>
          <w:b/>
          <w:color w:val="000000"/>
          <w:kern w:val="0"/>
          <w:sz w:val="22"/>
        </w:rPr>
        <w:t>7.与参加本次项目同一合同项下政府采购活动的其他供应商不存在单位负责人为同一人或者直接控股、管理关系的承诺函</w:t>
      </w:r>
    </w:p>
    <w:p>
      <w:pPr>
        <w:jc w:val="center"/>
        <w:rPr>
          <w:rFonts w:hint="eastAsia" w:ascii="宋体" w:hAnsi="宋体"/>
          <w:b/>
          <w:bCs/>
          <w:kern w:val="44"/>
          <w:sz w:val="30"/>
          <w:szCs w:val="30"/>
        </w:rPr>
      </w:pPr>
      <w:r>
        <w:rPr>
          <w:rFonts w:hint="eastAsia" w:ascii="宋体" w:hAnsi="宋体"/>
          <w:b/>
          <w:bCs/>
          <w:kern w:val="44"/>
          <w:sz w:val="30"/>
          <w:szCs w:val="30"/>
        </w:rPr>
        <w:t>承诺函</w:t>
      </w:r>
    </w:p>
    <w:p>
      <w:pPr>
        <w:pStyle w:val="12"/>
        <w:rPr>
          <w:rFonts w:hint="eastAsia" w:ascii="宋体" w:hAnsi="宋体" w:cs="宋体"/>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360" w:lineRule="auto"/>
        <w:ind w:firstLine="440" w:firstLineChars="200"/>
        <w:rPr>
          <w:rFonts w:hint="eastAsia" w:ascii="宋体" w:hAnsi="宋体"/>
          <w:color w:val="000000"/>
          <w:kern w:val="0"/>
          <w:sz w:val="22"/>
        </w:rPr>
      </w:pPr>
      <w:r>
        <w:rPr>
          <w:rFonts w:hint="eastAsia" w:ascii="宋体" w:hAnsi="宋体"/>
          <w:color w:val="000000"/>
          <w:kern w:val="0"/>
          <w:sz w:val="22"/>
        </w:rPr>
        <w:t>我司郑重承诺，我司此次参加</w:t>
      </w:r>
      <w:r>
        <w:rPr>
          <w:rFonts w:hint="eastAsia" w:ascii="宋体" w:hAnsi="宋体"/>
          <w:color w:val="000000"/>
          <w:kern w:val="0"/>
          <w:sz w:val="22"/>
          <w:u w:val="single"/>
        </w:rPr>
        <w:t xml:space="preserve">             </w:t>
      </w:r>
      <w:r>
        <w:rPr>
          <w:rFonts w:hint="eastAsia" w:ascii="宋体" w:hAnsi="宋体"/>
          <w:color w:val="000000"/>
          <w:kern w:val="0"/>
          <w:sz w:val="22"/>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b/>
          <w:color w:val="000000"/>
          <w:kern w:val="36"/>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rPr>
      </w:pPr>
    </w:p>
    <w:p>
      <w:pPr>
        <w:widowControl/>
        <w:adjustRightInd w:val="0"/>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shd w:val="clear" w:color="auto" w:fill="FFFFFF"/>
        <w:snapToGrid w:val="0"/>
        <w:spacing w:line="360" w:lineRule="auto"/>
        <w:jc w:val="center"/>
        <w:rPr>
          <w:rFonts w:hint="eastAsia" w:ascii="宋体" w:hAnsi="宋体"/>
          <w:color w:val="000000"/>
          <w:sz w:val="22"/>
        </w:rPr>
      </w:pPr>
    </w:p>
    <w:p>
      <w:pPr>
        <w:adjustRightInd w:val="0"/>
        <w:snapToGrid w:val="0"/>
        <w:spacing w:before="78" w:beforeLines="25" w:line="360" w:lineRule="auto"/>
        <w:ind w:firstLine="431" w:firstLineChars="196"/>
        <w:rPr>
          <w:rFonts w:hint="eastAsia" w:ascii="宋体" w:hAnsi="宋体"/>
          <w:b/>
          <w:color w:val="000000"/>
          <w:kern w:val="0"/>
          <w:sz w:val="22"/>
        </w:rPr>
      </w:pPr>
    </w:p>
    <w:p>
      <w:pPr>
        <w:adjustRightInd w:val="0"/>
        <w:snapToGrid w:val="0"/>
        <w:spacing w:before="78" w:beforeLines="25" w:line="360" w:lineRule="auto"/>
        <w:ind w:firstLine="431" w:firstLineChars="196"/>
        <w:rPr>
          <w:rFonts w:hint="eastAsia" w:ascii="宋体" w:hAnsi="宋体"/>
        </w:rPr>
      </w:pPr>
      <w:r>
        <w:rPr>
          <w:rFonts w:hint="eastAsia" w:ascii="宋体" w:hAnsi="宋体"/>
          <w:b/>
          <w:bCs/>
          <w:color w:val="000000"/>
          <w:kern w:val="44"/>
          <w:sz w:val="22"/>
        </w:rPr>
        <w:t>8.与政府采购云平台运营机构，以及与该机构无直接控股或者管理关系的承诺函</w:t>
      </w:r>
    </w:p>
    <w:p>
      <w:pPr>
        <w:jc w:val="center"/>
        <w:rPr>
          <w:rFonts w:hint="eastAsia" w:ascii="宋体" w:hAnsi="宋体"/>
          <w:b/>
          <w:bCs/>
          <w:kern w:val="44"/>
          <w:sz w:val="30"/>
          <w:szCs w:val="30"/>
        </w:rPr>
      </w:pPr>
    </w:p>
    <w:p>
      <w:pPr>
        <w:jc w:val="center"/>
        <w:rPr>
          <w:rFonts w:hint="eastAsia" w:ascii="宋体" w:hAnsi="宋体"/>
          <w:b/>
          <w:bCs/>
          <w:kern w:val="44"/>
          <w:sz w:val="30"/>
          <w:szCs w:val="30"/>
        </w:rPr>
      </w:pPr>
      <w:r>
        <w:rPr>
          <w:rFonts w:hint="eastAsia" w:ascii="宋体" w:hAnsi="宋体"/>
          <w:b/>
          <w:bCs/>
          <w:kern w:val="44"/>
          <w:sz w:val="30"/>
          <w:szCs w:val="30"/>
        </w:rPr>
        <w:t>承诺函</w:t>
      </w:r>
    </w:p>
    <w:p>
      <w:pPr>
        <w:pStyle w:val="12"/>
        <w:rPr>
          <w:rFonts w:hint="eastAsia" w:ascii="宋体" w:hAnsi="宋体" w:cs="宋体"/>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360" w:lineRule="auto"/>
        <w:ind w:firstLine="440" w:firstLineChars="200"/>
        <w:rPr>
          <w:rFonts w:hint="eastAsia" w:ascii="宋体" w:hAnsi="宋体"/>
          <w:color w:val="000000"/>
          <w:kern w:val="0"/>
          <w:sz w:val="22"/>
        </w:rPr>
      </w:pPr>
      <w:r>
        <w:rPr>
          <w:rFonts w:hint="eastAsia" w:ascii="宋体" w:hAnsi="宋体"/>
          <w:color w:val="000000"/>
          <w:kern w:val="0"/>
          <w:sz w:val="22"/>
        </w:rPr>
        <w:t>我方郑重承诺，我方</w:t>
      </w:r>
      <w:r>
        <w:rPr>
          <w:rFonts w:hint="eastAsia" w:ascii="宋体" w:hAnsi="宋体"/>
          <w:b/>
          <w:bCs/>
          <w:color w:val="000000"/>
          <w:kern w:val="44"/>
          <w:sz w:val="22"/>
        </w:rPr>
        <w:t>与政府采购云平台运营机构，以及与该机构无直接控股或者管理关系</w:t>
      </w:r>
      <w:r>
        <w:rPr>
          <w:rFonts w:hint="eastAsia" w:ascii="宋体" w:hAnsi="宋体"/>
          <w:sz w:val="22"/>
        </w:rPr>
        <w:t>，</w:t>
      </w:r>
      <w:r>
        <w:rPr>
          <w:rFonts w:hint="eastAsia" w:ascii="宋体" w:hAnsi="宋体"/>
          <w:color w:val="000000"/>
          <w:spacing w:val="-6"/>
          <w:kern w:val="0"/>
          <w:sz w:val="22"/>
        </w:rPr>
        <w:t>可在</w:t>
      </w:r>
      <w:r>
        <w:rPr>
          <w:rFonts w:hint="eastAsia" w:ascii="宋体" w:hAnsi="宋体"/>
          <w:color w:val="000000"/>
          <w:kern w:val="0"/>
          <w:sz w:val="22"/>
          <w:u w:val="single"/>
        </w:rPr>
        <w:t xml:space="preserve">                 </w:t>
      </w:r>
      <w:r>
        <w:rPr>
          <w:rFonts w:hint="eastAsia" w:ascii="宋体" w:hAnsi="宋体"/>
          <w:color w:val="000000"/>
          <w:kern w:val="0"/>
          <w:sz w:val="22"/>
        </w:rPr>
        <w:t>项目中进行投标。如有虚假或隐瞒，愿意承担一切后果。</w:t>
      </w:r>
    </w:p>
    <w:p>
      <w:pPr>
        <w:pStyle w:val="12"/>
        <w:rPr>
          <w:rFonts w:hint="eastAsia" w:ascii="宋体" w:hAnsi="宋体" w:cs="宋体"/>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rPr>
      </w:pPr>
    </w:p>
    <w:p>
      <w:pPr>
        <w:shd w:val="clear" w:color="auto" w:fill="FFFFFF"/>
        <w:snapToGrid w:val="0"/>
        <w:spacing w:line="360" w:lineRule="auto"/>
        <w:ind w:firstLine="440" w:firstLineChars="200"/>
        <w:rPr>
          <w:rFonts w:hint="eastAsia" w:ascii="宋体" w:hAnsi="宋体"/>
          <w:color w:val="000000"/>
          <w:kern w:val="0"/>
          <w:sz w:val="22"/>
        </w:rPr>
      </w:pPr>
      <w:r>
        <w:rPr>
          <w:rFonts w:hint="eastAsia" w:ascii="宋体" w:hAnsi="宋体"/>
          <w:color w:val="000000"/>
          <w:kern w:val="0"/>
          <w:sz w:val="22"/>
        </w:rPr>
        <w:t>日期：     年  月  日</w:t>
      </w:r>
    </w:p>
    <w:p>
      <w:pPr>
        <w:adjustRightInd w:val="0"/>
        <w:snapToGrid w:val="0"/>
        <w:spacing w:before="78" w:beforeLines="25" w:line="360" w:lineRule="auto"/>
        <w:ind w:firstLine="431" w:firstLineChars="196"/>
        <w:rPr>
          <w:rFonts w:hint="eastAsia" w:ascii="宋体" w:hAnsi="宋体"/>
          <w:b/>
          <w:bCs/>
          <w:kern w:val="44"/>
          <w:sz w:val="22"/>
          <w:szCs w:val="36"/>
        </w:rPr>
      </w:pPr>
      <w:r>
        <w:rPr>
          <w:rFonts w:hint="eastAsia" w:ascii="宋体" w:hAnsi="宋体"/>
          <w:b/>
          <w:bCs/>
          <w:kern w:val="44"/>
          <w:sz w:val="22"/>
          <w:szCs w:val="36"/>
        </w:rPr>
        <w:t>9.1.法定代表人授权书</w:t>
      </w:r>
    </w:p>
    <w:p>
      <w:pPr>
        <w:jc w:val="center"/>
        <w:rPr>
          <w:rFonts w:hint="eastAsia" w:ascii="宋体" w:hAnsi="宋体"/>
          <w:b/>
          <w:bCs/>
          <w:kern w:val="44"/>
          <w:sz w:val="30"/>
          <w:szCs w:val="30"/>
        </w:rPr>
      </w:pPr>
      <w:r>
        <w:rPr>
          <w:rFonts w:hint="eastAsia" w:ascii="宋体" w:hAnsi="宋体"/>
          <w:b/>
          <w:bCs/>
          <w:kern w:val="44"/>
          <w:sz w:val="30"/>
          <w:szCs w:val="30"/>
        </w:rPr>
        <w:t>法定代表人授权书</w:t>
      </w:r>
    </w:p>
    <w:p>
      <w:pPr>
        <w:spacing w:line="480" w:lineRule="auto"/>
        <w:rPr>
          <w:rFonts w:hint="eastAsia" w:ascii="宋体" w:hAnsi="宋体"/>
          <w:bCs/>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480" w:lineRule="auto"/>
        <w:ind w:firstLine="440" w:firstLineChars="200"/>
        <w:rPr>
          <w:rFonts w:hint="eastAsia" w:ascii="宋体" w:hAnsi="宋体"/>
          <w:bCs/>
          <w:sz w:val="22"/>
        </w:rPr>
      </w:pPr>
      <w:r>
        <w:rPr>
          <w:rFonts w:hint="eastAsia" w:ascii="宋体" w:hAnsi="宋体"/>
          <w:bCs/>
          <w:sz w:val="22"/>
        </w:rPr>
        <w:t>本授权委托书声明：我</w:t>
      </w:r>
      <w:r>
        <w:rPr>
          <w:rFonts w:hint="eastAsia" w:ascii="宋体" w:hAnsi="宋体"/>
          <w:bCs/>
          <w:sz w:val="22"/>
          <w:u w:val="single"/>
        </w:rPr>
        <w:t xml:space="preserve">   （法定代表人姓名）   </w:t>
      </w:r>
      <w:r>
        <w:rPr>
          <w:rFonts w:hint="eastAsia" w:ascii="宋体" w:hAnsi="宋体"/>
          <w:bCs/>
          <w:sz w:val="22"/>
        </w:rPr>
        <w:t>系</w:t>
      </w:r>
      <w:r>
        <w:rPr>
          <w:rFonts w:hint="eastAsia" w:ascii="宋体" w:hAnsi="宋体"/>
          <w:bCs/>
          <w:sz w:val="22"/>
          <w:u w:val="single"/>
        </w:rPr>
        <w:t xml:space="preserve">   （供 应 商 名 称）  </w:t>
      </w:r>
      <w:r>
        <w:rPr>
          <w:rFonts w:hint="eastAsia" w:ascii="宋体" w:hAnsi="宋体"/>
          <w:bCs/>
          <w:sz w:val="22"/>
        </w:rPr>
        <w:t>的法定代表人，现授权委托</w:t>
      </w:r>
      <w:r>
        <w:rPr>
          <w:rFonts w:hint="eastAsia" w:ascii="宋体" w:hAnsi="宋体"/>
          <w:bCs/>
          <w:sz w:val="22"/>
          <w:u w:val="single"/>
        </w:rPr>
        <w:t xml:space="preserve">  （单 位 名 称）   </w:t>
      </w:r>
      <w:r>
        <w:rPr>
          <w:rFonts w:hint="eastAsia" w:ascii="宋体" w:hAnsi="宋体"/>
          <w:bCs/>
          <w:sz w:val="22"/>
        </w:rPr>
        <w:t>的</w:t>
      </w:r>
      <w:r>
        <w:rPr>
          <w:rFonts w:hint="eastAsia" w:ascii="宋体" w:hAnsi="宋体"/>
          <w:bCs/>
          <w:sz w:val="22"/>
          <w:u w:val="single"/>
        </w:rPr>
        <w:t xml:space="preserve">  （授权代表姓名）  </w:t>
      </w:r>
      <w:r>
        <w:rPr>
          <w:rFonts w:hint="eastAsia" w:ascii="宋体" w:hAnsi="宋体"/>
          <w:bCs/>
          <w:sz w:val="22"/>
        </w:rPr>
        <w:t>为我公司法定代表人授权代表，参加贵处组织的</w:t>
      </w:r>
      <w:r>
        <w:rPr>
          <w:rFonts w:hint="eastAsia" w:ascii="宋体" w:hAnsi="宋体"/>
          <w:bCs/>
          <w:sz w:val="22"/>
          <w:u w:val="single"/>
        </w:rPr>
        <w:t xml:space="preserve">  （招标项目名称，括号中填写项目编号）  </w:t>
      </w:r>
      <w:r>
        <w:rPr>
          <w:rFonts w:hint="eastAsia" w:ascii="宋体" w:hAnsi="宋体"/>
          <w:bCs/>
          <w:sz w:val="22"/>
        </w:rPr>
        <w:t>项目政府采购电子交易活动，全权处理本次交易活动中的一切事宜，我承认授权代表全权代表我所签署的本项目的投标文件的内容。</w:t>
      </w:r>
    </w:p>
    <w:p>
      <w:pPr>
        <w:spacing w:line="480" w:lineRule="auto"/>
        <w:ind w:firstLine="440" w:firstLineChars="200"/>
        <w:rPr>
          <w:rFonts w:hint="eastAsia" w:ascii="宋体" w:hAnsi="宋体"/>
          <w:bCs/>
          <w:sz w:val="22"/>
        </w:rPr>
      </w:pPr>
      <w:r>
        <w:rPr>
          <w:rFonts w:hint="eastAsia" w:ascii="宋体" w:hAnsi="宋体"/>
          <w:bCs/>
          <w:sz w:val="22"/>
        </w:rPr>
        <w:t>授权代表无转授权，特此授权</w:t>
      </w:r>
    </w:p>
    <w:p>
      <w:pPr>
        <w:spacing w:line="480" w:lineRule="auto"/>
        <w:ind w:left="2100" w:leftChars="1000" w:firstLine="440" w:firstLineChars="200"/>
        <w:rPr>
          <w:rFonts w:hint="eastAsia" w:ascii="宋体" w:hAnsi="宋体"/>
          <w:bCs/>
          <w:sz w:val="22"/>
          <w:u w:val="single"/>
        </w:rPr>
      </w:pPr>
      <w:r>
        <w:rPr>
          <w:rFonts w:hint="eastAsia" w:ascii="宋体" w:hAnsi="宋体"/>
          <w:bCs/>
          <w:sz w:val="22"/>
        </w:rPr>
        <w:t>授权代表：</w:t>
      </w:r>
      <w:r>
        <w:rPr>
          <w:rFonts w:hint="eastAsia" w:ascii="宋体" w:hAnsi="宋体"/>
          <w:bCs/>
          <w:sz w:val="22"/>
          <w:u w:val="single"/>
        </w:rPr>
        <w:t xml:space="preserve">            </w:t>
      </w:r>
      <w:r>
        <w:rPr>
          <w:rFonts w:hint="eastAsia" w:ascii="宋体" w:hAnsi="宋体"/>
          <w:bCs/>
          <w:sz w:val="22"/>
        </w:rPr>
        <w:t xml:space="preserve"> 性别 ：</w:t>
      </w:r>
      <w:r>
        <w:rPr>
          <w:rFonts w:hint="eastAsia" w:ascii="宋体" w:hAnsi="宋体"/>
          <w:bCs/>
          <w:sz w:val="22"/>
          <w:u w:val="single"/>
        </w:rPr>
        <w:t xml:space="preserve"> </w:t>
      </w:r>
      <w:r>
        <w:rPr>
          <w:rFonts w:hint="eastAsia" w:ascii="宋体" w:hAnsi="宋体"/>
          <w:bCs/>
          <w:sz w:val="22"/>
        </w:rPr>
        <w:t xml:space="preserve">               </w:t>
      </w:r>
      <w:r>
        <w:rPr>
          <w:rFonts w:hint="eastAsia" w:ascii="宋体" w:hAnsi="宋体"/>
          <w:bCs/>
          <w:sz w:val="22"/>
          <w:u w:val="single"/>
        </w:rPr>
        <w:t xml:space="preserve">       </w:t>
      </w:r>
      <w:r>
        <w:rPr>
          <w:rFonts w:hint="eastAsia" w:ascii="宋体" w:hAnsi="宋体"/>
          <w:bCs/>
          <w:sz w:val="22"/>
        </w:rPr>
        <w:t xml:space="preserve"> </w:t>
      </w:r>
    </w:p>
    <w:p>
      <w:pPr>
        <w:spacing w:line="480" w:lineRule="auto"/>
        <w:ind w:left="2100" w:leftChars="1000" w:firstLine="440" w:firstLineChars="200"/>
        <w:rPr>
          <w:rFonts w:hint="eastAsia" w:ascii="宋体" w:hAnsi="宋体"/>
          <w:bCs/>
          <w:sz w:val="22"/>
          <w:u w:val="single"/>
        </w:rPr>
      </w:pPr>
      <w:r>
        <w:rPr>
          <w:rFonts w:hint="eastAsia" w:ascii="宋体" w:hAnsi="宋体"/>
          <w:bCs/>
          <w:sz w:val="22"/>
        </w:rPr>
        <w:t>职务：</w:t>
      </w:r>
      <w:r>
        <w:rPr>
          <w:rFonts w:hint="eastAsia" w:ascii="宋体" w:hAnsi="宋体"/>
          <w:bCs/>
          <w:sz w:val="22"/>
          <w:u w:val="single"/>
        </w:rPr>
        <w:t xml:space="preserve">                  </w:t>
      </w:r>
      <w:r>
        <w:rPr>
          <w:rFonts w:hint="eastAsia" w:ascii="宋体" w:hAnsi="宋体"/>
          <w:bCs/>
          <w:sz w:val="22"/>
        </w:rPr>
        <w:t>年龄：</w:t>
      </w:r>
      <w:r>
        <w:rPr>
          <w:rFonts w:hint="eastAsia" w:ascii="宋体" w:hAnsi="宋体"/>
          <w:bCs/>
          <w:sz w:val="22"/>
          <w:u w:val="single"/>
        </w:rPr>
        <w:t xml:space="preserve">                        </w:t>
      </w:r>
    </w:p>
    <w:p>
      <w:pPr>
        <w:spacing w:line="480" w:lineRule="auto"/>
        <w:ind w:left="2100" w:leftChars="1000" w:firstLine="440" w:firstLineChars="200"/>
        <w:rPr>
          <w:rFonts w:hint="eastAsia" w:ascii="宋体" w:hAnsi="宋体"/>
          <w:bCs/>
          <w:sz w:val="22"/>
          <w:u w:val="single"/>
        </w:rPr>
      </w:pPr>
      <w:r>
        <w:rPr>
          <w:rFonts w:hint="eastAsia" w:ascii="宋体" w:hAnsi="宋体"/>
          <w:bCs/>
          <w:sz w:val="22"/>
        </w:rPr>
        <w:t>详细通讯地址：</w:t>
      </w:r>
      <w:r>
        <w:rPr>
          <w:rFonts w:hint="eastAsia" w:ascii="宋体" w:hAnsi="宋体"/>
          <w:bCs/>
          <w:sz w:val="22"/>
          <w:u w:val="single"/>
        </w:rPr>
        <w:t xml:space="preserve">                  </w:t>
      </w:r>
      <w:r>
        <w:rPr>
          <w:rFonts w:hint="eastAsia" w:ascii="宋体" w:hAnsi="宋体"/>
          <w:bCs/>
          <w:sz w:val="22"/>
        </w:rPr>
        <w:t xml:space="preserve"> 邮政编码：</w:t>
      </w:r>
      <w:r>
        <w:rPr>
          <w:rFonts w:hint="eastAsia" w:ascii="宋体" w:hAnsi="宋体"/>
          <w:bCs/>
          <w:sz w:val="22"/>
          <w:u w:val="single"/>
        </w:rPr>
        <w:t xml:space="preserve">           </w:t>
      </w:r>
    </w:p>
    <w:p>
      <w:pPr>
        <w:spacing w:line="480" w:lineRule="auto"/>
        <w:ind w:left="1" w:firstLine="2510" w:firstLineChars="1141"/>
        <w:rPr>
          <w:rFonts w:hint="eastAsia" w:ascii="宋体" w:hAnsi="宋体"/>
          <w:bCs/>
          <w:sz w:val="22"/>
          <w:u w:val="single"/>
        </w:rPr>
      </w:pPr>
      <w:r>
        <w:rPr>
          <w:rFonts w:hint="eastAsia" w:ascii="宋体" w:hAnsi="宋体"/>
          <w:bCs/>
          <w:sz w:val="22"/>
        </w:rPr>
        <w:t>电话：</w:t>
      </w:r>
      <w:r>
        <w:rPr>
          <w:rFonts w:hint="eastAsia" w:ascii="宋体" w:hAnsi="宋体"/>
          <w:bCs/>
          <w:sz w:val="22"/>
          <w:u w:val="single"/>
        </w:rPr>
        <w:t xml:space="preserve">                   </w:t>
      </w:r>
      <w:r>
        <w:rPr>
          <w:rFonts w:hint="eastAsia" w:ascii="宋体" w:hAnsi="宋体"/>
          <w:bCs/>
          <w:sz w:val="22"/>
        </w:rPr>
        <w:t xml:space="preserve"> 传真：</w:t>
      </w:r>
      <w:r>
        <w:rPr>
          <w:rFonts w:hint="eastAsia" w:ascii="宋体" w:hAnsi="宋体"/>
          <w:bCs/>
          <w:sz w:val="22"/>
          <w:u w:val="single"/>
        </w:rPr>
        <w:t xml:space="preserve">                      </w:t>
      </w:r>
    </w:p>
    <w:p>
      <w:pPr>
        <w:spacing w:line="480" w:lineRule="auto"/>
        <w:ind w:left="1" w:firstLine="422" w:firstLineChars="192"/>
        <w:rPr>
          <w:rFonts w:hint="eastAsia" w:ascii="宋体" w:hAnsi="宋体"/>
          <w:bCs/>
          <w:sz w:val="22"/>
        </w:rPr>
      </w:pPr>
      <w:r>
        <w:rPr>
          <w:rFonts w:hint="eastAsia" w:ascii="宋体" w:hAnsi="宋体"/>
          <w:bCs/>
          <w:sz w:val="22"/>
        </w:rPr>
        <w:t xml:space="preserve">                   供应商名称：</w:t>
      </w:r>
      <w:r>
        <w:rPr>
          <w:rFonts w:hint="eastAsia" w:ascii="宋体" w:hAnsi="宋体"/>
          <w:bCs/>
          <w:sz w:val="22"/>
          <w:u w:val="single"/>
        </w:rPr>
        <w:t xml:space="preserve">                                      （盖章）</w:t>
      </w:r>
    </w:p>
    <w:p>
      <w:pPr>
        <w:spacing w:line="480" w:lineRule="auto"/>
        <w:ind w:left="2100" w:right="440"/>
        <w:jc w:val="center"/>
        <w:rPr>
          <w:rFonts w:hint="eastAsia" w:ascii="宋体" w:hAnsi="宋体"/>
          <w:bCs/>
          <w:sz w:val="22"/>
        </w:rPr>
      </w:pPr>
      <w:r>
        <w:rPr>
          <w:rFonts w:hint="eastAsia" w:ascii="宋体" w:hAnsi="宋体"/>
          <w:bCs/>
          <w:sz w:val="22"/>
        </w:rPr>
        <w:t xml:space="preserve">   法定代表人：</w:t>
      </w:r>
      <w:r>
        <w:rPr>
          <w:rFonts w:hint="eastAsia" w:ascii="宋体" w:hAnsi="宋体"/>
          <w:bCs/>
          <w:sz w:val="22"/>
          <w:u w:val="single"/>
        </w:rPr>
        <w:t xml:space="preserve">                            （签字或盖章）</w:t>
      </w:r>
    </w:p>
    <w:p>
      <w:pPr>
        <w:spacing w:line="480" w:lineRule="auto"/>
        <w:ind w:right="440" w:firstLine="3300" w:firstLineChars="1500"/>
        <w:jc w:val="right"/>
        <w:rPr>
          <w:rFonts w:hint="eastAsia" w:ascii="宋体" w:hAnsi="宋体"/>
          <w:b/>
          <w:bCs/>
          <w:sz w:val="36"/>
        </w:rPr>
      </w:pPr>
      <w:r>
        <w:rPr>
          <w:rFonts w:hint="eastAsia" w:ascii="宋体" w:hAnsi="宋体"/>
          <w:bCs/>
          <w:sz w:val="22"/>
        </w:rPr>
        <w:t>授权委托日期：</w:t>
      </w:r>
      <w:r>
        <w:rPr>
          <w:rFonts w:hint="eastAsia" w:ascii="宋体" w:hAnsi="宋体"/>
          <w:bCs/>
          <w:sz w:val="22"/>
          <w:u w:val="single"/>
        </w:rPr>
        <w:t xml:space="preserve">     </w:t>
      </w:r>
      <w:r>
        <w:rPr>
          <w:rFonts w:hint="eastAsia" w:ascii="宋体" w:hAnsi="宋体"/>
          <w:bCs/>
          <w:sz w:val="22"/>
        </w:rPr>
        <w:t xml:space="preserve">年 </w:t>
      </w:r>
      <w:r>
        <w:rPr>
          <w:rFonts w:hint="eastAsia" w:ascii="宋体" w:hAnsi="宋体"/>
          <w:bCs/>
          <w:sz w:val="22"/>
          <w:u w:val="single"/>
        </w:rPr>
        <w:t xml:space="preserve">    </w:t>
      </w:r>
      <w:r>
        <w:rPr>
          <w:rFonts w:hint="eastAsia" w:ascii="宋体" w:hAnsi="宋体"/>
          <w:bCs/>
          <w:sz w:val="22"/>
        </w:rPr>
        <w:t>月</w:t>
      </w:r>
      <w:r>
        <w:rPr>
          <w:rFonts w:hint="eastAsia" w:ascii="宋体" w:hAnsi="宋体"/>
          <w:bCs/>
          <w:sz w:val="22"/>
          <w:u w:val="single"/>
        </w:rPr>
        <w:t xml:space="preserve">     </w:t>
      </w:r>
      <w:r>
        <w:rPr>
          <w:rFonts w:hint="eastAsia" w:ascii="宋体" w:hAnsi="宋体"/>
          <w:bCs/>
          <w:sz w:val="22"/>
        </w:rPr>
        <w:t>日</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4669" w:type="dxa"/>
            <w:noWrap w:val="0"/>
            <w:vAlign w:val="top"/>
          </w:tcPr>
          <w:p>
            <w:pPr>
              <w:pStyle w:val="13"/>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粘贴法人授权代表身份证正面</w:t>
            </w:r>
          </w:p>
        </w:tc>
        <w:tc>
          <w:tcPr>
            <w:tcW w:w="4670" w:type="dxa"/>
            <w:noWrap w:val="0"/>
            <w:vAlign w:val="top"/>
          </w:tcPr>
          <w:p>
            <w:pPr>
              <w:pStyle w:val="13"/>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粘贴法人授权代表身份证反面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669" w:type="dxa"/>
            <w:noWrap w:val="0"/>
            <w:vAlign w:val="top"/>
          </w:tcPr>
          <w:p>
            <w:pPr>
              <w:pStyle w:val="13"/>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粘贴法人身份证正面</w:t>
            </w:r>
          </w:p>
        </w:tc>
        <w:tc>
          <w:tcPr>
            <w:tcW w:w="4670" w:type="dxa"/>
            <w:noWrap w:val="0"/>
            <w:vAlign w:val="top"/>
          </w:tcPr>
          <w:p>
            <w:pPr>
              <w:pStyle w:val="13"/>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粘贴法人身份证反面</w:t>
            </w:r>
          </w:p>
        </w:tc>
      </w:tr>
    </w:tbl>
    <w:p>
      <w:pPr>
        <w:pStyle w:val="22"/>
        <w:snapToGrid w:val="0"/>
        <w:spacing w:line="440" w:lineRule="atLeast"/>
        <w:ind w:left="1"/>
        <w:rPr>
          <w:rFonts w:hint="eastAsia" w:ascii="宋体" w:hAnsi="宋体" w:cs="宋体"/>
          <w:b/>
          <w:bCs/>
        </w:rPr>
      </w:pPr>
    </w:p>
    <w:p>
      <w:pPr>
        <w:adjustRightInd w:val="0"/>
        <w:snapToGrid w:val="0"/>
        <w:spacing w:before="78" w:beforeLines="25" w:line="360" w:lineRule="auto"/>
        <w:ind w:firstLine="431" w:firstLineChars="196"/>
        <w:rPr>
          <w:rFonts w:hint="eastAsia" w:ascii="宋体" w:hAnsi="宋体"/>
          <w:b/>
          <w:bCs/>
          <w:color w:val="000000"/>
          <w:kern w:val="44"/>
          <w:sz w:val="22"/>
        </w:rPr>
      </w:pPr>
    </w:p>
    <w:p>
      <w:pPr>
        <w:adjustRightInd w:val="0"/>
        <w:snapToGrid w:val="0"/>
        <w:spacing w:before="78" w:beforeLines="25" w:line="360" w:lineRule="auto"/>
        <w:ind w:firstLine="431" w:firstLineChars="196"/>
        <w:rPr>
          <w:rFonts w:hint="eastAsia" w:ascii="宋体" w:hAnsi="宋体"/>
          <w:b/>
          <w:bCs/>
          <w:color w:val="000000"/>
          <w:kern w:val="44"/>
          <w:sz w:val="22"/>
        </w:rPr>
      </w:pPr>
      <w:r>
        <w:rPr>
          <w:rFonts w:hint="eastAsia" w:ascii="宋体" w:hAnsi="宋体"/>
          <w:b/>
          <w:bCs/>
          <w:color w:val="000000"/>
          <w:kern w:val="44"/>
          <w:sz w:val="22"/>
        </w:rPr>
        <w:t>9.2  法定代表人身份证明</w:t>
      </w:r>
    </w:p>
    <w:p>
      <w:pPr>
        <w:jc w:val="center"/>
        <w:rPr>
          <w:rFonts w:hint="eastAsia" w:ascii="宋体" w:hAnsi="宋体"/>
          <w:b/>
          <w:bCs/>
          <w:kern w:val="44"/>
          <w:sz w:val="30"/>
          <w:szCs w:val="30"/>
        </w:rPr>
      </w:pPr>
      <w:r>
        <w:rPr>
          <w:rFonts w:hint="eastAsia" w:ascii="宋体" w:hAnsi="宋体"/>
          <w:b/>
          <w:bCs/>
          <w:kern w:val="44"/>
          <w:sz w:val="30"/>
          <w:szCs w:val="30"/>
        </w:rPr>
        <w:t>法定代表人身份证明</w:t>
      </w:r>
    </w:p>
    <w:p>
      <w:pPr>
        <w:pStyle w:val="22"/>
        <w:snapToGrid w:val="0"/>
        <w:spacing w:line="440" w:lineRule="atLeast"/>
        <w:ind w:left="1"/>
        <w:rPr>
          <w:rFonts w:hint="eastAsia" w:ascii="宋体" w:hAnsi="宋体" w:cs="宋体"/>
          <w:b/>
          <w:bCs/>
          <w:sz w:val="22"/>
          <w:szCs w:val="22"/>
        </w:rPr>
      </w:pP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sz w:val="22"/>
        </w:rPr>
        <w:t>投标人</w:t>
      </w:r>
      <w:r>
        <w:rPr>
          <w:rFonts w:hint="eastAsia" w:ascii="宋体" w:hAnsi="宋体"/>
          <w:kern w:val="0"/>
          <w:sz w:val="22"/>
        </w:rPr>
        <w:t>名称：</w:t>
      </w:r>
      <w:r>
        <w:rPr>
          <w:rFonts w:hint="eastAsia" w:ascii="宋体" w:hAnsi="宋体"/>
          <w:kern w:val="0"/>
          <w:sz w:val="22"/>
          <w:u w:val="single"/>
        </w:rPr>
        <w:t xml:space="preserve">                  </w:t>
      </w:r>
      <w:r>
        <w:rPr>
          <w:rFonts w:hint="eastAsia" w:ascii="宋体" w:hAnsi="宋体"/>
          <w:kern w:val="0"/>
          <w:sz w:val="22"/>
        </w:rPr>
        <w:t xml:space="preserve"> </w:t>
      </w:r>
      <w:r>
        <w:rPr>
          <w:rFonts w:hint="eastAsia" w:ascii="宋体" w:hAnsi="宋体"/>
          <w:kern w:val="0"/>
          <w:sz w:val="22"/>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注册地址：</w:t>
      </w:r>
      <w:r>
        <w:rPr>
          <w:rFonts w:hint="eastAsia" w:ascii="宋体" w:hAnsi="宋体"/>
          <w:kern w:val="0"/>
          <w:sz w:val="22"/>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 xml:space="preserve">成立时间： </w:t>
      </w:r>
      <w:r>
        <w:rPr>
          <w:rFonts w:hint="eastAsia" w:ascii="宋体" w:hAnsi="宋体"/>
          <w:kern w:val="0"/>
          <w:sz w:val="22"/>
          <w:u w:val="single"/>
        </w:rPr>
        <w:t xml:space="preserve">       </w:t>
      </w:r>
      <w:r>
        <w:rPr>
          <w:rFonts w:hint="eastAsia" w:ascii="宋体" w:hAnsi="宋体"/>
          <w:kern w:val="0"/>
          <w:sz w:val="22"/>
        </w:rPr>
        <w:t xml:space="preserve">年 </w:t>
      </w:r>
      <w:r>
        <w:rPr>
          <w:rFonts w:hint="eastAsia" w:ascii="宋体" w:hAnsi="宋体"/>
          <w:kern w:val="0"/>
          <w:sz w:val="22"/>
          <w:u w:val="single"/>
        </w:rPr>
        <w:t xml:space="preserve">     </w:t>
      </w:r>
      <w:r>
        <w:rPr>
          <w:rFonts w:hint="eastAsia" w:ascii="宋体" w:hAnsi="宋体"/>
          <w:kern w:val="0"/>
          <w:sz w:val="22"/>
        </w:rPr>
        <w:t>月</w:t>
      </w:r>
      <w:r>
        <w:rPr>
          <w:rFonts w:hint="eastAsia" w:ascii="宋体" w:hAnsi="宋体"/>
          <w:kern w:val="0"/>
          <w:sz w:val="22"/>
          <w:u w:val="single"/>
        </w:rPr>
        <w:t xml:space="preserve">    </w:t>
      </w:r>
      <w:r>
        <w:rPr>
          <w:rFonts w:hint="eastAsia" w:ascii="宋体" w:hAnsi="宋体"/>
          <w:kern w:val="0"/>
          <w:sz w:val="22"/>
        </w:rPr>
        <w:t xml:space="preserve"> 日</w:t>
      </w:r>
    </w:p>
    <w:p>
      <w:pPr>
        <w:autoSpaceDE w:val="0"/>
        <w:autoSpaceDN w:val="0"/>
        <w:adjustRightInd w:val="0"/>
        <w:snapToGrid w:val="0"/>
        <w:spacing w:before="156" w:beforeLines="50" w:line="360" w:lineRule="auto"/>
        <w:jc w:val="left"/>
        <w:rPr>
          <w:rFonts w:hint="eastAsia" w:ascii="宋体" w:hAnsi="宋体"/>
          <w:kern w:val="0"/>
          <w:sz w:val="22"/>
          <w:u w:val="single"/>
        </w:rPr>
      </w:pPr>
      <w:r>
        <w:rPr>
          <w:rFonts w:hint="eastAsia" w:ascii="宋体" w:hAnsi="宋体"/>
          <w:kern w:val="0"/>
          <w:sz w:val="22"/>
        </w:rPr>
        <w:t>经营期限：</w:t>
      </w:r>
      <w:r>
        <w:rPr>
          <w:rFonts w:hint="eastAsia" w:ascii="宋体" w:hAnsi="宋体"/>
          <w:kern w:val="0"/>
          <w:sz w:val="22"/>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姓名：</w:t>
      </w:r>
      <w:r>
        <w:rPr>
          <w:rFonts w:hint="eastAsia" w:ascii="宋体" w:hAnsi="宋体"/>
          <w:kern w:val="0"/>
          <w:sz w:val="22"/>
          <w:u w:val="single"/>
        </w:rPr>
        <w:t xml:space="preserve">         </w:t>
      </w:r>
      <w:r>
        <w:rPr>
          <w:rFonts w:hint="eastAsia" w:ascii="宋体" w:hAnsi="宋体"/>
          <w:kern w:val="0"/>
          <w:sz w:val="22"/>
        </w:rPr>
        <w:t xml:space="preserve"> 性别：</w:t>
      </w:r>
      <w:r>
        <w:rPr>
          <w:rFonts w:hint="eastAsia" w:ascii="宋体" w:hAnsi="宋体"/>
          <w:kern w:val="0"/>
          <w:sz w:val="22"/>
          <w:u w:val="single"/>
        </w:rPr>
        <w:t xml:space="preserve">      </w:t>
      </w:r>
      <w:r>
        <w:rPr>
          <w:rFonts w:hint="eastAsia" w:ascii="宋体" w:hAnsi="宋体"/>
          <w:kern w:val="0"/>
          <w:sz w:val="22"/>
        </w:rPr>
        <w:t xml:space="preserve"> 年龄：</w:t>
      </w:r>
      <w:r>
        <w:rPr>
          <w:rFonts w:hint="eastAsia" w:ascii="宋体" w:hAnsi="宋体"/>
          <w:kern w:val="0"/>
          <w:sz w:val="22"/>
          <w:u w:val="single"/>
        </w:rPr>
        <w:t xml:space="preserve">     </w:t>
      </w:r>
      <w:r>
        <w:rPr>
          <w:rFonts w:hint="eastAsia" w:ascii="宋体" w:hAnsi="宋体"/>
          <w:kern w:val="0"/>
          <w:sz w:val="22"/>
        </w:rPr>
        <w:t xml:space="preserve"> 职务：</w:t>
      </w:r>
      <w:r>
        <w:rPr>
          <w:rFonts w:hint="eastAsia" w:ascii="宋体" w:hAnsi="宋体"/>
          <w:kern w:val="0"/>
          <w:sz w:val="22"/>
          <w:u w:val="single"/>
        </w:rPr>
        <w:t xml:space="preserve">         </w:t>
      </w:r>
      <w:r>
        <w:rPr>
          <w:rFonts w:hint="eastAsia" w:ascii="宋体" w:hAnsi="宋体"/>
          <w:kern w:val="0"/>
          <w:sz w:val="22"/>
        </w:rPr>
        <w:t>系</w:t>
      </w:r>
      <w:r>
        <w:rPr>
          <w:rFonts w:hint="eastAsia" w:ascii="宋体" w:hAnsi="宋体"/>
          <w:kern w:val="0"/>
          <w:sz w:val="22"/>
          <w:u w:val="single"/>
        </w:rPr>
        <w:t xml:space="preserve">          </w:t>
      </w:r>
      <w:r>
        <w:rPr>
          <w:rFonts w:hint="eastAsia" w:ascii="宋体" w:hAnsi="宋体"/>
          <w:kern w:val="0"/>
          <w:sz w:val="22"/>
        </w:rPr>
        <w:t xml:space="preserve"> （</w:t>
      </w:r>
      <w:r>
        <w:rPr>
          <w:rFonts w:hint="eastAsia" w:ascii="宋体" w:hAnsi="宋体"/>
          <w:sz w:val="22"/>
        </w:rPr>
        <w:t>投标人</w:t>
      </w:r>
      <w:r>
        <w:rPr>
          <w:rFonts w:hint="eastAsia" w:ascii="宋体" w:hAnsi="宋体"/>
          <w:kern w:val="0"/>
          <w:sz w:val="22"/>
        </w:rPr>
        <w:t>名称）的法定代表人。</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特此证明。</w:t>
      </w:r>
    </w:p>
    <w:p>
      <w:pPr>
        <w:autoSpaceDE w:val="0"/>
        <w:autoSpaceDN w:val="0"/>
        <w:adjustRightInd w:val="0"/>
        <w:snapToGrid w:val="0"/>
        <w:spacing w:before="156" w:beforeLines="50" w:line="360" w:lineRule="auto"/>
        <w:jc w:val="left"/>
        <w:rPr>
          <w:rFonts w:hint="eastAsia" w:ascii="宋体" w:hAnsi="宋体"/>
          <w:kern w:val="0"/>
          <w:sz w:val="22"/>
        </w:r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4253" w:type="dxa"/>
            <w:noWrap w:val="0"/>
            <w:vAlign w:val="center"/>
          </w:tcPr>
          <w:p>
            <w:pPr>
              <w:adjustRightInd w:val="0"/>
              <w:snapToGrid w:val="0"/>
              <w:spacing w:before="156" w:beforeLines="50" w:line="360" w:lineRule="auto"/>
              <w:jc w:val="center"/>
              <w:rPr>
                <w:rFonts w:hint="eastAsia" w:ascii="宋体" w:hAnsi="宋体"/>
                <w:sz w:val="22"/>
              </w:rPr>
            </w:pPr>
            <w:r>
              <w:rPr>
                <w:rFonts w:hint="eastAsia" w:ascii="宋体" w:hAnsi="宋体"/>
                <w:sz w:val="22"/>
              </w:rPr>
              <w:t>法定代表人身份证复印件</w:t>
            </w:r>
          </w:p>
          <w:p>
            <w:pPr>
              <w:adjustRightInd w:val="0"/>
              <w:snapToGrid w:val="0"/>
              <w:spacing w:before="156" w:beforeLines="50" w:line="360" w:lineRule="auto"/>
              <w:jc w:val="center"/>
              <w:rPr>
                <w:rFonts w:hint="eastAsia" w:ascii="宋体" w:hAnsi="宋体"/>
                <w:sz w:val="22"/>
              </w:rPr>
            </w:pPr>
            <w:r>
              <w:rPr>
                <w:rFonts w:hint="eastAsia" w:ascii="宋体" w:hAnsi="宋体"/>
                <w:sz w:val="22"/>
              </w:rPr>
              <w:t>（正面）</w:t>
            </w:r>
          </w:p>
        </w:tc>
        <w:tc>
          <w:tcPr>
            <w:tcW w:w="4390" w:type="dxa"/>
            <w:noWrap w:val="0"/>
            <w:vAlign w:val="center"/>
          </w:tcPr>
          <w:p>
            <w:pPr>
              <w:adjustRightInd w:val="0"/>
              <w:snapToGrid w:val="0"/>
              <w:spacing w:before="156" w:beforeLines="50" w:line="360" w:lineRule="auto"/>
              <w:jc w:val="center"/>
              <w:rPr>
                <w:rFonts w:hint="eastAsia" w:ascii="宋体" w:hAnsi="宋体"/>
                <w:sz w:val="22"/>
              </w:rPr>
            </w:pPr>
            <w:r>
              <w:rPr>
                <w:rFonts w:hint="eastAsia" w:ascii="宋体" w:hAnsi="宋体"/>
                <w:sz w:val="22"/>
              </w:rPr>
              <w:t>法定代表人身份证复印件</w:t>
            </w:r>
          </w:p>
          <w:p>
            <w:pPr>
              <w:adjustRightInd w:val="0"/>
              <w:snapToGrid w:val="0"/>
              <w:spacing w:before="156" w:beforeLines="50" w:line="360" w:lineRule="auto"/>
              <w:jc w:val="center"/>
              <w:rPr>
                <w:rFonts w:hint="eastAsia" w:ascii="宋体" w:hAnsi="宋体"/>
                <w:sz w:val="22"/>
              </w:rPr>
            </w:pPr>
            <w:r>
              <w:rPr>
                <w:rFonts w:hint="eastAsia" w:ascii="宋体" w:hAnsi="宋体"/>
                <w:sz w:val="22"/>
              </w:rPr>
              <w:t>（反面）</w:t>
            </w:r>
          </w:p>
        </w:tc>
      </w:tr>
    </w:tbl>
    <w:p>
      <w:pPr>
        <w:adjustRightInd w:val="0"/>
        <w:snapToGrid w:val="0"/>
        <w:spacing w:before="156" w:beforeLines="50" w:line="360" w:lineRule="auto"/>
        <w:rPr>
          <w:rFonts w:hint="eastAsia" w:ascii="宋体" w:hAnsi="宋体"/>
          <w:sz w:val="22"/>
        </w:rPr>
      </w:pPr>
    </w:p>
    <w:p>
      <w:pPr>
        <w:adjustRightInd w:val="0"/>
        <w:snapToGrid w:val="0"/>
        <w:spacing w:before="156" w:beforeLines="50" w:line="360" w:lineRule="auto"/>
        <w:rPr>
          <w:rFonts w:hint="eastAsia" w:ascii="宋体" w:hAnsi="宋体"/>
          <w:sz w:val="22"/>
        </w:rPr>
      </w:pPr>
    </w:p>
    <w:p>
      <w:pPr>
        <w:adjustRightInd w:val="0"/>
        <w:snapToGrid w:val="0"/>
        <w:spacing w:before="156" w:beforeLines="50" w:line="360" w:lineRule="auto"/>
        <w:ind w:right="420"/>
        <w:rPr>
          <w:rFonts w:hint="eastAsia" w:ascii="宋体" w:hAnsi="宋体"/>
          <w:sz w:val="22"/>
        </w:rPr>
      </w:pPr>
      <w:r>
        <w:rPr>
          <w:rFonts w:hint="eastAsia" w:ascii="宋体" w:hAnsi="宋体"/>
          <w:sz w:val="22"/>
        </w:rPr>
        <w:t>投标人名称（单位章）：</w:t>
      </w:r>
    </w:p>
    <w:p>
      <w:pPr>
        <w:adjustRightInd w:val="0"/>
        <w:snapToGrid w:val="0"/>
        <w:spacing w:before="156" w:beforeLines="50" w:line="360" w:lineRule="auto"/>
        <w:ind w:right="420"/>
        <w:jc w:val="right"/>
        <w:rPr>
          <w:rFonts w:hint="eastAsia" w:ascii="宋体" w:hAnsi="宋体"/>
          <w:sz w:val="22"/>
        </w:rPr>
      </w:pPr>
      <w:r>
        <w:rPr>
          <w:rFonts w:hint="eastAsia" w:ascii="宋体" w:hAnsi="宋体"/>
          <w:sz w:val="22"/>
          <w:u w:val="single"/>
        </w:rPr>
        <w:t xml:space="preserve">        </w:t>
      </w:r>
      <w:r>
        <w:rPr>
          <w:rFonts w:hint="eastAsia" w:ascii="宋体" w:hAnsi="宋体"/>
          <w:sz w:val="22"/>
        </w:rPr>
        <w:t>年</w:t>
      </w:r>
      <w:r>
        <w:rPr>
          <w:rFonts w:hint="eastAsia" w:ascii="宋体" w:hAnsi="宋体"/>
          <w:sz w:val="22"/>
          <w:u w:val="single"/>
        </w:rPr>
        <w:t xml:space="preserve">        </w:t>
      </w:r>
      <w:r>
        <w:rPr>
          <w:rFonts w:hint="eastAsia" w:ascii="宋体" w:hAnsi="宋体"/>
          <w:sz w:val="22"/>
        </w:rPr>
        <w:t>月</w:t>
      </w:r>
      <w:r>
        <w:rPr>
          <w:rFonts w:hint="eastAsia" w:ascii="宋体" w:hAnsi="宋体"/>
          <w:sz w:val="22"/>
          <w:u w:val="single"/>
        </w:rPr>
        <w:t xml:space="preserve">        </w:t>
      </w:r>
      <w:r>
        <w:rPr>
          <w:rFonts w:hint="eastAsia" w:ascii="宋体" w:hAnsi="宋体"/>
          <w:sz w:val="22"/>
        </w:rPr>
        <w:t xml:space="preserve">日     </w:t>
      </w:r>
    </w:p>
    <w:p>
      <w:pPr>
        <w:pStyle w:val="22"/>
        <w:snapToGrid w:val="0"/>
        <w:spacing w:line="440" w:lineRule="atLeast"/>
        <w:ind w:left="1"/>
        <w:rPr>
          <w:rFonts w:hint="eastAsia" w:ascii="宋体" w:hAnsi="宋体" w:cs="宋体"/>
          <w:sz w:val="22"/>
          <w:szCs w:val="22"/>
        </w:rPr>
      </w:pPr>
    </w:p>
    <w:p>
      <w:pPr>
        <w:pStyle w:val="22"/>
        <w:snapToGrid w:val="0"/>
        <w:spacing w:line="440" w:lineRule="atLeast"/>
        <w:ind w:left="1"/>
        <w:rPr>
          <w:rFonts w:hint="eastAsia" w:ascii="宋体" w:hAnsi="宋体" w:cs="宋体"/>
          <w:sz w:val="22"/>
          <w:szCs w:val="22"/>
        </w:rPr>
      </w:pPr>
    </w:p>
    <w:p>
      <w:pPr>
        <w:pStyle w:val="22"/>
        <w:snapToGrid w:val="0"/>
        <w:spacing w:line="440" w:lineRule="atLeast"/>
        <w:ind w:left="1"/>
        <w:rPr>
          <w:rFonts w:hint="eastAsia" w:ascii="宋体" w:hAnsi="宋体" w:cs="宋体"/>
          <w:sz w:val="22"/>
          <w:szCs w:val="22"/>
        </w:rPr>
      </w:pPr>
    </w:p>
    <w:p>
      <w:pPr>
        <w:jc w:val="center"/>
        <w:rPr>
          <w:rFonts w:hint="eastAsia" w:ascii="宋体" w:hAnsi="宋体"/>
          <w:b/>
          <w:bCs/>
          <w:kern w:val="44"/>
          <w:sz w:val="30"/>
          <w:szCs w:val="30"/>
        </w:rPr>
      </w:pPr>
    </w:p>
    <w:p>
      <w:pPr>
        <w:jc w:val="center"/>
        <w:rPr>
          <w:rFonts w:hint="eastAsia" w:ascii="宋体" w:hAnsi="宋体"/>
          <w:b/>
          <w:bCs/>
          <w:kern w:val="44"/>
          <w:sz w:val="30"/>
          <w:szCs w:val="30"/>
        </w:rPr>
      </w:pPr>
    </w:p>
    <w:p>
      <w:pPr>
        <w:jc w:val="center"/>
        <w:rPr>
          <w:rFonts w:hint="eastAsia" w:ascii="宋体" w:hAnsi="宋体"/>
          <w:b/>
          <w:bCs/>
          <w:kern w:val="44"/>
          <w:sz w:val="30"/>
          <w:szCs w:val="30"/>
        </w:rPr>
      </w:pPr>
    </w:p>
    <w:p>
      <w:pPr>
        <w:jc w:val="center"/>
        <w:rPr>
          <w:rFonts w:hint="eastAsia" w:ascii="宋体" w:hAnsi="宋体"/>
          <w:b/>
          <w:bCs/>
          <w:kern w:val="44"/>
          <w:sz w:val="30"/>
          <w:szCs w:val="30"/>
        </w:rPr>
      </w:pPr>
      <w:r>
        <w:rPr>
          <w:rFonts w:hint="eastAsia" w:ascii="宋体" w:hAnsi="宋体"/>
          <w:b/>
          <w:bCs/>
          <w:kern w:val="44"/>
          <w:sz w:val="30"/>
          <w:szCs w:val="30"/>
        </w:rPr>
        <w:t xml:space="preserve">特定资格要求证明文件 </w:t>
      </w:r>
    </w:p>
    <w:p>
      <w:pPr>
        <w:pStyle w:val="22"/>
        <w:snapToGrid w:val="0"/>
        <w:spacing w:line="440" w:lineRule="atLeast"/>
        <w:ind w:left="1"/>
        <w:rPr>
          <w:rFonts w:hint="eastAsia" w:ascii="宋体" w:hAnsi="宋体" w:cs="宋体"/>
          <w:sz w:val="22"/>
          <w:szCs w:val="22"/>
        </w:rPr>
      </w:pPr>
    </w:p>
    <w:p>
      <w:pPr>
        <w:pStyle w:val="22"/>
        <w:spacing w:line="400" w:lineRule="exact"/>
        <w:rPr>
          <w:rFonts w:hint="eastAsia" w:ascii="宋体" w:hAnsi="宋体"/>
          <w:sz w:val="22"/>
        </w:rPr>
        <w:sectPr>
          <w:headerReference r:id="rId10" w:type="first"/>
          <w:footerReference r:id="rId11" w:type="first"/>
          <w:pgSz w:w="11906" w:h="16838"/>
          <w:pgMar w:top="1440" w:right="1247" w:bottom="1440" w:left="1247" w:header="851" w:footer="992" w:gutter="0"/>
          <w:cols w:space="720" w:num="1"/>
          <w:titlePg/>
          <w:docGrid w:type="linesAndChars" w:linePitch="312" w:charSpace="0"/>
        </w:sectPr>
      </w:pPr>
      <w:bookmarkStart w:id="66" w:name="_Toc10771"/>
      <w:r>
        <w:rPr>
          <w:rFonts w:hint="eastAsia" w:ascii="宋体" w:hAnsi="宋体"/>
          <w:sz w:val="22"/>
        </w:rPr>
        <w:t>须具有为系统整体运行、维护的自有管道光纤资源证明文件或提供与运营商就本项目已签订的光纤资源使用协议；协议如中标后提供的，须提供承诺函，格式自拟。</w:t>
      </w:r>
    </w:p>
    <w:p>
      <w:pPr>
        <w:pStyle w:val="22"/>
        <w:spacing w:line="400" w:lineRule="exact"/>
        <w:rPr>
          <w:rFonts w:hint="eastAsia" w:ascii="宋体" w:hAnsi="宋体" w:cs="宋体"/>
          <w:sz w:val="30"/>
          <w:highlight w:val="green"/>
          <w:lang w:val="zh-CN"/>
        </w:rPr>
      </w:pPr>
      <w:r>
        <w:rPr>
          <w:rFonts w:hint="eastAsia" w:ascii="宋体" w:hAnsi="宋体" w:cs="宋体"/>
          <w:b/>
          <w:bCs/>
        </w:rPr>
        <w:t>二、报价标部分格式</w:t>
      </w:r>
      <w:bookmarkEnd w:id="66"/>
    </w:p>
    <w:p>
      <w:pPr>
        <w:pStyle w:val="13"/>
        <w:adjustRightInd w:val="0"/>
        <w:snapToGrid w:val="0"/>
        <w:spacing w:line="440" w:lineRule="atLeast"/>
        <w:ind w:firstLine="480"/>
        <w:outlineLvl w:val="0"/>
        <w:rPr>
          <w:rFonts w:hint="eastAsia" w:hAnsi="宋体" w:eastAsia="宋体" w:cs="宋体"/>
          <w:sz w:val="22"/>
        </w:rPr>
      </w:pPr>
      <w:bookmarkStart w:id="67" w:name="_Toc22163"/>
      <w:r>
        <w:rPr>
          <w:rFonts w:hint="eastAsia" w:hAnsi="宋体" w:eastAsia="宋体" w:cs="宋体"/>
          <w:sz w:val="22"/>
          <w:lang w:val="zh-CN"/>
        </w:rPr>
        <w:t>附件一</w:t>
      </w:r>
      <w:r>
        <w:rPr>
          <w:rFonts w:hint="eastAsia" w:hAnsi="宋体" w:eastAsia="宋体" w:cs="宋体"/>
          <w:sz w:val="22"/>
        </w:rPr>
        <w:t xml:space="preserve"> 开标一览表</w:t>
      </w:r>
      <w:bookmarkEnd w:id="67"/>
    </w:p>
    <w:p>
      <w:pPr>
        <w:autoSpaceDE w:val="0"/>
        <w:autoSpaceDN w:val="0"/>
        <w:adjustRightInd w:val="0"/>
        <w:spacing w:line="360" w:lineRule="atLeast"/>
        <w:jc w:val="center"/>
        <w:textAlignment w:val="baseline"/>
        <w:rPr>
          <w:rFonts w:hint="eastAsia" w:ascii="宋体" w:hAnsi="宋体"/>
          <w:sz w:val="44"/>
          <w:lang w:val="zh-CN"/>
        </w:rPr>
      </w:pPr>
      <w:r>
        <w:rPr>
          <w:rFonts w:hint="eastAsia" w:ascii="宋体" w:hAnsi="宋体"/>
          <w:sz w:val="44"/>
          <w:lang w:val="zh-CN"/>
        </w:rPr>
        <w:t>开标一览表</w:t>
      </w:r>
    </w:p>
    <w:p>
      <w:pPr>
        <w:autoSpaceDE w:val="0"/>
        <w:autoSpaceDN w:val="0"/>
        <w:adjustRightInd w:val="0"/>
        <w:rPr>
          <w:rFonts w:hint="eastAsia" w:ascii="宋体" w:hAnsi="宋体"/>
          <w:sz w:val="22"/>
          <w:u w:val="single"/>
        </w:rPr>
      </w:pPr>
      <w:r>
        <w:rPr>
          <w:rFonts w:hint="eastAsia" w:ascii="宋体" w:hAnsi="宋体"/>
          <w:sz w:val="22"/>
          <w:lang w:val="zh-CN"/>
        </w:rPr>
        <w:t>供应商名称：</w:t>
      </w:r>
      <w:r>
        <w:rPr>
          <w:rFonts w:hint="eastAsia" w:ascii="宋体" w:hAnsi="宋体"/>
          <w:sz w:val="22"/>
          <w:u w:val="single"/>
          <w:lang w:val="zh-CN"/>
        </w:rPr>
        <w:t xml:space="preserve">             </w:t>
      </w:r>
      <w:r>
        <w:rPr>
          <w:rFonts w:hint="eastAsia" w:ascii="宋体" w:hAnsi="宋体"/>
          <w:sz w:val="22"/>
          <w:lang w:val="zh-CN"/>
        </w:rPr>
        <w:t xml:space="preserve">          招标编号：</w:t>
      </w:r>
      <w:r>
        <w:rPr>
          <w:rFonts w:hint="eastAsia" w:ascii="宋体" w:hAnsi="宋体"/>
          <w:sz w:val="22"/>
          <w:u w:val="single"/>
          <w:lang w:val="zh-CN"/>
        </w:rPr>
        <w:t xml:space="preserve">         </w:t>
      </w:r>
      <w:r>
        <w:rPr>
          <w:rFonts w:hint="eastAsia" w:ascii="宋体" w:hAnsi="宋体"/>
          <w:sz w:val="22"/>
          <w:lang w:val="zh-CN"/>
        </w:rPr>
        <w:t xml:space="preserve">        </w:t>
      </w:r>
      <w:r>
        <w:rPr>
          <w:rFonts w:hint="eastAsia" w:ascii="宋体" w:hAnsi="宋体"/>
          <w:sz w:val="22"/>
        </w:rPr>
        <w:t>价格单位：</w:t>
      </w:r>
      <w:r>
        <w:rPr>
          <w:rFonts w:hint="eastAsia" w:ascii="宋体" w:hAnsi="宋体"/>
          <w:sz w:val="22"/>
          <w:u w:val="single"/>
        </w:rPr>
        <w:t xml:space="preserve">   元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4708"/>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663" w:type="dxa"/>
            <w:noWrap w:val="0"/>
            <w:vAlign w:val="center"/>
          </w:tcPr>
          <w:p>
            <w:pPr>
              <w:pStyle w:val="13"/>
              <w:jc w:val="center"/>
              <w:rPr>
                <w:rFonts w:hint="eastAsia" w:hAnsi="宋体" w:eastAsia="宋体" w:cs="宋体"/>
                <w:b w:val="0"/>
                <w:color w:val="auto"/>
                <w:kern w:val="2"/>
                <w:sz w:val="22"/>
                <w:szCs w:val="22"/>
              </w:rPr>
            </w:pPr>
            <w:r>
              <w:rPr>
                <w:rFonts w:hint="eastAsia" w:hAnsi="宋体" w:eastAsia="宋体" w:cs="宋体"/>
                <w:b w:val="0"/>
                <w:color w:val="auto"/>
                <w:kern w:val="2"/>
                <w:sz w:val="22"/>
                <w:szCs w:val="22"/>
              </w:rPr>
              <w:t>项目名称</w:t>
            </w:r>
          </w:p>
        </w:tc>
        <w:tc>
          <w:tcPr>
            <w:tcW w:w="4708" w:type="dxa"/>
            <w:noWrap w:val="0"/>
            <w:vAlign w:val="center"/>
          </w:tcPr>
          <w:p>
            <w:pPr>
              <w:pStyle w:val="13"/>
              <w:snapToGrid w:val="0"/>
              <w:spacing w:line="460" w:lineRule="atLeast"/>
              <w:jc w:val="center"/>
              <w:rPr>
                <w:rFonts w:hint="eastAsia" w:hAnsi="宋体" w:eastAsia="宋体" w:cs="宋体"/>
                <w:b w:val="0"/>
                <w:color w:val="auto"/>
                <w:kern w:val="2"/>
                <w:sz w:val="22"/>
                <w:szCs w:val="22"/>
              </w:rPr>
            </w:pPr>
            <w:r>
              <w:rPr>
                <w:rFonts w:hint="eastAsia" w:hAnsi="宋体" w:eastAsia="宋体" w:cs="宋体"/>
                <w:b w:val="0"/>
                <w:kern w:val="2"/>
                <w:sz w:val="22"/>
                <w:szCs w:val="22"/>
              </w:rPr>
              <w:t>投标总价(元)</w:t>
            </w:r>
          </w:p>
        </w:tc>
        <w:tc>
          <w:tcPr>
            <w:tcW w:w="2050" w:type="dxa"/>
            <w:noWrap w:val="0"/>
            <w:vAlign w:val="center"/>
          </w:tcPr>
          <w:p>
            <w:pPr>
              <w:spacing w:line="380" w:lineRule="exact"/>
              <w:jc w:val="center"/>
              <w:rPr>
                <w:rFonts w:hint="eastAsia" w:ascii="宋体" w:hAnsi="宋体"/>
                <w:b/>
                <w:sz w:val="22"/>
              </w:rPr>
            </w:pPr>
            <w:r>
              <w:rPr>
                <w:rFonts w:hint="eastAsia" w:ascii="宋体" w:hAnsi="宋体"/>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7" w:hRule="atLeast"/>
        </w:trPr>
        <w:tc>
          <w:tcPr>
            <w:tcW w:w="2663" w:type="dxa"/>
            <w:noWrap w:val="0"/>
            <w:vAlign w:val="center"/>
          </w:tcPr>
          <w:p>
            <w:pPr>
              <w:pStyle w:val="13"/>
              <w:jc w:val="center"/>
              <w:rPr>
                <w:rFonts w:hint="eastAsia" w:hAnsi="宋体" w:eastAsia="宋体" w:cs="宋体"/>
                <w:b w:val="0"/>
                <w:color w:val="auto"/>
                <w:kern w:val="2"/>
                <w:sz w:val="22"/>
                <w:szCs w:val="22"/>
              </w:rPr>
            </w:pPr>
            <w:r>
              <w:rPr>
                <w:rFonts w:hint="eastAsia" w:hAnsi="宋体" w:eastAsia="宋体" w:cs="宋体"/>
                <w:b w:val="0"/>
                <w:color w:val="auto"/>
                <w:kern w:val="2"/>
                <w:sz w:val="22"/>
                <w:szCs w:val="22"/>
              </w:rPr>
              <w:t xml:space="preserve"> 2020年龙湾区“雪亮工程”高位监控和简易监控及技术防护体系整体运行维护管理服务</w:t>
            </w:r>
          </w:p>
        </w:tc>
        <w:tc>
          <w:tcPr>
            <w:tcW w:w="4708" w:type="dxa"/>
            <w:noWrap w:val="0"/>
            <w:vAlign w:val="center"/>
          </w:tcPr>
          <w:p>
            <w:pPr>
              <w:pStyle w:val="13"/>
              <w:spacing w:line="460" w:lineRule="atLeast"/>
              <w:rPr>
                <w:rFonts w:hint="eastAsia" w:hAnsi="宋体" w:eastAsia="宋体" w:cs="宋体"/>
                <w:b w:val="0"/>
                <w:kern w:val="2"/>
                <w:sz w:val="22"/>
                <w:szCs w:val="22"/>
              </w:rPr>
            </w:pPr>
            <w:r>
              <w:rPr>
                <w:rFonts w:hint="eastAsia" w:hAnsi="宋体" w:eastAsia="宋体" w:cs="宋体"/>
                <w:b w:val="0"/>
                <w:kern w:val="2"/>
                <w:sz w:val="22"/>
                <w:szCs w:val="22"/>
              </w:rPr>
              <w:t>大写：</w:t>
            </w:r>
          </w:p>
          <w:p>
            <w:pPr>
              <w:pStyle w:val="13"/>
              <w:spacing w:line="460" w:lineRule="atLeast"/>
              <w:rPr>
                <w:rFonts w:hint="eastAsia" w:hAnsi="宋体" w:eastAsia="宋体" w:cs="宋体"/>
                <w:b w:val="0"/>
                <w:color w:val="auto"/>
                <w:kern w:val="2"/>
                <w:sz w:val="22"/>
                <w:szCs w:val="22"/>
              </w:rPr>
            </w:pPr>
            <w:r>
              <w:rPr>
                <w:rFonts w:hint="eastAsia" w:hAnsi="宋体" w:eastAsia="宋体" w:cs="宋体"/>
                <w:b w:val="0"/>
                <w:kern w:val="2"/>
                <w:sz w:val="22"/>
                <w:szCs w:val="22"/>
              </w:rPr>
              <w:t>小写：</w:t>
            </w:r>
          </w:p>
        </w:tc>
        <w:tc>
          <w:tcPr>
            <w:tcW w:w="2050" w:type="dxa"/>
            <w:noWrap w:val="0"/>
            <w:vAlign w:val="center"/>
          </w:tcPr>
          <w:p>
            <w:pPr>
              <w:pStyle w:val="13"/>
              <w:rPr>
                <w:rFonts w:hint="eastAsia" w:hAnsi="宋体" w:eastAsia="宋体" w:cs="宋体"/>
                <w:b w:val="0"/>
                <w:color w:val="auto"/>
                <w:kern w:val="2"/>
                <w:sz w:val="22"/>
                <w:szCs w:val="22"/>
              </w:rPr>
            </w:pPr>
          </w:p>
        </w:tc>
      </w:tr>
    </w:tbl>
    <w:p>
      <w:pPr>
        <w:pStyle w:val="13"/>
        <w:spacing w:line="440" w:lineRule="atLeast"/>
        <w:rPr>
          <w:rFonts w:hint="eastAsia" w:hAnsi="宋体" w:eastAsia="宋体" w:cs="宋体"/>
          <w:b w:val="0"/>
          <w:color w:val="auto"/>
          <w:sz w:val="22"/>
        </w:rPr>
      </w:pPr>
    </w:p>
    <w:p>
      <w:pPr>
        <w:pStyle w:val="13"/>
        <w:spacing w:line="440" w:lineRule="atLeast"/>
        <w:rPr>
          <w:rFonts w:hint="eastAsia" w:hAnsi="宋体" w:eastAsia="宋体" w:cs="宋体"/>
          <w:b w:val="0"/>
          <w:color w:val="auto"/>
          <w:sz w:val="22"/>
        </w:rPr>
      </w:pPr>
    </w:p>
    <w:tbl>
      <w:tblPr>
        <w:tblStyle w:val="24"/>
        <w:tblW w:w="9513" w:type="dxa"/>
        <w:tblInd w:w="93" w:type="dxa"/>
        <w:tblLayout w:type="autofit"/>
        <w:tblCellMar>
          <w:top w:w="0" w:type="dxa"/>
          <w:left w:w="108" w:type="dxa"/>
          <w:bottom w:w="0" w:type="dxa"/>
          <w:right w:w="108" w:type="dxa"/>
        </w:tblCellMar>
      </w:tblPr>
      <w:tblGrid>
        <w:gridCol w:w="2080"/>
        <w:gridCol w:w="1540"/>
        <w:gridCol w:w="3908"/>
        <w:gridCol w:w="1985"/>
      </w:tblGrid>
      <w:tr>
        <w:tblPrEx>
          <w:tblCellMar>
            <w:top w:w="0" w:type="dxa"/>
            <w:left w:w="108" w:type="dxa"/>
            <w:bottom w:w="0" w:type="dxa"/>
            <w:right w:w="108" w:type="dxa"/>
          </w:tblCellMar>
        </w:tblPrEx>
        <w:trPr>
          <w:wBefore w:w="0" w:type="dxa"/>
          <w:wAfter w:w="0" w:type="dxa"/>
          <w:trHeight w:val="285" w:hRule="atLeast"/>
        </w:trPr>
        <w:tc>
          <w:tcPr>
            <w:tcW w:w="208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kern w:val="0"/>
                <w:sz w:val="22"/>
              </w:rPr>
            </w:pPr>
            <w:r>
              <w:rPr>
                <w:rFonts w:hint="eastAsia" w:ascii="宋体" w:hAnsi="宋体"/>
                <w:kern w:val="0"/>
                <w:sz w:val="22"/>
              </w:rPr>
              <w:t>项目名称</w:t>
            </w:r>
          </w:p>
        </w:tc>
        <w:tc>
          <w:tcPr>
            <w:tcW w:w="5448" w:type="dxa"/>
            <w:gridSpan w:val="2"/>
            <w:tcBorders>
              <w:top w:val="single" w:color="auto" w:sz="8" w:space="0"/>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分期（年报价）</w:t>
            </w:r>
          </w:p>
        </w:tc>
        <w:tc>
          <w:tcPr>
            <w:tcW w:w="19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备注</w:t>
            </w:r>
          </w:p>
        </w:tc>
      </w:tr>
      <w:tr>
        <w:tblPrEx>
          <w:tblCellMar>
            <w:top w:w="0" w:type="dxa"/>
            <w:left w:w="108" w:type="dxa"/>
            <w:bottom w:w="0" w:type="dxa"/>
            <w:right w:w="108" w:type="dxa"/>
          </w:tblCellMar>
        </w:tblPrEx>
        <w:trPr>
          <w:wBefore w:w="0" w:type="dxa"/>
          <w:wAfter w:w="0" w:type="dxa"/>
          <w:trHeight w:val="285" w:hRule="atLeast"/>
        </w:trPr>
        <w:tc>
          <w:tcPr>
            <w:tcW w:w="208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c>
          <w:tcPr>
            <w:tcW w:w="1540" w:type="dxa"/>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运行维护周期</w:t>
            </w:r>
          </w:p>
        </w:tc>
        <w:tc>
          <w:tcPr>
            <w:tcW w:w="3908" w:type="dxa"/>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金额（元）</w:t>
            </w:r>
          </w:p>
        </w:tc>
        <w:tc>
          <w:tcPr>
            <w:tcW w:w="19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r>
      <w:tr>
        <w:tblPrEx>
          <w:tblCellMar>
            <w:top w:w="0" w:type="dxa"/>
            <w:left w:w="108" w:type="dxa"/>
            <w:bottom w:w="0" w:type="dxa"/>
            <w:right w:w="108" w:type="dxa"/>
          </w:tblCellMar>
        </w:tblPrEx>
        <w:trPr>
          <w:wBefore w:w="0" w:type="dxa"/>
          <w:wAfter w:w="0" w:type="dxa"/>
          <w:trHeight w:val="499" w:hRule="atLeast"/>
        </w:trPr>
        <w:tc>
          <w:tcPr>
            <w:tcW w:w="2080"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kern w:val="0"/>
                <w:sz w:val="22"/>
              </w:rPr>
            </w:pPr>
            <w:r>
              <w:rPr>
                <w:rFonts w:hint="eastAsia" w:ascii="宋体" w:hAnsi="宋体"/>
                <w:kern w:val="0"/>
                <w:sz w:val="22"/>
              </w:rPr>
              <w:t xml:space="preserve"> 2020年龙湾区“雪亮工程”高位监控和简易监控及技术防护体系整体运行维护管理服务</w:t>
            </w:r>
          </w:p>
        </w:tc>
        <w:tc>
          <w:tcPr>
            <w:tcW w:w="1540"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第一期（年）</w:t>
            </w:r>
          </w:p>
        </w:tc>
        <w:tc>
          <w:tcPr>
            <w:tcW w:w="3908"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　</w:t>
            </w:r>
          </w:p>
        </w:tc>
        <w:tc>
          <w:tcPr>
            <w:tcW w:w="198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kern w:val="0"/>
                <w:sz w:val="22"/>
              </w:rPr>
            </w:pPr>
            <w:r>
              <w:rPr>
                <w:rFonts w:hint="eastAsia" w:ascii="宋体" w:hAnsi="宋体"/>
                <w:kern w:val="0"/>
                <w:sz w:val="22"/>
              </w:rPr>
              <w:t>每期（年）报价不得超过总预算金额的20%，合计金额应与“开标一览表”投标总价相一致</w:t>
            </w:r>
          </w:p>
        </w:tc>
      </w:tr>
      <w:tr>
        <w:tblPrEx>
          <w:tblCellMar>
            <w:top w:w="0" w:type="dxa"/>
            <w:left w:w="108" w:type="dxa"/>
            <w:bottom w:w="0" w:type="dxa"/>
            <w:right w:w="108" w:type="dxa"/>
          </w:tblCellMar>
        </w:tblPrEx>
        <w:trPr>
          <w:wBefore w:w="0" w:type="dxa"/>
          <w:wAfter w:w="0" w:type="dxa"/>
          <w:trHeight w:val="499" w:hRule="atLeast"/>
        </w:trPr>
        <w:tc>
          <w:tcPr>
            <w:tcW w:w="208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c>
          <w:tcPr>
            <w:tcW w:w="1540"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第二期（年）</w:t>
            </w:r>
          </w:p>
        </w:tc>
        <w:tc>
          <w:tcPr>
            <w:tcW w:w="3908"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　</w:t>
            </w:r>
          </w:p>
        </w:tc>
        <w:tc>
          <w:tcPr>
            <w:tcW w:w="1985"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r>
      <w:tr>
        <w:tblPrEx>
          <w:tblCellMar>
            <w:top w:w="0" w:type="dxa"/>
            <w:left w:w="108" w:type="dxa"/>
            <w:bottom w:w="0" w:type="dxa"/>
            <w:right w:w="108" w:type="dxa"/>
          </w:tblCellMar>
        </w:tblPrEx>
        <w:trPr>
          <w:wBefore w:w="0" w:type="dxa"/>
          <w:wAfter w:w="0" w:type="dxa"/>
          <w:trHeight w:val="499" w:hRule="atLeast"/>
        </w:trPr>
        <w:tc>
          <w:tcPr>
            <w:tcW w:w="208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c>
          <w:tcPr>
            <w:tcW w:w="1540"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第三期（年）</w:t>
            </w:r>
          </w:p>
        </w:tc>
        <w:tc>
          <w:tcPr>
            <w:tcW w:w="3908"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　</w:t>
            </w:r>
          </w:p>
        </w:tc>
        <w:tc>
          <w:tcPr>
            <w:tcW w:w="1985"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r>
      <w:tr>
        <w:tblPrEx>
          <w:tblCellMar>
            <w:top w:w="0" w:type="dxa"/>
            <w:left w:w="108" w:type="dxa"/>
            <w:bottom w:w="0" w:type="dxa"/>
            <w:right w:w="108" w:type="dxa"/>
          </w:tblCellMar>
        </w:tblPrEx>
        <w:trPr>
          <w:wBefore w:w="0" w:type="dxa"/>
          <w:wAfter w:w="0" w:type="dxa"/>
          <w:trHeight w:val="499" w:hRule="atLeast"/>
        </w:trPr>
        <w:tc>
          <w:tcPr>
            <w:tcW w:w="208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c>
          <w:tcPr>
            <w:tcW w:w="1540"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第四期（年）</w:t>
            </w:r>
          </w:p>
        </w:tc>
        <w:tc>
          <w:tcPr>
            <w:tcW w:w="3908"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　</w:t>
            </w:r>
          </w:p>
        </w:tc>
        <w:tc>
          <w:tcPr>
            <w:tcW w:w="1985"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r>
      <w:tr>
        <w:tblPrEx>
          <w:tblCellMar>
            <w:top w:w="0" w:type="dxa"/>
            <w:left w:w="108" w:type="dxa"/>
            <w:bottom w:w="0" w:type="dxa"/>
            <w:right w:w="108" w:type="dxa"/>
          </w:tblCellMar>
        </w:tblPrEx>
        <w:trPr>
          <w:wBefore w:w="0" w:type="dxa"/>
          <w:wAfter w:w="0" w:type="dxa"/>
          <w:trHeight w:val="499" w:hRule="atLeast"/>
        </w:trPr>
        <w:tc>
          <w:tcPr>
            <w:tcW w:w="208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c>
          <w:tcPr>
            <w:tcW w:w="1540"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第五期（年）</w:t>
            </w:r>
          </w:p>
        </w:tc>
        <w:tc>
          <w:tcPr>
            <w:tcW w:w="3908"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　</w:t>
            </w:r>
          </w:p>
        </w:tc>
        <w:tc>
          <w:tcPr>
            <w:tcW w:w="1985"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r>
    </w:tbl>
    <w:p>
      <w:pPr>
        <w:pStyle w:val="13"/>
        <w:spacing w:line="440" w:lineRule="atLeast"/>
        <w:rPr>
          <w:rFonts w:hint="eastAsia" w:hAnsi="宋体" w:eastAsia="宋体" w:cs="宋体"/>
          <w:b w:val="0"/>
          <w:color w:val="auto"/>
          <w:sz w:val="22"/>
        </w:rPr>
      </w:pPr>
      <w:r>
        <w:rPr>
          <w:rFonts w:hint="eastAsia" w:hAnsi="宋体" w:eastAsia="宋体" w:cs="宋体"/>
          <w:b w:val="0"/>
          <w:color w:val="auto"/>
          <w:sz w:val="22"/>
        </w:rPr>
        <w:t>▲开标一览表中投标价为符合招标文件要求的货物总价（含税、运保、随机工具、随机附件等费用），同时包括货物技术服务费（含货物安装调试直至能够正常使用的费用）、材料费、税金、调试费、人工费、运杂费、装卸费、运输保险费、技术培训费、验收费、招标代理服务费等。</w:t>
      </w:r>
    </w:p>
    <w:p>
      <w:pPr>
        <w:pStyle w:val="13"/>
        <w:spacing w:line="460" w:lineRule="atLeast"/>
        <w:rPr>
          <w:rFonts w:hint="eastAsia" w:hAnsi="宋体" w:eastAsia="宋体" w:cs="宋体"/>
          <w:b w:val="0"/>
          <w:color w:val="auto"/>
          <w:sz w:val="22"/>
        </w:rPr>
      </w:pPr>
      <w:r>
        <w:rPr>
          <w:rFonts w:hint="eastAsia" w:hAnsi="宋体" w:eastAsia="宋体" w:cs="宋体"/>
          <w:b w:val="0"/>
          <w:color w:val="auto"/>
          <w:sz w:val="22"/>
        </w:rPr>
        <w:t>▲不提供此表格的将视为没有实质性响应招标文件。</w:t>
      </w:r>
    </w:p>
    <w:p>
      <w:pPr>
        <w:pStyle w:val="13"/>
        <w:spacing w:line="440" w:lineRule="atLeast"/>
        <w:rPr>
          <w:rFonts w:hint="eastAsia" w:hAnsi="宋体" w:eastAsia="宋体" w:cs="宋体"/>
          <w:b w:val="0"/>
          <w:color w:val="auto"/>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13"/>
        <w:adjustRightInd w:val="0"/>
        <w:snapToGrid w:val="0"/>
        <w:spacing w:line="440" w:lineRule="atLeast"/>
        <w:outlineLvl w:val="0"/>
        <w:rPr>
          <w:rFonts w:hint="eastAsia" w:hAnsi="宋体" w:eastAsia="宋体" w:cs="宋体"/>
          <w:sz w:val="22"/>
        </w:rPr>
        <w:sectPr>
          <w:headerReference r:id="rId12" w:type="first"/>
          <w:footerReference r:id="rId13" w:type="first"/>
          <w:pgSz w:w="11906" w:h="16838"/>
          <w:pgMar w:top="1440" w:right="1247" w:bottom="1440" w:left="1247" w:header="851" w:footer="992" w:gutter="0"/>
          <w:cols w:space="720" w:num="1"/>
          <w:titlePg/>
          <w:docGrid w:type="linesAndChars" w:linePitch="312" w:charSpace="0"/>
        </w:sectPr>
      </w:pPr>
      <w:bookmarkStart w:id="68" w:name="_Toc24523"/>
    </w:p>
    <w:p>
      <w:pPr>
        <w:pStyle w:val="13"/>
        <w:adjustRightInd w:val="0"/>
        <w:snapToGrid w:val="0"/>
        <w:spacing w:line="440" w:lineRule="atLeast"/>
        <w:outlineLvl w:val="0"/>
        <w:rPr>
          <w:rFonts w:hint="eastAsia" w:hAnsi="宋体" w:eastAsia="宋体" w:cs="宋体"/>
          <w:sz w:val="22"/>
        </w:rPr>
      </w:pPr>
      <w:bookmarkStart w:id="69" w:name="_Toc28310"/>
      <w:r>
        <w:rPr>
          <w:rFonts w:hint="eastAsia" w:hAnsi="宋体" w:eastAsia="宋体" w:cs="宋体"/>
          <w:sz w:val="22"/>
        </w:rPr>
        <w:t>附件二  投标分项报价表</w:t>
      </w:r>
      <w:bookmarkEnd w:id="68"/>
      <w:bookmarkEnd w:id="69"/>
    </w:p>
    <w:p>
      <w:pPr>
        <w:autoSpaceDE w:val="0"/>
        <w:autoSpaceDN w:val="0"/>
        <w:adjustRightInd w:val="0"/>
        <w:spacing w:line="500" w:lineRule="atLeast"/>
        <w:jc w:val="center"/>
        <w:rPr>
          <w:rFonts w:hint="eastAsia" w:ascii="宋体" w:hAnsi="宋体"/>
          <w:b/>
          <w:bCs/>
          <w:sz w:val="32"/>
          <w:szCs w:val="32"/>
          <w:lang w:val="zh-CN"/>
        </w:rPr>
      </w:pPr>
      <w:r>
        <w:rPr>
          <w:rFonts w:hint="eastAsia" w:ascii="宋体" w:hAnsi="宋体"/>
          <w:b/>
          <w:bCs/>
          <w:sz w:val="32"/>
          <w:szCs w:val="32"/>
          <w:lang w:val="zh-CN"/>
        </w:rPr>
        <w:t>投标分项报价表</w:t>
      </w:r>
    </w:p>
    <w:p>
      <w:pPr>
        <w:autoSpaceDE w:val="0"/>
        <w:autoSpaceDN w:val="0"/>
        <w:adjustRightInd w:val="0"/>
        <w:spacing w:line="500" w:lineRule="atLeast"/>
        <w:jc w:val="left"/>
        <w:rPr>
          <w:rFonts w:hint="eastAsia" w:ascii="宋体" w:hAnsi="宋体"/>
          <w:sz w:val="22"/>
        </w:rPr>
      </w:pPr>
      <w:r>
        <w:rPr>
          <w:rFonts w:hint="eastAsia" w:ascii="宋体" w:hAnsi="宋体"/>
          <w:sz w:val="22"/>
        </w:rPr>
        <w:t>项目名称：                                        项目编号：</w:t>
      </w:r>
    </w:p>
    <w:tbl>
      <w:tblPr>
        <w:tblStyle w:val="24"/>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83"/>
        <w:gridCol w:w="1484"/>
        <w:gridCol w:w="25"/>
        <w:gridCol w:w="860"/>
        <w:gridCol w:w="21"/>
        <w:gridCol w:w="1039"/>
        <w:gridCol w:w="43"/>
        <w:gridCol w:w="907"/>
        <w:gridCol w:w="58"/>
        <w:gridCol w:w="1351"/>
        <w:gridCol w:w="24"/>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12" w:space="0"/>
              <w:left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项目</w:t>
            </w:r>
          </w:p>
        </w:tc>
        <w:tc>
          <w:tcPr>
            <w:tcW w:w="1560"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货物名称</w:t>
            </w:r>
          </w:p>
        </w:tc>
        <w:tc>
          <w:tcPr>
            <w:tcW w:w="1480"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品牌、型号规格、产地</w:t>
            </w:r>
          </w:p>
        </w:tc>
        <w:tc>
          <w:tcPr>
            <w:tcW w:w="1510" w:type="dxa"/>
            <w:gridSpan w:val="2"/>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制造厂商名称</w:t>
            </w:r>
          </w:p>
        </w:tc>
        <w:tc>
          <w:tcPr>
            <w:tcW w:w="860"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数量</w:t>
            </w:r>
          </w:p>
        </w:tc>
        <w:tc>
          <w:tcPr>
            <w:tcW w:w="1060" w:type="dxa"/>
            <w:gridSpan w:val="2"/>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单价</w:t>
            </w:r>
          </w:p>
          <w:p>
            <w:pPr>
              <w:ind w:right="-11"/>
              <w:jc w:val="center"/>
              <w:rPr>
                <w:rFonts w:hint="eastAsia" w:ascii="宋体" w:hAnsi="宋体"/>
              </w:rPr>
            </w:pPr>
            <w:r>
              <w:rPr>
                <w:rFonts w:hint="eastAsia" w:ascii="宋体" w:hAnsi="宋体"/>
              </w:rPr>
              <w:t>（含税）</w:t>
            </w:r>
          </w:p>
        </w:tc>
        <w:tc>
          <w:tcPr>
            <w:tcW w:w="950" w:type="dxa"/>
            <w:gridSpan w:val="2"/>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总价</w:t>
            </w:r>
          </w:p>
          <w:p>
            <w:pPr>
              <w:ind w:right="-11"/>
              <w:jc w:val="center"/>
              <w:rPr>
                <w:rFonts w:hint="eastAsia" w:ascii="宋体" w:hAnsi="宋体"/>
              </w:rPr>
            </w:pPr>
            <w:r>
              <w:rPr>
                <w:rFonts w:hint="eastAsia" w:ascii="宋体" w:hAnsi="宋体"/>
              </w:rPr>
              <w:t>（含税）</w:t>
            </w:r>
          </w:p>
        </w:tc>
        <w:tc>
          <w:tcPr>
            <w:tcW w:w="1410" w:type="dxa"/>
            <w:gridSpan w:val="2"/>
            <w:tcBorders>
              <w:top w:val="single" w:color="auto" w:sz="12" w:space="0"/>
              <w:bottom w:val="single" w:color="auto" w:sz="12" w:space="0"/>
              <w:right w:val="single" w:color="auto" w:sz="4" w:space="0"/>
            </w:tcBorders>
            <w:noWrap w:val="0"/>
            <w:vAlign w:val="center"/>
          </w:tcPr>
          <w:p>
            <w:pPr>
              <w:ind w:right="-11"/>
              <w:jc w:val="center"/>
              <w:rPr>
                <w:rFonts w:hint="eastAsia" w:ascii="宋体" w:hAnsi="宋体"/>
                <w:bCs/>
              </w:rPr>
            </w:pPr>
            <w:r>
              <w:rPr>
                <w:rFonts w:hint="eastAsia" w:ascii="宋体" w:hAnsi="宋体"/>
                <w:bCs/>
              </w:rPr>
              <w:t>是否属于小微型企业产品</w:t>
            </w:r>
          </w:p>
        </w:tc>
        <w:tc>
          <w:tcPr>
            <w:tcW w:w="596" w:type="dxa"/>
            <w:gridSpan w:val="2"/>
            <w:tcBorders>
              <w:top w:val="single" w:color="auto" w:sz="12" w:space="0"/>
              <w:bottom w:val="single" w:color="auto" w:sz="12" w:space="0"/>
              <w:right w:val="single" w:color="auto" w:sz="12" w:space="0"/>
            </w:tcBorders>
            <w:noWrap w:val="0"/>
            <w:vAlign w:val="center"/>
          </w:tcPr>
          <w:p>
            <w:pPr>
              <w:ind w:right="-11"/>
              <w:jc w:val="center"/>
              <w:rPr>
                <w:rFonts w:hint="eastAsia" w:ascii="宋体" w:hAnsi="宋体"/>
                <w:bCs/>
              </w:rPr>
            </w:pPr>
            <w:r>
              <w:rPr>
                <w:rFonts w:hint="eastAsia" w:ascii="宋体" w:hAnsi="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60" w:type="dxa"/>
            <w:noWrap w:val="0"/>
            <w:vAlign w:val="center"/>
          </w:tcPr>
          <w:p>
            <w:pPr>
              <w:rPr>
                <w:rFonts w:hint="eastAsia" w:ascii="宋体" w:hAnsi="宋体"/>
              </w:rPr>
            </w:pPr>
            <w:r>
              <w:rPr>
                <w:rFonts w:hint="eastAsia" w:ascii="宋体"/>
                <w:bCs/>
              </w:rPr>
              <w:t>根据采购清单逐项列出</w:t>
            </w:r>
          </w:p>
        </w:tc>
        <w:tc>
          <w:tcPr>
            <w:tcW w:w="1480" w:type="dxa"/>
            <w:noWrap w:val="0"/>
            <w:vAlign w:val="center"/>
          </w:tcPr>
          <w:p>
            <w:pPr>
              <w:jc w:val="center"/>
              <w:rPr>
                <w:rFonts w:hint="eastAsia" w:ascii="宋体" w:hAnsi="宋体"/>
              </w:rPr>
            </w:pPr>
          </w:p>
        </w:tc>
        <w:tc>
          <w:tcPr>
            <w:tcW w:w="1510" w:type="dxa"/>
            <w:gridSpan w:val="2"/>
            <w:noWrap w:val="0"/>
            <w:vAlign w:val="center"/>
          </w:tcPr>
          <w:p>
            <w:pPr>
              <w:ind w:right="-11"/>
              <w:jc w:val="center"/>
              <w:rPr>
                <w:rFonts w:hint="eastAsia" w:ascii="宋体" w:hAnsi="宋体"/>
              </w:rPr>
            </w:pPr>
          </w:p>
        </w:tc>
        <w:tc>
          <w:tcPr>
            <w:tcW w:w="860" w:type="dxa"/>
            <w:noWrap w:val="0"/>
            <w:vAlign w:val="center"/>
          </w:tcPr>
          <w:p>
            <w:pPr>
              <w:jc w:val="center"/>
              <w:rPr>
                <w:rFonts w:hint="eastAsia" w:ascii="宋体" w:hAnsi="宋体"/>
              </w:rPr>
            </w:pPr>
          </w:p>
        </w:tc>
        <w:tc>
          <w:tcPr>
            <w:tcW w:w="1060" w:type="dxa"/>
            <w:gridSpan w:val="2"/>
            <w:noWrap w:val="0"/>
            <w:vAlign w:val="center"/>
          </w:tcPr>
          <w:p>
            <w:pPr>
              <w:ind w:right="-11"/>
              <w:jc w:val="center"/>
              <w:rPr>
                <w:rFonts w:hint="eastAsia" w:ascii="宋体" w:hAnsi="宋体"/>
              </w:rPr>
            </w:pPr>
          </w:p>
        </w:tc>
        <w:tc>
          <w:tcPr>
            <w:tcW w:w="950" w:type="dxa"/>
            <w:gridSpan w:val="2"/>
            <w:noWrap w:val="0"/>
            <w:vAlign w:val="center"/>
          </w:tcPr>
          <w:p>
            <w:pPr>
              <w:ind w:right="-11"/>
              <w:jc w:val="center"/>
              <w:rPr>
                <w:rFonts w:hint="eastAsia" w:ascii="宋体" w:hAnsi="宋体"/>
              </w:rPr>
            </w:pPr>
          </w:p>
        </w:tc>
        <w:tc>
          <w:tcPr>
            <w:tcW w:w="1410" w:type="dxa"/>
            <w:gridSpan w:val="2"/>
            <w:tcBorders>
              <w:right w:val="single" w:color="auto" w:sz="4" w:space="0"/>
            </w:tcBorders>
            <w:noWrap w:val="0"/>
            <w:vAlign w:val="center"/>
          </w:tcPr>
          <w:p>
            <w:pPr>
              <w:ind w:right="-11"/>
              <w:jc w:val="center"/>
              <w:rPr>
                <w:rFonts w:hint="eastAsia" w:ascii="宋体" w:hAnsi="宋体"/>
              </w:rPr>
            </w:pPr>
          </w:p>
        </w:tc>
        <w:tc>
          <w:tcPr>
            <w:tcW w:w="596" w:type="dxa"/>
            <w:gridSpan w:val="2"/>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60" w:type="dxa"/>
            <w:noWrap w:val="0"/>
            <w:vAlign w:val="center"/>
          </w:tcPr>
          <w:p>
            <w:pPr>
              <w:rPr>
                <w:rFonts w:hint="eastAsia" w:ascii="宋体" w:hAnsi="宋体"/>
              </w:rPr>
            </w:pPr>
          </w:p>
        </w:tc>
        <w:tc>
          <w:tcPr>
            <w:tcW w:w="1480" w:type="dxa"/>
            <w:noWrap w:val="0"/>
            <w:vAlign w:val="center"/>
          </w:tcPr>
          <w:p>
            <w:pPr>
              <w:jc w:val="center"/>
              <w:rPr>
                <w:rFonts w:hint="eastAsia" w:ascii="宋体" w:hAnsi="宋体"/>
              </w:rPr>
            </w:pPr>
          </w:p>
        </w:tc>
        <w:tc>
          <w:tcPr>
            <w:tcW w:w="1510" w:type="dxa"/>
            <w:gridSpan w:val="2"/>
            <w:noWrap w:val="0"/>
            <w:vAlign w:val="center"/>
          </w:tcPr>
          <w:p>
            <w:pPr>
              <w:ind w:right="-11"/>
              <w:jc w:val="center"/>
              <w:rPr>
                <w:rFonts w:hint="eastAsia" w:ascii="宋体" w:hAnsi="宋体"/>
              </w:rPr>
            </w:pPr>
          </w:p>
        </w:tc>
        <w:tc>
          <w:tcPr>
            <w:tcW w:w="860" w:type="dxa"/>
            <w:noWrap w:val="0"/>
            <w:vAlign w:val="center"/>
          </w:tcPr>
          <w:p>
            <w:pPr>
              <w:jc w:val="center"/>
              <w:rPr>
                <w:rFonts w:hint="eastAsia" w:ascii="宋体" w:hAnsi="宋体"/>
              </w:rPr>
            </w:pPr>
          </w:p>
        </w:tc>
        <w:tc>
          <w:tcPr>
            <w:tcW w:w="1060" w:type="dxa"/>
            <w:gridSpan w:val="2"/>
            <w:noWrap w:val="0"/>
            <w:vAlign w:val="center"/>
          </w:tcPr>
          <w:p>
            <w:pPr>
              <w:ind w:right="-11"/>
              <w:jc w:val="center"/>
              <w:rPr>
                <w:rFonts w:hint="eastAsia" w:ascii="宋体" w:hAnsi="宋体"/>
              </w:rPr>
            </w:pPr>
          </w:p>
        </w:tc>
        <w:tc>
          <w:tcPr>
            <w:tcW w:w="950" w:type="dxa"/>
            <w:gridSpan w:val="2"/>
            <w:noWrap w:val="0"/>
            <w:vAlign w:val="center"/>
          </w:tcPr>
          <w:p>
            <w:pPr>
              <w:ind w:right="-11"/>
              <w:jc w:val="center"/>
              <w:rPr>
                <w:rFonts w:hint="eastAsia" w:ascii="宋体" w:hAnsi="宋体"/>
              </w:rPr>
            </w:pPr>
          </w:p>
        </w:tc>
        <w:tc>
          <w:tcPr>
            <w:tcW w:w="1410" w:type="dxa"/>
            <w:gridSpan w:val="2"/>
            <w:tcBorders>
              <w:right w:val="single" w:color="auto" w:sz="4" w:space="0"/>
            </w:tcBorders>
            <w:noWrap w:val="0"/>
            <w:vAlign w:val="center"/>
          </w:tcPr>
          <w:p>
            <w:pPr>
              <w:ind w:right="-11"/>
              <w:jc w:val="center"/>
              <w:rPr>
                <w:rFonts w:hint="eastAsia" w:ascii="宋体" w:hAnsi="宋体"/>
              </w:rPr>
            </w:pPr>
          </w:p>
        </w:tc>
        <w:tc>
          <w:tcPr>
            <w:tcW w:w="596" w:type="dxa"/>
            <w:gridSpan w:val="2"/>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60" w:type="dxa"/>
            <w:noWrap w:val="0"/>
            <w:vAlign w:val="center"/>
          </w:tcPr>
          <w:p>
            <w:pPr>
              <w:rPr>
                <w:rFonts w:hint="eastAsia" w:ascii="宋体" w:hAnsi="宋体"/>
              </w:rPr>
            </w:pPr>
          </w:p>
        </w:tc>
        <w:tc>
          <w:tcPr>
            <w:tcW w:w="1480" w:type="dxa"/>
            <w:noWrap w:val="0"/>
            <w:vAlign w:val="center"/>
          </w:tcPr>
          <w:p>
            <w:pPr>
              <w:jc w:val="center"/>
              <w:rPr>
                <w:rFonts w:hint="eastAsia" w:ascii="宋体" w:hAnsi="宋体"/>
              </w:rPr>
            </w:pPr>
          </w:p>
        </w:tc>
        <w:tc>
          <w:tcPr>
            <w:tcW w:w="1510" w:type="dxa"/>
            <w:gridSpan w:val="2"/>
            <w:noWrap w:val="0"/>
            <w:vAlign w:val="center"/>
          </w:tcPr>
          <w:p>
            <w:pPr>
              <w:ind w:right="-11"/>
              <w:jc w:val="center"/>
              <w:rPr>
                <w:rFonts w:hint="eastAsia" w:ascii="宋体" w:hAnsi="宋体"/>
              </w:rPr>
            </w:pPr>
          </w:p>
        </w:tc>
        <w:tc>
          <w:tcPr>
            <w:tcW w:w="860" w:type="dxa"/>
            <w:noWrap w:val="0"/>
            <w:vAlign w:val="center"/>
          </w:tcPr>
          <w:p>
            <w:pPr>
              <w:jc w:val="center"/>
              <w:rPr>
                <w:rFonts w:hint="eastAsia" w:ascii="宋体" w:hAnsi="宋体"/>
              </w:rPr>
            </w:pPr>
          </w:p>
        </w:tc>
        <w:tc>
          <w:tcPr>
            <w:tcW w:w="1060" w:type="dxa"/>
            <w:gridSpan w:val="2"/>
            <w:noWrap w:val="0"/>
            <w:vAlign w:val="center"/>
          </w:tcPr>
          <w:p>
            <w:pPr>
              <w:ind w:right="-11"/>
              <w:jc w:val="center"/>
              <w:rPr>
                <w:rFonts w:hint="eastAsia" w:ascii="宋体" w:hAnsi="宋体"/>
              </w:rPr>
            </w:pPr>
          </w:p>
        </w:tc>
        <w:tc>
          <w:tcPr>
            <w:tcW w:w="950" w:type="dxa"/>
            <w:gridSpan w:val="2"/>
            <w:noWrap w:val="0"/>
            <w:vAlign w:val="center"/>
          </w:tcPr>
          <w:p>
            <w:pPr>
              <w:ind w:right="-11"/>
              <w:jc w:val="center"/>
              <w:rPr>
                <w:rFonts w:hint="eastAsia" w:ascii="宋体" w:hAnsi="宋体"/>
              </w:rPr>
            </w:pPr>
          </w:p>
        </w:tc>
        <w:tc>
          <w:tcPr>
            <w:tcW w:w="1410" w:type="dxa"/>
            <w:gridSpan w:val="2"/>
            <w:tcBorders>
              <w:right w:val="single" w:color="auto" w:sz="4" w:space="0"/>
            </w:tcBorders>
            <w:noWrap w:val="0"/>
            <w:vAlign w:val="center"/>
          </w:tcPr>
          <w:p>
            <w:pPr>
              <w:ind w:right="-11"/>
              <w:jc w:val="center"/>
              <w:rPr>
                <w:rFonts w:hint="eastAsia" w:ascii="宋体" w:hAnsi="宋体"/>
              </w:rPr>
            </w:pPr>
          </w:p>
        </w:tc>
        <w:tc>
          <w:tcPr>
            <w:tcW w:w="596" w:type="dxa"/>
            <w:gridSpan w:val="2"/>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60" w:type="dxa"/>
            <w:noWrap w:val="0"/>
            <w:vAlign w:val="center"/>
          </w:tcPr>
          <w:p>
            <w:pPr>
              <w:rPr>
                <w:rFonts w:hint="eastAsia" w:ascii="宋体" w:hAnsi="宋体"/>
              </w:rPr>
            </w:pPr>
          </w:p>
        </w:tc>
        <w:tc>
          <w:tcPr>
            <w:tcW w:w="1480" w:type="dxa"/>
            <w:noWrap w:val="0"/>
            <w:vAlign w:val="center"/>
          </w:tcPr>
          <w:p>
            <w:pPr>
              <w:jc w:val="center"/>
              <w:rPr>
                <w:rFonts w:hint="eastAsia" w:ascii="宋体" w:hAnsi="宋体"/>
              </w:rPr>
            </w:pPr>
          </w:p>
        </w:tc>
        <w:tc>
          <w:tcPr>
            <w:tcW w:w="1510" w:type="dxa"/>
            <w:gridSpan w:val="2"/>
            <w:noWrap w:val="0"/>
            <w:vAlign w:val="center"/>
          </w:tcPr>
          <w:p>
            <w:pPr>
              <w:ind w:right="-11"/>
              <w:jc w:val="center"/>
              <w:rPr>
                <w:rFonts w:hint="eastAsia" w:ascii="宋体" w:hAnsi="宋体"/>
              </w:rPr>
            </w:pPr>
          </w:p>
        </w:tc>
        <w:tc>
          <w:tcPr>
            <w:tcW w:w="860" w:type="dxa"/>
            <w:noWrap w:val="0"/>
            <w:vAlign w:val="center"/>
          </w:tcPr>
          <w:p>
            <w:pPr>
              <w:jc w:val="center"/>
              <w:rPr>
                <w:rFonts w:hint="eastAsia" w:ascii="宋体" w:hAnsi="宋体"/>
              </w:rPr>
            </w:pPr>
          </w:p>
        </w:tc>
        <w:tc>
          <w:tcPr>
            <w:tcW w:w="1060" w:type="dxa"/>
            <w:gridSpan w:val="2"/>
            <w:noWrap w:val="0"/>
            <w:vAlign w:val="center"/>
          </w:tcPr>
          <w:p>
            <w:pPr>
              <w:ind w:right="-11"/>
              <w:jc w:val="center"/>
              <w:rPr>
                <w:rFonts w:hint="eastAsia" w:ascii="宋体" w:hAnsi="宋体"/>
              </w:rPr>
            </w:pPr>
          </w:p>
        </w:tc>
        <w:tc>
          <w:tcPr>
            <w:tcW w:w="950" w:type="dxa"/>
            <w:gridSpan w:val="2"/>
            <w:noWrap w:val="0"/>
            <w:vAlign w:val="center"/>
          </w:tcPr>
          <w:p>
            <w:pPr>
              <w:ind w:right="-11"/>
              <w:jc w:val="center"/>
              <w:rPr>
                <w:rFonts w:hint="eastAsia" w:ascii="宋体" w:hAnsi="宋体"/>
              </w:rPr>
            </w:pPr>
          </w:p>
        </w:tc>
        <w:tc>
          <w:tcPr>
            <w:tcW w:w="1410" w:type="dxa"/>
            <w:gridSpan w:val="2"/>
            <w:tcBorders>
              <w:right w:val="single" w:color="auto" w:sz="4" w:space="0"/>
            </w:tcBorders>
            <w:noWrap w:val="0"/>
            <w:vAlign w:val="center"/>
          </w:tcPr>
          <w:p>
            <w:pPr>
              <w:ind w:right="-11"/>
              <w:jc w:val="center"/>
              <w:rPr>
                <w:rFonts w:hint="eastAsia" w:ascii="宋体" w:hAnsi="宋体"/>
              </w:rPr>
            </w:pPr>
          </w:p>
        </w:tc>
        <w:tc>
          <w:tcPr>
            <w:tcW w:w="596" w:type="dxa"/>
            <w:gridSpan w:val="2"/>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60" w:type="dxa"/>
            <w:noWrap w:val="0"/>
            <w:vAlign w:val="center"/>
          </w:tcPr>
          <w:p>
            <w:pPr>
              <w:rPr>
                <w:rFonts w:hint="eastAsia" w:ascii="宋体" w:hAnsi="宋体"/>
              </w:rPr>
            </w:pPr>
          </w:p>
        </w:tc>
        <w:tc>
          <w:tcPr>
            <w:tcW w:w="1480" w:type="dxa"/>
            <w:noWrap w:val="0"/>
            <w:vAlign w:val="center"/>
          </w:tcPr>
          <w:p>
            <w:pPr>
              <w:jc w:val="center"/>
              <w:rPr>
                <w:rFonts w:hint="eastAsia" w:ascii="宋体" w:hAnsi="宋体"/>
              </w:rPr>
            </w:pPr>
          </w:p>
        </w:tc>
        <w:tc>
          <w:tcPr>
            <w:tcW w:w="1510" w:type="dxa"/>
            <w:gridSpan w:val="2"/>
            <w:noWrap w:val="0"/>
            <w:vAlign w:val="center"/>
          </w:tcPr>
          <w:p>
            <w:pPr>
              <w:ind w:right="-11"/>
              <w:jc w:val="center"/>
              <w:rPr>
                <w:rFonts w:hint="eastAsia" w:ascii="宋体" w:hAnsi="宋体"/>
              </w:rPr>
            </w:pPr>
          </w:p>
        </w:tc>
        <w:tc>
          <w:tcPr>
            <w:tcW w:w="860" w:type="dxa"/>
            <w:noWrap w:val="0"/>
            <w:vAlign w:val="center"/>
          </w:tcPr>
          <w:p>
            <w:pPr>
              <w:jc w:val="center"/>
              <w:rPr>
                <w:rFonts w:hint="eastAsia" w:ascii="宋体" w:hAnsi="宋体"/>
              </w:rPr>
            </w:pPr>
          </w:p>
        </w:tc>
        <w:tc>
          <w:tcPr>
            <w:tcW w:w="1060" w:type="dxa"/>
            <w:gridSpan w:val="2"/>
            <w:noWrap w:val="0"/>
            <w:vAlign w:val="center"/>
          </w:tcPr>
          <w:p>
            <w:pPr>
              <w:ind w:right="-11"/>
              <w:jc w:val="center"/>
              <w:rPr>
                <w:rFonts w:hint="eastAsia" w:ascii="宋体" w:hAnsi="宋体"/>
              </w:rPr>
            </w:pPr>
          </w:p>
        </w:tc>
        <w:tc>
          <w:tcPr>
            <w:tcW w:w="950" w:type="dxa"/>
            <w:gridSpan w:val="2"/>
            <w:noWrap w:val="0"/>
            <w:vAlign w:val="center"/>
          </w:tcPr>
          <w:p>
            <w:pPr>
              <w:ind w:right="-11"/>
              <w:jc w:val="center"/>
              <w:rPr>
                <w:rFonts w:hint="eastAsia" w:ascii="宋体" w:hAnsi="宋体"/>
              </w:rPr>
            </w:pPr>
          </w:p>
        </w:tc>
        <w:tc>
          <w:tcPr>
            <w:tcW w:w="1410" w:type="dxa"/>
            <w:gridSpan w:val="2"/>
            <w:tcBorders>
              <w:right w:val="single" w:color="auto" w:sz="4" w:space="0"/>
            </w:tcBorders>
            <w:noWrap w:val="0"/>
            <w:vAlign w:val="center"/>
          </w:tcPr>
          <w:p>
            <w:pPr>
              <w:ind w:right="-11"/>
              <w:jc w:val="center"/>
              <w:rPr>
                <w:rFonts w:hint="eastAsia" w:ascii="宋体" w:hAnsi="宋体"/>
              </w:rPr>
            </w:pPr>
          </w:p>
        </w:tc>
        <w:tc>
          <w:tcPr>
            <w:tcW w:w="596" w:type="dxa"/>
            <w:gridSpan w:val="2"/>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bottom w:val="single" w:color="auto" w:sz="12" w:space="0"/>
            </w:tcBorders>
            <w:noWrap w:val="0"/>
            <w:vAlign w:val="center"/>
          </w:tcPr>
          <w:p>
            <w:pPr>
              <w:ind w:right="-10"/>
              <w:jc w:val="center"/>
              <w:rPr>
                <w:rFonts w:hint="eastAsia" w:ascii="宋体" w:hAnsi="宋体"/>
                <w:bCs/>
              </w:rPr>
            </w:pPr>
            <w:r>
              <w:rPr>
                <w:rFonts w:hint="eastAsia" w:ascii="宋体" w:hAnsi="宋体"/>
                <w:bCs/>
              </w:rPr>
              <w:t>1.设备总价</w:t>
            </w:r>
          </w:p>
        </w:tc>
        <w:tc>
          <w:tcPr>
            <w:tcW w:w="6386" w:type="dxa"/>
            <w:gridSpan w:val="11"/>
            <w:tcBorders>
              <w:bottom w:val="single" w:color="auto" w:sz="12" w:space="0"/>
              <w:right w:val="single" w:color="auto" w:sz="12" w:space="0"/>
            </w:tcBorders>
            <w:noWrap w:val="0"/>
            <w:vAlign w:val="center"/>
          </w:tcPr>
          <w:p>
            <w:pPr>
              <w:ind w:right="-1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30" w:type="dxa"/>
            <w:tcBorders>
              <w:left w:val="single" w:color="auto" w:sz="12" w:space="0"/>
              <w:bottom w:val="single" w:color="auto" w:sz="12" w:space="0"/>
            </w:tcBorders>
            <w:noWrap w:val="0"/>
            <w:vAlign w:val="center"/>
          </w:tcPr>
          <w:p>
            <w:pPr>
              <w:ind w:right="-10"/>
              <w:jc w:val="center"/>
              <w:rPr>
                <w:rFonts w:ascii="宋体" w:hAnsi="宋体"/>
                <w:bCs/>
              </w:rPr>
            </w:pPr>
          </w:p>
        </w:tc>
        <w:tc>
          <w:tcPr>
            <w:tcW w:w="3044" w:type="dxa"/>
            <w:gridSpan w:val="2"/>
            <w:tcBorders>
              <w:left w:val="single" w:color="auto" w:sz="4" w:space="0"/>
              <w:bottom w:val="single" w:color="auto" w:sz="12" w:space="0"/>
            </w:tcBorders>
            <w:noWrap w:val="0"/>
            <w:vAlign w:val="center"/>
          </w:tcPr>
          <w:p>
            <w:pPr>
              <w:ind w:right="-10"/>
              <w:jc w:val="center"/>
              <w:rPr>
                <w:rFonts w:hint="eastAsia" w:ascii="宋体" w:hAnsi="宋体"/>
                <w:bCs/>
              </w:rPr>
            </w:pPr>
            <w:r>
              <w:rPr>
                <w:rFonts w:hint="eastAsia" w:ascii="宋体" w:hAnsi="宋体"/>
                <w:bCs/>
              </w:rPr>
              <w:t>根据采购清单除设备后的其余项逐项列出</w:t>
            </w:r>
          </w:p>
        </w:tc>
        <w:tc>
          <w:tcPr>
            <w:tcW w:w="1485" w:type="dxa"/>
            <w:tcBorders>
              <w:bottom w:val="single" w:color="auto" w:sz="12" w:space="0"/>
              <w:right w:val="single" w:color="auto" w:sz="4" w:space="0"/>
            </w:tcBorders>
            <w:noWrap w:val="0"/>
            <w:vAlign w:val="center"/>
          </w:tcPr>
          <w:p>
            <w:pPr>
              <w:ind w:right="-10"/>
              <w:jc w:val="center"/>
              <w:rPr>
                <w:rFonts w:hint="eastAsia" w:ascii="宋体" w:hAnsi="宋体"/>
              </w:rPr>
            </w:pPr>
          </w:p>
        </w:tc>
        <w:tc>
          <w:tcPr>
            <w:tcW w:w="906" w:type="dxa"/>
            <w:gridSpan w:val="3"/>
            <w:tcBorders>
              <w:bottom w:val="single" w:color="auto" w:sz="12" w:space="0"/>
              <w:right w:val="single" w:color="auto" w:sz="4" w:space="0"/>
            </w:tcBorders>
            <w:noWrap w:val="0"/>
            <w:vAlign w:val="center"/>
          </w:tcPr>
          <w:p>
            <w:pPr>
              <w:ind w:right="-10"/>
              <w:jc w:val="center"/>
              <w:rPr>
                <w:rFonts w:hint="eastAsia" w:ascii="宋体" w:hAnsi="宋体"/>
              </w:rPr>
            </w:pPr>
          </w:p>
        </w:tc>
        <w:tc>
          <w:tcPr>
            <w:tcW w:w="1082" w:type="dxa"/>
            <w:gridSpan w:val="2"/>
            <w:tcBorders>
              <w:bottom w:val="single" w:color="auto" w:sz="12" w:space="0"/>
              <w:right w:val="single" w:color="auto" w:sz="4" w:space="0"/>
            </w:tcBorders>
            <w:noWrap w:val="0"/>
            <w:vAlign w:val="center"/>
          </w:tcPr>
          <w:p>
            <w:pPr>
              <w:ind w:right="-10"/>
              <w:jc w:val="center"/>
              <w:rPr>
                <w:rFonts w:hint="eastAsia" w:ascii="宋体" w:hAnsi="宋体"/>
              </w:rPr>
            </w:pPr>
          </w:p>
        </w:tc>
        <w:tc>
          <w:tcPr>
            <w:tcW w:w="965" w:type="dxa"/>
            <w:gridSpan w:val="2"/>
            <w:tcBorders>
              <w:bottom w:val="single" w:color="auto" w:sz="12" w:space="0"/>
              <w:right w:val="single" w:color="auto" w:sz="4" w:space="0"/>
            </w:tcBorders>
            <w:noWrap w:val="0"/>
            <w:vAlign w:val="center"/>
          </w:tcPr>
          <w:p>
            <w:pPr>
              <w:ind w:right="-10"/>
              <w:jc w:val="center"/>
              <w:rPr>
                <w:rFonts w:hint="eastAsia" w:ascii="宋体" w:hAnsi="宋体"/>
              </w:rPr>
            </w:pPr>
          </w:p>
        </w:tc>
        <w:tc>
          <w:tcPr>
            <w:tcW w:w="1376" w:type="dxa"/>
            <w:gridSpan w:val="2"/>
            <w:tcBorders>
              <w:bottom w:val="single" w:color="auto" w:sz="12" w:space="0"/>
              <w:right w:val="single" w:color="auto" w:sz="4" w:space="0"/>
            </w:tcBorders>
            <w:noWrap w:val="0"/>
            <w:vAlign w:val="center"/>
          </w:tcPr>
          <w:p>
            <w:pPr>
              <w:ind w:right="-10"/>
              <w:jc w:val="center"/>
              <w:rPr>
                <w:rFonts w:hint="eastAsia" w:ascii="宋体" w:hAnsi="宋体"/>
              </w:rPr>
            </w:pPr>
          </w:p>
        </w:tc>
        <w:tc>
          <w:tcPr>
            <w:tcW w:w="572" w:type="dxa"/>
            <w:tcBorders>
              <w:bottom w:val="single" w:color="auto" w:sz="12" w:space="0"/>
              <w:right w:val="single" w:color="auto" w:sz="12" w:space="0"/>
            </w:tcBorders>
            <w:noWrap w:val="0"/>
            <w:vAlign w:val="center"/>
          </w:tcPr>
          <w:p>
            <w:pPr>
              <w:ind w:right="-1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30" w:type="dxa"/>
            <w:tcBorders>
              <w:left w:val="single" w:color="auto" w:sz="12" w:space="0"/>
              <w:bottom w:val="single" w:color="auto" w:sz="12" w:space="0"/>
            </w:tcBorders>
            <w:noWrap w:val="0"/>
            <w:vAlign w:val="center"/>
          </w:tcPr>
          <w:p>
            <w:pPr>
              <w:ind w:right="-10"/>
              <w:jc w:val="center"/>
              <w:rPr>
                <w:rFonts w:hint="eastAsia" w:ascii="宋体" w:hAnsi="宋体"/>
                <w:bCs/>
              </w:rPr>
            </w:pPr>
          </w:p>
        </w:tc>
        <w:tc>
          <w:tcPr>
            <w:tcW w:w="3044" w:type="dxa"/>
            <w:gridSpan w:val="2"/>
            <w:tcBorders>
              <w:left w:val="single" w:color="auto" w:sz="4" w:space="0"/>
              <w:bottom w:val="single" w:color="auto" w:sz="12" w:space="0"/>
            </w:tcBorders>
            <w:noWrap w:val="0"/>
            <w:vAlign w:val="center"/>
          </w:tcPr>
          <w:p>
            <w:pPr>
              <w:ind w:right="-10"/>
              <w:jc w:val="center"/>
              <w:rPr>
                <w:rFonts w:hint="eastAsia" w:ascii="宋体" w:hAnsi="宋体"/>
                <w:bCs/>
              </w:rPr>
            </w:pPr>
          </w:p>
        </w:tc>
        <w:tc>
          <w:tcPr>
            <w:tcW w:w="1485" w:type="dxa"/>
            <w:tcBorders>
              <w:bottom w:val="single" w:color="auto" w:sz="12" w:space="0"/>
              <w:right w:val="single" w:color="auto" w:sz="4" w:space="0"/>
            </w:tcBorders>
            <w:noWrap w:val="0"/>
            <w:vAlign w:val="center"/>
          </w:tcPr>
          <w:p>
            <w:pPr>
              <w:ind w:right="-10"/>
              <w:jc w:val="center"/>
              <w:rPr>
                <w:rFonts w:hint="eastAsia" w:ascii="宋体" w:hAnsi="宋体"/>
              </w:rPr>
            </w:pPr>
          </w:p>
        </w:tc>
        <w:tc>
          <w:tcPr>
            <w:tcW w:w="906" w:type="dxa"/>
            <w:gridSpan w:val="3"/>
            <w:tcBorders>
              <w:bottom w:val="single" w:color="auto" w:sz="12" w:space="0"/>
              <w:right w:val="single" w:color="auto" w:sz="4" w:space="0"/>
            </w:tcBorders>
            <w:noWrap w:val="0"/>
            <w:vAlign w:val="center"/>
          </w:tcPr>
          <w:p>
            <w:pPr>
              <w:ind w:right="-10"/>
              <w:jc w:val="center"/>
              <w:rPr>
                <w:rFonts w:hint="eastAsia" w:ascii="宋体" w:hAnsi="宋体"/>
              </w:rPr>
            </w:pPr>
          </w:p>
        </w:tc>
        <w:tc>
          <w:tcPr>
            <w:tcW w:w="1082" w:type="dxa"/>
            <w:gridSpan w:val="2"/>
            <w:tcBorders>
              <w:bottom w:val="single" w:color="auto" w:sz="12" w:space="0"/>
              <w:right w:val="single" w:color="auto" w:sz="4" w:space="0"/>
            </w:tcBorders>
            <w:noWrap w:val="0"/>
            <w:vAlign w:val="center"/>
          </w:tcPr>
          <w:p>
            <w:pPr>
              <w:ind w:right="-10"/>
              <w:jc w:val="center"/>
              <w:rPr>
                <w:rFonts w:hint="eastAsia" w:ascii="宋体" w:hAnsi="宋体"/>
              </w:rPr>
            </w:pPr>
          </w:p>
        </w:tc>
        <w:tc>
          <w:tcPr>
            <w:tcW w:w="965" w:type="dxa"/>
            <w:gridSpan w:val="2"/>
            <w:tcBorders>
              <w:bottom w:val="single" w:color="auto" w:sz="12" w:space="0"/>
              <w:right w:val="single" w:color="auto" w:sz="4" w:space="0"/>
            </w:tcBorders>
            <w:noWrap w:val="0"/>
            <w:vAlign w:val="center"/>
          </w:tcPr>
          <w:p>
            <w:pPr>
              <w:ind w:right="-10"/>
              <w:jc w:val="center"/>
              <w:rPr>
                <w:rFonts w:hint="eastAsia" w:ascii="宋体" w:hAnsi="宋体"/>
              </w:rPr>
            </w:pPr>
          </w:p>
        </w:tc>
        <w:tc>
          <w:tcPr>
            <w:tcW w:w="1376" w:type="dxa"/>
            <w:gridSpan w:val="2"/>
            <w:tcBorders>
              <w:bottom w:val="single" w:color="auto" w:sz="12" w:space="0"/>
              <w:right w:val="single" w:color="auto" w:sz="4" w:space="0"/>
            </w:tcBorders>
            <w:noWrap w:val="0"/>
            <w:vAlign w:val="center"/>
          </w:tcPr>
          <w:p>
            <w:pPr>
              <w:ind w:right="-10"/>
              <w:jc w:val="center"/>
              <w:rPr>
                <w:rFonts w:hint="eastAsia" w:ascii="宋体" w:hAnsi="宋体"/>
              </w:rPr>
            </w:pPr>
          </w:p>
        </w:tc>
        <w:tc>
          <w:tcPr>
            <w:tcW w:w="572" w:type="dxa"/>
            <w:tcBorders>
              <w:bottom w:val="single" w:color="auto" w:sz="12" w:space="0"/>
              <w:right w:val="single" w:color="auto" w:sz="12" w:space="0"/>
            </w:tcBorders>
            <w:noWrap w:val="0"/>
            <w:vAlign w:val="center"/>
          </w:tcPr>
          <w:p>
            <w:pPr>
              <w:ind w:right="-1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bottom w:val="single" w:color="auto" w:sz="12" w:space="0"/>
            </w:tcBorders>
            <w:noWrap w:val="0"/>
            <w:vAlign w:val="center"/>
          </w:tcPr>
          <w:p>
            <w:pPr>
              <w:ind w:right="-10"/>
              <w:jc w:val="center"/>
              <w:rPr>
                <w:rFonts w:ascii="宋体" w:hAnsi="宋体"/>
                <w:bCs/>
              </w:rPr>
            </w:pPr>
            <w:r>
              <w:rPr>
                <w:rFonts w:hint="eastAsia" w:ascii="宋体" w:hAnsi="宋体"/>
                <w:bCs/>
              </w:rPr>
              <w:t>2、采购清单除设备后的其余项总价</w:t>
            </w:r>
          </w:p>
        </w:tc>
        <w:tc>
          <w:tcPr>
            <w:tcW w:w="6386" w:type="dxa"/>
            <w:gridSpan w:val="11"/>
            <w:tcBorders>
              <w:bottom w:val="single" w:color="auto" w:sz="12" w:space="0"/>
              <w:right w:val="single" w:color="auto" w:sz="12" w:space="0"/>
            </w:tcBorders>
            <w:noWrap w:val="0"/>
            <w:vAlign w:val="center"/>
          </w:tcPr>
          <w:p>
            <w:pPr>
              <w:ind w:right="-1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top w:val="single" w:color="auto" w:sz="12" w:space="0"/>
              <w:left w:val="single" w:color="auto" w:sz="12" w:space="0"/>
            </w:tcBorders>
            <w:noWrap w:val="0"/>
            <w:vAlign w:val="center"/>
          </w:tcPr>
          <w:p>
            <w:pPr>
              <w:ind w:right="-11"/>
              <w:rPr>
                <w:rFonts w:hint="eastAsia" w:ascii="宋体" w:hAnsi="宋体"/>
              </w:rPr>
            </w:pPr>
            <w:r>
              <w:rPr>
                <w:rFonts w:hint="eastAsia" w:ascii="宋体" w:hAnsi="宋体"/>
              </w:rPr>
              <w:t>运杂及保险费（含卸货）</w:t>
            </w:r>
          </w:p>
        </w:tc>
        <w:tc>
          <w:tcPr>
            <w:tcW w:w="6386" w:type="dxa"/>
            <w:gridSpan w:val="11"/>
            <w:tcBorders>
              <w:top w:val="single" w:color="auto" w:sz="12" w:space="0"/>
              <w:right w:val="single" w:color="auto" w:sz="12" w:space="0"/>
            </w:tcBorders>
            <w:noWrap w:val="0"/>
            <w:vAlign w:val="top"/>
          </w:tcPr>
          <w:p>
            <w:pPr>
              <w:spacing w:line="340" w:lineRule="exact"/>
              <w:rPr>
                <w:rFonts w:hint="eastAsia" w:ascii="宋体" w:hAnsi="宋体"/>
                <w:bCs/>
                <w:sz w:val="22"/>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tcBorders>
            <w:noWrap w:val="0"/>
            <w:vAlign w:val="center"/>
          </w:tcPr>
          <w:p>
            <w:pPr>
              <w:ind w:right="-11"/>
              <w:rPr>
                <w:rFonts w:hint="eastAsia" w:ascii="宋体" w:hAnsi="宋体"/>
              </w:rPr>
            </w:pPr>
            <w:r>
              <w:rPr>
                <w:rFonts w:hint="eastAsia" w:ascii="宋体" w:hAnsi="宋体"/>
              </w:rPr>
              <w:t>安装调试费（包括设备的测试、调试、验收等费用）</w:t>
            </w:r>
          </w:p>
        </w:tc>
        <w:tc>
          <w:tcPr>
            <w:tcW w:w="6386" w:type="dxa"/>
            <w:gridSpan w:val="11"/>
            <w:tcBorders>
              <w:right w:val="single" w:color="auto" w:sz="12" w:space="0"/>
            </w:tcBorders>
            <w:noWrap w:val="0"/>
            <w:vAlign w:val="top"/>
          </w:tcPr>
          <w:p>
            <w:pPr>
              <w:spacing w:line="340" w:lineRule="exact"/>
              <w:rPr>
                <w:rFonts w:hint="eastAsia" w:ascii="宋体" w:hAnsi="宋体"/>
                <w:bCs/>
                <w:sz w:val="22"/>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tcBorders>
            <w:noWrap w:val="0"/>
            <w:vAlign w:val="center"/>
          </w:tcPr>
          <w:p>
            <w:pPr>
              <w:ind w:right="-11"/>
              <w:rPr>
                <w:rFonts w:hint="eastAsia" w:ascii="宋体" w:hAnsi="宋体"/>
              </w:rPr>
            </w:pPr>
            <w:r>
              <w:rPr>
                <w:rFonts w:hint="eastAsia" w:ascii="宋体" w:hAnsi="宋体"/>
              </w:rPr>
              <w:t>培训费、技术服务费、售后服务费等</w:t>
            </w:r>
          </w:p>
        </w:tc>
        <w:tc>
          <w:tcPr>
            <w:tcW w:w="6386" w:type="dxa"/>
            <w:gridSpan w:val="11"/>
            <w:tcBorders>
              <w:right w:val="single" w:color="auto" w:sz="12" w:space="0"/>
            </w:tcBorders>
            <w:noWrap w:val="0"/>
            <w:vAlign w:val="top"/>
          </w:tcPr>
          <w:p>
            <w:pPr>
              <w:rPr>
                <w:rFonts w:hint="eastAsia" w:ascii="宋体" w:hAnsi="宋体"/>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tcBorders>
            <w:noWrap w:val="0"/>
            <w:vAlign w:val="center"/>
          </w:tcPr>
          <w:p>
            <w:pPr>
              <w:ind w:right="-11"/>
              <w:rPr>
                <w:rFonts w:hint="eastAsia" w:ascii="宋体" w:hAnsi="宋体"/>
              </w:rPr>
            </w:pPr>
            <w:r>
              <w:rPr>
                <w:rFonts w:hint="eastAsia" w:ascii="宋体" w:hAnsi="宋体"/>
              </w:rPr>
              <w:t>税金</w:t>
            </w:r>
          </w:p>
        </w:tc>
        <w:tc>
          <w:tcPr>
            <w:tcW w:w="6386" w:type="dxa"/>
            <w:gridSpan w:val="11"/>
            <w:tcBorders>
              <w:right w:val="single" w:color="auto" w:sz="12" w:space="0"/>
            </w:tcBorders>
            <w:noWrap w:val="0"/>
            <w:vAlign w:val="top"/>
          </w:tcPr>
          <w:p>
            <w:pPr>
              <w:rPr>
                <w:rFonts w:hint="eastAsia" w:ascii="宋体" w:hAnsi="宋体"/>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tcBorders>
            <w:noWrap w:val="0"/>
            <w:vAlign w:val="center"/>
          </w:tcPr>
          <w:p>
            <w:pPr>
              <w:ind w:right="-11"/>
              <w:rPr>
                <w:rFonts w:hint="eastAsia" w:ascii="宋体" w:hAnsi="宋体"/>
              </w:rPr>
            </w:pPr>
            <w:r>
              <w:rPr>
                <w:rFonts w:hint="eastAsia" w:ascii="宋体" w:hAnsi="宋体"/>
              </w:rPr>
              <w:t>其他相关费用</w:t>
            </w:r>
          </w:p>
        </w:tc>
        <w:tc>
          <w:tcPr>
            <w:tcW w:w="6386" w:type="dxa"/>
            <w:gridSpan w:val="11"/>
            <w:tcBorders>
              <w:right w:val="single" w:color="auto" w:sz="12" w:space="0"/>
            </w:tcBorders>
            <w:noWrap w:val="0"/>
            <w:vAlign w:val="top"/>
          </w:tcPr>
          <w:p>
            <w:pPr>
              <w:rPr>
                <w:rFonts w:hint="eastAsia" w:ascii="宋体" w:hAnsi="宋体"/>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bottom w:val="single" w:color="auto" w:sz="12" w:space="0"/>
            </w:tcBorders>
            <w:noWrap w:val="0"/>
            <w:vAlign w:val="center"/>
          </w:tcPr>
          <w:p>
            <w:pPr>
              <w:ind w:right="-11"/>
              <w:rPr>
                <w:rFonts w:hint="eastAsia" w:ascii="宋体" w:hAnsi="宋体"/>
              </w:rPr>
            </w:pPr>
            <w:r>
              <w:rPr>
                <w:rFonts w:hint="eastAsia" w:ascii="宋体" w:hAnsi="宋体"/>
              </w:rPr>
              <w:t>合计总价（应与开标一览表中投标总价相一致）</w:t>
            </w:r>
          </w:p>
        </w:tc>
        <w:tc>
          <w:tcPr>
            <w:tcW w:w="6386" w:type="dxa"/>
            <w:gridSpan w:val="11"/>
            <w:tcBorders>
              <w:bottom w:val="single" w:color="auto" w:sz="12" w:space="0"/>
              <w:right w:val="single" w:color="auto" w:sz="12" w:space="0"/>
            </w:tcBorders>
            <w:noWrap w:val="0"/>
            <w:vAlign w:val="top"/>
          </w:tcPr>
          <w:p>
            <w:pPr>
              <w:spacing w:line="340" w:lineRule="exact"/>
              <w:rPr>
                <w:rFonts w:hint="eastAsia" w:ascii="宋体" w:hAnsi="宋体"/>
                <w:bCs/>
                <w:sz w:val="22"/>
              </w:rPr>
            </w:pPr>
            <w:r>
              <w:rPr>
                <w:rFonts w:hint="eastAsia" w:ascii="宋体" w:hAnsi="宋体"/>
                <w:bCs/>
                <w:sz w:val="22"/>
                <w:u w:val="single"/>
              </w:rPr>
              <w:t xml:space="preserve">总价：         元；其中属于小微企业产品的价格合计：     元；          </w:t>
            </w:r>
          </w:p>
        </w:tc>
      </w:tr>
    </w:tbl>
    <w:p>
      <w:pPr>
        <w:rPr>
          <w:rFonts w:hint="eastAsia" w:ascii="宋体" w:hAnsi="宋体"/>
          <w:szCs w:val="21"/>
        </w:rPr>
      </w:pPr>
      <w:r>
        <w:rPr>
          <w:rFonts w:hint="eastAsia" w:ascii="宋体" w:hAnsi="宋体"/>
          <w:bCs/>
          <w:szCs w:val="21"/>
        </w:rPr>
        <w:t>附注：</w:t>
      </w:r>
      <w:r>
        <w:rPr>
          <w:rFonts w:hint="eastAsia" w:ascii="宋体" w:hAnsi="宋体"/>
          <w:szCs w:val="21"/>
        </w:rPr>
        <w:t>1. 不提供详细物数量价格表将视为没有实质性响应招标文件，货物名称按采购设备清单内容。</w:t>
      </w:r>
    </w:p>
    <w:p>
      <w:pPr>
        <w:ind w:firstLine="630"/>
        <w:rPr>
          <w:rFonts w:hint="eastAsia" w:ascii="宋体" w:hAnsi="宋体"/>
          <w:szCs w:val="21"/>
        </w:rPr>
      </w:pPr>
      <w:r>
        <w:rPr>
          <w:rFonts w:hint="eastAsia" w:ascii="宋体" w:hAnsi="宋体"/>
          <w:szCs w:val="21"/>
        </w:rPr>
        <w:t>2. 此表的合计总价应与附件一“开标一览表”投标总价相一致。</w:t>
      </w:r>
    </w:p>
    <w:p>
      <w:pPr>
        <w:ind w:firstLine="630"/>
        <w:rPr>
          <w:rFonts w:hint="eastAsia" w:ascii="宋体" w:hAnsi="宋体"/>
          <w:szCs w:val="21"/>
        </w:rPr>
      </w:pPr>
      <w:r>
        <w:rPr>
          <w:rFonts w:hint="eastAsia" w:ascii="宋体" w:hAnsi="宋体"/>
          <w:szCs w:val="21"/>
        </w:rPr>
        <w:t>3. 如果免费请在该备注栏内注明“免”，如果含在产品价格中则填“含”，如无此项内容则填“无”，不留空白。</w:t>
      </w:r>
    </w:p>
    <w:p>
      <w:pPr>
        <w:ind w:firstLine="630"/>
        <w:rPr>
          <w:rFonts w:hint="eastAsia" w:ascii="宋体" w:hAnsi="宋体"/>
          <w:szCs w:val="21"/>
        </w:rPr>
      </w:pPr>
      <w:r>
        <w:rPr>
          <w:rFonts w:hint="eastAsia" w:ascii="宋体" w:hAnsi="宋体"/>
          <w:szCs w:val="21"/>
        </w:rPr>
        <w:t>4.  根据《中华人民共和国政府采购法实施条例 》第四十三条规定，在中标或者成交公告的内容中可能增加本表，请各供应商认真填写，确保报价数据的真实性、完整性和合理性。</w:t>
      </w:r>
    </w:p>
    <w:p>
      <w:pPr>
        <w:ind w:firstLine="630"/>
        <w:rPr>
          <w:rFonts w:hint="eastAsia" w:ascii="宋体" w:hAnsi="宋体"/>
          <w:sz w:val="24"/>
        </w:rPr>
      </w:pPr>
      <w:r>
        <w:rPr>
          <w:rFonts w:hint="eastAsia" w:ascii="宋体" w:hAnsi="宋体"/>
          <w:szCs w:val="21"/>
        </w:rPr>
        <w:t>5.如出现货物数量价格表中的“小型和微型企业产品”内容与“中小企业声明函”的内容不一致或报价表中未表明是否属于小型和微型企业产品时或提供资料不全时，则在评审时视为非“小型和微型企业产品”。</w:t>
      </w:r>
    </w:p>
    <w:p>
      <w:pPr>
        <w:ind w:firstLine="630"/>
        <w:rPr>
          <w:rFonts w:hint="eastAsia" w:ascii="宋体" w:hAnsi="宋体"/>
          <w:szCs w:val="21"/>
        </w:rPr>
      </w:pPr>
      <w:r>
        <w:rPr>
          <w:rFonts w:hint="eastAsia" w:ascii="宋体" w:hAnsi="宋体"/>
          <w:szCs w:val="21"/>
        </w:rPr>
        <w:t xml:space="preserve">6.表格可以延续。   </w:t>
      </w:r>
    </w:p>
    <w:p>
      <w:pPr>
        <w:ind w:firstLine="630"/>
        <w:rPr>
          <w:rFonts w:hint="eastAsia" w:ascii="宋体" w:hAnsi="宋体"/>
          <w:sz w:val="22"/>
          <w:u w:val="single"/>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22"/>
        <w:spacing w:line="400" w:lineRule="exact"/>
        <w:rPr>
          <w:rFonts w:hint="eastAsia" w:ascii="宋体" w:hAnsi="宋体" w:cs="宋体"/>
          <w:b/>
          <w:bCs/>
        </w:rPr>
        <w:sectPr>
          <w:pgSz w:w="11906" w:h="16838"/>
          <w:pgMar w:top="1440" w:right="1247" w:bottom="1440" w:left="1247" w:header="851" w:footer="992" w:gutter="0"/>
          <w:cols w:space="720" w:num="1"/>
          <w:titlePg/>
          <w:docGrid w:type="linesAndChars" w:linePitch="312" w:charSpace="0"/>
        </w:sectPr>
      </w:pPr>
    </w:p>
    <w:p>
      <w:pPr>
        <w:pStyle w:val="22"/>
        <w:spacing w:line="400" w:lineRule="exact"/>
        <w:rPr>
          <w:rFonts w:hint="eastAsia" w:ascii="宋体" w:hAnsi="宋体" w:cs="宋体"/>
          <w:b/>
          <w:bCs/>
        </w:rPr>
      </w:pPr>
      <w:bookmarkStart w:id="70" w:name="_Toc12664"/>
      <w:r>
        <w:rPr>
          <w:rFonts w:hint="eastAsia" w:ascii="宋体" w:hAnsi="宋体" w:cs="宋体"/>
          <w:b/>
          <w:bCs/>
        </w:rPr>
        <w:t>三、商务技术标部分格式</w:t>
      </w:r>
      <w:bookmarkEnd w:id="70"/>
    </w:p>
    <w:p>
      <w:pPr>
        <w:spacing w:line="360" w:lineRule="exact"/>
        <w:jc w:val="left"/>
        <w:rPr>
          <w:rFonts w:hint="eastAsia" w:ascii="宋体" w:hAnsi="宋体"/>
          <w:sz w:val="30"/>
        </w:rPr>
      </w:pPr>
    </w:p>
    <w:p>
      <w:pPr>
        <w:pStyle w:val="13"/>
        <w:adjustRightInd w:val="0"/>
        <w:snapToGrid w:val="0"/>
        <w:spacing w:line="440" w:lineRule="atLeast"/>
        <w:outlineLvl w:val="0"/>
        <w:rPr>
          <w:rFonts w:hint="eastAsia" w:hAnsi="宋体" w:eastAsia="宋体" w:cs="宋体"/>
          <w:b w:val="0"/>
          <w:color w:val="auto"/>
          <w:sz w:val="30"/>
        </w:rPr>
      </w:pPr>
      <w:bookmarkStart w:id="71" w:name="_Toc24004"/>
      <w:r>
        <w:rPr>
          <w:rFonts w:hint="eastAsia" w:hAnsi="宋体" w:eastAsia="宋体" w:cs="宋体"/>
          <w:sz w:val="22"/>
          <w:lang w:val="zh-CN"/>
        </w:rPr>
        <w:t>附件</w:t>
      </w:r>
      <w:r>
        <w:rPr>
          <w:rFonts w:hint="eastAsia" w:hAnsi="宋体" w:eastAsia="宋体" w:cs="宋体"/>
          <w:sz w:val="22"/>
        </w:rPr>
        <w:t>一  投标函</w:t>
      </w:r>
      <w:bookmarkEnd w:id="71"/>
    </w:p>
    <w:p>
      <w:pPr>
        <w:autoSpaceDE w:val="0"/>
        <w:autoSpaceDN w:val="0"/>
        <w:adjustRightInd w:val="0"/>
        <w:spacing w:line="360" w:lineRule="exact"/>
        <w:jc w:val="center"/>
        <w:rPr>
          <w:rFonts w:hint="eastAsia" w:ascii="宋体" w:hAnsi="宋体"/>
          <w:sz w:val="36"/>
          <w:lang w:val="zh-CN"/>
        </w:rPr>
      </w:pPr>
      <w:r>
        <w:rPr>
          <w:rFonts w:hint="eastAsia" w:ascii="宋体" w:hAnsi="宋体"/>
          <w:sz w:val="36"/>
          <w:lang w:val="zh-CN"/>
        </w:rPr>
        <w:t>投  标  函</w:t>
      </w:r>
    </w:p>
    <w:p>
      <w:pPr>
        <w:autoSpaceDE w:val="0"/>
        <w:autoSpaceDN w:val="0"/>
        <w:adjustRightInd w:val="0"/>
        <w:spacing w:line="360" w:lineRule="exact"/>
        <w:rPr>
          <w:rFonts w:hint="eastAsia" w:ascii="宋体" w:hAnsi="宋体"/>
          <w:sz w:val="36"/>
          <w:lang w:val="zh-CN"/>
        </w:rPr>
      </w:pPr>
    </w:p>
    <w:p>
      <w:pPr>
        <w:pStyle w:val="13"/>
        <w:rPr>
          <w:rFonts w:hint="eastAsia" w:hAnsi="宋体" w:eastAsia="宋体" w:cs="宋体"/>
          <w:b w:val="0"/>
          <w:color w:val="auto"/>
          <w:sz w:val="22"/>
          <w:u w:val="single"/>
        </w:rPr>
      </w:pPr>
      <w:r>
        <w:rPr>
          <w:rFonts w:hint="eastAsia" w:hAnsi="宋体" w:eastAsia="宋体" w:cs="宋体"/>
          <w:b w:val="0"/>
          <w:color w:val="auto"/>
          <w:sz w:val="22"/>
          <w:u w:val="single"/>
        </w:rPr>
        <w:t xml:space="preserve">               ：</w:t>
      </w:r>
    </w:p>
    <w:p>
      <w:pPr>
        <w:autoSpaceDE w:val="0"/>
        <w:autoSpaceDN w:val="0"/>
        <w:adjustRightInd w:val="0"/>
        <w:spacing w:line="440" w:lineRule="atLeast"/>
        <w:ind w:firstLine="539" w:firstLineChars="245"/>
        <w:rPr>
          <w:rFonts w:hint="eastAsia" w:ascii="宋体" w:hAnsi="宋体"/>
          <w:sz w:val="22"/>
          <w:lang w:val="zh-CN"/>
        </w:rPr>
      </w:pPr>
      <w:r>
        <w:rPr>
          <w:rFonts w:hint="eastAsia" w:ascii="宋体" w:hAnsi="宋体"/>
          <w:sz w:val="22"/>
          <w:u w:val="single"/>
          <w:lang w:val="zh-CN"/>
        </w:rPr>
        <w:t xml:space="preserve">                    </w:t>
      </w:r>
      <w:r>
        <w:rPr>
          <w:rFonts w:hint="eastAsia" w:ascii="宋体" w:hAnsi="宋体"/>
          <w:sz w:val="22"/>
          <w:lang w:val="zh-CN"/>
        </w:rPr>
        <w:t>（供应商全称）授权</w:t>
      </w:r>
      <w:r>
        <w:rPr>
          <w:rFonts w:hint="eastAsia" w:ascii="宋体" w:hAnsi="宋体"/>
          <w:sz w:val="22"/>
          <w:u w:val="single"/>
          <w:lang w:val="zh-CN"/>
        </w:rPr>
        <w:t xml:space="preserve">              </w:t>
      </w:r>
      <w:r>
        <w:rPr>
          <w:rFonts w:hint="eastAsia" w:ascii="宋体" w:hAnsi="宋体"/>
          <w:sz w:val="22"/>
          <w:lang w:val="zh-CN"/>
        </w:rPr>
        <w:t xml:space="preserve"> （授权代表名称）</w:t>
      </w:r>
      <w:r>
        <w:rPr>
          <w:rFonts w:hint="eastAsia" w:ascii="宋体" w:hAnsi="宋体"/>
          <w:sz w:val="22"/>
          <w:u w:val="single"/>
          <w:lang w:val="zh-CN"/>
        </w:rPr>
        <w:t xml:space="preserve">         </w:t>
      </w:r>
      <w:r>
        <w:rPr>
          <w:rFonts w:hint="eastAsia" w:ascii="宋体" w:hAnsi="宋体"/>
          <w:sz w:val="22"/>
          <w:lang w:val="zh-CN"/>
        </w:rPr>
        <w:t>（职务、职称）为授权代表，参加贵方组织的</w:t>
      </w:r>
      <w:r>
        <w:rPr>
          <w:rFonts w:hint="eastAsia" w:ascii="宋体" w:hAnsi="宋体"/>
          <w:sz w:val="22"/>
          <w:u w:val="single"/>
          <w:lang w:val="zh-CN"/>
        </w:rPr>
        <w:t xml:space="preserve">           </w:t>
      </w:r>
      <w:r>
        <w:rPr>
          <w:rFonts w:hint="eastAsia" w:ascii="宋体" w:hAnsi="宋体"/>
          <w:sz w:val="22"/>
          <w:lang w:val="zh-CN"/>
        </w:rPr>
        <w:t>（招标项目名称）（括号内填招标编号）招标的有关活动，并对</w:t>
      </w:r>
      <w:r>
        <w:rPr>
          <w:rFonts w:hint="eastAsia" w:ascii="宋体" w:hAnsi="宋体"/>
          <w:sz w:val="22"/>
          <w:u w:val="single"/>
          <w:lang w:val="zh-CN"/>
        </w:rPr>
        <w:t xml:space="preserve">            </w:t>
      </w:r>
      <w:r>
        <w:rPr>
          <w:rFonts w:hint="eastAsia" w:ascii="宋体" w:hAnsi="宋体"/>
          <w:sz w:val="22"/>
          <w:lang w:val="zh-CN"/>
        </w:rPr>
        <w:t xml:space="preserve">项目（招标项目名称）进行投标。为此：    </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1、提供供应商须知规定的全部投标文件：</w:t>
      </w:r>
    </w:p>
    <w:p>
      <w:pPr>
        <w:autoSpaceDE w:val="0"/>
        <w:autoSpaceDN w:val="0"/>
        <w:adjustRightInd w:val="0"/>
        <w:spacing w:line="440" w:lineRule="atLeast"/>
        <w:ind w:firstLine="770" w:firstLineChars="350"/>
        <w:rPr>
          <w:rFonts w:hint="eastAsia" w:ascii="宋体" w:hAnsi="宋体"/>
          <w:b/>
          <w:i/>
          <w:iCs/>
          <w:lang w:val="zh-CN"/>
        </w:rPr>
      </w:pPr>
      <w:r>
        <w:rPr>
          <w:rFonts w:hint="eastAsia" w:ascii="宋体" w:hAnsi="宋体"/>
          <w:sz w:val="22"/>
        </w:rPr>
        <w:t>“电子加密投标文件”在线上传递交一份。</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2、保证遵守招标文件中的有关规定和收费标准。</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3、保证忠实地执行采购人、中标供应商双方所签的合同， 并承担合同规定的责任义务。</w:t>
      </w:r>
    </w:p>
    <w:p>
      <w:pPr>
        <w:pStyle w:val="13"/>
        <w:snapToGrid w:val="0"/>
        <w:spacing w:line="410" w:lineRule="atLeast"/>
        <w:ind w:firstLine="440" w:firstLineChars="200"/>
        <w:rPr>
          <w:rFonts w:hint="eastAsia" w:hAnsi="宋体" w:eastAsia="宋体" w:cs="宋体"/>
          <w:color w:val="auto"/>
          <w:sz w:val="22"/>
        </w:rPr>
      </w:pPr>
      <w:r>
        <w:rPr>
          <w:rFonts w:hint="eastAsia" w:hAnsi="宋体" w:eastAsia="宋体" w:cs="宋体"/>
          <w:b w:val="0"/>
          <w:color w:val="auto"/>
          <w:sz w:val="22"/>
          <w:lang w:val="zh-CN"/>
        </w:rPr>
        <w:t>4、我方对完工期承诺如下：</w:t>
      </w:r>
      <w:r>
        <w:rPr>
          <w:rFonts w:hint="eastAsia" w:hAnsi="宋体" w:eastAsia="宋体" w:cs="宋体"/>
          <w:color w:val="auto"/>
          <w:sz w:val="22"/>
        </w:rPr>
        <w:t>▲按招标文件规定期限交货并通过采购人验收，逾期采购人有权拒绝供货。</w:t>
      </w:r>
    </w:p>
    <w:p>
      <w:pPr>
        <w:autoSpaceDE w:val="0"/>
        <w:autoSpaceDN w:val="0"/>
        <w:adjustRightInd w:val="0"/>
        <w:spacing w:line="440" w:lineRule="atLeast"/>
        <w:ind w:firstLine="450"/>
        <w:rPr>
          <w:rFonts w:hint="eastAsia" w:ascii="宋体" w:hAnsi="宋体"/>
          <w:sz w:val="22"/>
          <w:lang w:val="zh-CN"/>
        </w:rPr>
      </w:pPr>
      <w:r>
        <w:rPr>
          <w:rFonts w:hint="eastAsia" w:ascii="宋体" w:hAnsi="宋体"/>
          <w:sz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spacing w:line="340" w:lineRule="exact"/>
        <w:ind w:firstLine="442" w:firstLineChars="201"/>
        <w:rPr>
          <w:rFonts w:hint="eastAsia" w:ascii="宋体" w:hAnsi="宋体"/>
          <w:sz w:val="22"/>
        </w:rPr>
      </w:pPr>
      <w:r>
        <w:rPr>
          <w:rFonts w:hint="eastAsia" w:ascii="宋体" w:hAnsi="宋体"/>
          <w:sz w:val="22"/>
        </w:rPr>
        <w:t>6、利益冲突：近三年内直至目前，我公司与本项目的采购人、招标代理机构没有任何的隶属关系。</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rPr>
        <w:t>7、我公司没有被各级、各地财政监管部门限制参加政府采购活动，且在限制期内。</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8、愿意向贵方提供任何与该项投标有关的数据、情况和技术资料，完全理解贵方不一定接受最低价的投标或收到的任何投标。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9、本投标自开标之日起90天内有效。</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10、与本投标有关的一切往来通讯请寄：</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地址：</w:t>
      </w:r>
      <w:r>
        <w:rPr>
          <w:rFonts w:hint="eastAsia" w:ascii="宋体" w:hAnsi="宋体"/>
          <w:sz w:val="22"/>
          <w:u w:val="single"/>
          <w:lang w:val="zh-CN"/>
        </w:rPr>
        <w:t xml:space="preserve">                                 </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邮编：</w:t>
      </w:r>
      <w:r>
        <w:rPr>
          <w:rFonts w:hint="eastAsia" w:ascii="宋体" w:hAnsi="宋体"/>
          <w:sz w:val="22"/>
          <w:u w:val="single"/>
          <w:lang w:val="zh-CN"/>
        </w:rPr>
        <w:t xml:space="preserve">               </w:t>
      </w:r>
      <w:r>
        <w:rPr>
          <w:rFonts w:hint="eastAsia" w:ascii="宋体" w:hAnsi="宋体"/>
          <w:sz w:val="22"/>
          <w:lang w:val="zh-CN"/>
        </w:rPr>
        <w:t>电话：</w:t>
      </w:r>
      <w:r>
        <w:rPr>
          <w:rFonts w:hint="eastAsia" w:ascii="宋体" w:hAnsi="宋体"/>
          <w:sz w:val="22"/>
          <w:u w:val="single"/>
          <w:lang w:val="zh-CN"/>
        </w:rPr>
        <w:t xml:space="preserve">                 </w:t>
      </w:r>
      <w:r>
        <w:rPr>
          <w:rFonts w:hint="eastAsia" w:ascii="宋体" w:hAnsi="宋体"/>
          <w:sz w:val="22"/>
          <w:lang w:val="zh-CN"/>
        </w:rPr>
        <w:t>传真：</w:t>
      </w:r>
      <w:r>
        <w:rPr>
          <w:rFonts w:hint="eastAsia" w:ascii="宋体" w:hAnsi="宋体"/>
          <w:sz w:val="22"/>
          <w:u w:val="single"/>
          <w:lang w:val="zh-CN"/>
        </w:rPr>
        <w:t xml:space="preserve">                 </w:t>
      </w:r>
    </w:p>
    <w:p>
      <w:pPr>
        <w:autoSpaceDE w:val="0"/>
        <w:autoSpaceDN w:val="0"/>
        <w:adjustRightInd w:val="0"/>
        <w:spacing w:line="440" w:lineRule="atLeast"/>
        <w:ind w:firstLine="442" w:firstLineChars="201"/>
        <w:rPr>
          <w:rFonts w:hint="eastAsia" w:ascii="宋体" w:hAnsi="宋体"/>
          <w:sz w:val="22"/>
          <w:lang w:val="zh-CN"/>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utoSpaceDE w:val="0"/>
        <w:autoSpaceDN w:val="0"/>
        <w:adjustRightInd w:val="0"/>
        <w:spacing w:line="360" w:lineRule="exact"/>
        <w:jc w:val="left"/>
        <w:rPr>
          <w:rFonts w:hint="eastAsia" w:ascii="宋体" w:hAnsi="宋体"/>
          <w:sz w:val="32"/>
          <w:lang w:val="zh-CN"/>
        </w:rPr>
      </w:pPr>
    </w:p>
    <w:p>
      <w:pPr>
        <w:pStyle w:val="2"/>
        <w:rPr>
          <w:rFonts w:hint="eastAsia" w:ascii="宋体" w:hAnsi="宋体"/>
          <w:lang w:val="zh-CN"/>
        </w:rPr>
      </w:pPr>
    </w:p>
    <w:p>
      <w:pPr>
        <w:pStyle w:val="13"/>
        <w:adjustRightInd w:val="0"/>
        <w:snapToGrid w:val="0"/>
        <w:spacing w:line="440" w:lineRule="atLeast"/>
        <w:outlineLvl w:val="0"/>
        <w:rPr>
          <w:rFonts w:hint="eastAsia" w:hAnsi="宋体" w:eastAsia="宋体" w:cs="宋体"/>
          <w:color w:val="auto"/>
          <w:sz w:val="22"/>
        </w:rPr>
      </w:pPr>
      <w:bookmarkStart w:id="72" w:name="_Toc30967"/>
      <w:r>
        <w:rPr>
          <w:rFonts w:hint="eastAsia" w:hAnsi="宋体" w:eastAsia="宋体" w:cs="宋体"/>
          <w:sz w:val="22"/>
        </w:rPr>
        <w:t>附件二  法定代表人诚信投标承诺书</w:t>
      </w:r>
      <w:bookmarkEnd w:id="72"/>
    </w:p>
    <w:p>
      <w:pPr>
        <w:jc w:val="center"/>
        <w:rPr>
          <w:rFonts w:hint="eastAsia" w:ascii="宋体" w:hAnsi="宋体"/>
          <w:sz w:val="36"/>
          <w:szCs w:val="36"/>
        </w:rPr>
      </w:pPr>
      <w:r>
        <w:rPr>
          <w:rFonts w:hint="eastAsia" w:ascii="宋体" w:hAnsi="宋体"/>
          <w:sz w:val="36"/>
          <w:szCs w:val="36"/>
        </w:rPr>
        <w:t>法定代表人诚信投标承诺书</w:t>
      </w:r>
    </w:p>
    <w:p>
      <w:pPr>
        <w:spacing w:line="360" w:lineRule="auto"/>
        <w:jc w:val="left"/>
        <w:rPr>
          <w:rFonts w:hint="eastAsia" w:ascii="宋体" w:hAnsi="宋体"/>
          <w:sz w:val="24"/>
          <w:szCs w:val="24"/>
        </w:rPr>
      </w:pPr>
    </w:p>
    <w:p>
      <w:pPr>
        <w:spacing w:line="460" w:lineRule="atLeast"/>
        <w:jc w:val="left"/>
        <w:rPr>
          <w:rFonts w:hint="eastAsia" w:ascii="宋体" w:hAnsi="宋体"/>
          <w:sz w:val="22"/>
        </w:rPr>
      </w:pPr>
      <w:r>
        <w:rPr>
          <w:rFonts w:hint="eastAsia" w:ascii="宋体" w:hAnsi="宋体"/>
          <w:sz w:val="22"/>
        </w:rPr>
        <w:t>本人以企业法定代表人的身份郑重承诺：</w:t>
      </w:r>
    </w:p>
    <w:p>
      <w:pPr>
        <w:spacing w:line="460" w:lineRule="atLeast"/>
        <w:ind w:firstLine="440" w:firstLineChars="200"/>
        <w:jc w:val="left"/>
        <w:rPr>
          <w:rFonts w:hint="eastAsia" w:ascii="宋体" w:hAnsi="宋体"/>
          <w:sz w:val="22"/>
        </w:rPr>
      </w:pPr>
      <w:r>
        <w:rPr>
          <w:rFonts w:hint="eastAsia" w:ascii="宋体" w:hAnsi="宋体"/>
          <w:sz w:val="22"/>
        </w:rPr>
        <w:t>将遵循公开、公平、公正和诚信信用的原则参加</w:t>
      </w:r>
      <w:r>
        <w:rPr>
          <w:rFonts w:hint="eastAsia" w:ascii="宋体" w:hAnsi="宋体"/>
          <w:sz w:val="22"/>
          <w:u w:val="single"/>
        </w:rPr>
        <w:t xml:space="preserve">              项目（招标编号：   ）</w:t>
      </w:r>
      <w:r>
        <w:rPr>
          <w:rFonts w:hint="eastAsia" w:ascii="宋体" w:hAnsi="宋体"/>
          <w:sz w:val="22"/>
        </w:rPr>
        <w:t>的投标；</w:t>
      </w:r>
    </w:p>
    <w:p>
      <w:pPr>
        <w:spacing w:line="460" w:lineRule="atLeast"/>
        <w:ind w:firstLine="440" w:firstLineChars="200"/>
        <w:jc w:val="left"/>
        <w:rPr>
          <w:rFonts w:hint="eastAsia" w:ascii="宋体" w:hAnsi="宋体"/>
          <w:sz w:val="22"/>
          <w:u w:val="single"/>
        </w:rPr>
      </w:pPr>
      <w:r>
        <w:rPr>
          <w:rFonts w:hint="eastAsia" w:ascii="宋体" w:hAnsi="宋体"/>
          <w:sz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hint="eastAsia" w:ascii="宋体" w:hAnsi="宋体"/>
          <w:sz w:val="22"/>
        </w:rPr>
      </w:pPr>
      <w:r>
        <w:rPr>
          <w:rFonts w:hint="eastAsia" w:ascii="宋体" w:hAnsi="宋体"/>
          <w:sz w:val="22"/>
        </w:rPr>
        <w:t>二、投标文件所提供的一切材料都是真实、有效、合法的。</w:t>
      </w:r>
    </w:p>
    <w:p>
      <w:pPr>
        <w:spacing w:line="460" w:lineRule="atLeast"/>
        <w:ind w:firstLine="440" w:firstLineChars="200"/>
        <w:jc w:val="left"/>
        <w:rPr>
          <w:rFonts w:hint="eastAsia" w:ascii="宋体" w:hAnsi="宋体"/>
          <w:sz w:val="22"/>
        </w:rPr>
      </w:pPr>
      <w:r>
        <w:rPr>
          <w:rFonts w:hint="eastAsia" w:ascii="宋体" w:hAnsi="宋体"/>
          <w:sz w:val="22"/>
        </w:rPr>
        <w:t>三、不与其他投标人相互串通投标报价，不排挤其他投标人的公平竞争，不损害招标人或其他投标人的合法权益。</w:t>
      </w:r>
    </w:p>
    <w:p>
      <w:pPr>
        <w:spacing w:line="460" w:lineRule="atLeast"/>
        <w:ind w:firstLine="440" w:firstLineChars="200"/>
        <w:jc w:val="left"/>
        <w:rPr>
          <w:rFonts w:hint="eastAsia" w:ascii="宋体" w:hAnsi="宋体"/>
          <w:sz w:val="22"/>
        </w:rPr>
      </w:pPr>
      <w:r>
        <w:rPr>
          <w:rFonts w:hint="eastAsia" w:ascii="宋体" w:hAnsi="宋体"/>
          <w:sz w:val="22"/>
        </w:rPr>
        <w:t>四、不与采购人或招标代理机构串通投标，不损害国家利益，社会公共利益或其他人的合法权益。</w:t>
      </w:r>
    </w:p>
    <w:p>
      <w:pPr>
        <w:spacing w:line="460" w:lineRule="atLeast"/>
        <w:ind w:firstLine="440" w:firstLineChars="200"/>
        <w:jc w:val="left"/>
        <w:rPr>
          <w:rFonts w:hint="eastAsia" w:ascii="宋体" w:hAnsi="宋体"/>
          <w:sz w:val="22"/>
        </w:rPr>
      </w:pPr>
      <w:r>
        <w:rPr>
          <w:rFonts w:hint="eastAsia" w:ascii="宋体" w:hAnsi="宋体"/>
          <w:sz w:val="22"/>
        </w:rPr>
        <w:t>五、不向采购人或者评标委员会成员行贿以牟取中标。</w:t>
      </w:r>
    </w:p>
    <w:p>
      <w:pPr>
        <w:spacing w:line="460" w:lineRule="atLeast"/>
        <w:ind w:firstLine="440" w:firstLineChars="200"/>
        <w:jc w:val="left"/>
        <w:rPr>
          <w:rFonts w:hint="eastAsia" w:ascii="宋体" w:hAnsi="宋体"/>
          <w:sz w:val="22"/>
        </w:rPr>
      </w:pPr>
      <w:r>
        <w:rPr>
          <w:rFonts w:hint="eastAsia" w:ascii="宋体" w:hAnsi="宋体"/>
          <w:sz w:val="22"/>
        </w:rPr>
        <w:t>六、不以其他人名义投标或者以其他方式弄虚作假，骗取中标。</w:t>
      </w:r>
    </w:p>
    <w:p>
      <w:pPr>
        <w:spacing w:line="460" w:lineRule="atLeast"/>
        <w:ind w:firstLine="440" w:firstLineChars="200"/>
        <w:jc w:val="left"/>
        <w:rPr>
          <w:rFonts w:hint="eastAsia" w:ascii="宋体" w:hAnsi="宋体"/>
          <w:sz w:val="22"/>
        </w:rPr>
      </w:pPr>
      <w:r>
        <w:rPr>
          <w:rFonts w:hint="eastAsia" w:ascii="宋体" w:hAnsi="宋体"/>
          <w:sz w:val="22"/>
        </w:rPr>
        <w:t>七、不在开标后进行虚假恶意投诉。</w:t>
      </w:r>
    </w:p>
    <w:p>
      <w:pPr>
        <w:spacing w:line="460" w:lineRule="atLeast"/>
        <w:ind w:firstLine="440" w:firstLineChars="200"/>
        <w:jc w:val="left"/>
        <w:rPr>
          <w:rFonts w:hint="eastAsia" w:ascii="宋体" w:hAnsi="宋体"/>
          <w:sz w:val="22"/>
        </w:rPr>
      </w:pPr>
      <w:r>
        <w:rPr>
          <w:rFonts w:hint="eastAsia" w:ascii="宋体" w:hAnsi="宋体"/>
          <w:sz w:val="22"/>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jc w:val="left"/>
        <w:rPr>
          <w:rFonts w:hint="eastAsia" w:ascii="宋体" w:hAnsi="宋体"/>
          <w:sz w:val="22"/>
        </w:rPr>
      </w:pPr>
      <w:r>
        <w:rPr>
          <w:rFonts w:hint="eastAsia" w:ascii="宋体" w:hAnsi="宋体"/>
          <w:sz w:val="22"/>
        </w:rPr>
        <w:t xml:space="preserve">九、没有被各地、各级财政部门禁止参加政府采购活动，且在限制期限内：    </w:t>
      </w:r>
    </w:p>
    <w:p>
      <w:pPr>
        <w:spacing w:line="460" w:lineRule="atLeast"/>
        <w:ind w:firstLine="440" w:firstLineChars="200"/>
        <w:jc w:val="left"/>
        <w:rPr>
          <w:rFonts w:hint="eastAsia" w:ascii="宋体" w:hAnsi="宋体"/>
          <w:sz w:val="22"/>
        </w:rPr>
      </w:pPr>
      <w:r>
        <w:rPr>
          <w:rFonts w:hint="eastAsia" w:ascii="宋体" w:hAnsi="宋体"/>
          <w:sz w:val="22"/>
        </w:rPr>
        <w:t>十、参与本项目政府采购活动3年内没有重大违法记录情况。</w:t>
      </w:r>
    </w:p>
    <w:p>
      <w:pPr>
        <w:spacing w:line="460" w:lineRule="atLeast"/>
        <w:ind w:firstLine="440" w:firstLineChars="200"/>
        <w:rPr>
          <w:rFonts w:hint="eastAsia" w:ascii="宋体" w:hAnsi="宋体"/>
          <w:sz w:val="22"/>
        </w:rPr>
      </w:pPr>
      <w:r>
        <w:rPr>
          <w:rFonts w:hint="eastAsia" w:ascii="宋体" w:hAnsi="宋体"/>
          <w:sz w:val="22"/>
        </w:rPr>
        <w:t>本公司若有违反本承诺内容的行为，愿意承担法律责任，包括不限于：愿意接受相关行政主管部门作出的处罚；给采购人造成损失的，依法承担相应的赔偿责任。</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spacing w:line="460" w:lineRule="atLeast"/>
        <w:ind w:right="1120" w:firstLine="3403" w:firstLineChars="1547"/>
        <w:jc w:val="center"/>
        <w:rPr>
          <w:rFonts w:hint="eastAsia" w:ascii="宋体" w:hAnsi="宋体"/>
          <w:szCs w:val="21"/>
        </w:rPr>
      </w:pPr>
      <w:r>
        <w:rPr>
          <w:rFonts w:hint="eastAsia" w:ascii="宋体" w:hAnsi="宋体"/>
          <w:sz w:val="22"/>
        </w:rPr>
        <w:t>承诺书签署日期：         年  月  日</w:t>
      </w:r>
    </w:p>
    <w:p>
      <w:pPr>
        <w:spacing w:line="360" w:lineRule="exact"/>
        <w:jc w:val="left"/>
        <w:rPr>
          <w:rFonts w:hint="eastAsia" w:ascii="宋体" w:hAnsi="宋体"/>
          <w:sz w:val="30"/>
        </w:rPr>
      </w:pPr>
      <w:r>
        <w:rPr>
          <w:rFonts w:hint="eastAsia" w:ascii="宋体" w:hAnsi="宋体"/>
          <w:bCs/>
          <w:sz w:val="22"/>
          <w:u w:val="single"/>
        </w:rPr>
        <w:t>备注：▲投标供应商必须提供本承诺书，不提供按无效投标处理。</w:t>
      </w:r>
    </w:p>
    <w:p>
      <w:pPr>
        <w:pStyle w:val="13"/>
        <w:spacing w:line="360" w:lineRule="exact"/>
        <w:jc w:val="center"/>
        <w:rPr>
          <w:rFonts w:hint="eastAsia" w:hAnsi="宋体" w:eastAsia="宋体" w:cs="宋体"/>
          <w:b w:val="0"/>
          <w:color w:val="auto"/>
          <w:sz w:val="32"/>
        </w:rPr>
      </w:pPr>
    </w:p>
    <w:p>
      <w:pPr>
        <w:spacing w:line="360" w:lineRule="exact"/>
        <w:jc w:val="left"/>
        <w:rPr>
          <w:rFonts w:hint="eastAsia" w:ascii="宋体" w:hAnsi="宋体"/>
          <w:sz w:val="30"/>
        </w:rPr>
      </w:pPr>
    </w:p>
    <w:p>
      <w:pPr>
        <w:pStyle w:val="13"/>
        <w:adjustRightInd w:val="0"/>
        <w:snapToGrid w:val="0"/>
        <w:spacing w:line="440" w:lineRule="atLeast"/>
        <w:outlineLvl w:val="0"/>
        <w:rPr>
          <w:rFonts w:hint="eastAsia" w:hAnsi="宋体" w:eastAsia="宋体" w:cs="宋体"/>
          <w:color w:val="auto"/>
          <w:sz w:val="22"/>
        </w:rPr>
      </w:pPr>
      <w:bookmarkStart w:id="73" w:name="_Toc2634"/>
      <w:r>
        <w:rPr>
          <w:rFonts w:hint="eastAsia" w:hAnsi="宋体" w:eastAsia="宋体" w:cs="宋体"/>
          <w:sz w:val="22"/>
        </w:rPr>
        <w:t>附件三  供应商基本情况表</w:t>
      </w:r>
      <w:bookmarkEnd w:id="73"/>
    </w:p>
    <w:p>
      <w:pPr>
        <w:jc w:val="center"/>
        <w:rPr>
          <w:rFonts w:hint="eastAsia" w:ascii="宋体" w:hAnsi="宋体"/>
          <w:sz w:val="36"/>
          <w:szCs w:val="36"/>
        </w:rPr>
      </w:pPr>
      <w:r>
        <w:rPr>
          <w:rFonts w:hint="eastAsia" w:ascii="宋体" w:hAnsi="宋体"/>
          <w:sz w:val="36"/>
          <w:szCs w:val="36"/>
        </w:rPr>
        <w:t>供应商基本情况表</w:t>
      </w:r>
    </w:p>
    <w:p>
      <w:pPr>
        <w:spacing w:line="360" w:lineRule="exact"/>
        <w:jc w:val="center"/>
        <w:rPr>
          <w:rFonts w:hint="eastAsia" w:ascii="宋体" w:hAnsi="宋体"/>
          <w:b/>
          <w:sz w:val="28"/>
          <w:szCs w:val="28"/>
        </w:rPr>
      </w:pPr>
    </w:p>
    <w:p>
      <w:pPr>
        <w:spacing w:line="380" w:lineRule="exact"/>
        <w:ind w:firstLine="376" w:firstLineChars="171"/>
        <w:rPr>
          <w:rFonts w:hint="eastAsia" w:ascii="宋体" w:hAnsi="宋体"/>
          <w:b/>
          <w:sz w:val="22"/>
        </w:rPr>
      </w:pPr>
      <w:r>
        <w:rPr>
          <w:rFonts w:hint="eastAsia" w:ascii="宋体" w:hAnsi="宋体"/>
          <w:b/>
          <w:sz w:val="22"/>
        </w:rPr>
        <w:t xml:space="preserve">项目名称：                        项目编号：           </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27"/>
        <w:gridCol w:w="1525"/>
        <w:gridCol w:w="1185"/>
        <w:gridCol w:w="342"/>
        <w:gridCol w:w="1525"/>
        <w:gridCol w:w="1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单位名称</w:t>
            </w:r>
          </w:p>
          <w:p>
            <w:pPr>
              <w:jc w:val="center"/>
              <w:rPr>
                <w:rFonts w:hint="eastAsia" w:ascii="宋体" w:hAnsi="宋体"/>
                <w:sz w:val="22"/>
              </w:rPr>
            </w:pPr>
            <w:r>
              <w:rPr>
                <w:rFonts w:hint="eastAsia" w:ascii="宋体" w:hAnsi="宋体"/>
                <w:sz w:val="22"/>
              </w:rPr>
              <w:t>（公章）</w:t>
            </w:r>
          </w:p>
        </w:tc>
        <w:tc>
          <w:tcPr>
            <w:tcW w:w="7631" w:type="dxa"/>
            <w:gridSpan w:val="6"/>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单位地址</w:t>
            </w: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主管部门</w:t>
            </w: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成立时间</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批准部门</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批准文号</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单位性质</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开户银行及帐号</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注册资金（或事业单位开办资金）</w:t>
            </w:r>
          </w:p>
          <w:p>
            <w:pPr>
              <w:jc w:val="center"/>
              <w:rPr>
                <w:rFonts w:hint="eastAsia" w:ascii="宋体" w:hAnsi="宋体"/>
                <w:sz w:val="22"/>
              </w:rPr>
            </w:pPr>
            <w:r>
              <w:rPr>
                <w:rFonts w:hint="eastAsia" w:ascii="宋体" w:hAnsi="宋体"/>
                <w:sz w:val="22"/>
              </w:rPr>
              <w:t>（万元）</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资质证书及级别</w:t>
            </w:r>
          </w:p>
        </w:tc>
        <w:tc>
          <w:tcPr>
            <w:tcW w:w="15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证号</w:t>
            </w:r>
          </w:p>
        </w:tc>
        <w:tc>
          <w:tcPr>
            <w:tcW w:w="1527"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发证单位</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主要售后服务机构</w:t>
            </w:r>
          </w:p>
        </w:tc>
        <w:tc>
          <w:tcPr>
            <w:tcW w:w="7631" w:type="dxa"/>
            <w:gridSpan w:val="6"/>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联系人</w:t>
            </w:r>
          </w:p>
        </w:tc>
        <w:tc>
          <w:tcPr>
            <w:tcW w:w="15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电话</w:t>
            </w:r>
          </w:p>
        </w:tc>
        <w:tc>
          <w:tcPr>
            <w:tcW w:w="4579"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宋体" w:hAnsi="宋体"/>
                <w:sz w:val="22"/>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传真</w:t>
            </w:r>
          </w:p>
        </w:tc>
        <w:tc>
          <w:tcPr>
            <w:tcW w:w="4579"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宋体" w:hAnsi="宋体"/>
                <w:sz w:val="22"/>
              </w:rPr>
            </w:pPr>
            <w:r>
              <w:rPr>
                <w:rFonts w:hint="eastAsia" w:ascii="宋体" w:hAnsi="宋体"/>
                <w:sz w:val="22"/>
              </w:rPr>
              <w:t>职工概况</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职工总数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其中： </w:t>
            </w: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编校人员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高级职称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技术员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中级职称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业务员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单位行政和主要技术人员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姓名</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职务及职称</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年龄</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专业</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从业年限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r>
              <w:rPr>
                <w:rFonts w:hint="eastAsia" w:ascii="宋体" w:hAnsi="宋体"/>
                <w:sz w:val="22"/>
              </w:rPr>
              <w:t>……</w:t>
            </w:r>
          </w:p>
        </w:tc>
        <w:tc>
          <w:tcPr>
            <w:tcW w:w="152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宋体" w:hAnsi="宋体"/>
                <w:sz w:val="22"/>
              </w:rPr>
            </w:pPr>
          </w:p>
        </w:tc>
      </w:tr>
    </w:tbl>
    <w:p>
      <w:pPr>
        <w:pStyle w:val="13"/>
        <w:adjustRightInd w:val="0"/>
        <w:snapToGrid w:val="0"/>
        <w:spacing w:line="440" w:lineRule="atLeast"/>
        <w:outlineLvl w:val="0"/>
        <w:rPr>
          <w:rFonts w:hint="eastAsia" w:hAnsi="宋体" w:eastAsia="宋体" w:cs="宋体"/>
          <w:sz w:val="22"/>
        </w:rPr>
        <w:sectPr>
          <w:pgSz w:w="11906" w:h="16838"/>
          <w:pgMar w:top="1440" w:right="1247" w:bottom="1440" w:left="1247" w:header="851" w:footer="992" w:gutter="0"/>
          <w:cols w:space="720" w:num="1"/>
          <w:titlePg/>
          <w:docGrid w:type="linesAndChars" w:linePitch="312" w:charSpace="0"/>
        </w:sectPr>
      </w:pPr>
    </w:p>
    <w:p>
      <w:pPr>
        <w:pStyle w:val="13"/>
        <w:adjustRightInd w:val="0"/>
        <w:snapToGrid w:val="0"/>
        <w:spacing w:line="440" w:lineRule="atLeast"/>
        <w:outlineLvl w:val="0"/>
        <w:rPr>
          <w:rFonts w:hint="eastAsia" w:hAnsi="宋体" w:eastAsia="宋体" w:cs="宋体"/>
          <w:szCs w:val="21"/>
        </w:rPr>
      </w:pPr>
      <w:bookmarkStart w:id="74" w:name="_Toc9216"/>
      <w:r>
        <w:rPr>
          <w:rFonts w:hint="eastAsia" w:hAnsi="宋体" w:eastAsia="宋体" w:cs="宋体"/>
          <w:sz w:val="22"/>
        </w:rPr>
        <w:t>附件三  同类项目业绩清单</w:t>
      </w:r>
      <w:bookmarkEnd w:id="74"/>
    </w:p>
    <w:p>
      <w:pPr>
        <w:pStyle w:val="13"/>
        <w:spacing w:line="360" w:lineRule="exact"/>
        <w:jc w:val="center"/>
        <w:rPr>
          <w:rFonts w:hint="eastAsia" w:hAnsi="宋体" w:eastAsia="宋体" w:cs="宋体"/>
          <w:b w:val="0"/>
          <w:color w:val="auto"/>
          <w:sz w:val="32"/>
        </w:rPr>
      </w:pPr>
      <w:r>
        <w:rPr>
          <w:rFonts w:hint="eastAsia" w:hAnsi="宋体" w:eastAsia="宋体" w:cs="宋体"/>
          <w:b w:val="0"/>
          <w:color w:val="auto"/>
          <w:sz w:val="32"/>
        </w:rPr>
        <w:t>1、根据评分标准需提供的项目业绩清单</w:t>
      </w:r>
    </w:p>
    <w:p>
      <w:pPr>
        <w:pStyle w:val="13"/>
        <w:spacing w:line="360" w:lineRule="exact"/>
        <w:jc w:val="center"/>
        <w:rPr>
          <w:rFonts w:hint="eastAsia" w:hAnsi="宋体" w:eastAsia="宋体" w:cs="宋体"/>
          <w:b w:val="0"/>
          <w:color w:val="auto"/>
          <w:sz w:val="22"/>
        </w:rPr>
      </w:pPr>
    </w:p>
    <w:tbl>
      <w:tblPr>
        <w:tblStyle w:val="24"/>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004"/>
        <w:gridCol w:w="883"/>
        <w:gridCol w:w="119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序号</w:t>
            </w:r>
          </w:p>
        </w:tc>
        <w:tc>
          <w:tcPr>
            <w:tcW w:w="1153"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采购</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spacing w:val="20"/>
                <w:sz w:val="22"/>
              </w:rPr>
              <w:t>单位</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项目</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名称</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数量</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合同</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金额</w:t>
            </w:r>
          </w:p>
        </w:tc>
        <w:tc>
          <w:tcPr>
            <w:tcW w:w="1154"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签约</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spacing w:val="20"/>
                <w:sz w:val="22"/>
              </w:rPr>
              <w:t>日期</w:t>
            </w:r>
          </w:p>
        </w:tc>
        <w:tc>
          <w:tcPr>
            <w:tcW w:w="1004"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联系人</w:t>
            </w:r>
          </w:p>
        </w:tc>
        <w:tc>
          <w:tcPr>
            <w:tcW w:w="883"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联系</w:t>
            </w:r>
          </w:p>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电话</w:t>
            </w:r>
          </w:p>
        </w:tc>
        <w:tc>
          <w:tcPr>
            <w:tcW w:w="1191"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bl>
    <w:p>
      <w:pPr>
        <w:pStyle w:val="13"/>
        <w:spacing w:line="360" w:lineRule="exact"/>
        <w:rPr>
          <w:rFonts w:hint="eastAsia" w:hAnsi="宋体" w:eastAsia="宋体" w:cs="宋体"/>
          <w:b w:val="0"/>
          <w:color w:val="auto"/>
          <w:sz w:val="32"/>
        </w:rPr>
      </w:pPr>
      <w:r>
        <w:rPr>
          <w:rFonts w:hint="eastAsia" w:hAnsi="宋体" w:eastAsia="宋体" w:cs="宋体"/>
          <w:b w:val="0"/>
          <w:color w:val="auto"/>
          <w:sz w:val="22"/>
        </w:rPr>
        <w:t>本表后附评分标准中所需要的证明材料。</w:t>
      </w:r>
    </w:p>
    <w:p>
      <w:pPr>
        <w:rPr>
          <w:rFonts w:hint="eastAsia" w:ascii="宋体" w:hAnsi="宋体"/>
          <w:spacing w:val="20"/>
          <w:sz w:val="22"/>
        </w:rPr>
      </w:pPr>
    </w:p>
    <w:p>
      <w:pPr>
        <w:rPr>
          <w:rFonts w:hint="eastAsia" w:ascii="宋体" w:hAnsi="宋体"/>
          <w:sz w:val="36"/>
          <w:szCs w:val="36"/>
        </w:rPr>
      </w:pPr>
      <w:r>
        <w:rPr>
          <w:rFonts w:hint="eastAsia" w:ascii="宋体" w:hAnsi="宋体"/>
          <w:spacing w:val="20"/>
          <w:sz w:val="22"/>
        </w:rPr>
        <w:t>供应商盖章：</w:t>
      </w:r>
      <w:r>
        <w:rPr>
          <w:rFonts w:hint="eastAsia" w:ascii="宋体" w:hAnsi="宋体"/>
          <w:spacing w:val="20"/>
          <w:sz w:val="22"/>
          <w:u w:val="single"/>
        </w:rPr>
        <w:t xml:space="preserve">           </w:t>
      </w:r>
    </w:p>
    <w:p>
      <w:pPr>
        <w:pStyle w:val="13"/>
        <w:spacing w:line="360" w:lineRule="exact"/>
        <w:rPr>
          <w:rFonts w:hint="eastAsia" w:hAnsi="宋体" w:eastAsia="宋体" w:cs="宋体"/>
          <w:b w:val="0"/>
          <w:color w:val="auto"/>
          <w:sz w:val="36"/>
          <w:szCs w:val="36"/>
        </w:rPr>
      </w:pPr>
    </w:p>
    <w:p>
      <w:pPr>
        <w:pStyle w:val="13"/>
        <w:spacing w:line="360" w:lineRule="exact"/>
        <w:rPr>
          <w:rFonts w:hint="eastAsia" w:hAnsi="宋体" w:eastAsia="宋体" w:cs="宋体"/>
          <w:b w:val="0"/>
          <w:color w:val="auto"/>
          <w:sz w:val="36"/>
          <w:szCs w:val="36"/>
        </w:rPr>
      </w:pPr>
    </w:p>
    <w:p>
      <w:pPr>
        <w:spacing w:line="360" w:lineRule="exact"/>
        <w:jc w:val="left"/>
        <w:rPr>
          <w:rFonts w:hint="eastAsia" w:ascii="宋体" w:hAnsi="宋体"/>
          <w:sz w:val="30"/>
        </w:rPr>
      </w:pPr>
    </w:p>
    <w:p>
      <w:pPr>
        <w:spacing w:line="360" w:lineRule="exact"/>
        <w:jc w:val="left"/>
        <w:rPr>
          <w:rFonts w:hint="eastAsia" w:ascii="宋体" w:hAnsi="宋体"/>
          <w:sz w:val="30"/>
        </w:rPr>
      </w:pPr>
    </w:p>
    <w:p>
      <w:pPr>
        <w:pStyle w:val="2"/>
        <w:rPr>
          <w:rFonts w:hint="eastAsia" w:ascii="宋体" w:hAnsi="宋体"/>
          <w:sz w:val="30"/>
        </w:rPr>
      </w:pPr>
    </w:p>
    <w:p>
      <w:pPr>
        <w:pStyle w:val="13"/>
        <w:spacing w:line="360" w:lineRule="exact"/>
        <w:jc w:val="center"/>
        <w:rPr>
          <w:rFonts w:hint="eastAsia" w:hAnsi="宋体" w:eastAsia="宋体" w:cs="宋体"/>
          <w:color w:val="auto"/>
          <w:sz w:val="32"/>
        </w:rPr>
      </w:pPr>
      <w:r>
        <w:rPr>
          <w:rFonts w:hint="eastAsia" w:hAnsi="宋体" w:eastAsia="宋体" w:cs="宋体"/>
          <w:color w:val="auto"/>
          <w:sz w:val="32"/>
        </w:rPr>
        <w:t>2、建设施工交付能力自测表</w:t>
      </w:r>
    </w:p>
    <w:p>
      <w:pPr>
        <w:pStyle w:val="13"/>
        <w:spacing w:line="360" w:lineRule="exact"/>
        <w:jc w:val="center"/>
        <w:rPr>
          <w:rFonts w:hint="eastAsia" w:hAnsi="宋体" w:eastAsia="宋体" w:cs="宋体"/>
          <w:b w:val="0"/>
          <w:color w:val="auto"/>
          <w:sz w:val="22"/>
        </w:rPr>
      </w:pPr>
    </w:p>
    <w:tbl>
      <w:tblPr>
        <w:tblStyle w:val="24"/>
        <w:tblW w:w="9296"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1"/>
        <w:gridCol w:w="1892"/>
        <w:gridCol w:w="888"/>
        <w:gridCol w:w="1390"/>
        <w:gridCol w:w="1390"/>
        <w:gridCol w:w="1390"/>
        <w:gridCol w:w="143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6" w:hRule="atLeast"/>
        </w:trPr>
        <w:tc>
          <w:tcPr>
            <w:tcW w:w="911"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序号</w:t>
            </w:r>
          </w:p>
        </w:tc>
        <w:tc>
          <w:tcPr>
            <w:tcW w:w="1892"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对应业绩清单的项目</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名称</w:t>
            </w:r>
          </w:p>
        </w:tc>
        <w:tc>
          <w:tcPr>
            <w:tcW w:w="888"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olor w:val="000000"/>
                <w:kern w:val="0"/>
                <w:sz w:val="22"/>
              </w:rPr>
              <w:t>合同约定竣工验收时间</w:t>
            </w:r>
          </w:p>
        </w:tc>
        <w:tc>
          <w:tcPr>
            <w:tcW w:w="1390"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olor w:val="000000"/>
                <w:kern w:val="0"/>
                <w:sz w:val="22"/>
              </w:rPr>
              <w:t>实际验收时间</w:t>
            </w:r>
          </w:p>
        </w:tc>
        <w:tc>
          <w:tcPr>
            <w:tcW w:w="1390" w:type="dxa"/>
            <w:noWrap w:val="0"/>
            <w:vAlign w:val="top"/>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rPr>
              <w:t>约定时间与实际验收时间差</w:t>
            </w:r>
          </w:p>
        </w:tc>
        <w:tc>
          <w:tcPr>
            <w:tcW w:w="1390" w:type="dxa"/>
            <w:noWrap w:val="0"/>
            <w:vAlign w:val="top"/>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rPr>
              <w:t>自测得分</w:t>
            </w:r>
          </w:p>
        </w:tc>
        <w:tc>
          <w:tcPr>
            <w:tcW w:w="1435"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bl>
    <w:p>
      <w:pPr>
        <w:pStyle w:val="13"/>
        <w:spacing w:line="360" w:lineRule="exact"/>
        <w:rPr>
          <w:rFonts w:hint="eastAsia" w:hAnsi="宋体" w:eastAsia="宋体" w:cs="宋体"/>
          <w:b w:val="0"/>
          <w:color w:val="auto"/>
          <w:sz w:val="32"/>
        </w:rPr>
      </w:pPr>
      <w:r>
        <w:rPr>
          <w:rFonts w:hint="eastAsia" w:hAnsi="宋体" w:eastAsia="宋体" w:cs="宋体"/>
          <w:b w:val="0"/>
          <w:color w:val="auto"/>
          <w:sz w:val="22"/>
        </w:rPr>
        <w:t>本表后附评分标准中所需要的证明材料。</w:t>
      </w:r>
    </w:p>
    <w:p>
      <w:pPr>
        <w:rPr>
          <w:rFonts w:hint="eastAsia" w:ascii="宋体" w:hAnsi="宋体"/>
          <w:spacing w:val="20"/>
          <w:sz w:val="22"/>
        </w:rPr>
      </w:pPr>
    </w:p>
    <w:p>
      <w:pPr>
        <w:rPr>
          <w:rFonts w:hint="eastAsia" w:ascii="宋体" w:hAnsi="宋体"/>
          <w:sz w:val="36"/>
          <w:szCs w:val="36"/>
        </w:rPr>
      </w:pPr>
      <w:r>
        <w:rPr>
          <w:rFonts w:hint="eastAsia" w:ascii="宋体" w:hAnsi="宋体"/>
          <w:spacing w:val="20"/>
          <w:sz w:val="22"/>
        </w:rPr>
        <w:t>供应商盖章：</w:t>
      </w:r>
      <w:r>
        <w:rPr>
          <w:rFonts w:hint="eastAsia" w:ascii="宋体" w:hAnsi="宋体"/>
          <w:spacing w:val="20"/>
          <w:sz w:val="22"/>
          <w:u w:val="single"/>
        </w:rPr>
        <w:t xml:space="preserve">           </w:t>
      </w:r>
    </w:p>
    <w:p>
      <w:pPr>
        <w:pStyle w:val="2"/>
        <w:rPr>
          <w:rFonts w:hint="eastAsia" w:ascii="宋体" w:hAnsi="宋体"/>
          <w:sz w:val="30"/>
        </w:rPr>
      </w:pPr>
    </w:p>
    <w:p>
      <w:pPr>
        <w:spacing w:line="360" w:lineRule="exact"/>
        <w:jc w:val="left"/>
        <w:rPr>
          <w:rFonts w:hint="eastAsia" w:ascii="宋体" w:hAnsi="宋体"/>
          <w:sz w:val="30"/>
        </w:rPr>
      </w:pPr>
    </w:p>
    <w:p>
      <w:pPr>
        <w:autoSpaceDE w:val="0"/>
        <w:autoSpaceDN w:val="0"/>
        <w:adjustRightInd w:val="0"/>
        <w:spacing w:line="360" w:lineRule="exact"/>
        <w:jc w:val="left"/>
        <w:rPr>
          <w:rFonts w:hint="eastAsia" w:ascii="宋体" w:hAnsi="宋体"/>
          <w:sz w:val="32"/>
          <w:lang w:val="zh-CN"/>
        </w:rPr>
      </w:pPr>
    </w:p>
    <w:p>
      <w:pPr>
        <w:pStyle w:val="2"/>
        <w:rPr>
          <w:rFonts w:hint="eastAsia"/>
          <w:lang w:val="zh-CN"/>
        </w:rPr>
      </w:pPr>
    </w:p>
    <w:p>
      <w:pPr>
        <w:pStyle w:val="13"/>
        <w:adjustRightInd w:val="0"/>
        <w:snapToGrid w:val="0"/>
        <w:spacing w:line="440" w:lineRule="atLeast"/>
        <w:outlineLvl w:val="0"/>
        <w:rPr>
          <w:rFonts w:hint="eastAsia" w:hAnsi="宋体" w:eastAsia="宋体" w:cs="宋体"/>
          <w:b w:val="0"/>
          <w:color w:val="auto"/>
          <w:sz w:val="32"/>
          <w:lang w:val="zh-CN"/>
        </w:rPr>
      </w:pPr>
      <w:bookmarkStart w:id="75" w:name="_Toc19070"/>
      <w:r>
        <w:rPr>
          <w:rFonts w:hint="eastAsia" w:hAnsi="宋体" w:eastAsia="宋体" w:cs="宋体"/>
          <w:sz w:val="22"/>
          <w:lang w:val="zh-CN"/>
        </w:rPr>
        <w:t>附件</w:t>
      </w:r>
      <w:r>
        <w:rPr>
          <w:rFonts w:hint="eastAsia" w:hAnsi="宋体" w:eastAsia="宋体" w:cs="宋体"/>
          <w:sz w:val="22"/>
        </w:rPr>
        <w:t>四  商务、技术偏离表</w:t>
      </w:r>
      <w:bookmarkEnd w:id="75"/>
    </w:p>
    <w:p>
      <w:pPr>
        <w:autoSpaceDE w:val="0"/>
        <w:autoSpaceDN w:val="0"/>
        <w:adjustRightInd w:val="0"/>
        <w:spacing w:line="360" w:lineRule="exact"/>
        <w:jc w:val="center"/>
        <w:rPr>
          <w:rFonts w:hint="eastAsia" w:ascii="宋体" w:hAnsi="宋体"/>
          <w:sz w:val="32"/>
          <w:lang w:val="zh-CN"/>
        </w:rPr>
      </w:pPr>
      <w:r>
        <w:rPr>
          <w:rFonts w:hint="eastAsia" w:ascii="宋体" w:hAnsi="宋体"/>
          <w:sz w:val="32"/>
          <w:lang w:val="zh-CN"/>
        </w:rPr>
        <w:t>（一）商务偏离表</w:t>
      </w:r>
    </w:p>
    <w:p>
      <w:pPr>
        <w:autoSpaceDE w:val="0"/>
        <w:autoSpaceDN w:val="0"/>
        <w:adjustRightInd w:val="0"/>
        <w:spacing w:line="360" w:lineRule="exact"/>
        <w:ind w:firstLine="3413"/>
        <w:rPr>
          <w:rFonts w:hint="eastAsia" w:ascii="宋体" w:hAnsi="宋体"/>
          <w:sz w:val="32"/>
          <w:lang w:val="zh-CN"/>
        </w:rPr>
      </w:pPr>
      <w:r>
        <w:rPr>
          <w:rFonts w:hint="eastAsia" w:ascii="宋体" w:hAnsi="宋体"/>
          <w:sz w:val="32"/>
          <w:lang w:val="zh-CN"/>
        </w:rPr>
        <w:t xml:space="preserve">      </w:t>
      </w:r>
    </w:p>
    <w:tbl>
      <w:tblPr>
        <w:tblStyle w:val="24"/>
        <w:tblW w:w="0" w:type="auto"/>
        <w:tblInd w:w="108" w:type="dxa"/>
        <w:tblLayout w:type="fixed"/>
        <w:tblCellMar>
          <w:top w:w="0" w:type="dxa"/>
          <w:left w:w="108" w:type="dxa"/>
          <w:bottom w:w="0" w:type="dxa"/>
          <w:right w:w="108" w:type="dxa"/>
        </w:tblCellMar>
      </w:tblPr>
      <w:tblGrid>
        <w:gridCol w:w="1076"/>
        <w:gridCol w:w="1614"/>
        <w:gridCol w:w="2212"/>
        <w:gridCol w:w="2212"/>
        <w:gridCol w:w="2286"/>
      </w:tblGrid>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序 号</w:t>
            </w:r>
          </w:p>
        </w:tc>
        <w:tc>
          <w:tcPr>
            <w:tcW w:w="161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内容</w:t>
            </w:r>
          </w:p>
        </w:tc>
        <w:tc>
          <w:tcPr>
            <w:tcW w:w="22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招标文件规范要求</w:t>
            </w:r>
          </w:p>
        </w:tc>
        <w:tc>
          <w:tcPr>
            <w:tcW w:w="22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投标文件</w:t>
            </w:r>
          </w:p>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对应规范</w:t>
            </w:r>
          </w:p>
        </w:tc>
        <w:tc>
          <w:tcPr>
            <w:tcW w:w="22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备 注</w:t>
            </w: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42"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bl>
    <w:p>
      <w:pPr>
        <w:autoSpaceDE w:val="0"/>
        <w:autoSpaceDN w:val="0"/>
        <w:adjustRightInd w:val="0"/>
        <w:spacing w:line="360" w:lineRule="exact"/>
        <w:rPr>
          <w:rFonts w:hint="eastAsia" w:ascii="宋体" w:hAnsi="宋体"/>
          <w:sz w:val="24"/>
          <w:lang w:val="zh-CN"/>
        </w:rPr>
      </w:pPr>
      <w:r>
        <w:rPr>
          <w:rFonts w:hint="eastAsia" w:ascii="宋体" w:hAnsi="宋体"/>
          <w:sz w:val="24"/>
          <w:lang w:val="zh-CN"/>
        </w:rPr>
        <w:t>供应商盖章：</w:t>
      </w:r>
      <w:r>
        <w:rPr>
          <w:rFonts w:hint="eastAsia" w:ascii="宋体" w:hAnsi="宋体"/>
          <w:sz w:val="24"/>
          <w:u w:val="single"/>
          <w:lang w:val="zh-CN"/>
        </w:rPr>
        <w:t xml:space="preserve">              </w:t>
      </w:r>
      <w:r>
        <w:rPr>
          <w:rFonts w:hint="eastAsia" w:ascii="宋体" w:hAnsi="宋体"/>
          <w:sz w:val="24"/>
          <w:lang w:val="zh-CN"/>
        </w:rPr>
        <w:t xml:space="preserve">  </w:t>
      </w:r>
    </w:p>
    <w:p>
      <w:pPr>
        <w:autoSpaceDE w:val="0"/>
        <w:autoSpaceDN w:val="0"/>
        <w:adjustRightInd w:val="0"/>
        <w:spacing w:line="360" w:lineRule="exact"/>
        <w:rPr>
          <w:rFonts w:hint="eastAsia" w:ascii="宋体" w:hAnsi="宋体"/>
          <w:sz w:val="32"/>
          <w:lang w:val="zh-CN"/>
        </w:rPr>
      </w:pPr>
    </w:p>
    <w:p>
      <w:pPr>
        <w:autoSpaceDE w:val="0"/>
        <w:autoSpaceDN w:val="0"/>
        <w:adjustRightInd w:val="0"/>
        <w:spacing w:line="360" w:lineRule="exact"/>
        <w:jc w:val="center"/>
        <w:rPr>
          <w:rFonts w:hint="eastAsia" w:ascii="宋体" w:hAnsi="宋体"/>
          <w:sz w:val="32"/>
          <w:lang w:val="zh-CN"/>
        </w:rPr>
      </w:pPr>
      <w:r>
        <w:rPr>
          <w:rFonts w:hint="eastAsia" w:ascii="宋体" w:hAnsi="宋体"/>
          <w:sz w:val="32"/>
          <w:lang w:val="zh-CN"/>
        </w:rPr>
        <w:t>（二）技术偏离表</w:t>
      </w:r>
    </w:p>
    <w:p>
      <w:pPr>
        <w:autoSpaceDE w:val="0"/>
        <w:autoSpaceDN w:val="0"/>
        <w:adjustRightInd w:val="0"/>
        <w:spacing w:line="360" w:lineRule="exact"/>
        <w:jc w:val="center"/>
        <w:rPr>
          <w:rFonts w:hint="eastAsia" w:ascii="宋体" w:hAnsi="宋体"/>
          <w:sz w:val="32"/>
          <w:lang w:val="zh-CN"/>
        </w:rPr>
      </w:pPr>
    </w:p>
    <w:tbl>
      <w:tblPr>
        <w:tblStyle w:val="24"/>
        <w:tblW w:w="0" w:type="auto"/>
        <w:tblInd w:w="108" w:type="dxa"/>
        <w:tblLayout w:type="fixed"/>
        <w:tblCellMar>
          <w:top w:w="0" w:type="dxa"/>
          <w:left w:w="108" w:type="dxa"/>
          <w:bottom w:w="0" w:type="dxa"/>
          <w:right w:w="108" w:type="dxa"/>
        </w:tblCellMar>
      </w:tblPr>
      <w:tblGrid>
        <w:gridCol w:w="1074"/>
        <w:gridCol w:w="1610"/>
        <w:gridCol w:w="2207"/>
        <w:gridCol w:w="2207"/>
        <w:gridCol w:w="2282"/>
      </w:tblGrid>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序 号</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内容</w:t>
            </w:r>
          </w:p>
        </w:tc>
        <w:tc>
          <w:tcPr>
            <w:tcW w:w="22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招标文件规范要求</w:t>
            </w:r>
          </w:p>
        </w:tc>
        <w:tc>
          <w:tcPr>
            <w:tcW w:w="22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投标文件</w:t>
            </w:r>
          </w:p>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对应规范</w:t>
            </w:r>
          </w:p>
        </w:tc>
        <w:tc>
          <w:tcPr>
            <w:tcW w:w="22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备 注</w:t>
            </w: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5"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bl>
    <w:p>
      <w:pPr>
        <w:spacing w:line="360" w:lineRule="exact"/>
        <w:rPr>
          <w:rFonts w:hint="eastAsia" w:ascii="宋体" w:hAnsi="宋体"/>
          <w:spacing w:val="20"/>
          <w:sz w:val="22"/>
        </w:rPr>
      </w:pPr>
      <w:r>
        <w:rPr>
          <w:rFonts w:hint="eastAsia" w:ascii="宋体" w:hAnsi="宋体"/>
          <w:sz w:val="22"/>
          <w:lang w:val="zh-CN"/>
        </w:rPr>
        <w:t>供应商盖章：</w:t>
      </w:r>
      <w:r>
        <w:rPr>
          <w:rFonts w:hint="eastAsia" w:ascii="宋体" w:hAnsi="宋体"/>
          <w:sz w:val="22"/>
          <w:u w:val="single"/>
          <w:lang w:val="zh-CN"/>
        </w:rPr>
        <w:t xml:space="preserve">              </w:t>
      </w:r>
    </w:p>
    <w:p>
      <w:pPr>
        <w:spacing w:line="360" w:lineRule="exact"/>
        <w:rPr>
          <w:rFonts w:hint="eastAsia" w:ascii="宋体" w:hAnsi="宋体"/>
          <w:sz w:val="22"/>
          <w:lang w:val="zh-CN"/>
        </w:rPr>
      </w:pPr>
      <w:r>
        <w:rPr>
          <w:rFonts w:hint="eastAsia" w:ascii="宋体" w:hAnsi="宋体"/>
          <w:sz w:val="22"/>
          <w:lang w:val="zh-CN"/>
        </w:rPr>
        <w:t>备注：</w:t>
      </w:r>
      <w:r>
        <w:rPr>
          <w:rFonts w:hint="eastAsia" w:ascii="宋体" w:hAnsi="宋体"/>
          <w:sz w:val="22"/>
        </w:rPr>
        <w:t>1、</w:t>
      </w:r>
      <w:r>
        <w:rPr>
          <w:rFonts w:hint="eastAsia" w:ascii="宋体" w:hAnsi="宋体"/>
          <w:sz w:val="22"/>
          <w:lang w:val="zh-CN"/>
        </w:rPr>
        <w:t>表格可以延续</w:t>
      </w:r>
    </w:p>
    <w:p>
      <w:pPr>
        <w:spacing w:line="360" w:lineRule="exact"/>
        <w:ind w:firstLine="660" w:firstLineChars="300"/>
        <w:rPr>
          <w:rFonts w:hint="eastAsia" w:ascii="宋体" w:hAnsi="宋体"/>
          <w:sz w:val="22"/>
        </w:rPr>
        <w:sectPr>
          <w:pgSz w:w="11906" w:h="16838"/>
          <w:pgMar w:top="1440" w:right="1247" w:bottom="1440" w:left="1247" w:header="851" w:footer="992" w:gutter="0"/>
          <w:cols w:space="720" w:num="1"/>
          <w:titlePg/>
          <w:docGrid w:type="linesAndChars" w:linePitch="312" w:charSpace="0"/>
        </w:sectPr>
      </w:pPr>
      <w:r>
        <w:rPr>
          <w:rFonts w:hint="eastAsia" w:ascii="宋体" w:hAnsi="宋体"/>
          <w:sz w:val="22"/>
        </w:rPr>
        <w:t>2、</w:t>
      </w:r>
      <w:r>
        <w:rPr>
          <w:rFonts w:hint="eastAsia" w:ascii="宋体" w:hAnsi="宋体"/>
          <w:sz w:val="22"/>
          <w:u w:val="wave"/>
          <w:lang w:val="zh-CN"/>
        </w:rPr>
        <w:t>注明：</w:t>
      </w:r>
      <w:r>
        <w:rPr>
          <w:rFonts w:hint="eastAsia" w:ascii="宋体" w:hAnsi="宋体"/>
          <w:sz w:val="22"/>
          <w:u w:val="wave"/>
        </w:rPr>
        <w:t>如无偏离，应明确填写无偏离字样</w:t>
      </w:r>
      <w:r>
        <w:rPr>
          <w:rFonts w:hint="eastAsia" w:ascii="宋体" w:hAnsi="宋体"/>
          <w:sz w:val="22"/>
          <w:u w:val="wave"/>
          <w:lang w:val="zh-CN"/>
        </w:rPr>
        <w:t>，若有偏离，应逐项列出。</w:t>
      </w:r>
    </w:p>
    <w:p>
      <w:pPr>
        <w:pStyle w:val="13"/>
        <w:adjustRightInd w:val="0"/>
        <w:snapToGrid w:val="0"/>
        <w:spacing w:line="440" w:lineRule="atLeast"/>
        <w:outlineLvl w:val="0"/>
        <w:rPr>
          <w:rFonts w:hint="eastAsia" w:hAnsi="宋体" w:eastAsia="宋体" w:cs="宋体"/>
          <w:sz w:val="22"/>
        </w:rPr>
      </w:pPr>
      <w:bookmarkStart w:id="76" w:name="_Toc9397"/>
      <w:bookmarkStart w:id="77" w:name="_Toc2584"/>
      <w:bookmarkStart w:id="78" w:name="_Toc9744"/>
      <w:bookmarkStart w:id="79" w:name="_Toc245027855"/>
      <w:bookmarkStart w:id="80" w:name="_Toc331274348"/>
      <w:bookmarkStart w:id="81" w:name="_Toc228002382"/>
      <w:r>
        <w:rPr>
          <w:rFonts w:hint="eastAsia" w:hAnsi="宋体" w:eastAsia="宋体" w:cs="宋体"/>
          <w:sz w:val="22"/>
        </w:rPr>
        <w:t>附件</w:t>
      </w:r>
      <w:bookmarkEnd w:id="76"/>
      <w:bookmarkEnd w:id="77"/>
      <w:r>
        <w:rPr>
          <w:rFonts w:hint="eastAsia" w:hAnsi="宋体" w:eastAsia="宋体" w:cs="宋体"/>
          <w:sz w:val="22"/>
        </w:rPr>
        <w:t>五 投标产品配置清单</w:t>
      </w:r>
      <w:bookmarkEnd w:id="78"/>
    </w:p>
    <w:p>
      <w:pPr>
        <w:pStyle w:val="13"/>
        <w:tabs>
          <w:tab w:val="left" w:pos="0"/>
          <w:tab w:val="left" w:pos="540"/>
        </w:tabs>
        <w:spacing w:before="120" w:after="120" w:line="400" w:lineRule="exact"/>
        <w:jc w:val="center"/>
        <w:rPr>
          <w:rFonts w:hint="eastAsia" w:hAnsi="宋体" w:eastAsia="宋体" w:cs="宋体"/>
          <w:sz w:val="36"/>
          <w:lang w:val="zh-CN"/>
        </w:rPr>
      </w:pPr>
      <w:r>
        <w:rPr>
          <w:rFonts w:hint="eastAsia" w:hAnsi="宋体" w:eastAsia="宋体" w:cs="宋体"/>
          <w:sz w:val="32"/>
          <w:szCs w:val="32"/>
        </w:rPr>
        <w:t>1、</w:t>
      </w:r>
      <w:r>
        <w:rPr>
          <w:rFonts w:hint="eastAsia" w:hAnsi="宋体" w:eastAsia="宋体" w:cs="宋体"/>
          <w:sz w:val="32"/>
          <w:szCs w:val="32"/>
          <w:lang w:val="zh-CN"/>
        </w:rPr>
        <w:t>投标产品配置清单</w:t>
      </w:r>
    </w:p>
    <w:p>
      <w:pPr>
        <w:spacing w:line="360" w:lineRule="exact"/>
        <w:rPr>
          <w:rFonts w:hint="eastAsia" w:ascii="宋体" w:hAnsi="宋体"/>
          <w:spacing w:val="20"/>
          <w:sz w:val="22"/>
        </w:rPr>
      </w:pPr>
      <w:r>
        <w:rPr>
          <w:rFonts w:hint="eastAsia" w:ascii="宋体" w:hAnsi="宋体"/>
          <w:spacing w:val="20"/>
          <w:sz w:val="22"/>
        </w:rPr>
        <w:t>供应商名称：        招标编号：</w:t>
      </w:r>
    </w:p>
    <w:p>
      <w:pPr>
        <w:spacing w:line="360" w:lineRule="exact"/>
        <w:rPr>
          <w:rFonts w:hint="eastAsia" w:ascii="宋体" w:hAnsi="宋体"/>
          <w:spacing w:val="20"/>
          <w:sz w:val="22"/>
        </w:rPr>
      </w:pPr>
      <w:r>
        <w:rPr>
          <w:rFonts w:hint="eastAsia" w:ascii="宋体" w:hAnsi="宋体"/>
          <w:spacing w:val="20"/>
          <w:sz w:val="22"/>
        </w:rPr>
        <w:t>投标项目名称：</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6"/>
        <w:gridCol w:w="1652"/>
        <w:gridCol w:w="1310"/>
        <w:gridCol w:w="1996"/>
        <w:gridCol w:w="651"/>
        <w:gridCol w:w="1248"/>
        <w:gridCol w:w="14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序号</w:t>
            </w:r>
          </w:p>
        </w:tc>
        <w:tc>
          <w:tcPr>
            <w:tcW w:w="1652"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货物名称</w:t>
            </w:r>
          </w:p>
        </w:tc>
        <w:tc>
          <w:tcPr>
            <w:tcW w:w="1310"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品牌产地</w:t>
            </w:r>
          </w:p>
        </w:tc>
        <w:tc>
          <w:tcPr>
            <w:tcW w:w="199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主要规格</w:t>
            </w:r>
          </w:p>
        </w:tc>
        <w:tc>
          <w:tcPr>
            <w:tcW w:w="651"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数量</w:t>
            </w: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备注</w:t>
            </w: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彩色实物图片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bl>
    <w:p>
      <w:pPr>
        <w:spacing w:line="360" w:lineRule="exact"/>
        <w:rPr>
          <w:rFonts w:hint="eastAsia" w:ascii="宋体" w:hAnsi="宋体"/>
          <w:spacing w:val="20"/>
          <w:sz w:val="22"/>
        </w:rPr>
      </w:pPr>
      <w:r>
        <w:rPr>
          <w:rFonts w:hint="eastAsia" w:ascii="宋体" w:hAnsi="宋体"/>
          <w:spacing w:val="20"/>
          <w:sz w:val="22"/>
        </w:rPr>
        <w:t>供应商盖章：</w:t>
      </w:r>
    </w:p>
    <w:p>
      <w:pPr>
        <w:spacing w:line="360" w:lineRule="auto"/>
        <w:ind w:firstLine="520" w:firstLineChars="200"/>
        <w:rPr>
          <w:rFonts w:hint="eastAsia" w:ascii="宋体" w:hAnsi="宋体"/>
          <w:spacing w:val="20"/>
          <w:sz w:val="22"/>
        </w:rPr>
      </w:pPr>
      <w:r>
        <w:rPr>
          <w:rFonts w:hint="eastAsia" w:ascii="宋体" w:hAnsi="宋体"/>
          <w:spacing w:val="20"/>
          <w:sz w:val="22"/>
        </w:rPr>
        <w:t>注：1、放置商务技术标中。本表相当于不带价格的明细报价表。</w:t>
      </w:r>
    </w:p>
    <w:p>
      <w:pPr>
        <w:numPr>
          <w:ilvl w:val="0"/>
          <w:numId w:val="19"/>
        </w:numPr>
        <w:spacing w:line="360" w:lineRule="auto"/>
        <w:ind w:firstLine="910" w:firstLineChars="350"/>
        <w:rPr>
          <w:rFonts w:hint="eastAsia" w:ascii="宋体" w:hAnsi="宋体"/>
          <w:spacing w:val="20"/>
          <w:sz w:val="22"/>
        </w:rPr>
      </w:pPr>
      <w:r>
        <w:rPr>
          <w:rFonts w:hint="eastAsia" w:ascii="宋体" w:hAnsi="宋体"/>
          <w:spacing w:val="20"/>
          <w:sz w:val="22"/>
        </w:rPr>
        <w:t>所投产品详细配置、技术应另页描述。</w:t>
      </w:r>
    </w:p>
    <w:p>
      <w:pPr>
        <w:numPr>
          <w:ilvl w:val="0"/>
          <w:numId w:val="19"/>
        </w:numPr>
        <w:spacing w:line="360" w:lineRule="auto"/>
        <w:ind w:firstLine="910" w:firstLineChars="350"/>
        <w:rPr>
          <w:rFonts w:hint="eastAsia" w:ascii="宋体" w:hAnsi="宋体"/>
          <w:spacing w:val="20"/>
          <w:sz w:val="22"/>
        </w:rPr>
      </w:pPr>
      <w:r>
        <w:rPr>
          <w:rFonts w:hint="eastAsia" w:ascii="宋体" w:hAnsi="宋体"/>
          <w:spacing w:val="20"/>
          <w:sz w:val="22"/>
        </w:rPr>
        <w:t>附技术要求中所需提供的证明材料。</w:t>
      </w:r>
    </w:p>
    <w:p>
      <w:pPr>
        <w:spacing w:line="360" w:lineRule="exact"/>
        <w:rPr>
          <w:rFonts w:hint="eastAsia" w:ascii="宋体" w:hAnsi="宋体"/>
          <w:spacing w:val="2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utoSpaceDE w:val="0"/>
        <w:autoSpaceDN w:val="0"/>
        <w:adjustRightInd w:val="0"/>
        <w:spacing w:line="460" w:lineRule="atLeast"/>
        <w:ind w:right="440" w:firstLine="5830" w:firstLineChars="2650"/>
        <w:rPr>
          <w:rFonts w:hint="eastAsia" w:ascii="宋体" w:hAnsi="宋体"/>
          <w:sz w:val="22"/>
        </w:rPr>
      </w:pPr>
    </w:p>
    <w:p>
      <w:pPr>
        <w:autoSpaceDE w:val="0"/>
        <w:autoSpaceDN w:val="0"/>
        <w:adjustRightInd w:val="0"/>
        <w:spacing w:line="460" w:lineRule="atLeast"/>
        <w:ind w:right="440" w:firstLine="5830" w:firstLineChars="2650"/>
        <w:rPr>
          <w:rFonts w:hint="eastAsia" w:ascii="宋体" w:hAnsi="宋体"/>
          <w:sz w:val="22"/>
        </w:rPr>
      </w:pPr>
    </w:p>
    <w:p>
      <w:pPr>
        <w:pStyle w:val="13"/>
        <w:tabs>
          <w:tab w:val="left" w:pos="0"/>
          <w:tab w:val="left" w:pos="540"/>
        </w:tabs>
        <w:spacing w:before="120" w:after="120" w:line="400" w:lineRule="exact"/>
        <w:jc w:val="center"/>
        <w:rPr>
          <w:rFonts w:hint="eastAsia" w:hAnsi="宋体" w:eastAsia="宋体" w:cs="宋体"/>
          <w:sz w:val="32"/>
          <w:szCs w:val="32"/>
        </w:rPr>
        <w:sectPr>
          <w:pgSz w:w="11906" w:h="16838"/>
          <w:pgMar w:top="1440" w:right="1191" w:bottom="1440" w:left="1191" w:header="851" w:footer="992" w:gutter="0"/>
          <w:cols w:space="720" w:num="1"/>
          <w:docGrid w:linePitch="312" w:charSpace="0"/>
        </w:sectPr>
      </w:pPr>
    </w:p>
    <w:p>
      <w:pPr>
        <w:pStyle w:val="13"/>
        <w:tabs>
          <w:tab w:val="left" w:pos="0"/>
          <w:tab w:val="left" w:pos="540"/>
        </w:tabs>
        <w:spacing w:before="120" w:after="120" w:line="400" w:lineRule="exact"/>
        <w:jc w:val="center"/>
        <w:rPr>
          <w:rFonts w:hint="eastAsia" w:hAnsi="宋体" w:eastAsia="宋体" w:cs="宋体"/>
          <w:sz w:val="32"/>
          <w:szCs w:val="32"/>
          <w:lang w:val="zh-CN"/>
        </w:rPr>
      </w:pPr>
      <w:r>
        <w:rPr>
          <w:rFonts w:hint="eastAsia" w:hAnsi="宋体" w:eastAsia="宋体" w:cs="宋体"/>
          <w:sz w:val="32"/>
          <w:szCs w:val="32"/>
        </w:rPr>
        <w:t>2、</w:t>
      </w:r>
      <w:r>
        <w:rPr>
          <w:rFonts w:hint="eastAsia" w:hAnsi="宋体" w:eastAsia="宋体" w:cs="宋体"/>
          <w:sz w:val="32"/>
          <w:szCs w:val="32"/>
          <w:lang w:val="zh-CN"/>
        </w:rPr>
        <w:t>优惠监控点位设备清单</w:t>
      </w:r>
    </w:p>
    <w:p>
      <w:pPr>
        <w:spacing w:line="360" w:lineRule="exact"/>
        <w:rPr>
          <w:rFonts w:hint="eastAsia" w:ascii="宋体" w:hAnsi="宋体"/>
          <w:spacing w:val="20"/>
          <w:sz w:val="22"/>
        </w:rPr>
      </w:pPr>
      <w:r>
        <w:rPr>
          <w:rFonts w:hint="eastAsia" w:ascii="宋体" w:hAnsi="宋体"/>
          <w:spacing w:val="20"/>
          <w:sz w:val="22"/>
        </w:rPr>
        <w:t>供应商名称：        招标编号：        投标项目名称：</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6"/>
        <w:gridCol w:w="1652"/>
        <w:gridCol w:w="1310"/>
        <w:gridCol w:w="1996"/>
        <w:gridCol w:w="651"/>
        <w:gridCol w:w="1248"/>
        <w:gridCol w:w="14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序号</w:t>
            </w:r>
          </w:p>
        </w:tc>
        <w:tc>
          <w:tcPr>
            <w:tcW w:w="1652"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货物名称</w:t>
            </w:r>
          </w:p>
        </w:tc>
        <w:tc>
          <w:tcPr>
            <w:tcW w:w="1310"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品牌产地</w:t>
            </w:r>
          </w:p>
        </w:tc>
        <w:tc>
          <w:tcPr>
            <w:tcW w:w="199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主要规格</w:t>
            </w:r>
          </w:p>
        </w:tc>
        <w:tc>
          <w:tcPr>
            <w:tcW w:w="651"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数量</w:t>
            </w: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备注</w:t>
            </w: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彩色实物图片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bl>
    <w:p>
      <w:pPr>
        <w:spacing w:line="360" w:lineRule="exact"/>
        <w:rPr>
          <w:rFonts w:hint="eastAsia" w:ascii="宋体" w:hAnsi="宋体"/>
          <w:spacing w:val="20"/>
          <w:sz w:val="22"/>
        </w:rPr>
      </w:pPr>
      <w:r>
        <w:rPr>
          <w:rFonts w:hint="eastAsia" w:ascii="宋体" w:hAnsi="宋体"/>
          <w:spacing w:val="20"/>
          <w:sz w:val="22"/>
        </w:rPr>
        <w:t>供应商盖章：</w:t>
      </w:r>
    </w:p>
    <w:p>
      <w:pPr>
        <w:spacing w:line="360" w:lineRule="auto"/>
        <w:ind w:firstLine="520" w:firstLineChars="200"/>
        <w:rPr>
          <w:rFonts w:hint="eastAsia" w:ascii="宋体" w:hAnsi="宋体"/>
          <w:spacing w:val="20"/>
          <w:sz w:val="22"/>
        </w:rPr>
      </w:pPr>
      <w:r>
        <w:rPr>
          <w:rFonts w:hint="eastAsia" w:ascii="宋体" w:hAnsi="宋体"/>
          <w:spacing w:val="20"/>
          <w:sz w:val="22"/>
        </w:rPr>
        <w:t>注：所投产品详细配置、技术应另页描述。</w:t>
      </w:r>
    </w:p>
    <w:p>
      <w:pPr>
        <w:spacing w:line="360" w:lineRule="exact"/>
        <w:rPr>
          <w:rFonts w:hint="eastAsia" w:ascii="宋体" w:hAnsi="宋体"/>
          <w:spacing w:val="2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utoSpaceDE w:val="0"/>
        <w:autoSpaceDN w:val="0"/>
        <w:adjustRightInd w:val="0"/>
        <w:spacing w:line="460" w:lineRule="atLeast"/>
        <w:ind w:right="440" w:firstLine="5830" w:firstLineChars="2650"/>
        <w:rPr>
          <w:rFonts w:hint="eastAsia" w:ascii="宋体" w:hAnsi="宋体"/>
          <w:sz w:val="22"/>
        </w:rPr>
        <w:sectPr>
          <w:pgSz w:w="11906" w:h="16838"/>
          <w:pgMar w:top="1440" w:right="1191" w:bottom="1440" w:left="1191" w:header="851" w:footer="992" w:gutter="0"/>
          <w:cols w:space="720" w:num="1"/>
          <w:docGrid w:linePitch="312" w:charSpace="0"/>
        </w:sectPr>
      </w:pPr>
    </w:p>
    <w:bookmarkEnd w:id="79"/>
    <w:bookmarkEnd w:id="80"/>
    <w:bookmarkEnd w:id="81"/>
    <w:p>
      <w:pPr>
        <w:pStyle w:val="13"/>
        <w:adjustRightInd w:val="0"/>
        <w:snapToGrid w:val="0"/>
        <w:spacing w:line="440" w:lineRule="atLeast"/>
        <w:outlineLvl w:val="0"/>
        <w:rPr>
          <w:rFonts w:hint="eastAsia" w:hAnsi="宋体" w:eastAsia="宋体" w:cs="宋体"/>
          <w:b w:val="0"/>
          <w:sz w:val="32"/>
          <w:szCs w:val="32"/>
        </w:rPr>
      </w:pPr>
      <w:bookmarkStart w:id="82" w:name="_Toc10796"/>
      <w:bookmarkStart w:id="83" w:name="_Toc3802"/>
      <w:bookmarkStart w:id="84" w:name="_Toc26731"/>
      <w:r>
        <w:rPr>
          <w:rFonts w:hint="eastAsia" w:hAnsi="宋体" w:eastAsia="宋体" w:cs="宋体"/>
          <w:sz w:val="22"/>
        </w:rPr>
        <w:t>附件六  供应商项目服务人员汇总表</w:t>
      </w:r>
      <w:bookmarkEnd w:id="82"/>
      <w:bookmarkEnd w:id="83"/>
      <w:bookmarkEnd w:id="84"/>
    </w:p>
    <w:p>
      <w:pPr>
        <w:spacing w:before="240" w:beforeLines="100" w:after="120" w:afterLines="50"/>
        <w:jc w:val="center"/>
        <w:rPr>
          <w:rFonts w:hint="eastAsia" w:ascii="宋体" w:hAnsi="宋体"/>
          <w:bCs/>
          <w:sz w:val="32"/>
          <w:szCs w:val="32"/>
        </w:rPr>
      </w:pPr>
      <w:r>
        <w:rPr>
          <w:rFonts w:hint="eastAsia" w:ascii="宋体" w:hAnsi="宋体"/>
          <w:bCs/>
          <w:sz w:val="32"/>
          <w:szCs w:val="32"/>
        </w:rPr>
        <w:t>供应商项目服务人员汇总表</w:t>
      </w:r>
    </w:p>
    <w:p>
      <w:pPr>
        <w:spacing w:line="360" w:lineRule="auto"/>
        <w:rPr>
          <w:rFonts w:hint="eastAsia" w:ascii="宋体" w:hAnsi="宋体"/>
          <w:bCs/>
          <w:sz w:val="22"/>
        </w:rPr>
      </w:pPr>
      <w:r>
        <w:rPr>
          <w:rFonts w:hint="eastAsia" w:ascii="宋体" w:hAnsi="宋体"/>
          <w:sz w:val="22"/>
        </w:rPr>
        <w:t>招标项目名称：                                 招标编号：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姓名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本项目主要工作</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年龄</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专业</w:t>
            </w:r>
          </w:p>
          <w:p>
            <w:pPr>
              <w:jc w:val="center"/>
              <w:rPr>
                <w:rFonts w:hint="eastAsia" w:ascii="宋体" w:hAnsi="宋体"/>
                <w:bCs/>
                <w:sz w:val="22"/>
              </w:rPr>
            </w:pPr>
            <w:r>
              <w:rPr>
                <w:rFonts w:hint="eastAsia" w:ascii="宋体" w:hAnsi="宋体"/>
                <w:bCs/>
                <w:sz w:val="22"/>
              </w:rPr>
              <w:t>年限</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职务</w:t>
            </w:r>
          </w:p>
          <w:p>
            <w:pPr>
              <w:jc w:val="center"/>
              <w:rPr>
                <w:rFonts w:hint="eastAsia" w:ascii="宋体" w:hAnsi="宋体"/>
                <w:bCs/>
                <w:sz w:val="22"/>
              </w:rPr>
            </w:pPr>
            <w:r>
              <w:rPr>
                <w:rFonts w:hint="eastAsia" w:ascii="宋体" w:hAnsi="宋体"/>
                <w:bCs/>
                <w:sz w:val="22"/>
              </w:rPr>
              <w:t>和职称/认证</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到现场服务</w:t>
            </w:r>
          </w:p>
          <w:p>
            <w:pPr>
              <w:jc w:val="center"/>
              <w:rPr>
                <w:rFonts w:hint="eastAsia" w:ascii="宋体" w:hAnsi="宋体"/>
                <w:bCs/>
                <w:sz w:val="22"/>
              </w:rPr>
            </w:pPr>
            <w:r>
              <w:rPr>
                <w:rFonts w:hint="eastAsia" w:ascii="宋体" w:hAnsi="宋体"/>
                <w:bCs/>
                <w:sz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250"/>
              <w:rPr>
                <w:rFonts w:hint="eastAsia" w:ascii="宋体" w:hAnsi="宋体"/>
                <w:spacing w:val="12"/>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250"/>
              <w:rPr>
                <w:rFonts w:hint="eastAsia" w:ascii="宋体" w:hAnsi="宋体"/>
                <w:spacing w:val="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6"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atLeast"/>
              <w:jc w:val="center"/>
              <w:rPr>
                <w:rFonts w:hint="eastAsia" w:ascii="宋体" w:hAnsi="宋体"/>
                <w:sz w:val="22"/>
              </w:rPr>
            </w:pPr>
            <w:r>
              <w:rPr>
                <w:rFonts w:hint="eastAsia" w:ascii="宋体" w:hAnsi="宋体"/>
                <w:bCs/>
                <w:sz w:val="22"/>
              </w:rPr>
              <w:t xml:space="preserve">维保队伍的配备、计划安排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6"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2"/>
              </w:rPr>
            </w:pPr>
            <w:r>
              <w:rPr>
                <w:rFonts w:hint="eastAsia" w:ascii="宋体" w:hAnsi="宋体"/>
                <w:sz w:val="22"/>
              </w:rPr>
              <w:t>计划安排：</w:t>
            </w:r>
          </w:p>
        </w:tc>
      </w:tr>
    </w:tbl>
    <w:p>
      <w:pPr>
        <w:spacing w:line="360" w:lineRule="exact"/>
        <w:ind w:left="968" w:hanging="968" w:hangingChars="440"/>
        <w:rPr>
          <w:rFonts w:hint="eastAsia" w:ascii="宋体" w:hAnsi="宋体"/>
          <w:sz w:val="22"/>
        </w:rPr>
      </w:pPr>
      <w:r>
        <w:rPr>
          <w:rFonts w:hint="eastAsia" w:ascii="宋体" w:hAnsi="宋体"/>
          <w:sz w:val="22"/>
        </w:rPr>
        <w:t>附注：1. 项目负责人、技术负责、施工、设备材料、维保以及各主要专业工种负责人均应列入；</w:t>
      </w:r>
    </w:p>
    <w:p>
      <w:pPr>
        <w:spacing w:line="360" w:lineRule="exact"/>
        <w:ind w:left="718" w:leftChars="321" w:hanging="44" w:hangingChars="20"/>
        <w:rPr>
          <w:rFonts w:hint="eastAsia" w:ascii="宋体" w:hAnsi="宋体"/>
          <w:sz w:val="22"/>
        </w:rPr>
      </w:pPr>
      <w:r>
        <w:rPr>
          <w:rFonts w:hint="eastAsia" w:ascii="宋体" w:hAnsi="宋体"/>
          <w:sz w:val="22"/>
        </w:rPr>
        <w:t>2. 列入本表人员如要更换，需经采购人同意，擅自更换或不到位属违约行为；</w:t>
      </w:r>
    </w:p>
    <w:p>
      <w:pPr>
        <w:spacing w:line="360" w:lineRule="exact"/>
        <w:ind w:left="718" w:leftChars="321" w:hanging="44" w:hangingChars="20"/>
        <w:rPr>
          <w:rFonts w:hint="eastAsia" w:ascii="宋体" w:hAnsi="宋体"/>
          <w:sz w:val="22"/>
        </w:rPr>
      </w:pPr>
      <w:r>
        <w:rPr>
          <w:rFonts w:hint="eastAsia" w:ascii="宋体" w:hAnsi="宋体"/>
          <w:sz w:val="22"/>
        </w:rPr>
        <w:t>3. 职称证书、执业资格证书、职业水平证书等人员证件复印件附后。</w:t>
      </w:r>
    </w:p>
    <w:p>
      <w:pPr>
        <w:spacing w:line="360" w:lineRule="exact"/>
        <w:ind w:left="718" w:leftChars="321" w:hanging="44" w:hangingChars="20"/>
        <w:rPr>
          <w:rFonts w:hint="eastAsia" w:ascii="宋体" w:hAnsi="宋体"/>
          <w:sz w:val="22"/>
        </w:rPr>
      </w:pPr>
      <w:r>
        <w:rPr>
          <w:rFonts w:hint="eastAsia" w:ascii="宋体" w:hAnsi="宋体"/>
          <w:sz w:val="22"/>
        </w:rPr>
        <w:t>4. 表格可以延续。</w:t>
      </w:r>
    </w:p>
    <w:p>
      <w:pPr>
        <w:spacing w:line="360" w:lineRule="exact"/>
        <w:ind w:left="718" w:leftChars="321" w:hanging="44" w:hangingChars="20"/>
        <w:rPr>
          <w:rFonts w:hint="eastAsia" w:ascii="宋体" w:hAnsi="宋体"/>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11"/>
        <w:ind w:firstLine="220"/>
        <w:rPr>
          <w:rFonts w:hint="eastAsia" w:ascii="宋体" w:hAnsi="宋体" w:cs="宋体"/>
          <w:color w:val="000000"/>
          <w:sz w:val="22"/>
        </w:rPr>
      </w:pPr>
    </w:p>
    <w:p>
      <w:pPr>
        <w:spacing w:line="360" w:lineRule="exact"/>
        <w:ind w:left="718" w:leftChars="321" w:hanging="44" w:hangingChars="20"/>
        <w:rPr>
          <w:rFonts w:hint="eastAsia" w:ascii="宋体"/>
          <w:b/>
          <w:sz w:val="22"/>
        </w:rPr>
        <w:sectPr>
          <w:pgSz w:w="11906" w:h="16838"/>
          <w:pgMar w:top="1440" w:right="1191" w:bottom="1440" w:left="1191" w:header="851" w:footer="992" w:gutter="0"/>
          <w:cols w:space="720" w:num="1"/>
          <w:docGrid w:linePitch="312" w:charSpace="0"/>
        </w:sectPr>
      </w:pPr>
      <w:bookmarkStart w:id="85" w:name="_Toc40194002"/>
    </w:p>
    <w:p>
      <w:pPr>
        <w:spacing w:line="360" w:lineRule="exact"/>
        <w:ind w:left="718" w:leftChars="321" w:hanging="44" w:hangingChars="20"/>
        <w:rPr>
          <w:rFonts w:ascii="宋体" w:cs="Arial"/>
          <w:sz w:val="22"/>
        </w:rPr>
      </w:pPr>
      <w:r>
        <w:rPr>
          <w:rFonts w:hint="eastAsia" w:ascii="宋体"/>
          <w:b/>
          <w:sz w:val="22"/>
        </w:rPr>
        <w:t>附件七  项目负责人资格情况表</w:t>
      </w:r>
    </w:p>
    <w:p>
      <w:pPr>
        <w:autoSpaceDE w:val="0"/>
        <w:autoSpaceDN w:val="0"/>
        <w:adjustRightInd w:val="0"/>
        <w:spacing w:line="440" w:lineRule="atLeast"/>
        <w:jc w:val="center"/>
        <w:rPr>
          <w:rFonts w:ascii="新宋体" w:hAnsi="新宋体" w:eastAsia="新宋体"/>
          <w:sz w:val="22"/>
        </w:rPr>
      </w:pPr>
      <w:r>
        <w:rPr>
          <w:rFonts w:hint="eastAsia" w:ascii="宋体" w:cs="仿宋_GB2312"/>
          <w:b/>
          <w:bCs/>
          <w:sz w:val="32"/>
          <w:szCs w:val="32"/>
        </w:rPr>
        <w:t>项目负责人资格情况表</w:t>
      </w:r>
    </w:p>
    <w:tbl>
      <w:tblPr>
        <w:tblStyle w:val="24"/>
        <w:tblW w:w="9698"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3239"/>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98" w:type="dxa"/>
            <w:noWrap w:val="0"/>
            <w:vAlign w:val="center"/>
          </w:tcPr>
          <w:p>
            <w:pPr>
              <w:pStyle w:val="145"/>
              <w:rPr>
                <w:rFonts w:ascii="宋体" w:hAnsi="宋体" w:eastAsia="宋体"/>
                <w:sz w:val="22"/>
              </w:rPr>
            </w:pPr>
            <w:r>
              <w:rPr>
                <w:rFonts w:ascii="宋体" w:hAnsi="宋体" w:eastAsia="宋体"/>
                <w:sz w:val="22"/>
              </w:rPr>
              <w:t>姓名</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restart"/>
            <w:noWrap w:val="0"/>
            <w:vAlign w:val="top"/>
          </w:tcPr>
          <w:p>
            <w:pPr>
              <w:pStyle w:val="145"/>
              <w:jc w:val="both"/>
              <w:rPr>
                <w:rFonts w:ascii="宋体" w:hAnsi="宋体" w:eastAsia="宋体"/>
                <w:sz w:val="22"/>
              </w:rPr>
            </w:pPr>
            <w:r>
              <w:rPr>
                <w:rFonts w:hint="eastAsia" w:ascii="宋体" w:hAnsi="宋体" w:eastAsia="宋体"/>
                <w:sz w:val="22"/>
              </w:rPr>
              <w:t>2017年以来从事相关工作经历及业绩：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性别</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年龄</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职称</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资格证书</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毕业时间</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学校专业</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联系电话</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bl>
    <w:p>
      <w:pPr>
        <w:pStyle w:val="19"/>
        <w:tabs>
          <w:tab w:val="right" w:leader="middleDot" w:pos="8948"/>
        </w:tabs>
      </w:pPr>
      <w:r>
        <w:t>注：</w:t>
      </w:r>
    </w:p>
    <w:p>
      <w:r>
        <w:t>须随表</w:t>
      </w:r>
      <w:r>
        <w:rPr>
          <w:rFonts w:hint="eastAsia"/>
        </w:rPr>
        <w:t>提供</w:t>
      </w:r>
      <w:r>
        <w:rPr>
          <w:rFonts w:hint="eastAsia" w:ascii="宋体" w:hAnsi="宋体"/>
          <w:kern w:val="0"/>
          <w:sz w:val="22"/>
        </w:rPr>
        <w:t>相关项目经验，学历、职称、所获其他证书，</w:t>
      </w:r>
      <w:r>
        <w:rPr>
          <w:rFonts w:hint="eastAsia"/>
        </w:rPr>
        <w:t>根据评分要求提供社保。</w:t>
      </w:r>
    </w:p>
    <w:p>
      <w:r>
        <w:rPr>
          <w:rFonts w:hint="eastAsia" w:ascii="宋体" w:hAnsi="宋体"/>
          <w:kern w:val="0"/>
          <w:sz w:val="22"/>
        </w:rPr>
        <w:t>相关项目经验需提供原业主单位盖公章的书面证明。</w:t>
      </w:r>
    </w:p>
    <w:p>
      <w:pPr>
        <w:autoSpaceDE w:val="0"/>
        <w:autoSpaceDN w:val="0"/>
        <w:adjustRightInd w:val="0"/>
        <w:spacing w:line="460" w:lineRule="atLeast"/>
        <w:rPr>
          <w:rFonts w:ascii="宋体" w:hAnsi="宋体"/>
          <w:kern w:val="0"/>
          <w:sz w:val="22"/>
        </w:rPr>
      </w:pPr>
      <w:r>
        <w:rPr>
          <w:rFonts w:hint="eastAsia" w:ascii="宋体" w:hAnsi="宋体" w:cs="仿宋_GB2312"/>
          <w:kern w:val="0"/>
          <w:sz w:val="22"/>
        </w:rPr>
        <w:t xml:space="preserve">供应商全称（盖章）：                 </w:t>
      </w:r>
    </w:p>
    <w:p>
      <w:pPr>
        <w:snapToGrid w:val="0"/>
        <w:spacing w:line="360" w:lineRule="auto"/>
        <w:ind w:right="110"/>
        <w:jc w:val="left"/>
        <w:rPr>
          <w:rFonts w:hint="eastAsia" w:ascii="宋体" w:cs="Arial"/>
          <w:sz w:val="22"/>
        </w:rPr>
      </w:pPr>
      <w:r>
        <w:rPr>
          <w:rFonts w:hint="eastAsia" w:ascii="宋体" w:hAnsi="宋体"/>
          <w:kern w:val="0"/>
          <w:sz w:val="22"/>
        </w:rPr>
        <w:t>日期：</w:t>
      </w:r>
      <w:r>
        <w:rPr>
          <w:rFonts w:hint="eastAsia" w:ascii="宋体" w:cs="Arial"/>
          <w:sz w:val="22"/>
        </w:rPr>
        <w:t xml:space="preserve">     </w:t>
      </w:r>
    </w:p>
    <w:p>
      <w:pPr>
        <w:snapToGrid w:val="0"/>
        <w:spacing w:line="360" w:lineRule="auto"/>
        <w:ind w:right="110"/>
        <w:jc w:val="left"/>
        <w:rPr>
          <w:rFonts w:hint="eastAsia" w:ascii="宋体" w:cs="Arial"/>
          <w:sz w:val="22"/>
        </w:rPr>
      </w:pPr>
    </w:p>
    <w:p>
      <w:pPr>
        <w:spacing w:line="360" w:lineRule="exact"/>
        <w:jc w:val="left"/>
        <w:rPr>
          <w:rFonts w:hint="eastAsia" w:ascii="宋体"/>
          <w:b/>
          <w:sz w:val="22"/>
        </w:rPr>
      </w:pPr>
      <w:r>
        <w:rPr>
          <w:rFonts w:hint="eastAsia" w:ascii="宋体"/>
          <w:b/>
          <w:sz w:val="22"/>
        </w:rPr>
        <w:t xml:space="preserve">附件八  驻点工程师情况   </w:t>
      </w:r>
    </w:p>
    <w:p>
      <w:pPr>
        <w:pStyle w:val="2"/>
        <w:jc w:val="center"/>
      </w:pPr>
      <w:r>
        <w:rPr>
          <w:rFonts w:hint="eastAsia" w:ascii="宋体" w:cs="仿宋_GB2312"/>
          <w:b/>
          <w:bCs/>
          <w:kern w:val="2"/>
          <w:sz w:val="32"/>
          <w:szCs w:val="32"/>
        </w:rPr>
        <w:t>驻点工程师情况</w:t>
      </w:r>
    </w:p>
    <w:p>
      <w:pPr>
        <w:spacing w:line="360" w:lineRule="auto"/>
        <w:rPr>
          <w:rFonts w:hint="eastAsia" w:ascii="宋体" w:hAnsi="宋体"/>
          <w:bCs/>
          <w:sz w:val="22"/>
        </w:rPr>
      </w:pPr>
      <w:r>
        <w:rPr>
          <w:rFonts w:hint="eastAsia" w:ascii="宋体" w:hAnsi="宋体"/>
          <w:sz w:val="22"/>
        </w:rPr>
        <w:t>招标项目名称：                                 招标编号：</w:t>
      </w:r>
    </w:p>
    <w:tbl>
      <w:tblPr>
        <w:tblStyle w:val="24"/>
        <w:tblW w:w="9698"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2" w:hRule="atLeast"/>
        </w:trPr>
        <w:tc>
          <w:tcPr>
            <w:tcW w:w="9698" w:type="dxa"/>
            <w:noWrap w:val="0"/>
            <w:vAlign w:val="center"/>
          </w:tcPr>
          <w:p>
            <w:pPr>
              <w:pStyle w:val="145"/>
              <w:jc w:val="both"/>
              <w:rPr>
                <w:rFonts w:ascii="宋体" w:hAnsi="宋体" w:eastAsia="宋体"/>
                <w:sz w:val="22"/>
              </w:rPr>
            </w:pPr>
          </w:p>
        </w:tc>
      </w:tr>
    </w:tbl>
    <w:p>
      <w:pPr>
        <w:pStyle w:val="19"/>
        <w:tabs>
          <w:tab w:val="right" w:leader="middleDot" w:pos="8948"/>
        </w:tabs>
      </w:pPr>
      <w:r>
        <w:t>注：</w:t>
      </w:r>
    </w:p>
    <w:p>
      <w:pPr>
        <w:rPr>
          <w:rFonts w:hint="eastAsia"/>
        </w:rPr>
      </w:pPr>
      <w:r>
        <w:t>须随表</w:t>
      </w:r>
      <w:r>
        <w:rPr>
          <w:rFonts w:hint="eastAsia"/>
        </w:rPr>
        <w:t>提供</w:t>
      </w:r>
      <w:r>
        <w:rPr>
          <w:rFonts w:hint="eastAsia" w:ascii="宋体" w:hAnsi="宋体"/>
          <w:kern w:val="0"/>
          <w:sz w:val="22"/>
        </w:rPr>
        <w:t>相关项目经验，学历、职称、所获其他证书。</w:t>
      </w:r>
    </w:p>
    <w:p>
      <w:pPr>
        <w:autoSpaceDE w:val="0"/>
        <w:autoSpaceDN w:val="0"/>
        <w:adjustRightInd w:val="0"/>
        <w:spacing w:line="460" w:lineRule="atLeast"/>
        <w:rPr>
          <w:rFonts w:ascii="宋体" w:hAnsi="宋体"/>
          <w:kern w:val="0"/>
          <w:sz w:val="22"/>
        </w:rPr>
      </w:pPr>
      <w:r>
        <w:rPr>
          <w:rFonts w:hint="eastAsia" w:ascii="宋体" w:hAnsi="宋体" w:cs="仿宋_GB2312"/>
          <w:kern w:val="0"/>
          <w:sz w:val="22"/>
        </w:rPr>
        <w:t xml:space="preserve">供应商全称（盖章）：                 </w:t>
      </w:r>
    </w:p>
    <w:p>
      <w:pPr>
        <w:pStyle w:val="2"/>
        <w:rPr>
          <w:rFonts w:hint="eastAsia" w:ascii="宋体" w:cs="仿宋_GB2312"/>
          <w:b/>
          <w:bCs/>
          <w:sz w:val="32"/>
          <w:szCs w:val="32"/>
        </w:rPr>
        <w:sectPr>
          <w:pgSz w:w="11906" w:h="16838"/>
          <w:pgMar w:top="1440" w:right="1191" w:bottom="1440" w:left="1191" w:header="851" w:footer="992" w:gutter="0"/>
          <w:cols w:space="720" w:num="1"/>
          <w:docGrid w:linePitch="312" w:charSpace="0"/>
        </w:sectPr>
      </w:pPr>
      <w:r>
        <w:rPr>
          <w:rFonts w:hint="eastAsia" w:ascii="宋体" w:hAnsi="宋体"/>
          <w:kern w:val="0"/>
          <w:sz w:val="22"/>
        </w:rPr>
        <w:t>日期：</w:t>
      </w:r>
      <w:r>
        <w:rPr>
          <w:rFonts w:hint="eastAsia" w:ascii="宋体" w:cs="Arial"/>
          <w:sz w:val="22"/>
        </w:rPr>
        <w:t xml:space="preserve">  </w:t>
      </w:r>
    </w:p>
    <w:bookmarkEnd w:id="85"/>
    <w:p>
      <w:pPr>
        <w:pStyle w:val="22"/>
        <w:rPr>
          <w:rFonts w:hint="eastAsia" w:ascii="宋体" w:hAnsi="宋体" w:cs="宋体"/>
          <w:b/>
          <w:bCs/>
        </w:rPr>
      </w:pPr>
      <w:bookmarkStart w:id="86" w:name="_Toc7066"/>
      <w:r>
        <w:rPr>
          <w:rFonts w:hint="eastAsia" w:ascii="宋体" w:hAnsi="宋体" w:cs="宋体"/>
          <w:b/>
          <w:bCs/>
        </w:rPr>
        <w:t>附</w:t>
      </w:r>
      <w:bookmarkStart w:id="87" w:name="_Toc161563051"/>
      <w:r>
        <w:rPr>
          <w:rFonts w:hint="eastAsia" w:ascii="宋体" w:hAnsi="宋体" w:cs="宋体"/>
          <w:b/>
          <w:bCs/>
        </w:rPr>
        <w:t xml:space="preserve"> 评标定标办法</w:t>
      </w:r>
      <w:bookmarkEnd w:id="86"/>
      <w:bookmarkEnd w:id="87"/>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根据《中华人民共和国政府采购法》等有关政府采购法规，结合本次所要采购货物的实际，按照公平、公正、科学、择优的原则选择中标单位，特制定本评审办法。</w:t>
      </w:r>
    </w:p>
    <w:p>
      <w:pPr>
        <w:adjustRightInd w:val="0"/>
        <w:spacing w:before="120" w:beforeLines="50" w:after="50" w:line="460" w:lineRule="atLeast"/>
        <w:jc w:val="center"/>
        <w:rPr>
          <w:rFonts w:hint="eastAsia" w:ascii="宋体" w:hAnsi="宋体"/>
          <w:bCs/>
          <w:sz w:val="22"/>
        </w:rPr>
      </w:pPr>
      <w:r>
        <w:rPr>
          <w:rFonts w:hint="eastAsia" w:ascii="宋体" w:hAnsi="宋体"/>
          <w:bCs/>
          <w:sz w:val="22"/>
        </w:rPr>
        <w:t>一、总则</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评审工作遵循公平、公正、民主、科学的原则和诚实、信誉、效率的服务原则。本着科学、严谨的态度，认真进行评审。择优选定货物的供货单位，确保货物质量、交货期，节约投资，最大限度的保护当事人权益，严格按照招标文件的商务、技术要求，对投标文件进行综合评定，提出优选方案，编写评标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pPr>
        <w:adjustRightInd w:val="0"/>
        <w:spacing w:before="120" w:beforeLines="50" w:after="50" w:line="460" w:lineRule="atLeast"/>
        <w:jc w:val="center"/>
        <w:rPr>
          <w:rFonts w:hint="eastAsia" w:ascii="宋体" w:hAnsi="宋体"/>
          <w:bCs/>
          <w:sz w:val="22"/>
        </w:rPr>
      </w:pPr>
      <w:r>
        <w:rPr>
          <w:rFonts w:hint="eastAsia" w:ascii="宋体" w:hAnsi="宋体"/>
          <w:bCs/>
          <w:sz w:val="22"/>
        </w:rPr>
        <w:t>二、评审组织</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评审工作由采购人依法组建的评标委员会负责，评标委员会由采购人代表以及评审专家库中随机抽取的有关技术、经济专家共同组成。评审全过程由采购管理部门或纪检部门监督。</w:t>
      </w:r>
    </w:p>
    <w:p>
      <w:pPr>
        <w:pStyle w:val="143"/>
        <w:widowControl w:val="0"/>
        <w:pBdr>
          <w:left w:val="none" w:color="auto" w:sz="0" w:space="0"/>
          <w:bottom w:val="none" w:color="auto" w:sz="0" w:space="0"/>
          <w:right w:val="none" w:color="auto" w:sz="0" w:space="0"/>
        </w:pBdr>
        <w:adjustRightInd w:val="0"/>
        <w:spacing w:before="120" w:beforeLines="50" w:beforeAutospacing="0" w:after="50" w:afterAutospacing="0" w:line="460" w:lineRule="atLeast"/>
        <w:textAlignment w:val="auto"/>
        <w:rPr>
          <w:rFonts w:hint="eastAsia" w:ascii="宋体" w:hAnsi="宋体" w:cs="宋体"/>
          <w:bCs/>
          <w:color w:val="000000"/>
          <w:sz w:val="22"/>
          <w:szCs w:val="22"/>
        </w:rPr>
      </w:pPr>
      <w:r>
        <w:rPr>
          <w:rFonts w:hint="eastAsia" w:ascii="宋体" w:hAnsi="宋体" w:cs="宋体"/>
          <w:bCs/>
          <w:color w:val="000000"/>
          <w:sz w:val="22"/>
          <w:szCs w:val="22"/>
        </w:rPr>
        <w:t>三、评标程序及评审办法</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本次开标，开标程序如下：</w:t>
      </w:r>
    </w:p>
    <w:p>
      <w:pPr>
        <w:pStyle w:val="7"/>
        <w:adjustRightInd w:val="0"/>
        <w:snapToGrid w:val="0"/>
        <w:spacing w:before="120" w:beforeLines="50" w:after="50" w:line="440" w:lineRule="atLeast"/>
        <w:ind w:firstLine="440"/>
        <w:rPr>
          <w:rFonts w:hint="eastAsia" w:ascii="宋体" w:eastAsia="宋体"/>
          <w:sz w:val="22"/>
        </w:rPr>
      </w:pPr>
      <w:r>
        <w:rPr>
          <w:rFonts w:hint="eastAsia" w:ascii="宋体" w:eastAsia="宋体"/>
          <w:color w:val="auto"/>
          <w:sz w:val="22"/>
          <w:szCs w:val="22"/>
        </w:rPr>
        <w:t>第一步：</w:t>
      </w:r>
      <w:r>
        <w:rPr>
          <w:rFonts w:hint="eastAsia" w:ascii="宋体" w:eastAsia="宋体"/>
          <w:sz w:val="22"/>
        </w:rPr>
        <w:t>在线发出解密通知，各投标供应商代表应当在接到解密通知后30分钟内自行完成“电子加密投标文件”的在线解密。</w:t>
      </w:r>
    </w:p>
    <w:p>
      <w:pPr>
        <w:pStyle w:val="7"/>
        <w:adjustRightInd w:val="0"/>
        <w:snapToGrid w:val="0"/>
        <w:spacing w:before="120" w:beforeLines="50" w:after="50" w:line="440" w:lineRule="atLeast"/>
        <w:ind w:firstLine="440"/>
        <w:rPr>
          <w:rFonts w:hint="eastAsia" w:ascii="宋体" w:eastAsia="宋体"/>
          <w:sz w:val="22"/>
        </w:rPr>
      </w:pPr>
      <w:r>
        <w:rPr>
          <w:rFonts w:hint="eastAsia" w:ascii="宋体" w:eastAsia="宋体"/>
          <w:sz w:val="22"/>
        </w:rPr>
        <w:t>第二步：采购人或采购代理机构对解密成功的投标供应商资格进行审查，审查通过的进入评审程序。</w:t>
      </w:r>
    </w:p>
    <w:p>
      <w:pPr>
        <w:pStyle w:val="13"/>
        <w:spacing w:line="44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第三步：评标委员会根据评审原则和评审办法，对各供应商的资信、技术部分投标进行评审并打分，商务技术标不合格的供应商做无效标处理，不进入评审，并退还商务标。评审打分完成后向供应商公布资信、技术部分分值。</w:t>
      </w:r>
    </w:p>
    <w:p>
      <w:pPr>
        <w:adjustRightInd w:val="0"/>
        <w:snapToGrid w:val="0"/>
        <w:spacing w:before="100" w:after="50" w:line="440" w:lineRule="atLeast"/>
        <w:ind w:firstLine="440" w:firstLineChars="200"/>
        <w:rPr>
          <w:rFonts w:hint="eastAsia" w:ascii="宋体" w:hAnsi="宋体"/>
          <w:sz w:val="22"/>
        </w:rPr>
      </w:pPr>
      <w:r>
        <w:rPr>
          <w:rFonts w:hint="eastAsia" w:ascii="宋体" w:hAnsi="宋体"/>
          <w:sz w:val="22"/>
        </w:rPr>
        <w:t>第四步：</w:t>
      </w:r>
      <w:r>
        <w:rPr>
          <w:rFonts w:hint="eastAsia" w:ascii="宋体" w:hAnsi="宋体"/>
          <w:sz w:val="22"/>
          <w:u w:val="single"/>
        </w:rPr>
        <w:t>在线开启报价标</w:t>
      </w:r>
      <w:r>
        <w:rPr>
          <w:rFonts w:hint="eastAsia" w:ascii="宋体" w:hAnsi="宋体"/>
          <w:sz w:val="22"/>
        </w:rPr>
        <w:t>，并对供应商的商务标由评委统一进行计算得分。</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第五步：评标委员会以商务技术标和报价标合计分值由高到低的顺序推荐三名为候选供应商名单，并提交书面评审报告。</w:t>
      </w:r>
    </w:p>
    <w:p>
      <w:pPr>
        <w:pStyle w:val="7"/>
        <w:adjustRightInd w:val="0"/>
        <w:snapToGrid w:val="0"/>
        <w:spacing w:before="120" w:beforeLines="50" w:after="50" w:line="440" w:lineRule="atLeast"/>
        <w:ind w:firstLine="440"/>
        <w:rPr>
          <w:rFonts w:hint="eastAsia" w:ascii="宋体" w:eastAsia="宋体"/>
          <w:color w:val="FF0000"/>
          <w:sz w:val="22"/>
          <w:szCs w:val="22"/>
        </w:rPr>
      </w:pPr>
      <w:r>
        <w:rPr>
          <w:rFonts w:hint="eastAsia" w:ascii="宋体" w:eastAsia="宋体"/>
          <w:color w:val="auto"/>
          <w:sz w:val="22"/>
          <w:szCs w:val="22"/>
        </w:rPr>
        <w:t>第六步：由采购人根据评审报告推荐综合得分第一名的供应商为中标人。如果得分相同，以报价低的优先；报价也相同，以抽签随机决定。</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 xml:space="preserve">中标人放弃中标，或者因不可抗力提出不能履行合同，或者招标文件规定应签订合同而在规定的期限内未能提交、签订合同的，采购人可以取消其中标资格。并按供应商评标排序从高到低排序依次确定新的中标人或重新组织采购。 </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如果无候选供应商，或者侯选供应商因前款规定的同样原因不能签订合同的，本次采购失败，重新组织采购。</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sz w:val="22"/>
        </w:rPr>
        <w:t>其他参见本招标文件第三部分：“供应商须知” 中的相关内容。</w:t>
      </w:r>
    </w:p>
    <w:p>
      <w:pPr>
        <w:adjustRightInd w:val="0"/>
        <w:spacing w:before="100" w:after="50" w:line="460" w:lineRule="atLeast"/>
        <w:jc w:val="center"/>
        <w:rPr>
          <w:rFonts w:hint="eastAsia" w:ascii="宋体" w:hAnsi="宋体"/>
          <w:bCs/>
          <w:sz w:val="22"/>
        </w:rPr>
      </w:pPr>
      <w:r>
        <w:rPr>
          <w:rFonts w:hint="eastAsia" w:ascii="宋体" w:hAnsi="宋体"/>
          <w:bCs/>
          <w:sz w:val="22"/>
        </w:rPr>
        <w:t>四、评分细则</w:t>
      </w:r>
    </w:p>
    <w:p>
      <w:pPr>
        <w:spacing w:line="460" w:lineRule="atLeast"/>
        <w:ind w:firstLine="440" w:firstLineChars="200"/>
        <w:rPr>
          <w:rFonts w:hint="eastAsia" w:ascii="宋体" w:hAnsi="宋体"/>
          <w:bCs/>
          <w:color w:val="00B0F0"/>
          <w:sz w:val="22"/>
        </w:rPr>
      </w:pPr>
      <w:r>
        <w:rPr>
          <w:rFonts w:hint="eastAsia" w:ascii="宋体" w:hAnsi="宋体"/>
          <w:bCs/>
          <w:sz w:val="22"/>
        </w:rPr>
        <w:t>一、报价评分40分</w:t>
      </w:r>
    </w:p>
    <w:p>
      <w:pPr>
        <w:widowControl/>
        <w:autoSpaceDE w:val="0"/>
        <w:autoSpaceDN w:val="0"/>
        <w:adjustRightInd w:val="0"/>
        <w:spacing w:line="460" w:lineRule="atLeast"/>
        <w:ind w:firstLine="442" w:firstLineChars="200"/>
        <w:textAlignment w:val="bottom"/>
        <w:rPr>
          <w:rFonts w:hint="eastAsia" w:ascii="宋体" w:hAnsi="宋体"/>
          <w:b/>
          <w:bCs/>
          <w:sz w:val="22"/>
          <w:u w:val="single"/>
        </w:rPr>
      </w:pPr>
      <w:r>
        <w:rPr>
          <w:rFonts w:hint="eastAsia" w:ascii="宋体" w:hAnsi="宋体"/>
          <w:b/>
          <w:bCs/>
          <w:sz w:val="22"/>
          <w:u w:val="single"/>
        </w:rPr>
        <w:t>1、以供应商有效投标价中的最低价为评标基准价，得满分40分。报价评分结算公式为:投标报价得分=(评标基准价／投标报价)×40%×100。</w:t>
      </w:r>
    </w:p>
    <w:p>
      <w:pPr>
        <w:spacing w:line="460" w:lineRule="atLeast"/>
        <w:ind w:firstLine="442" w:firstLineChars="200"/>
        <w:rPr>
          <w:rFonts w:hint="eastAsia" w:ascii="宋体" w:hAnsi="宋体"/>
          <w:bCs/>
          <w:sz w:val="22"/>
        </w:rPr>
      </w:pPr>
      <w:r>
        <w:rPr>
          <w:rFonts w:hint="eastAsia" w:ascii="宋体" w:hAnsi="宋体"/>
          <w:b/>
          <w:sz w:val="22"/>
          <w:u w:val="single"/>
        </w:rPr>
        <w:t>符合招标文件规定条件的小、微企业（或监狱企业、残疾人福利性单位），给予评标价格折扣。</w:t>
      </w:r>
    </w:p>
    <w:p>
      <w:pPr>
        <w:numPr>
          <w:ilvl w:val="0"/>
          <w:numId w:val="20"/>
        </w:numPr>
        <w:spacing w:line="460" w:lineRule="atLeast"/>
        <w:ind w:firstLine="442" w:firstLineChars="200"/>
        <w:rPr>
          <w:rFonts w:hint="eastAsia" w:ascii="宋体" w:hAnsi="宋体"/>
          <w:b/>
          <w:bCs/>
          <w:sz w:val="22"/>
        </w:rPr>
      </w:pPr>
      <w:r>
        <w:rPr>
          <w:rFonts w:hint="eastAsia" w:ascii="宋体" w:hAnsi="宋体"/>
          <w:b/>
          <w:bCs/>
          <w:sz w:val="22"/>
          <w:u w:val="single"/>
        </w:rPr>
        <w:t>技术、服务、资信业绩综合评分60</w:t>
      </w:r>
      <w:r>
        <w:rPr>
          <w:rFonts w:hint="eastAsia" w:ascii="宋体" w:hAnsi="宋体"/>
          <w:b/>
          <w:bCs/>
          <w:sz w:val="22"/>
        </w:rPr>
        <w:t>分</w:t>
      </w:r>
    </w:p>
    <w:tbl>
      <w:tblPr>
        <w:tblStyle w:val="24"/>
        <w:tblW w:w="9678" w:type="dxa"/>
        <w:tblInd w:w="93" w:type="dxa"/>
        <w:tblLayout w:type="autofit"/>
        <w:tblCellMar>
          <w:top w:w="0" w:type="dxa"/>
          <w:left w:w="108" w:type="dxa"/>
          <w:bottom w:w="0" w:type="dxa"/>
          <w:right w:w="108" w:type="dxa"/>
        </w:tblCellMar>
      </w:tblPr>
      <w:tblGrid>
        <w:gridCol w:w="1218"/>
        <w:gridCol w:w="1218"/>
        <w:gridCol w:w="1218"/>
        <w:gridCol w:w="6024"/>
      </w:tblGrid>
      <w:tr>
        <w:tblPrEx>
          <w:tblCellMar>
            <w:top w:w="0" w:type="dxa"/>
            <w:left w:w="108" w:type="dxa"/>
            <w:bottom w:w="0" w:type="dxa"/>
            <w:right w:w="108" w:type="dxa"/>
          </w:tblCellMar>
        </w:tblPrEx>
        <w:trPr>
          <w:wBefore w:w="0" w:type="dxa"/>
          <w:wAfter w:w="0" w:type="dxa"/>
          <w:trHeight w:val="586" w:hRule="atLeast"/>
        </w:trPr>
        <w:tc>
          <w:tcPr>
            <w:tcW w:w="121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序号</w:t>
            </w:r>
          </w:p>
        </w:tc>
        <w:tc>
          <w:tcPr>
            <w:tcW w:w="1218"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项目名称</w:t>
            </w:r>
          </w:p>
        </w:tc>
        <w:tc>
          <w:tcPr>
            <w:tcW w:w="1218"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分值</w:t>
            </w:r>
          </w:p>
        </w:tc>
        <w:tc>
          <w:tcPr>
            <w:tcW w:w="6024"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打分标准</w:t>
            </w:r>
          </w:p>
        </w:tc>
      </w:tr>
      <w:tr>
        <w:tblPrEx>
          <w:tblCellMar>
            <w:top w:w="0" w:type="dxa"/>
            <w:left w:w="108" w:type="dxa"/>
            <w:bottom w:w="0" w:type="dxa"/>
            <w:right w:w="108" w:type="dxa"/>
          </w:tblCellMar>
        </w:tblPrEx>
        <w:trPr>
          <w:wBefore w:w="0" w:type="dxa"/>
          <w:wAfter w:w="0" w:type="dxa"/>
          <w:trHeight w:val="586" w:hRule="atLeast"/>
        </w:trPr>
        <w:tc>
          <w:tcPr>
            <w:tcW w:w="9678"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商务资信</w:t>
            </w:r>
          </w:p>
        </w:tc>
      </w:tr>
      <w:tr>
        <w:tblPrEx>
          <w:tblCellMar>
            <w:top w:w="0" w:type="dxa"/>
            <w:left w:w="108" w:type="dxa"/>
            <w:bottom w:w="0" w:type="dxa"/>
            <w:right w:w="108" w:type="dxa"/>
          </w:tblCellMar>
        </w:tblPrEx>
        <w:trPr>
          <w:wBefore w:w="0" w:type="dxa"/>
          <w:wAfter w:w="0" w:type="dxa"/>
          <w:trHeight w:val="869" w:hRule="atLeast"/>
        </w:trPr>
        <w:tc>
          <w:tcPr>
            <w:tcW w:w="1218"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1218" w:type="dxa"/>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投标人履约能力（3分）</w:t>
            </w:r>
          </w:p>
        </w:tc>
        <w:tc>
          <w:tcPr>
            <w:tcW w:w="1218" w:type="dxa"/>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6024" w:type="dxa"/>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根据投标人在民安监控等同类工程技术力量及人力资源、经营信誉、市场知名度等总体情况打分。</w:t>
            </w:r>
          </w:p>
        </w:tc>
      </w:tr>
      <w:tr>
        <w:tblPrEx>
          <w:tblCellMar>
            <w:top w:w="0" w:type="dxa"/>
            <w:left w:w="108" w:type="dxa"/>
            <w:bottom w:w="0" w:type="dxa"/>
            <w:right w:w="108" w:type="dxa"/>
          </w:tblCellMar>
        </w:tblPrEx>
        <w:trPr>
          <w:wBefore w:w="0" w:type="dxa"/>
          <w:wAfter w:w="0" w:type="dxa"/>
          <w:trHeight w:val="1152" w:hRule="atLeast"/>
        </w:trPr>
        <w:tc>
          <w:tcPr>
            <w:tcW w:w="1218" w:type="dxa"/>
            <w:vMerge w:val="restart"/>
            <w:tcBorders>
              <w:top w:val="nil"/>
              <w:left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2</w:t>
            </w:r>
          </w:p>
        </w:tc>
        <w:tc>
          <w:tcPr>
            <w:tcW w:w="1218" w:type="dxa"/>
            <w:vMerge w:val="restart"/>
            <w:tcBorders>
              <w:top w:val="nil"/>
              <w:left w:val="nil"/>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同类项目工程业绩（6分）</w:t>
            </w:r>
          </w:p>
        </w:tc>
        <w:tc>
          <w:tcPr>
            <w:tcW w:w="1218" w:type="dxa"/>
            <w:vMerge w:val="restart"/>
            <w:tcBorders>
              <w:top w:val="nil"/>
              <w:left w:val="nil"/>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6</w:t>
            </w:r>
          </w:p>
        </w:tc>
        <w:tc>
          <w:tcPr>
            <w:tcW w:w="6024" w:type="dxa"/>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的视频监控类项目业绩情况进行较打分。业绩必须是2017年1月1日至今的同类项目(200个点及以上)（其中有符合条件的龙湾公安分局同类项目业绩必须提供，涉密项目除外），每提供一个得0.5分,最高得3分。以中标通知书、合同复印件为准。</w:t>
            </w:r>
          </w:p>
        </w:tc>
      </w:tr>
      <w:tr>
        <w:tblPrEx>
          <w:tblCellMar>
            <w:top w:w="0" w:type="dxa"/>
            <w:left w:w="108" w:type="dxa"/>
            <w:bottom w:w="0" w:type="dxa"/>
            <w:right w:w="108" w:type="dxa"/>
          </w:tblCellMar>
        </w:tblPrEx>
        <w:trPr>
          <w:wBefore w:w="0" w:type="dxa"/>
          <w:wAfter w:w="0" w:type="dxa"/>
          <w:trHeight w:val="1152" w:hRule="atLeast"/>
        </w:trPr>
        <w:tc>
          <w:tcPr>
            <w:tcW w:w="1218" w:type="dxa"/>
            <w:vMerge w:val="continue"/>
            <w:tcBorders>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p>
        </w:tc>
        <w:tc>
          <w:tcPr>
            <w:tcW w:w="1218" w:type="dxa"/>
            <w:vMerge w:val="continue"/>
            <w:tcBorders>
              <w:left w:val="nil"/>
              <w:bottom w:val="single" w:color="auto" w:sz="8" w:space="0"/>
              <w:right w:val="single" w:color="auto" w:sz="8" w:space="0"/>
            </w:tcBorders>
            <w:noWrap w:val="0"/>
            <w:vAlign w:val="center"/>
          </w:tcPr>
          <w:p>
            <w:pPr>
              <w:widowControl/>
              <w:jc w:val="center"/>
              <w:rPr>
                <w:rFonts w:hint="eastAsia" w:ascii="宋体" w:hAnsi="宋体"/>
                <w:color w:val="000000"/>
                <w:kern w:val="0"/>
                <w:sz w:val="22"/>
              </w:rPr>
            </w:pPr>
          </w:p>
        </w:tc>
        <w:tc>
          <w:tcPr>
            <w:tcW w:w="1218" w:type="dxa"/>
            <w:vMerge w:val="continue"/>
            <w:tcBorders>
              <w:left w:val="nil"/>
              <w:bottom w:val="single" w:color="auto" w:sz="8" w:space="0"/>
              <w:right w:val="single" w:color="auto" w:sz="8" w:space="0"/>
            </w:tcBorders>
            <w:noWrap w:val="0"/>
            <w:vAlign w:val="center"/>
          </w:tcPr>
          <w:p>
            <w:pPr>
              <w:widowControl/>
              <w:jc w:val="center"/>
              <w:rPr>
                <w:rFonts w:hint="eastAsia" w:ascii="宋体" w:hAnsi="宋体"/>
                <w:color w:val="000000"/>
                <w:kern w:val="0"/>
                <w:sz w:val="22"/>
              </w:rPr>
            </w:pPr>
          </w:p>
        </w:tc>
        <w:tc>
          <w:tcPr>
            <w:tcW w:w="6024" w:type="dxa"/>
            <w:tcBorders>
              <w:top w:val="nil"/>
              <w:left w:val="nil"/>
              <w:bottom w:val="single" w:color="auto" w:sz="8" w:space="0"/>
              <w:right w:val="single" w:color="auto" w:sz="8" w:space="0"/>
            </w:tcBorders>
            <w:noWrap w:val="0"/>
            <w:vAlign w:val="center"/>
          </w:tcPr>
          <w:p>
            <w:pPr>
              <w:widowControl/>
              <w:jc w:val="left"/>
              <w:rPr>
                <w:rFonts w:hint="eastAsia" w:ascii="宋体" w:hAnsi="宋体"/>
                <w:color w:val="000000"/>
                <w:kern w:val="0"/>
                <w:sz w:val="22"/>
              </w:rPr>
            </w:pPr>
            <w:r>
              <w:rPr>
                <w:rFonts w:hint="eastAsia" w:ascii="宋体" w:hAnsi="宋体"/>
                <w:color w:val="000000"/>
                <w:kern w:val="0"/>
                <w:sz w:val="22"/>
              </w:rPr>
              <w:t>建设施工交付能力：提供的同类项目已经竣工并完成验收的，每个业绩得基准分0.5分，按递交的业绩对照合同约定竣工验收时间(合同未约定验收时间的，以约定的完工时间为准，都未约定的以合同签订时间为准)与实际验收时间之差（超过15天算一个月，超过45天算两个月，以此类推），每延迟1个月扣0.05分，每项合同扣完0.5分为止，共扣3分为止；</w:t>
            </w:r>
          </w:p>
          <w:p>
            <w:pPr>
              <w:widowControl/>
              <w:jc w:val="left"/>
              <w:rPr>
                <w:rFonts w:hint="eastAsia" w:ascii="宋体" w:hAnsi="宋体"/>
                <w:color w:val="000000"/>
                <w:kern w:val="0"/>
                <w:sz w:val="22"/>
              </w:rPr>
            </w:pPr>
            <w:r>
              <w:rPr>
                <w:rFonts w:hint="eastAsia"/>
              </w:rPr>
              <w:t>提供自测表和验收报告，在验收报告和合同中的关键时间做好标记，自测表做好自我评分。</w:t>
            </w:r>
          </w:p>
        </w:tc>
      </w:tr>
      <w:tr>
        <w:tblPrEx>
          <w:tblCellMar>
            <w:top w:w="0" w:type="dxa"/>
            <w:left w:w="108" w:type="dxa"/>
            <w:bottom w:w="0" w:type="dxa"/>
            <w:right w:w="108" w:type="dxa"/>
          </w:tblCellMar>
        </w:tblPrEx>
        <w:trPr>
          <w:wBefore w:w="0" w:type="dxa"/>
          <w:wAfter w:w="0" w:type="dxa"/>
          <w:trHeight w:val="563" w:hRule="atLeast"/>
        </w:trPr>
        <w:tc>
          <w:tcPr>
            <w:tcW w:w="9678" w:type="dxa"/>
            <w:gridSpan w:val="4"/>
            <w:tcBorders>
              <w:left w:val="single" w:color="auto" w:sz="8" w:space="0"/>
              <w:bottom w:val="single" w:color="auto" w:sz="8" w:space="0"/>
              <w:right w:val="single" w:color="auto" w:sz="8" w:space="0"/>
            </w:tcBorders>
            <w:noWrap w:val="0"/>
            <w:vAlign w:val="center"/>
          </w:tcPr>
          <w:p>
            <w:pPr>
              <w:widowControl/>
              <w:jc w:val="left"/>
              <w:rPr>
                <w:rFonts w:hint="eastAsia" w:ascii="宋体" w:hAnsi="宋体"/>
                <w:color w:val="000000"/>
                <w:kern w:val="0"/>
                <w:sz w:val="22"/>
              </w:rPr>
            </w:pPr>
            <w:r>
              <w:rPr>
                <w:rFonts w:hint="eastAsia" w:ascii="宋体" w:hAnsi="宋体"/>
                <w:color w:val="000000"/>
                <w:kern w:val="0"/>
                <w:sz w:val="22"/>
              </w:rPr>
              <w:t>技术</w:t>
            </w:r>
          </w:p>
        </w:tc>
      </w:tr>
      <w:tr>
        <w:tblPrEx>
          <w:tblCellMar>
            <w:top w:w="0" w:type="dxa"/>
            <w:left w:w="108" w:type="dxa"/>
            <w:bottom w:w="0" w:type="dxa"/>
            <w:right w:w="108" w:type="dxa"/>
          </w:tblCellMar>
        </w:tblPrEx>
        <w:trPr>
          <w:wBefore w:w="0" w:type="dxa"/>
          <w:wAfter w:w="0" w:type="dxa"/>
          <w:trHeight w:val="1152" w:hRule="atLeast"/>
        </w:trPr>
        <w:tc>
          <w:tcPr>
            <w:tcW w:w="121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1</w:t>
            </w:r>
          </w:p>
        </w:tc>
        <w:tc>
          <w:tcPr>
            <w:tcW w:w="1218" w:type="dxa"/>
            <w:tcBorders>
              <w:top w:val="nil"/>
              <w:left w:val="nil"/>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设备配置选型情况（12分）</w:t>
            </w:r>
          </w:p>
        </w:tc>
        <w:tc>
          <w:tcPr>
            <w:tcW w:w="1218" w:type="dxa"/>
            <w:tcBorders>
              <w:top w:val="nil"/>
              <w:left w:val="nil"/>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12</w:t>
            </w:r>
          </w:p>
        </w:tc>
        <w:tc>
          <w:tcPr>
            <w:tcW w:w="6024" w:type="dxa"/>
            <w:tcBorders>
              <w:top w:val="nil"/>
              <w:left w:val="nil"/>
              <w:bottom w:val="single" w:color="auto" w:sz="8" w:space="0"/>
              <w:right w:val="single" w:color="auto" w:sz="8" w:space="0"/>
            </w:tcBorders>
            <w:noWrap w:val="0"/>
            <w:vAlign w:val="center"/>
          </w:tcPr>
          <w:p>
            <w:pPr>
              <w:widowControl/>
              <w:jc w:val="left"/>
              <w:rPr>
                <w:rFonts w:hint="eastAsia" w:ascii="宋体" w:hAnsi="宋体"/>
                <w:color w:val="000000"/>
                <w:kern w:val="0"/>
                <w:sz w:val="22"/>
              </w:rPr>
            </w:pPr>
            <w:r>
              <w:rPr>
                <w:rFonts w:hint="eastAsia" w:ascii="宋体" w:hAnsi="宋体"/>
                <w:color w:val="000000"/>
                <w:kern w:val="0"/>
                <w:sz w:val="22"/>
              </w:rPr>
              <w:t>根据投标人提供的设备配置选型、技术参数符合度与温州公安平台兼容性、使用量横向比较打分。</w:t>
            </w:r>
            <w:r>
              <w:rPr>
                <w:rFonts w:hint="eastAsia" w:ascii="宋体" w:hAnsi="宋体"/>
                <w:color w:val="000000"/>
                <w:kern w:val="0"/>
                <w:sz w:val="22"/>
              </w:rPr>
              <w:br w:type="textWrapping"/>
            </w:r>
            <w:r>
              <w:rPr>
                <w:rFonts w:hint="eastAsia" w:ascii="宋体" w:hAnsi="宋体"/>
                <w:color w:val="000000"/>
                <w:kern w:val="0"/>
                <w:sz w:val="22"/>
              </w:rPr>
              <w:t>A档12-8分，B档8-4分，C档4-0分。</w:t>
            </w:r>
          </w:p>
        </w:tc>
      </w:tr>
      <w:tr>
        <w:tblPrEx>
          <w:tblCellMar>
            <w:top w:w="0" w:type="dxa"/>
            <w:left w:w="108" w:type="dxa"/>
            <w:bottom w:w="0" w:type="dxa"/>
            <w:right w:w="108" w:type="dxa"/>
          </w:tblCellMar>
        </w:tblPrEx>
        <w:trPr>
          <w:wBefore w:w="0" w:type="dxa"/>
          <w:wAfter w:w="0" w:type="dxa"/>
          <w:trHeight w:val="1022" w:hRule="atLeast"/>
        </w:trPr>
        <w:tc>
          <w:tcPr>
            <w:tcW w:w="1218"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2</w:t>
            </w:r>
          </w:p>
        </w:tc>
        <w:tc>
          <w:tcPr>
            <w:tcW w:w="1218"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技术方案合理、完整、可行性（12分）</w:t>
            </w:r>
          </w:p>
        </w:tc>
        <w:tc>
          <w:tcPr>
            <w:tcW w:w="1218" w:type="dxa"/>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w:t>
            </w:r>
          </w:p>
        </w:tc>
        <w:tc>
          <w:tcPr>
            <w:tcW w:w="6024" w:type="dxa"/>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投标人提供完整的技术方案，系统建设提出合理的技术应用方案，方案内容包括招标文件所有要求条款，得0-4分；</w:t>
            </w:r>
            <w:r>
              <w:rPr>
                <w:rFonts w:hint="eastAsia" w:ascii="宋体" w:hAnsi="宋体"/>
                <w:color w:val="000000"/>
                <w:kern w:val="0"/>
                <w:sz w:val="22"/>
              </w:rPr>
              <w:br w:type="textWrapping"/>
            </w:r>
            <w:r>
              <w:rPr>
                <w:rFonts w:hint="eastAsia" w:ascii="宋体" w:hAnsi="宋体"/>
                <w:color w:val="000000"/>
                <w:kern w:val="0"/>
                <w:sz w:val="22"/>
              </w:rPr>
              <w:t>A档4-2分，B档2-1分，C档1-0分。</w:t>
            </w:r>
          </w:p>
        </w:tc>
      </w:tr>
      <w:tr>
        <w:tblPrEx>
          <w:tblCellMar>
            <w:top w:w="0" w:type="dxa"/>
            <w:left w:w="108" w:type="dxa"/>
            <w:bottom w:w="0" w:type="dxa"/>
            <w:right w:w="108" w:type="dxa"/>
          </w:tblCellMar>
        </w:tblPrEx>
        <w:trPr>
          <w:wBefore w:w="0" w:type="dxa"/>
          <w:wAfter w:w="0" w:type="dxa"/>
          <w:trHeight w:val="1107" w:hRule="atLeast"/>
        </w:trPr>
        <w:tc>
          <w:tcPr>
            <w:tcW w:w="121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121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1218" w:type="dxa"/>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w:t>
            </w:r>
          </w:p>
        </w:tc>
        <w:tc>
          <w:tcPr>
            <w:tcW w:w="6024" w:type="dxa"/>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结构图、流程图、系统图等完整、准确、规范，对招标文件技术性条款进行详细应答说明，得0-4分；</w:t>
            </w:r>
            <w:r>
              <w:rPr>
                <w:rFonts w:hint="eastAsia" w:ascii="宋体" w:hAnsi="宋体"/>
                <w:color w:val="000000"/>
                <w:kern w:val="0"/>
                <w:sz w:val="22"/>
              </w:rPr>
              <w:br w:type="textWrapping"/>
            </w:r>
            <w:r>
              <w:rPr>
                <w:rFonts w:hint="eastAsia" w:ascii="宋体" w:hAnsi="宋体"/>
                <w:color w:val="000000"/>
                <w:kern w:val="0"/>
                <w:sz w:val="22"/>
              </w:rPr>
              <w:t>A档4-2分，B档2-1分，C档1-0分。</w:t>
            </w:r>
          </w:p>
        </w:tc>
      </w:tr>
      <w:tr>
        <w:tblPrEx>
          <w:tblCellMar>
            <w:top w:w="0" w:type="dxa"/>
            <w:left w:w="108" w:type="dxa"/>
            <w:bottom w:w="0" w:type="dxa"/>
            <w:right w:w="108" w:type="dxa"/>
          </w:tblCellMar>
        </w:tblPrEx>
        <w:trPr>
          <w:wBefore w:w="0" w:type="dxa"/>
          <w:wAfter w:w="0" w:type="dxa"/>
          <w:trHeight w:val="901" w:hRule="atLeast"/>
        </w:trPr>
        <w:tc>
          <w:tcPr>
            <w:tcW w:w="121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121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1218" w:type="dxa"/>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w:t>
            </w:r>
          </w:p>
        </w:tc>
        <w:tc>
          <w:tcPr>
            <w:tcW w:w="6024" w:type="dxa"/>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针对招标人指定点位（含视频监控、卡口、相关附属设备）的增加、移机、故障处置、**保障等应急解决能力，根据投标人提供的解决方案酌情打分，得0-4分 ；</w:t>
            </w:r>
            <w:r>
              <w:rPr>
                <w:rFonts w:hint="eastAsia" w:ascii="宋体" w:hAnsi="宋体"/>
                <w:color w:val="000000"/>
                <w:kern w:val="0"/>
                <w:sz w:val="22"/>
              </w:rPr>
              <w:br w:type="textWrapping"/>
            </w:r>
            <w:r>
              <w:rPr>
                <w:rFonts w:hint="eastAsia" w:ascii="宋体" w:hAnsi="宋体"/>
                <w:color w:val="000000"/>
                <w:kern w:val="0"/>
                <w:sz w:val="22"/>
              </w:rPr>
              <w:t>A档4-2分，B档2-1分，C档1-0分。</w:t>
            </w:r>
          </w:p>
        </w:tc>
      </w:tr>
      <w:tr>
        <w:tblPrEx>
          <w:tblCellMar>
            <w:top w:w="0" w:type="dxa"/>
            <w:left w:w="108" w:type="dxa"/>
            <w:bottom w:w="0" w:type="dxa"/>
            <w:right w:w="108" w:type="dxa"/>
          </w:tblCellMar>
        </w:tblPrEx>
        <w:trPr>
          <w:wBefore w:w="0" w:type="dxa"/>
          <w:wAfter w:w="0" w:type="dxa"/>
          <w:trHeight w:val="1718" w:hRule="atLeast"/>
        </w:trPr>
        <w:tc>
          <w:tcPr>
            <w:tcW w:w="1218"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3</w:t>
            </w:r>
          </w:p>
        </w:tc>
        <w:tc>
          <w:tcPr>
            <w:tcW w:w="1218"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维护保障能力（12分）</w:t>
            </w:r>
          </w:p>
        </w:tc>
        <w:tc>
          <w:tcPr>
            <w:tcW w:w="1218"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12</w:t>
            </w:r>
          </w:p>
        </w:tc>
        <w:tc>
          <w:tcPr>
            <w:tcW w:w="6024" w:type="dxa"/>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提供的龙湾雪亮工程的监控（不含简易监控）平均在线率情况打分。平均在线率为100%的得满分，每降低0.1个百分点，扣0.2分，共8分扣完为止。（平均在线率计算时间：从2019年7月1日之日起至招标公告前一日。在龙湾雪亮工程没有在维监控（不含简易监控）点位的，可以提供温州市内其它县市区雪亮工程的监控（不含简易监控）在线率（需提供每日明细），都没有的该项分值取有得分的投标人中的最低分）</w:t>
            </w:r>
          </w:p>
        </w:tc>
      </w:tr>
      <w:tr>
        <w:tblPrEx>
          <w:tblCellMar>
            <w:top w:w="0" w:type="dxa"/>
            <w:left w:w="108" w:type="dxa"/>
            <w:bottom w:w="0" w:type="dxa"/>
            <w:right w:w="108" w:type="dxa"/>
          </w:tblCellMar>
        </w:tblPrEx>
        <w:trPr>
          <w:wBefore w:w="0" w:type="dxa"/>
          <w:wAfter w:w="0" w:type="dxa"/>
          <w:trHeight w:val="1435" w:hRule="atLeast"/>
        </w:trPr>
        <w:tc>
          <w:tcPr>
            <w:tcW w:w="121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121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121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6024" w:type="dxa"/>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提供的龙湾雪亮工程的简易监控平均在线率情况打分。平均在线率为98%的得满分，每降低1个百分点，扣0.1分，共4分扣完为止。（平均在线率计算时间：从2019年7月1日之日起至招标公告前一日。在龙湾雪亮工程没有在维简易监控点位的，可以提供温州市内其它县市区雪亮工程的简易监控在线率（需提供每日明细），都没有的该项分值取有得分的投标人中的最低分）</w:t>
            </w:r>
          </w:p>
        </w:tc>
      </w:tr>
      <w:tr>
        <w:tblPrEx>
          <w:tblCellMar>
            <w:top w:w="0" w:type="dxa"/>
            <w:left w:w="108" w:type="dxa"/>
            <w:bottom w:w="0" w:type="dxa"/>
            <w:right w:w="108" w:type="dxa"/>
          </w:tblCellMar>
        </w:tblPrEx>
        <w:trPr>
          <w:wBefore w:w="0" w:type="dxa"/>
          <w:wAfter w:w="0" w:type="dxa"/>
          <w:trHeight w:val="1092" w:hRule="atLeast"/>
        </w:trPr>
        <w:tc>
          <w:tcPr>
            <w:tcW w:w="1218" w:type="dxa"/>
            <w:tcBorders>
              <w:top w:val="nil"/>
              <w:left w:val="single" w:color="auto" w:sz="8" w:space="0"/>
              <w:bottom w:val="nil"/>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4</w:t>
            </w:r>
          </w:p>
        </w:tc>
        <w:tc>
          <w:tcPr>
            <w:tcW w:w="1218" w:type="dxa"/>
            <w:tcBorders>
              <w:top w:val="nil"/>
              <w:left w:val="nil"/>
              <w:bottom w:val="nil"/>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施工组织计划（3分）</w:t>
            </w:r>
          </w:p>
        </w:tc>
        <w:tc>
          <w:tcPr>
            <w:tcW w:w="1218" w:type="dxa"/>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6024" w:type="dxa"/>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包括项目现有光纤资源、施工计划、安全保证措施、质量保证措施、进度保证措施和环境保证措施打分。</w:t>
            </w:r>
          </w:p>
        </w:tc>
      </w:tr>
      <w:tr>
        <w:tblPrEx>
          <w:tblCellMar>
            <w:top w:w="0" w:type="dxa"/>
            <w:left w:w="108" w:type="dxa"/>
            <w:bottom w:w="0" w:type="dxa"/>
            <w:right w:w="108" w:type="dxa"/>
          </w:tblCellMar>
        </w:tblPrEx>
        <w:trPr>
          <w:wBefore w:w="0" w:type="dxa"/>
          <w:wAfter w:w="0" w:type="dxa"/>
          <w:trHeight w:val="1484" w:hRule="atLeast"/>
        </w:trPr>
        <w:tc>
          <w:tcPr>
            <w:tcW w:w="121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5</w:t>
            </w:r>
          </w:p>
        </w:tc>
        <w:tc>
          <w:tcPr>
            <w:tcW w:w="121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技术支持情况与服务支持能力（6分）</w:t>
            </w:r>
          </w:p>
        </w:tc>
        <w:tc>
          <w:tcPr>
            <w:tcW w:w="1218" w:type="dxa"/>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024" w:type="dxa"/>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 xml:space="preserve">根据投标供应商服务于此次项目的项目主管的自2017年1月1日以来负责的相关项目经验，学历、职称、所获其他证书等进行打分（参考附件“项目负责人资格情况表”；必须提供项目主管在投标供应商的社保证明复印件加盖公章，不提供该项不得分；项目主管的学历、职称、所获其他证书等的需提供证书复印件加盖投标人公章； </w:t>
            </w:r>
          </w:p>
        </w:tc>
      </w:tr>
      <w:tr>
        <w:tblPrEx>
          <w:tblCellMar>
            <w:top w:w="0" w:type="dxa"/>
            <w:left w:w="108" w:type="dxa"/>
            <w:bottom w:w="0" w:type="dxa"/>
            <w:right w:w="108" w:type="dxa"/>
          </w:tblCellMar>
        </w:tblPrEx>
        <w:trPr>
          <w:wBefore w:w="0" w:type="dxa"/>
          <w:wAfter w:w="0" w:type="dxa"/>
          <w:trHeight w:val="750" w:hRule="atLeast"/>
        </w:trPr>
        <w:tc>
          <w:tcPr>
            <w:tcW w:w="12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12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1218" w:type="dxa"/>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024" w:type="dxa"/>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维保队伍的配备、计划安排情况</w:t>
            </w:r>
          </w:p>
        </w:tc>
      </w:tr>
      <w:tr>
        <w:tblPrEx>
          <w:tblCellMar>
            <w:top w:w="0" w:type="dxa"/>
            <w:left w:w="108" w:type="dxa"/>
            <w:bottom w:w="0" w:type="dxa"/>
            <w:right w:w="108" w:type="dxa"/>
          </w:tblCellMar>
        </w:tblPrEx>
        <w:trPr>
          <w:wBefore w:w="0" w:type="dxa"/>
          <w:wAfter w:w="0" w:type="dxa"/>
          <w:trHeight w:val="645" w:hRule="atLeast"/>
        </w:trPr>
        <w:tc>
          <w:tcPr>
            <w:tcW w:w="12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121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1218" w:type="dxa"/>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024" w:type="dxa"/>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主要设备厂商在本地区确定的服务点的配备情况</w:t>
            </w:r>
          </w:p>
        </w:tc>
      </w:tr>
      <w:tr>
        <w:tblPrEx>
          <w:tblCellMar>
            <w:top w:w="0" w:type="dxa"/>
            <w:left w:w="108" w:type="dxa"/>
            <w:bottom w:w="0" w:type="dxa"/>
            <w:right w:w="108" w:type="dxa"/>
          </w:tblCellMar>
        </w:tblPrEx>
        <w:trPr>
          <w:wBefore w:w="0" w:type="dxa"/>
          <w:wAfter w:w="0" w:type="dxa"/>
          <w:trHeight w:val="3608" w:hRule="atLeast"/>
        </w:trPr>
        <w:tc>
          <w:tcPr>
            <w:tcW w:w="121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6</w:t>
            </w:r>
          </w:p>
        </w:tc>
        <w:tc>
          <w:tcPr>
            <w:tcW w:w="1218"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点位优惠（4分）</w:t>
            </w:r>
          </w:p>
        </w:tc>
        <w:tc>
          <w:tcPr>
            <w:tcW w:w="1218"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w:t>
            </w:r>
          </w:p>
        </w:tc>
        <w:tc>
          <w:tcPr>
            <w:tcW w:w="6024"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olor w:val="000000"/>
                <w:kern w:val="0"/>
                <w:sz w:val="22"/>
              </w:rPr>
            </w:pPr>
            <w:r>
              <w:rPr>
                <w:rFonts w:hint="eastAsia" w:ascii="宋体" w:hAnsi="宋体"/>
                <w:color w:val="000000"/>
                <w:kern w:val="0"/>
                <w:sz w:val="22"/>
              </w:rPr>
              <w:t>1.在本项目80个图像抓拍摄像机（枪机）的基础上，根据投标人优惠（增加）的图像抓拍摄像机（枪机）点位数量打分，最多的得满分，其它的按折比得分。</w:t>
            </w:r>
          </w:p>
          <w:p>
            <w:pPr>
              <w:widowControl/>
              <w:jc w:val="left"/>
              <w:rPr>
                <w:rFonts w:hint="eastAsia" w:ascii="宋体" w:hAnsi="宋体"/>
                <w:color w:val="000000"/>
                <w:kern w:val="0"/>
                <w:sz w:val="22"/>
              </w:rPr>
            </w:pPr>
            <w:r>
              <w:rPr>
                <w:rFonts w:hint="eastAsia" w:ascii="宋体" w:hAnsi="宋体"/>
                <w:color w:val="000000"/>
                <w:kern w:val="0"/>
                <w:sz w:val="22"/>
              </w:rPr>
              <w:t xml:space="preserve">注：①优惠的图像抓拍摄像机（枪机）点位含图像抓拍摄像机（枪机）、支架（不立杆）、前端智能管理单元（含套定制化抱箍）、高清存储（25fps/4Mbps码流/30天*24小时）、平台接入、施工、高清链路（5年）、监控运维费（5年）、电费（5年）、点位信息采集（要求和图像抓拍监控采用同品牌同型号设备）。     </w:t>
            </w:r>
          </w:p>
          <w:p>
            <w:pPr>
              <w:jc w:val="left"/>
              <w:rPr>
                <w:rFonts w:ascii="宋体" w:hAnsi="宋体"/>
                <w:color w:val="000000"/>
                <w:kern w:val="0"/>
                <w:sz w:val="22"/>
              </w:rPr>
            </w:pPr>
            <w:r>
              <w:rPr>
                <w:rFonts w:hint="eastAsia" w:ascii="宋体" w:hAnsi="宋体"/>
                <w:color w:val="000000"/>
                <w:kern w:val="0"/>
                <w:sz w:val="22"/>
              </w:rPr>
              <w:t>②优惠的监控点位要求提供独立的设备清单。不符合①、②要求的不得分。</w:t>
            </w:r>
          </w:p>
        </w:tc>
      </w:tr>
      <w:tr>
        <w:tblPrEx>
          <w:tblCellMar>
            <w:top w:w="0" w:type="dxa"/>
            <w:left w:w="108" w:type="dxa"/>
            <w:bottom w:w="0" w:type="dxa"/>
            <w:right w:w="108" w:type="dxa"/>
          </w:tblCellMar>
        </w:tblPrEx>
        <w:trPr>
          <w:wBefore w:w="0" w:type="dxa"/>
          <w:wAfter w:w="0" w:type="dxa"/>
          <w:trHeight w:val="1017" w:hRule="atLeast"/>
        </w:trPr>
        <w:tc>
          <w:tcPr>
            <w:tcW w:w="1218"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7</w:t>
            </w:r>
          </w:p>
        </w:tc>
        <w:tc>
          <w:tcPr>
            <w:tcW w:w="1218" w:type="dxa"/>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节能环保（2分）</w:t>
            </w:r>
          </w:p>
        </w:tc>
        <w:tc>
          <w:tcPr>
            <w:tcW w:w="1218"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024"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color w:val="000000"/>
                <w:kern w:val="0"/>
                <w:sz w:val="22"/>
              </w:rPr>
            </w:pPr>
            <w:r>
              <w:rPr>
                <w:rFonts w:hint="eastAsia" w:ascii="宋体" w:hAnsi="宋体"/>
                <w:color w:val="000000"/>
                <w:kern w:val="0"/>
                <w:sz w:val="22"/>
              </w:rPr>
              <w:t>1）投标产品中有列入《节能产品政府采购品目清单》的，可得1分。</w:t>
            </w:r>
          </w:p>
          <w:p>
            <w:pPr>
              <w:widowControl/>
              <w:rPr>
                <w:rFonts w:hint="eastAsia" w:ascii="宋体" w:hAnsi="宋体"/>
                <w:color w:val="000000"/>
                <w:kern w:val="0"/>
                <w:sz w:val="22"/>
              </w:rPr>
            </w:pPr>
            <w:r>
              <w:rPr>
                <w:rFonts w:hint="eastAsia" w:ascii="宋体" w:hAnsi="宋体"/>
                <w:color w:val="000000"/>
                <w:kern w:val="0"/>
                <w:sz w:val="22"/>
              </w:rPr>
              <w:t>2）投标产品中有列入《环境标志产品政府采购品目清单》的，可得1分。</w:t>
            </w:r>
          </w:p>
          <w:p>
            <w:pPr>
              <w:widowControl/>
              <w:rPr>
                <w:rFonts w:ascii="宋体" w:hAnsi="宋体"/>
                <w:color w:val="000000"/>
                <w:kern w:val="0"/>
                <w:sz w:val="22"/>
              </w:rPr>
            </w:pPr>
            <w:r>
              <w:rPr>
                <w:rFonts w:hint="eastAsia" w:ascii="宋体" w:hAnsi="宋体"/>
                <w:color w:val="000000"/>
                <w:kern w:val="0"/>
                <w:sz w:val="22"/>
              </w:rPr>
              <w:t>注：提供由国家确定的认证机构出具的的节能产品、环境标志产品认证机构出具的认证证书。（国家确定的认证机构见第四部分）</w:t>
            </w:r>
          </w:p>
        </w:tc>
      </w:tr>
    </w:tbl>
    <w:p>
      <w:pPr>
        <w:spacing w:line="440" w:lineRule="exact"/>
        <w:rPr>
          <w:rFonts w:hint="eastAsia" w:ascii="宋体" w:hAnsi="宋体"/>
          <w:bCs/>
          <w:sz w:val="22"/>
        </w:rPr>
      </w:pPr>
      <w:r>
        <w:rPr>
          <w:rFonts w:hint="eastAsia" w:ascii="宋体" w:hAnsi="宋体"/>
          <w:bCs/>
          <w:sz w:val="22"/>
        </w:rPr>
        <w:t>注 ：1.每个评委根据上述评分内容和分值独立打分，然后将各评委汇总分的算术平均值作为该投标供应商的技术、资信标最后有效得分。（计算分值四舍五入，精确到小数点后二位）</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三、说明</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1、每个供应商最终得分=商务技术部分分值（所有评标委员会成员打分的算术平均值）＋报价要求部分分值。</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2、评标委员会推荐得分最高的供应商为预中标供应商（如果得分相同则按报价从低到高顺序依次推荐为预中标单位）；如果得分相同，报价也相同，以抽签决定，并编写评标报告。</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3、所有分值计算保留小数点后二位，小数点后三位四舍五入。</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参见本招标文件第三部分：“供应商须知” 中的相关内容，未尽事宜按有关法律规定处理。</w:t>
      </w:r>
    </w:p>
    <w:p>
      <w:pPr>
        <w:rPr>
          <w:rFonts w:hint="eastAsia" w:ascii="宋体" w:hAnsi="宋体"/>
        </w:rPr>
      </w:pPr>
    </w:p>
    <w:sectPr>
      <w:pgSz w:w="11906" w:h="16838"/>
      <w:pgMar w:top="1440" w:right="1191" w:bottom="1440"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楷体_GB2312">
    <w:altName w:val="楷体"/>
    <w:panose1 w:val="00000000000000000000"/>
    <w:charset w:val="86"/>
    <w:family w:val="modern"/>
    <w:pitch w:val="default"/>
    <w:sig w:usb0="00000001" w:usb1="080E0000" w:usb2="00000010" w:usb3="00000000" w:csb0="00040000" w:csb1="00000000"/>
  </w:font>
  <w:font w:name="Times">
    <w:altName w:val="Times New Roman"/>
    <w:panose1 w:val="02020603050405020304"/>
    <w:charset w:val="00"/>
    <w:family w:val="roman"/>
    <w:pitch w:val="default"/>
    <w:sig w:usb0="E0002AFF" w:usb1="C0007841" w:usb2="00000009" w:usb3="00000000" w:csb0="000001FF" w:csb1="0000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fldChar w:fldCharType="begin"/>
    </w:r>
    <w:r>
      <w:rPr>
        <w:rStyle w:val="28"/>
      </w:rPr>
      <w:instrText xml:space="preserve">PAGE  </w:instrText>
    </w:r>
    <w:r>
      <w:fldChar w:fldCharType="separate"/>
    </w:r>
    <w:r>
      <w:rPr>
        <w:rStyle w:val="28"/>
        <w:lang/>
      </w:rPr>
      <w:t>11</w:t>
    </w:r>
    <w:r>
      <w:fldChar w:fldCharType="end"/>
    </w:r>
  </w:p>
  <w:p>
    <w:pPr>
      <w:pStyle w:val="17"/>
      <w:ind w:right="720"/>
      <w:jc w:val="right"/>
    </w:pPr>
    <w:r>
      <w:rPr>
        <w:rStyle w:val="28"/>
        <w:rFonts w:hint="eastAsia"/>
      </w:rPr>
      <w:t xml:space="preserve">                                                </w:t>
    </w:r>
    <w:r>
      <w:tab/>
    </w:r>
    <w:r>
      <w:rPr>
        <w:rStyle w:val="28"/>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rPr>
        <w:rFonts w:ascii="宋体" w:eastAsia="宋体"/>
      </w:rPr>
      <w:fldChar w:fldCharType="begin"/>
    </w:r>
    <w:r>
      <w:rPr>
        <w:rStyle w:val="28"/>
      </w:rPr>
      <w:instrText xml:space="preserve">PAGE  </w:instrText>
    </w:r>
    <w:r>
      <w:rPr>
        <w:rFonts w:ascii="宋体" w:eastAsia="宋体"/>
      </w:rPr>
      <w:fldChar w:fldCharType="separate"/>
    </w:r>
    <w:r>
      <w:rPr>
        <w:rStyle w:val="28"/>
      </w:rPr>
      <w:t>48</w:t>
    </w:r>
    <w:r>
      <w:rPr>
        <w:rFonts w:ascii="宋体" w:eastAsia="宋体"/>
      </w:rPr>
      <w:fldChar w:fldCharType="end"/>
    </w:r>
  </w:p>
  <w:p>
    <w:pPr>
      <w:pStyle w:val="17"/>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31</w:t>
                          </w:r>
                          <w:r>
                            <w:rPr>
                              <w:rFonts w:ascii="宋体" w:eastAsia="宋体"/>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pci88sBAACcAwAADgAAAGRycy9lMm9Eb2MueG1srVPNjtMwEL4j8Q6W 79RpJ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rFTaDEcYsDv3z/dvnx6/LzK1lW q9dZoT5AjYkPAVPTcOeHnD35AZ2Z+KCizV+kRDCO+p6v+sohEZEfrVfrdYUhgbH5gjjs8XmIkN5K b0k2GhpxgEVXfnoPaUydU3I15++1MejntXF/ORAze1jufewxW2nYD1Pje9+ekU+Ps2+ow1WnxLxz KG1ek9mIs7GfjWOI+tCVPcr1INweEzZRessVRtipMA6tsJsWLG/Fn/eS9fhT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qXIvPLAQAAnAMAAA4AAAAAAAAAAQAgAAAAHgEAAGRycy9lMm9E b2MueG1sUEsFBgAAAAAGAAYAWQEAAFsFAAAAAA== ">
              <v:fill on="f" focussize="0,0"/>
              <v:stroke on="f"/>
              <v:imagedata o:title=""/>
              <o:lock v:ext="edit" aspectratio="f"/>
              <v:textbox inset="0mm,0mm,0mm,0mm" style="mso-fit-shape-to-text:t;">
                <w:txbxContent>
                  <w:p>
                    <w:pPr>
                      <w:pStyle w:val="17"/>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31</w:t>
                    </w:r>
                    <w:r>
                      <w:rPr>
                        <w:rFonts w:ascii="宋体" w:eastAsia="宋体"/>
                      </w:rPr>
                      <w:fldChar w:fldCharType="end"/>
                    </w:r>
                  </w:p>
                </w:txbxContent>
              </v:textbox>
            </v:shape>
          </w:pict>
        </mc:Fallback>
      </mc:AlternateContent>
    </w:r>
  </w:p>
  <w:p>
    <w:pPr>
      <w:pStyle w:val="1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ascii="宋体" w:eastAsia="宋体"/>
        <w:b w:val="0"/>
      </w:rPr>
    </w:pPr>
    <w:r>
      <w:rPr>
        <w:rStyle w:val="28"/>
        <w:rFonts w:hint="eastAsia"/>
        <w:b w:val="0"/>
      </w:rPr>
      <w:t xml:space="preserve">                              </w:t>
    </w:r>
    <w:r>
      <w:rPr>
        <w:rFonts w:ascii="宋体" w:eastAsia="宋体"/>
        <w:b w:val="0"/>
      </w:rPr>
      <w:fldChar w:fldCharType="begin"/>
    </w:r>
    <w:r>
      <w:rPr>
        <w:rStyle w:val="28"/>
        <w:b w:val="0"/>
      </w:rPr>
      <w:instrText xml:space="preserve"> PAGE </w:instrText>
    </w:r>
    <w:r>
      <w:rPr>
        <w:rFonts w:ascii="宋体" w:eastAsia="宋体"/>
        <w:b w:val="0"/>
      </w:rPr>
      <w:fldChar w:fldCharType="separate"/>
    </w:r>
    <w:r>
      <w:rPr>
        <w:rStyle w:val="28"/>
        <w:b w:val="0"/>
        <w:lang/>
      </w:rPr>
      <w:t>72</w:t>
    </w:r>
    <w:r>
      <w:rPr>
        <w:rFonts w:ascii="宋体" w:eastAsia="宋体"/>
        <w:b w:val="0"/>
      </w:rPr>
      <w:fldChar w:fldCharType="end"/>
    </w:r>
    <w:r>
      <w:rPr>
        <w:rStyle w:val="28"/>
        <w:rFonts w:hint="eastAsia"/>
        <w:b w:val="0"/>
      </w:rPr>
      <w:t xml:space="preserve">               </w:t>
    </w:r>
    <w:r>
      <w:rPr>
        <w:rFonts w:hint="eastAsia" w:ascii="宋体" w:eastAsia="宋体"/>
        <w:b w:val="0"/>
      </w:rPr>
      <w:t>杭州华旗招标代理有限公司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ascii="宋体" w:eastAsia="宋体"/>
        <w:b w:val="0"/>
      </w:rPr>
    </w:pPr>
    <w:r>
      <w:rPr>
        <w:rStyle w:val="28"/>
        <w:rFonts w:hint="eastAsia"/>
        <w:b w:val="0"/>
      </w:rPr>
      <w:t xml:space="preserve">                              </w:t>
    </w:r>
    <w:r>
      <w:rPr>
        <w:rFonts w:ascii="宋体" w:eastAsia="宋体"/>
        <w:b w:val="0"/>
      </w:rPr>
      <w:fldChar w:fldCharType="begin"/>
    </w:r>
    <w:r>
      <w:rPr>
        <w:rStyle w:val="28"/>
        <w:b w:val="0"/>
      </w:rPr>
      <w:instrText xml:space="preserve"> PAGE </w:instrText>
    </w:r>
    <w:r>
      <w:rPr>
        <w:rFonts w:ascii="宋体" w:eastAsia="宋体"/>
        <w:b w:val="0"/>
      </w:rPr>
      <w:fldChar w:fldCharType="separate"/>
    </w:r>
    <w:r>
      <w:rPr>
        <w:rStyle w:val="28"/>
        <w:b w:val="0"/>
        <w:lang/>
      </w:rPr>
      <w:t>85</w:t>
    </w:r>
    <w:r>
      <w:rPr>
        <w:rFonts w:ascii="宋体" w:eastAsia="宋体"/>
        <w:b w:val="0"/>
      </w:rPr>
      <w:fldChar w:fldCharType="end"/>
    </w:r>
    <w:r>
      <w:rPr>
        <w:rStyle w:val="28"/>
        <w:rFonts w:hint="eastAsia"/>
        <w:b w:val="0"/>
      </w:rPr>
      <w:t xml:space="preserve">               </w:t>
    </w:r>
    <w:r>
      <w:rPr>
        <w:rFonts w:hint="eastAsia" w:ascii="宋体" w:eastAsia="宋体"/>
        <w:b w:val="0"/>
      </w:rPr>
      <w:t>杭州华旗招标代理有限公司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eastAsia="宋体"/>
        <w:b w:val="0"/>
      </w:rPr>
    </w:pPr>
    <w:r>
      <w:rPr>
        <w:rFonts w:hint="eastAsia" w:ascii="宋体" w:eastAsia="宋体"/>
        <w:b w:val="0"/>
      </w:rPr>
      <w:t>龙湾区政府采购招标文件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eastAsia="宋体"/>
        <w:b w:val="0"/>
      </w:rPr>
    </w:pPr>
    <w:r>
      <w:rPr>
        <w:rFonts w:hint="eastAsia" w:ascii="宋体" w:eastAsia="宋体"/>
        <w:b w:val="0"/>
      </w:rPr>
      <w:t>龙湾区政府采购招标文件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ascii="宋体" w:eastAsia="宋体"/>
      </w:rPr>
      <w:t>龙湾区政府采购招标文件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ascii="宋体" w:eastAsia="宋体"/>
      </w:rPr>
      <w:t>龙湾区政府采购招标文件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ascii="宋体" w:eastAsia="宋体"/>
        <w:b w:val="0"/>
      </w:rPr>
    </w:pPr>
    <w:r>
      <w:rPr>
        <w:rFonts w:hint="eastAsia" w:ascii="宋体" w:eastAsia="宋体"/>
      </w:rPr>
      <w:t>龙湾区政府采购招标文件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ascii="宋体" w:eastAsia="宋体"/>
        <w:b w:val="0"/>
      </w:rPr>
    </w:pPr>
    <w:r>
      <w:rPr>
        <w:rFonts w:hint="eastAsia" w:ascii="宋体" w:eastAsia="宋体"/>
      </w:rPr>
      <w:t>龙湾区政府采购招标文件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F508B"/>
    <w:multiLevelType w:val="singleLevel"/>
    <w:tmpl w:val="9A4F508B"/>
    <w:lvl w:ilvl="0" w:tentative="0">
      <w:start w:val="1"/>
      <w:numFmt w:val="decimal"/>
      <w:lvlText w:val="%1."/>
      <w:lvlJc w:val="left"/>
      <w:pPr>
        <w:tabs>
          <w:tab w:val="left" w:pos="312"/>
        </w:tabs>
      </w:pPr>
    </w:lvl>
  </w:abstractNum>
  <w:abstractNum w:abstractNumId="1">
    <w:nsid w:val="9FD169E5"/>
    <w:multiLevelType w:val="singleLevel"/>
    <w:tmpl w:val="9FD169E5"/>
    <w:lvl w:ilvl="0" w:tentative="0">
      <w:start w:val="1"/>
      <w:numFmt w:val="chineseCounting"/>
      <w:suff w:val="nothing"/>
      <w:lvlText w:val="%1、"/>
      <w:lvlJc w:val="left"/>
      <w:rPr>
        <w:rFonts w:hint="eastAsia"/>
      </w:rPr>
    </w:lvl>
  </w:abstractNum>
  <w:abstractNum w:abstractNumId="2">
    <w:nsid w:val="A62F971D"/>
    <w:multiLevelType w:val="singleLevel"/>
    <w:tmpl w:val="A62F971D"/>
    <w:lvl w:ilvl="0" w:tentative="0">
      <w:start w:val="2"/>
      <w:numFmt w:val="decimal"/>
      <w:suff w:val="nothing"/>
      <w:lvlText w:val="%1、"/>
      <w:lvlJc w:val="left"/>
    </w:lvl>
  </w:abstractNum>
  <w:abstractNum w:abstractNumId="3">
    <w:nsid w:val="D26ADF18"/>
    <w:multiLevelType w:val="singleLevel"/>
    <w:tmpl w:val="D26ADF18"/>
    <w:lvl w:ilvl="0" w:tentative="0">
      <w:start w:val="3"/>
      <w:numFmt w:val="chineseCounting"/>
      <w:suff w:val="nothing"/>
      <w:lvlText w:val="%1、"/>
      <w:lvlJc w:val="left"/>
      <w:rPr>
        <w:rFonts w:hint="eastAsia"/>
      </w:rPr>
    </w:lvl>
  </w:abstractNum>
  <w:abstractNum w:abstractNumId="4">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5">
    <w:nsid w:val="32E700E4"/>
    <w:multiLevelType w:val="multilevel"/>
    <w:tmpl w:val="32E700E4"/>
    <w:lvl w:ilvl="0" w:tentative="0">
      <w:start w:val="1"/>
      <w:numFmt w:val="decimal"/>
      <w:lvlText w:val="(%1)"/>
      <w:lvlJc w:val="left"/>
      <w:pPr>
        <w:tabs>
          <w:tab w:val="left" w:pos="525"/>
        </w:tabs>
        <w:ind w:left="525" w:hanging="420"/>
      </w:pPr>
      <w:rPr>
        <w:rFonts w:hint="eastAsia" w:ascii="宋体" w:hAnsi="宋体" w:eastAsia="宋体"/>
        <w:color w:val="000000"/>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abstractNum w:abstractNumId="6">
    <w:nsid w:val="374761D1"/>
    <w:multiLevelType w:val="multilevel"/>
    <w:tmpl w:val="374761D1"/>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8">
    <w:nsid w:val="4AE31B2C"/>
    <w:multiLevelType w:val="multilevel"/>
    <w:tmpl w:val="4AE31B2C"/>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4FA06965"/>
    <w:multiLevelType w:val="multilevel"/>
    <w:tmpl w:val="4FA06965"/>
    <w:lvl w:ilvl="0" w:tentative="0">
      <w:start w:val="1"/>
      <w:numFmt w:val="decimal"/>
      <w:lvlText w:val="(%1)"/>
      <w:lvlJc w:val="left"/>
      <w:pPr>
        <w:tabs>
          <w:tab w:val="left" w:pos="562"/>
        </w:tabs>
        <w:ind w:left="562" w:hanging="420"/>
      </w:pPr>
      <w:rPr>
        <w:rFonts w:hint="eastAsia" w:ascii="宋体" w:hAnsi="宋体" w:eastAsia="宋体"/>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abstractNum w:abstractNumId="10">
    <w:nsid w:val="55F7220C"/>
    <w:multiLevelType w:val="multilevel"/>
    <w:tmpl w:val="55F7220C"/>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57FD9EC0"/>
    <w:multiLevelType w:val="singleLevel"/>
    <w:tmpl w:val="57FD9EC0"/>
    <w:lvl w:ilvl="0" w:tentative="0">
      <w:start w:val="2"/>
      <w:numFmt w:val="chineseCounting"/>
      <w:suff w:val="nothing"/>
      <w:lvlText w:val="%1、"/>
      <w:lvlJc w:val="left"/>
    </w:lvl>
  </w:abstractNum>
  <w:abstractNum w:abstractNumId="12">
    <w:nsid w:val="599289D4"/>
    <w:multiLevelType w:val="singleLevel"/>
    <w:tmpl w:val="599289D4"/>
    <w:lvl w:ilvl="0" w:tentative="0">
      <w:start w:val="1"/>
      <w:numFmt w:val="decimal"/>
      <w:lvlText w:val="%1."/>
      <w:lvlJc w:val="left"/>
      <w:pPr>
        <w:ind w:left="425" w:hanging="425"/>
      </w:pPr>
      <w:rPr>
        <w:rFonts w:hint="default"/>
      </w:rPr>
    </w:lvl>
  </w:abstractNum>
  <w:abstractNum w:abstractNumId="13">
    <w:nsid w:val="59C3583E"/>
    <w:multiLevelType w:val="singleLevel"/>
    <w:tmpl w:val="59C3583E"/>
    <w:lvl w:ilvl="0" w:tentative="0">
      <w:start w:val="1"/>
      <w:numFmt w:val="decimal"/>
      <w:lvlText w:val="%1."/>
      <w:lvlJc w:val="left"/>
      <w:pPr>
        <w:ind w:left="425" w:hanging="425"/>
      </w:pPr>
      <w:rPr>
        <w:rFonts w:hint="default"/>
      </w:rPr>
    </w:lvl>
  </w:abstractNum>
  <w:abstractNum w:abstractNumId="14">
    <w:nsid w:val="59C35861"/>
    <w:multiLevelType w:val="singleLevel"/>
    <w:tmpl w:val="59C35861"/>
    <w:lvl w:ilvl="0" w:tentative="0">
      <w:start w:val="1"/>
      <w:numFmt w:val="decimal"/>
      <w:lvlText w:val="%1."/>
      <w:lvlJc w:val="left"/>
      <w:pPr>
        <w:ind w:left="425" w:hanging="425"/>
      </w:pPr>
      <w:rPr>
        <w:rFonts w:hint="default"/>
      </w:rPr>
    </w:lvl>
  </w:abstractNum>
  <w:abstractNum w:abstractNumId="15">
    <w:nsid w:val="5B9655A6"/>
    <w:multiLevelType w:val="multilevel"/>
    <w:tmpl w:val="5B9655A6"/>
    <w:lvl w:ilvl="0" w:tentative="0">
      <w:start w:val="1"/>
      <w:numFmt w:val="bullet"/>
      <w:lvlText w:val=""/>
      <w:lvlJc w:val="left"/>
      <w:pPr>
        <w:ind w:left="525"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6">
    <w:nsid w:val="5BE234A2"/>
    <w:multiLevelType w:val="multilevel"/>
    <w:tmpl w:val="5BE234A2"/>
    <w:lvl w:ilvl="0" w:tentative="0">
      <w:start w:val="1"/>
      <w:numFmt w:val="decimal"/>
      <w:lvlText w:val="%1）"/>
      <w:lvlJc w:val="left"/>
      <w:pPr>
        <w:tabs>
          <w:tab w:val="left" w:pos="846"/>
        </w:tabs>
        <w:ind w:left="846" w:hanging="420"/>
      </w:pPr>
      <w:rPr>
        <w:rFonts w:hint="eastAsia" w:ascii="宋体" w:hAnsi="宋体" w:eastAsia="宋体"/>
      </w:rPr>
    </w:lvl>
    <w:lvl w:ilvl="1" w:tentative="0">
      <w:start w:val="1"/>
      <w:numFmt w:val="lowerLetter"/>
      <w:lvlText w:val="%2)"/>
      <w:lvlJc w:val="left"/>
      <w:pPr>
        <w:tabs>
          <w:tab w:val="left" w:pos="1262"/>
        </w:tabs>
        <w:ind w:left="1262" w:hanging="420"/>
      </w:pPr>
      <w:rPr>
        <w:rFonts w:hint="default" w:ascii="Times New Roman" w:hAnsi="Times New Roman" w:cs="Times New Roman"/>
      </w:rPr>
    </w:lvl>
    <w:lvl w:ilvl="2" w:tentative="0">
      <w:start w:val="1"/>
      <w:numFmt w:val="lowerRoman"/>
      <w:lvlText w:val="%3."/>
      <w:lvlJc w:val="right"/>
      <w:pPr>
        <w:tabs>
          <w:tab w:val="left" w:pos="1682"/>
        </w:tabs>
        <w:ind w:left="1682" w:hanging="420"/>
      </w:pPr>
      <w:rPr>
        <w:rFonts w:hint="default" w:ascii="Times New Roman" w:hAnsi="Times New Roman" w:cs="Times New Roman"/>
      </w:rPr>
    </w:lvl>
    <w:lvl w:ilvl="3" w:tentative="0">
      <w:start w:val="1"/>
      <w:numFmt w:val="decimal"/>
      <w:lvlText w:val="%4."/>
      <w:lvlJc w:val="left"/>
      <w:pPr>
        <w:tabs>
          <w:tab w:val="left" w:pos="2102"/>
        </w:tabs>
        <w:ind w:left="2102" w:hanging="420"/>
      </w:pPr>
      <w:rPr>
        <w:rFonts w:hint="default" w:ascii="Times New Roman" w:hAnsi="Times New Roman" w:cs="Times New Roman"/>
      </w:rPr>
    </w:lvl>
    <w:lvl w:ilvl="4" w:tentative="0">
      <w:start w:val="1"/>
      <w:numFmt w:val="lowerLetter"/>
      <w:lvlText w:val="%5)"/>
      <w:lvlJc w:val="left"/>
      <w:pPr>
        <w:tabs>
          <w:tab w:val="left" w:pos="2522"/>
        </w:tabs>
        <w:ind w:left="2522" w:hanging="420"/>
      </w:pPr>
      <w:rPr>
        <w:rFonts w:hint="default" w:ascii="Times New Roman" w:hAnsi="Times New Roman" w:cs="Times New Roman"/>
      </w:rPr>
    </w:lvl>
    <w:lvl w:ilvl="5" w:tentative="0">
      <w:start w:val="1"/>
      <w:numFmt w:val="lowerRoman"/>
      <w:lvlText w:val="%6."/>
      <w:lvlJc w:val="right"/>
      <w:pPr>
        <w:tabs>
          <w:tab w:val="left" w:pos="2942"/>
        </w:tabs>
        <w:ind w:left="2942" w:hanging="420"/>
      </w:pPr>
      <w:rPr>
        <w:rFonts w:hint="default" w:ascii="Times New Roman" w:hAnsi="Times New Roman" w:cs="Times New Roman"/>
      </w:rPr>
    </w:lvl>
    <w:lvl w:ilvl="6" w:tentative="0">
      <w:start w:val="1"/>
      <w:numFmt w:val="decimal"/>
      <w:lvlText w:val="%7."/>
      <w:lvlJc w:val="left"/>
      <w:pPr>
        <w:tabs>
          <w:tab w:val="left" w:pos="3362"/>
        </w:tabs>
        <w:ind w:left="3362" w:hanging="420"/>
      </w:pPr>
      <w:rPr>
        <w:rFonts w:hint="default" w:ascii="Times New Roman" w:hAnsi="Times New Roman" w:cs="Times New Roman"/>
      </w:rPr>
    </w:lvl>
    <w:lvl w:ilvl="7" w:tentative="0">
      <w:start w:val="1"/>
      <w:numFmt w:val="lowerLetter"/>
      <w:lvlText w:val="%8)"/>
      <w:lvlJc w:val="left"/>
      <w:pPr>
        <w:tabs>
          <w:tab w:val="left" w:pos="3782"/>
        </w:tabs>
        <w:ind w:left="3782" w:hanging="420"/>
      </w:pPr>
      <w:rPr>
        <w:rFonts w:hint="default" w:ascii="Times New Roman" w:hAnsi="Times New Roman" w:cs="Times New Roman"/>
      </w:rPr>
    </w:lvl>
    <w:lvl w:ilvl="8" w:tentative="0">
      <w:start w:val="1"/>
      <w:numFmt w:val="lowerRoman"/>
      <w:lvlText w:val="%9."/>
      <w:lvlJc w:val="right"/>
      <w:pPr>
        <w:tabs>
          <w:tab w:val="left" w:pos="4202"/>
        </w:tabs>
        <w:ind w:left="4202" w:hanging="420"/>
      </w:pPr>
      <w:rPr>
        <w:rFonts w:hint="default" w:ascii="Times New Roman" w:hAnsi="Times New Roman" w:cs="Times New Roman"/>
      </w:rPr>
    </w:lvl>
  </w:abstractNum>
  <w:abstractNum w:abstractNumId="17">
    <w:nsid w:val="6D8A1DE5"/>
    <w:multiLevelType w:val="multilevel"/>
    <w:tmpl w:val="6D8A1DE5"/>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E12BD09"/>
    <w:multiLevelType w:val="singleLevel"/>
    <w:tmpl w:val="6E12BD09"/>
    <w:lvl w:ilvl="0" w:tentative="0">
      <w:start w:val="1"/>
      <w:numFmt w:val="decimal"/>
      <w:lvlText w:val="%1."/>
      <w:lvlJc w:val="left"/>
      <w:pPr>
        <w:tabs>
          <w:tab w:val="left" w:pos="312"/>
        </w:tabs>
      </w:pPr>
    </w:lvl>
  </w:abstractNum>
  <w:abstractNum w:abstractNumId="19">
    <w:nsid w:val="75E47E45"/>
    <w:multiLevelType w:val="multilevel"/>
    <w:tmpl w:val="75E47E45"/>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tabs>
          <w:tab w:val="left" w:pos="1260"/>
        </w:tabs>
        <w:ind w:left="1260" w:hanging="420"/>
      </w:pPr>
      <w:rPr>
        <w:rFonts w:hint="eastAsia" w:ascii="宋体" w:hAnsi="宋体" w:eastAsia="宋体"/>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 w:numId="3">
    <w:abstractNumId w:val="18"/>
  </w:num>
  <w:num w:numId="4">
    <w:abstractNumId w:val="3"/>
  </w:num>
  <w:num w:numId="5">
    <w:abstractNumId w:val="4"/>
  </w:num>
  <w:num w:numId="6">
    <w:abstractNumId w:val="19"/>
    <w:lvlOverride w:ilvl="1">
      <w:startOverride w:val="1"/>
    </w:lvlOverride>
  </w:num>
  <w:num w:numId="7">
    <w:abstractNumId w:val="15"/>
  </w:num>
  <w:num w:numId="8">
    <w:abstractNumId w:val="5"/>
    <w:lvlOverride w:ilvl="0">
      <w:startOverride w:val="1"/>
    </w:lvlOverride>
  </w:num>
  <w:num w:numId="9">
    <w:abstractNumId w:val="9"/>
    <w:lvlOverride w:ilvl="0">
      <w:startOverride w:val="1"/>
    </w:lvlOverride>
  </w:num>
  <w:num w:numId="10">
    <w:abstractNumId w:val="10"/>
    <w:lvlOverride w:ilvl="0">
      <w:startOverride w:val="1"/>
    </w:lvlOverride>
  </w:num>
  <w:num w:numId="11">
    <w:abstractNumId w:val="8"/>
    <w:lvlOverride w:ilvl="0">
      <w:startOverride w:val="1"/>
    </w:lvlOverride>
  </w:num>
  <w:num w:numId="12">
    <w:abstractNumId w:val="6"/>
    <w:lvlOverride w:ilvl="0">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14"/>
  </w:num>
  <w:num w:numId="17">
    <w:abstractNumId w:val="7"/>
  </w:num>
  <w:num w:numId="1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9F1"/>
    <w:rsid w:val="00027C54"/>
    <w:rsid w:val="00050477"/>
    <w:rsid w:val="00052351"/>
    <w:rsid w:val="000633A8"/>
    <w:rsid w:val="00064AFA"/>
    <w:rsid w:val="00093735"/>
    <w:rsid w:val="00094284"/>
    <w:rsid w:val="00096D84"/>
    <w:rsid w:val="000A03D5"/>
    <w:rsid w:val="000B104D"/>
    <w:rsid w:val="000C15D2"/>
    <w:rsid w:val="000C7A36"/>
    <w:rsid w:val="000E38B7"/>
    <w:rsid w:val="0012170A"/>
    <w:rsid w:val="001335B7"/>
    <w:rsid w:val="00140647"/>
    <w:rsid w:val="00167984"/>
    <w:rsid w:val="00171A11"/>
    <w:rsid w:val="001732F2"/>
    <w:rsid w:val="00177677"/>
    <w:rsid w:val="001B3833"/>
    <w:rsid w:val="001F041C"/>
    <w:rsid w:val="001F3B22"/>
    <w:rsid w:val="002112EA"/>
    <w:rsid w:val="00213D61"/>
    <w:rsid w:val="002213C0"/>
    <w:rsid w:val="00223AA0"/>
    <w:rsid w:val="00226D61"/>
    <w:rsid w:val="00233290"/>
    <w:rsid w:val="00237FC7"/>
    <w:rsid w:val="00281011"/>
    <w:rsid w:val="00284EBD"/>
    <w:rsid w:val="002A786D"/>
    <w:rsid w:val="002B17B2"/>
    <w:rsid w:val="002B40F8"/>
    <w:rsid w:val="002D30E7"/>
    <w:rsid w:val="002D4B64"/>
    <w:rsid w:val="002E3E55"/>
    <w:rsid w:val="0034326E"/>
    <w:rsid w:val="00345A8C"/>
    <w:rsid w:val="003B3946"/>
    <w:rsid w:val="003D70EB"/>
    <w:rsid w:val="003F1393"/>
    <w:rsid w:val="003F496F"/>
    <w:rsid w:val="004114D7"/>
    <w:rsid w:val="004117CD"/>
    <w:rsid w:val="00444E0B"/>
    <w:rsid w:val="0044656C"/>
    <w:rsid w:val="00490119"/>
    <w:rsid w:val="004A517F"/>
    <w:rsid w:val="00520F9A"/>
    <w:rsid w:val="005415E2"/>
    <w:rsid w:val="00562811"/>
    <w:rsid w:val="005A40F3"/>
    <w:rsid w:val="005B4629"/>
    <w:rsid w:val="005C3882"/>
    <w:rsid w:val="005E384F"/>
    <w:rsid w:val="00611B1B"/>
    <w:rsid w:val="00616200"/>
    <w:rsid w:val="00626F0B"/>
    <w:rsid w:val="0065669A"/>
    <w:rsid w:val="00656CA7"/>
    <w:rsid w:val="00664455"/>
    <w:rsid w:val="00666F33"/>
    <w:rsid w:val="006A1415"/>
    <w:rsid w:val="006B5D90"/>
    <w:rsid w:val="006E4919"/>
    <w:rsid w:val="00712A8C"/>
    <w:rsid w:val="00767B6F"/>
    <w:rsid w:val="00783D56"/>
    <w:rsid w:val="007E0AA9"/>
    <w:rsid w:val="007F3278"/>
    <w:rsid w:val="007F7123"/>
    <w:rsid w:val="0080113B"/>
    <w:rsid w:val="00834265"/>
    <w:rsid w:val="00851E7D"/>
    <w:rsid w:val="00852496"/>
    <w:rsid w:val="0089115F"/>
    <w:rsid w:val="008B4C69"/>
    <w:rsid w:val="008D7C19"/>
    <w:rsid w:val="008E4A29"/>
    <w:rsid w:val="00910D6C"/>
    <w:rsid w:val="00912EA2"/>
    <w:rsid w:val="00943457"/>
    <w:rsid w:val="00952A0A"/>
    <w:rsid w:val="00952F30"/>
    <w:rsid w:val="00970297"/>
    <w:rsid w:val="009732C7"/>
    <w:rsid w:val="0099122D"/>
    <w:rsid w:val="009951E6"/>
    <w:rsid w:val="009A6071"/>
    <w:rsid w:val="009B474A"/>
    <w:rsid w:val="009C10E3"/>
    <w:rsid w:val="00A47F22"/>
    <w:rsid w:val="00A5610C"/>
    <w:rsid w:val="00A705F1"/>
    <w:rsid w:val="00A86F63"/>
    <w:rsid w:val="00AA0612"/>
    <w:rsid w:val="00AA157F"/>
    <w:rsid w:val="00AB4FBF"/>
    <w:rsid w:val="00AC3529"/>
    <w:rsid w:val="00AC6C31"/>
    <w:rsid w:val="00B3024A"/>
    <w:rsid w:val="00B438C6"/>
    <w:rsid w:val="00B47CE4"/>
    <w:rsid w:val="00B779F1"/>
    <w:rsid w:val="00B97C13"/>
    <w:rsid w:val="00BC2D6A"/>
    <w:rsid w:val="00C10F88"/>
    <w:rsid w:val="00C113D2"/>
    <w:rsid w:val="00C66A33"/>
    <w:rsid w:val="00C95E3E"/>
    <w:rsid w:val="00CB2AC2"/>
    <w:rsid w:val="00CD5AC8"/>
    <w:rsid w:val="00CE2440"/>
    <w:rsid w:val="00CF2406"/>
    <w:rsid w:val="00D003C1"/>
    <w:rsid w:val="00D13251"/>
    <w:rsid w:val="00D16E4A"/>
    <w:rsid w:val="00D315FC"/>
    <w:rsid w:val="00D3579B"/>
    <w:rsid w:val="00D45FD2"/>
    <w:rsid w:val="00D46BD4"/>
    <w:rsid w:val="00D6007B"/>
    <w:rsid w:val="00D62A1D"/>
    <w:rsid w:val="00D81DE9"/>
    <w:rsid w:val="00D83253"/>
    <w:rsid w:val="00D91532"/>
    <w:rsid w:val="00D91C26"/>
    <w:rsid w:val="00D933B4"/>
    <w:rsid w:val="00DA35B0"/>
    <w:rsid w:val="00DC43CF"/>
    <w:rsid w:val="00DD0017"/>
    <w:rsid w:val="00DD3EB3"/>
    <w:rsid w:val="00DF2E1A"/>
    <w:rsid w:val="00DF5B7E"/>
    <w:rsid w:val="00DF77C0"/>
    <w:rsid w:val="00E116A4"/>
    <w:rsid w:val="00E3010C"/>
    <w:rsid w:val="00E36F6B"/>
    <w:rsid w:val="00E74A5C"/>
    <w:rsid w:val="00E90D4D"/>
    <w:rsid w:val="00EB18B9"/>
    <w:rsid w:val="00EB355B"/>
    <w:rsid w:val="00EB65E6"/>
    <w:rsid w:val="00ED19C0"/>
    <w:rsid w:val="00F01FB9"/>
    <w:rsid w:val="00F1213F"/>
    <w:rsid w:val="00F162EB"/>
    <w:rsid w:val="00FA2B0B"/>
    <w:rsid w:val="00FA6BC0"/>
    <w:rsid w:val="00FF7994"/>
    <w:rsid w:val="013B63A1"/>
    <w:rsid w:val="01534ED1"/>
    <w:rsid w:val="015D3469"/>
    <w:rsid w:val="019310CD"/>
    <w:rsid w:val="023D58DD"/>
    <w:rsid w:val="028701C4"/>
    <w:rsid w:val="029D6948"/>
    <w:rsid w:val="02BC6216"/>
    <w:rsid w:val="02C61A89"/>
    <w:rsid w:val="02E44AF2"/>
    <w:rsid w:val="033E59D3"/>
    <w:rsid w:val="034147A6"/>
    <w:rsid w:val="03D440A5"/>
    <w:rsid w:val="03EE5FFA"/>
    <w:rsid w:val="03F52CDA"/>
    <w:rsid w:val="041D055F"/>
    <w:rsid w:val="04EA33F1"/>
    <w:rsid w:val="04EB16B7"/>
    <w:rsid w:val="04F57EA3"/>
    <w:rsid w:val="05045F95"/>
    <w:rsid w:val="05327CD4"/>
    <w:rsid w:val="059954D7"/>
    <w:rsid w:val="05A41D53"/>
    <w:rsid w:val="05CB5841"/>
    <w:rsid w:val="05F4420B"/>
    <w:rsid w:val="06304045"/>
    <w:rsid w:val="0633253F"/>
    <w:rsid w:val="06547632"/>
    <w:rsid w:val="06662B82"/>
    <w:rsid w:val="06A65061"/>
    <w:rsid w:val="06E47C79"/>
    <w:rsid w:val="06F06DDD"/>
    <w:rsid w:val="0707059E"/>
    <w:rsid w:val="079D3316"/>
    <w:rsid w:val="07C7771D"/>
    <w:rsid w:val="07E9443C"/>
    <w:rsid w:val="07F04AC5"/>
    <w:rsid w:val="086A4925"/>
    <w:rsid w:val="08E75406"/>
    <w:rsid w:val="09072118"/>
    <w:rsid w:val="095A75FF"/>
    <w:rsid w:val="0974656B"/>
    <w:rsid w:val="0995389E"/>
    <w:rsid w:val="09B8204A"/>
    <w:rsid w:val="09C25E05"/>
    <w:rsid w:val="09CA7883"/>
    <w:rsid w:val="09DD1C54"/>
    <w:rsid w:val="0A207E60"/>
    <w:rsid w:val="0A645F32"/>
    <w:rsid w:val="0B3E0DF0"/>
    <w:rsid w:val="0B461550"/>
    <w:rsid w:val="0B470865"/>
    <w:rsid w:val="0B7D144A"/>
    <w:rsid w:val="0BA27CD7"/>
    <w:rsid w:val="0BA6386A"/>
    <w:rsid w:val="0C193A0F"/>
    <w:rsid w:val="0C5039DD"/>
    <w:rsid w:val="0C676259"/>
    <w:rsid w:val="0CA641C6"/>
    <w:rsid w:val="0CF420F7"/>
    <w:rsid w:val="0D272F28"/>
    <w:rsid w:val="0D4F1E74"/>
    <w:rsid w:val="0D5D52D2"/>
    <w:rsid w:val="0D6D49F4"/>
    <w:rsid w:val="0DB828D1"/>
    <w:rsid w:val="0DF71DE6"/>
    <w:rsid w:val="0E21210F"/>
    <w:rsid w:val="0E29693C"/>
    <w:rsid w:val="0E546CB8"/>
    <w:rsid w:val="0E552AC6"/>
    <w:rsid w:val="0E8F047C"/>
    <w:rsid w:val="0EAB1646"/>
    <w:rsid w:val="0EC0064E"/>
    <w:rsid w:val="0ED837ED"/>
    <w:rsid w:val="0EE93E97"/>
    <w:rsid w:val="0F1E6801"/>
    <w:rsid w:val="0F34320A"/>
    <w:rsid w:val="0F35280A"/>
    <w:rsid w:val="0F3D6FD4"/>
    <w:rsid w:val="0FA46C24"/>
    <w:rsid w:val="0FA85557"/>
    <w:rsid w:val="0FCB365E"/>
    <w:rsid w:val="0FEE1E0C"/>
    <w:rsid w:val="100143A0"/>
    <w:rsid w:val="101158C2"/>
    <w:rsid w:val="10126991"/>
    <w:rsid w:val="102970F9"/>
    <w:rsid w:val="102F54F2"/>
    <w:rsid w:val="103B7270"/>
    <w:rsid w:val="107D1325"/>
    <w:rsid w:val="10851E6B"/>
    <w:rsid w:val="109D2DA8"/>
    <w:rsid w:val="10D80BCF"/>
    <w:rsid w:val="10EB3A7A"/>
    <w:rsid w:val="10FB59AB"/>
    <w:rsid w:val="11124A15"/>
    <w:rsid w:val="116F48D2"/>
    <w:rsid w:val="11725218"/>
    <w:rsid w:val="11972567"/>
    <w:rsid w:val="11C053FE"/>
    <w:rsid w:val="121F7898"/>
    <w:rsid w:val="122A7255"/>
    <w:rsid w:val="126E7E9A"/>
    <w:rsid w:val="127F4233"/>
    <w:rsid w:val="12926940"/>
    <w:rsid w:val="12D84A4D"/>
    <w:rsid w:val="12F65EBD"/>
    <w:rsid w:val="12F8521A"/>
    <w:rsid w:val="133C601D"/>
    <w:rsid w:val="1358018C"/>
    <w:rsid w:val="13642AAD"/>
    <w:rsid w:val="13CD5785"/>
    <w:rsid w:val="13D35FD2"/>
    <w:rsid w:val="13EE4FA9"/>
    <w:rsid w:val="14310169"/>
    <w:rsid w:val="14705CC3"/>
    <w:rsid w:val="148955C2"/>
    <w:rsid w:val="149352A2"/>
    <w:rsid w:val="149A5AAF"/>
    <w:rsid w:val="14DF64F9"/>
    <w:rsid w:val="152F0325"/>
    <w:rsid w:val="153305D5"/>
    <w:rsid w:val="154A6F6F"/>
    <w:rsid w:val="155C0FDD"/>
    <w:rsid w:val="158B4B75"/>
    <w:rsid w:val="159F49E4"/>
    <w:rsid w:val="15BF6E97"/>
    <w:rsid w:val="1609709D"/>
    <w:rsid w:val="1618177E"/>
    <w:rsid w:val="161913A4"/>
    <w:rsid w:val="167D0E16"/>
    <w:rsid w:val="16970C37"/>
    <w:rsid w:val="16C62491"/>
    <w:rsid w:val="172E722C"/>
    <w:rsid w:val="173E1CBF"/>
    <w:rsid w:val="174B40DE"/>
    <w:rsid w:val="174C2BC7"/>
    <w:rsid w:val="175D1E03"/>
    <w:rsid w:val="17663D45"/>
    <w:rsid w:val="1793144F"/>
    <w:rsid w:val="17B34707"/>
    <w:rsid w:val="17BB5C7A"/>
    <w:rsid w:val="17E8263C"/>
    <w:rsid w:val="17F672B1"/>
    <w:rsid w:val="1801650D"/>
    <w:rsid w:val="186A1F84"/>
    <w:rsid w:val="18F2706F"/>
    <w:rsid w:val="18F64979"/>
    <w:rsid w:val="1932072A"/>
    <w:rsid w:val="19782E2A"/>
    <w:rsid w:val="19D252E2"/>
    <w:rsid w:val="19F22ED1"/>
    <w:rsid w:val="1A023924"/>
    <w:rsid w:val="1A1A6A4A"/>
    <w:rsid w:val="1A231453"/>
    <w:rsid w:val="1A316BAE"/>
    <w:rsid w:val="1A8D368C"/>
    <w:rsid w:val="1AA50777"/>
    <w:rsid w:val="1AC65211"/>
    <w:rsid w:val="1AE71707"/>
    <w:rsid w:val="1AEE778B"/>
    <w:rsid w:val="1B207A9B"/>
    <w:rsid w:val="1B283311"/>
    <w:rsid w:val="1B462DFC"/>
    <w:rsid w:val="1BB72D14"/>
    <w:rsid w:val="1C251E21"/>
    <w:rsid w:val="1C5D2856"/>
    <w:rsid w:val="1C894761"/>
    <w:rsid w:val="1CA86F00"/>
    <w:rsid w:val="1CE93C6D"/>
    <w:rsid w:val="1D093A97"/>
    <w:rsid w:val="1D0E12C5"/>
    <w:rsid w:val="1D222A29"/>
    <w:rsid w:val="1D5C7101"/>
    <w:rsid w:val="1D7F2FB5"/>
    <w:rsid w:val="1D881839"/>
    <w:rsid w:val="1DAB7219"/>
    <w:rsid w:val="1DB05772"/>
    <w:rsid w:val="1DB81684"/>
    <w:rsid w:val="1DB93444"/>
    <w:rsid w:val="1DE65022"/>
    <w:rsid w:val="1DFE754B"/>
    <w:rsid w:val="1E0B0989"/>
    <w:rsid w:val="1E6E4CA0"/>
    <w:rsid w:val="1E7A4C65"/>
    <w:rsid w:val="1E800CF8"/>
    <w:rsid w:val="1EDB41D3"/>
    <w:rsid w:val="1F0C105F"/>
    <w:rsid w:val="1F5A56D6"/>
    <w:rsid w:val="1F76404D"/>
    <w:rsid w:val="1F965A75"/>
    <w:rsid w:val="1FAD59A4"/>
    <w:rsid w:val="1FD05664"/>
    <w:rsid w:val="1FEF7119"/>
    <w:rsid w:val="203551F4"/>
    <w:rsid w:val="203F4CD8"/>
    <w:rsid w:val="20621E9B"/>
    <w:rsid w:val="20895C8B"/>
    <w:rsid w:val="211678BC"/>
    <w:rsid w:val="21333E17"/>
    <w:rsid w:val="21C50E8D"/>
    <w:rsid w:val="21D12998"/>
    <w:rsid w:val="21E1552E"/>
    <w:rsid w:val="22053115"/>
    <w:rsid w:val="221C4E22"/>
    <w:rsid w:val="228C5D3C"/>
    <w:rsid w:val="22990E79"/>
    <w:rsid w:val="22A82772"/>
    <w:rsid w:val="22C83E0F"/>
    <w:rsid w:val="22CC0AB4"/>
    <w:rsid w:val="23501CA5"/>
    <w:rsid w:val="236C5F59"/>
    <w:rsid w:val="238B22DF"/>
    <w:rsid w:val="23A76EDB"/>
    <w:rsid w:val="23B57CF9"/>
    <w:rsid w:val="23B6646E"/>
    <w:rsid w:val="23B801EF"/>
    <w:rsid w:val="23D2100E"/>
    <w:rsid w:val="23DC7282"/>
    <w:rsid w:val="23DD0AF4"/>
    <w:rsid w:val="24130C36"/>
    <w:rsid w:val="247D5ADD"/>
    <w:rsid w:val="249A61C5"/>
    <w:rsid w:val="24BA7775"/>
    <w:rsid w:val="24BC6053"/>
    <w:rsid w:val="24D278A7"/>
    <w:rsid w:val="24F916DC"/>
    <w:rsid w:val="251B3DD9"/>
    <w:rsid w:val="25330943"/>
    <w:rsid w:val="254B03B6"/>
    <w:rsid w:val="25715AB5"/>
    <w:rsid w:val="2579286E"/>
    <w:rsid w:val="257A12DC"/>
    <w:rsid w:val="25892485"/>
    <w:rsid w:val="25F162A7"/>
    <w:rsid w:val="260E5697"/>
    <w:rsid w:val="263120B1"/>
    <w:rsid w:val="26356B96"/>
    <w:rsid w:val="267478D6"/>
    <w:rsid w:val="2683218F"/>
    <w:rsid w:val="269743FE"/>
    <w:rsid w:val="26D16018"/>
    <w:rsid w:val="26D35E79"/>
    <w:rsid w:val="27200C56"/>
    <w:rsid w:val="27370DD6"/>
    <w:rsid w:val="276363DD"/>
    <w:rsid w:val="278154FB"/>
    <w:rsid w:val="27960441"/>
    <w:rsid w:val="27BF1B14"/>
    <w:rsid w:val="27D76806"/>
    <w:rsid w:val="27D777C1"/>
    <w:rsid w:val="27F7411C"/>
    <w:rsid w:val="27FC17FE"/>
    <w:rsid w:val="28326FDB"/>
    <w:rsid w:val="285D2C2F"/>
    <w:rsid w:val="288366B1"/>
    <w:rsid w:val="289A3F9C"/>
    <w:rsid w:val="289A4BA9"/>
    <w:rsid w:val="289E0943"/>
    <w:rsid w:val="28A24AF6"/>
    <w:rsid w:val="28C5184F"/>
    <w:rsid w:val="28D37FCD"/>
    <w:rsid w:val="28E16703"/>
    <w:rsid w:val="293806CB"/>
    <w:rsid w:val="2967507F"/>
    <w:rsid w:val="29826F80"/>
    <w:rsid w:val="29F119B4"/>
    <w:rsid w:val="2A11486A"/>
    <w:rsid w:val="2A20383A"/>
    <w:rsid w:val="2A3874FD"/>
    <w:rsid w:val="2A904530"/>
    <w:rsid w:val="2ABC0F5E"/>
    <w:rsid w:val="2ADC0AA1"/>
    <w:rsid w:val="2B2E7994"/>
    <w:rsid w:val="2B3E3C79"/>
    <w:rsid w:val="2B5102BF"/>
    <w:rsid w:val="2B7A0698"/>
    <w:rsid w:val="2BB552E5"/>
    <w:rsid w:val="2BC3029A"/>
    <w:rsid w:val="2C582159"/>
    <w:rsid w:val="2C680E8C"/>
    <w:rsid w:val="2C6B0490"/>
    <w:rsid w:val="2CA402CE"/>
    <w:rsid w:val="2CB524CD"/>
    <w:rsid w:val="2D424FC2"/>
    <w:rsid w:val="2D530C6B"/>
    <w:rsid w:val="2D9C311A"/>
    <w:rsid w:val="2DA44370"/>
    <w:rsid w:val="2DC925C0"/>
    <w:rsid w:val="2DFE0298"/>
    <w:rsid w:val="2E2547E1"/>
    <w:rsid w:val="2E330B71"/>
    <w:rsid w:val="2E5838A6"/>
    <w:rsid w:val="2E5F779E"/>
    <w:rsid w:val="2E7F08A8"/>
    <w:rsid w:val="2E801A56"/>
    <w:rsid w:val="2E8B5B65"/>
    <w:rsid w:val="2E8D2859"/>
    <w:rsid w:val="2E9215F4"/>
    <w:rsid w:val="2EB96D57"/>
    <w:rsid w:val="2EE52FAF"/>
    <w:rsid w:val="2F3B4CCB"/>
    <w:rsid w:val="2F4027D1"/>
    <w:rsid w:val="2F5E4822"/>
    <w:rsid w:val="2F7A2CD3"/>
    <w:rsid w:val="2FC86E29"/>
    <w:rsid w:val="2FF17260"/>
    <w:rsid w:val="300576E2"/>
    <w:rsid w:val="300807FA"/>
    <w:rsid w:val="3068516A"/>
    <w:rsid w:val="30812457"/>
    <w:rsid w:val="30FE5E61"/>
    <w:rsid w:val="3106258D"/>
    <w:rsid w:val="31216084"/>
    <w:rsid w:val="313B59D4"/>
    <w:rsid w:val="31836AA6"/>
    <w:rsid w:val="318F6113"/>
    <w:rsid w:val="31B334BF"/>
    <w:rsid w:val="31C23C9D"/>
    <w:rsid w:val="32080BE9"/>
    <w:rsid w:val="327F4035"/>
    <w:rsid w:val="32846BA2"/>
    <w:rsid w:val="329E7AD0"/>
    <w:rsid w:val="32D5018C"/>
    <w:rsid w:val="32EC2A24"/>
    <w:rsid w:val="3328730D"/>
    <w:rsid w:val="33565ACB"/>
    <w:rsid w:val="34392A24"/>
    <w:rsid w:val="348D523A"/>
    <w:rsid w:val="34994843"/>
    <w:rsid w:val="349E2510"/>
    <w:rsid w:val="34C84D56"/>
    <w:rsid w:val="34CA20C7"/>
    <w:rsid w:val="35012ACA"/>
    <w:rsid w:val="351A3979"/>
    <w:rsid w:val="35667BF2"/>
    <w:rsid w:val="356A0170"/>
    <w:rsid w:val="356E34B4"/>
    <w:rsid w:val="35CC0168"/>
    <w:rsid w:val="35E87CFE"/>
    <w:rsid w:val="35EB7E71"/>
    <w:rsid w:val="360C2407"/>
    <w:rsid w:val="361133EC"/>
    <w:rsid w:val="362B5F4D"/>
    <w:rsid w:val="363723DA"/>
    <w:rsid w:val="363A66BD"/>
    <w:rsid w:val="36A1066A"/>
    <w:rsid w:val="36C074C4"/>
    <w:rsid w:val="37263404"/>
    <w:rsid w:val="37266B75"/>
    <w:rsid w:val="37296A8D"/>
    <w:rsid w:val="373C13C0"/>
    <w:rsid w:val="374A7547"/>
    <w:rsid w:val="377168C5"/>
    <w:rsid w:val="37945A99"/>
    <w:rsid w:val="37957743"/>
    <w:rsid w:val="381602CD"/>
    <w:rsid w:val="38194B25"/>
    <w:rsid w:val="38197961"/>
    <w:rsid w:val="38637A27"/>
    <w:rsid w:val="387A0B5C"/>
    <w:rsid w:val="387D62A0"/>
    <w:rsid w:val="38C62716"/>
    <w:rsid w:val="38E04A76"/>
    <w:rsid w:val="38EF1350"/>
    <w:rsid w:val="391B0BD8"/>
    <w:rsid w:val="39283237"/>
    <w:rsid w:val="393F2B82"/>
    <w:rsid w:val="39B73CAB"/>
    <w:rsid w:val="39B97731"/>
    <w:rsid w:val="39C42C12"/>
    <w:rsid w:val="39C9193A"/>
    <w:rsid w:val="39C97161"/>
    <w:rsid w:val="39D022E2"/>
    <w:rsid w:val="3AA83159"/>
    <w:rsid w:val="3ABB747A"/>
    <w:rsid w:val="3AC52D88"/>
    <w:rsid w:val="3B2C7047"/>
    <w:rsid w:val="3B787A21"/>
    <w:rsid w:val="3B9E2BC7"/>
    <w:rsid w:val="3BF1466F"/>
    <w:rsid w:val="3C1D6E27"/>
    <w:rsid w:val="3C3E1118"/>
    <w:rsid w:val="3C886238"/>
    <w:rsid w:val="3CA21F9F"/>
    <w:rsid w:val="3CB32110"/>
    <w:rsid w:val="3CB46CC8"/>
    <w:rsid w:val="3CCE7686"/>
    <w:rsid w:val="3CF51C1D"/>
    <w:rsid w:val="3D192CD6"/>
    <w:rsid w:val="3D471581"/>
    <w:rsid w:val="3D8E1FC4"/>
    <w:rsid w:val="3D9976E1"/>
    <w:rsid w:val="3D9A5BE6"/>
    <w:rsid w:val="3DA15F42"/>
    <w:rsid w:val="3DCB1BA6"/>
    <w:rsid w:val="3DCF3BEA"/>
    <w:rsid w:val="3DF27C74"/>
    <w:rsid w:val="3E050840"/>
    <w:rsid w:val="3E1A057D"/>
    <w:rsid w:val="3EC820CC"/>
    <w:rsid w:val="3EEC14E7"/>
    <w:rsid w:val="3F2B60DE"/>
    <w:rsid w:val="3F592513"/>
    <w:rsid w:val="3FBD41B9"/>
    <w:rsid w:val="3FD76E60"/>
    <w:rsid w:val="400829F0"/>
    <w:rsid w:val="400C30D6"/>
    <w:rsid w:val="400C4ADA"/>
    <w:rsid w:val="40150040"/>
    <w:rsid w:val="40540E85"/>
    <w:rsid w:val="407344F8"/>
    <w:rsid w:val="4076252B"/>
    <w:rsid w:val="407A7FFC"/>
    <w:rsid w:val="40985368"/>
    <w:rsid w:val="40B5056C"/>
    <w:rsid w:val="40B93F89"/>
    <w:rsid w:val="412A23DA"/>
    <w:rsid w:val="414F3E30"/>
    <w:rsid w:val="41D8471C"/>
    <w:rsid w:val="41EB37C0"/>
    <w:rsid w:val="420556B6"/>
    <w:rsid w:val="42844718"/>
    <w:rsid w:val="428715E7"/>
    <w:rsid w:val="434D7DF3"/>
    <w:rsid w:val="43FF4EF3"/>
    <w:rsid w:val="441527AC"/>
    <w:rsid w:val="442E26D2"/>
    <w:rsid w:val="443358ED"/>
    <w:rsid w:val="4437556B"/>
    <w:rsid w:val="44553CD7"/>
    <w:rsid w:val="446F0056"/>
    <w:rsid w:val="44DF77CA"/>
    <w:rsid w:val="44F90368"/>
    <w:rsid w:val="45375152"/>
    <w:rsid w:val="455A72C6"/>
    <w:rsid w:val="45601564"/>
    <w:rsid w:val="45996DC3"/>
    <w:rsid w:val="45A207BE"/>
    <w:rsid w:val="45BF6450"/>
    <w:rsid w:val="45F265CD"/>
    <w:rsid w:val="461A7E94"/>
    <w:rsid w:val="464257BB"/>
    <w:rsid w:val="465B1BAF"/>
    <w:rsid w:val="46665229"/>
    <w:rsid w:val="466B48F6"/>
    <w:rsid w:val="46870F04"/>
    <w:rsid w:val="469B39A9"/>
    <w:rsid w:val="46A664FE"/>
    <w:rsid w:val="46AB6A90"/>
    <w:rsid w:val="46BA7386"/>
    <w:rsid w:val="46E21BFA"/>
    <w:rsid w:val="47304500"/>
    <w:rsid w:val="47766DA8"/>
    <w:rsid w:val="47A770A2"/>
    <w:rsid w:val="47CA262C"/>
    <w:rsid w:val="47D444DC"/>
    <w:rsid w:val="485208BF"/>
    <w:rsid w:val="48563C1B"/>
    <w:rsid w:val="48730AC1"/>
    <w:rsid w:val="487F5F6C"/>
    <w:rsid w:val="48B32181"/>
    <w:rsid w:val="48E86511"/>
    <w:rsid w:val="494A74DE"/>
    <w:rsid w:val="496A6D65"/>
    <w:rsid w:val="497701E8"/>
    <w:rsid w:val="499045D8"/>
    <w:rsid w:val="49924747"/>
    <w:rsid w:val="49930DF5"/>
    <w:rsid w:val="49A929E1"/>
    <w:rsid w:val="49BA362F"/>
    <w:rsid w:val="49F2762C"/>
    <w:rsid w:val="4A031F28"/>
    <w:rsid w:val="4A30239B"/>
    <w:rsid w:val="4A3E4AB4"/>
    <w:rsid w:val="4A5C6911"/>
    <w:rsid w:val="4A7E7A76"/>
    <w:rsid w:val="4A882444"/>
    <w:rsid w:val="4A9973AE"/>
    <w:rsid w:val="4AD27859"/>
    <w:rsid w:val="4B8C540A"/>
    <w:rsid w:val="4BA842BA"/>
    <w:rsid w:val="4BAF7370"/>
    <w:rsid w:val="4BF419B3"/>
    <w:rsid w:val="4BF4344C"/>
    <w:rsid w:val="4C270934"/>
    <w:rsid w:val="4C5F5102"/>
    <w:rsid w:val="4C870E51"/>
    <w:rsid w:val="4CA12BAF"/>
    <w:rsid w:val="4CBD396C"/>
    <w:rsid w:val="4CD05774"/>
    <w:rsid w:val="4CF81AAA"/>
    <w:rsid w:val="4D001EFF"/>
    <w:rsid w:val="4D4D5D40"/>
    <w:rsid w:val="4D823609"/>
    <w:rsid w:val="4D8909B4"/>
    <w:rsid w:val="4D951D36"/>
    <w:rsid w:val="4D9C121B"/>
    <w:rsid w:val="4DDE1963"/>
    <w:rsid w:val="4DF56509"/>
    <w:rsid w:val="4E061ACC"/>
    <w:rsid w:val="4E3E0ECC"/>
    <w:rsid w:val="4E497704"/>
    <w:rsid w:val="4E612BB5"/>
    <w:rsid w:val="4E78495E"/>
    <w:rsid w:val="4EC216A3"/>
    <w:rsid w:val="4ED72C21"/>
    <w:rsid w:val="4EF85568"/>
    <w:rsid w:val="4F0C296E"/>
    <w:rsid w:val="4F1941BC"/>
    <w:rsid w:val="4F546938"/>
    <w:rsid w:val="4FB24E64"/>
    <w:rsid w:val="50437815"/>
    <w:rsid w:val="50A924DC"/>
    <w:rsid w:val="50B1562D"/>
    <w:rsid w:val="50E83332"/>
    <w:rsid w:val="510E197A"/>
    <w:rsid w:val="512625D5"/>
    <w:rsid w:val="51304B91"/>
    <w:rsid w:val="51802F3A"/>
    <w:rsid w:val="5198368F"/>
    <w:rsid w:val="5199089C"/>
    <w:rsid w:val="51E47A19"/>
    <w:rsid w:val="526764D7"/>
    <w:rsid w:val="52AB4C52"/>
    <w:rsid w:val="52BC613C"/>
    <w:rsid w:val="52C245FD"/>
    <w:rsid w:val="52E05F1D"/>
    <w:rsid w:val="53031D44"/>
    <w:rsid w:val="5308651D"/>
    <w:rsid w:val="53542572"/>
    <w:rsid w:val="53551553"/>
    <w:rsid w:val="537929C5"/>
    <w:rsid w:val="538232AF"/>
    <w:rsid w:val="53CA0FF6"/>
    <w:rsid w:val="53D208E4"/>
    <w:rsid w:val="53ED7226"/>
    <w:rsid w:val="53FE3881"/>
    <w:rsid w:val="54102440"/>
    <w:rsid w:val="54275C41"/>
    <w:rsid w:val="544E2FC8"/>
    <w:rsid w:val="54903F56"/>
    <w:rsid w:val="54A920B1"/>
    <w:rsid w:val="54B37D45"/>
    <w:rsid w:val="54F42578"/>
    <w:rsid w:val="55120B1A"/>
    <w:rsid w:val="55120CFD"/>
    <w:rsid w:val="55207D8F"/>
    <w:rsid w:val="55363CCC"/>
    <w:rsid w:val="55713CDD"/>
    <w:rsid w:val="557765D6"/>
    <w:rsid w:val="55B52F8D"/>
    <w:rsid w:val="55BB69D6"/>
    <w:rsid w:val="561B0D66"/>
    <w:rsid w:val="562900AE"/>
    <w:rsid w:val="563B16D2"/>
    <w:rsid w:val="566D4AD2"/>
    <w:rsid w:val="568A45E0"/>
    <w:rsid w:val="568F1F6B"/>
    <w:rsid w:val="56AA30CF"/>
    <w:rsid w:val="56B25723"/>
    <w:rsid w:val="57EA2214"/>
    <w:rsid w:val="57F53FA7"/>
    <w:rsid w:val="5818350E"/>
    <w:rsid w:val="582F1058"/>
    <w:rsid w:val="58B846F9"/>
    <w:rsid w:val="58CE7DE3"/>
    <w:rsid w:val="58D768C6"/>
    <w:rsid w:val="59121BB3"/>
    <w:rsid w:val="593D6E7C"/>
    <w:rsid w:val="594253D6"/>
    <w:rsid w:val="59436E66"/>
    <w:rsid w:val="59910B63"/>
    <w:rsid w:val="5A0C13B7"/>
    <w:rsid w:val="5A177000"/>
    <w:rsid w:val="5AC87802"/>
    <w:rsid w:val="5B834B28"/>
    <w:rsid w:val="5BAB2915"/>
    <w:rsid w:val="5BDE55C7"/>
    <w:rsid w:val="5CB270BC"/>
    <w:rsid w:val="5D3C7A6A"/>
    <w:rsid w:val="5D653BBD"/>
    <w:rsid w:val="5D862DDB"/>
    <w:rsid w:val="5D93074B"/>
    <w:rsid w:val="5DA84100"/>
    <w:rsid w:val="5DC270AD"/>
    <w:rsid w:val="5DC34FCA"/>
    <w:rsid w:val="5E4637DC"/>
    <w:rsid w:val="5E527E48"/>
    <w:rsid w:val="5E8433A7"/>
    <w:rsid w:val="5E97000F"/>
    <w:rsid w:val="5EA67519"/>
    <w:rsid w:val="5EC6212E"/>
    <w:rsid w:val="5EDB0516"/>
    <w:rsid w:val="5EDC5A6D"/>
    <w:rsid w:val="5EE34FC6"/>
    <w:rsid w:val="5F01615B"/>
    <w:rsid w:val="5F61457E"/>
    <w:rsid w:val="5FA74AA1"/>
    <w:rsid w:val="5FE3188E"/>
    <w:rsid w:val="5FE33D0C"/>
    <w:rsid w:val="601B192B"/>
    <w:rsid w:val="60207676"/>
    <w:rsid w:val="602E4C0F"/>
    <w:rsid w:val="60556101"/>
    <w:rsid w:val="606C3053"/>
    <w:rsid w:val="607A3DF7"/>
    <w:rsid w:val="60816060"/>
    <w:rsid w:val="608B4331"/>
    <w:rsid w:val="6099297F"/>
    <w:rsid w:val="60CD7C80"/>
    <w:rsid w:val="61026EC2"/>
    <w:rsid w:val="61063157"/>
    <w:rsid w:val="610E3F66"/>
    <w:rsid w:val="610F617D"/>
    <w:rsid w:val="616B6A5F"/>
    <w:rsid w:val="61746EEA"/>
    <w:rsid w:val="61A1747F"/>
    <w:rsid w:val="61BF0D83"/>
    <w:rsid w:val="6219767D"/>
    <w:rsid w:val="62804344"/>
    <w:rsid w:val="629A3AB0"/>
    <w:rsid w:val="629E6D40"/>
    <w:rsid w:val="62E5621D"/>
    <w:rsid w:val="62EE227B"/>
    <w:rsid w:val="62F7385F"/>
    <w:rsid w:val="63213EAC"/>
    <w:rsid w:val="637B00D5"/>
    <w:rsid w:val="63E119D1"/>
    <w:rsid w:val="64562668"/>
    <w:rsid w:val="64657E0D"/>
    <w:rsid w:val="647B6DE2"/>
    <w:rsid w:val="64AA1D3D"/>
    <w:rsid w:val="64C6100D"/>
    <w:rsid w:val="64D80B77"/>
    <w:rsid w:val="650234B2"/>
    <w:rsid w:val="6574333F"/>
    <w:rsid w:val="65F80F9C"/>
    <w:rsid w:val="65FC038B"/>
    <w:rsid w:val="660B4987"/>
    <w:rsid w:val="664A3739"/>
    <w:rsid w:val="667A5D61"/>
    <w:rsid w:val="6684420B"/>
    <w:rsid w:val="670E53A6"/>
    <w:rsid w:val="67581F4F"/>
    <w:rsid w:val="676C7775"/>
    <w:rsid w:val="67A42B15"/>
    <w:rsid w:val="67A77853"/>
    <w:rsid w:val="67FA05FD"/>
    <w:rsid w:val="68012FC2"/>
    <w:rsid w:val="68911AF0"/>
    <w:rsid w:val="68B40AE7"/>
    <w:rsid w:val="68D53717"/>
    <w:rsid w:val="68EA19E7"/>
    <w:rsid w:val="68F07A06"/>
    <w:rsid w:val="6909538A"/>
    <w:rsid w:val="69B6501E"/>
    <w:rsid w:val="69BB266C"/>
    <w:rsid w:val="69E8341B"/>
    <w:rsid w:val="6A12102C"/>
    <w:rsid w:val="6A346DB5"/>
    <w:rsid w:val="6A3A7CA0"/>
    <w:rsid w:val="6A6E02EA"/>
    <w:rsid w:val="6A713436"/>
    <w:rsid w:val="6A7D5DFC"/>
    <w:rsid w:val="6AA75360"/>
    <w:rsid w:val="6AE92E35"/>
    <w:rsid w:val="6B1B7A0B"/>
    <w:rsid w:val="6B5540C1"/>
    <w:rsid w:val="6B8A2766"/>
    <w:rsid w:val="6BCC0F1D"/>
    <w:rsid w:val="6C171C76"/>
    <w:rsid w:val="6C1C6816"/>
    <w:rsid w:val="6C1E0246"/>
    <w:rsid w:val="6C236D87"/>
    <w:rsid w:val="6C2649F0"/>
    <w:rsid w:val="6CCE0EC3"/>
    <w:rsid w:val="6CD95E54"/>
    <w:rsid w:val="6CDE4641"/>
    <w:rsid w:val="6CEF5D25"/>
    <w:rsid w:val="6D4415E9"/>
    <w:rsid w:val="6D630B3A"/>
    <w:rsid w:val="6D6A53E1"/>
    <w:rsid w:val="6DA55ABD"/>
    <w:rsid w:val="6DB17C75"/>
    <w:rsid w:val="6DC957A9"/>
    <w:rsid w:val="6DE93754"/>
    <w:rsid w:val="6E0D37D3"/>
    <w:rsid w:val="6E1D253F"/>
    <w:rsid w:val="6E3D3E7B"/>
    <w:rsid w:val="6EAA77F5"/>
    <w:rsid w:val="6EB9782D"/>
    <w:rsid w:val="6EC13975"/>
    <w:rsid w:val="6EDB72B3"/>
    <w:rsid w:val="6F5668E7"/>
    <w:rsid w:val="6F8B2C8B"/>
    <w:rsid w:val="6F942A13"/>
    <w:rsid w:val="6FB812A0"/>
    <w:rsid w:val="6FBC1699"/>
    <w:rsid w:val="6FD24F7F"/>
    <w:rsid w:val="6FFB6AC4"/>
    <w:rsid w:val="700A2DB5"/>
    <w:rsid w:val="70433DE5"/>
    <w:rsid w:val="706B661B"/>
    <w:rsid w:val="707F457A"/>
    <w:rsid w:val="70BE36F3"/>
    <w:rsid w:val="70D4133C"/>
    <w:rsid w:val="70E17F1C"/>
    <w:rsid w:val="70EF4C3D"/>
    <w:rsid w:val="713109A5"/>
    <w:rsid w:val="71500B5D"/>
    <w:rsid w:val="719D6C4A"/>
    <w:rsid w:val="71AC1D82"/>
    <w:rsid w:val="71D961CD"/>
    <w:rsid w:val="71E048F3"/>
    <w:rsid w:val="720B0BD7"/>
    <w:rsid w:val="725B01E7"/>
    <w:rsid w:val="72840B71"/>
    <w:rsid w:val="72C50DEE"/>
    <w:rsid w:val="73163E19"/>
    <w:rsid w:val="73226931"/>
    <w:rsid w:val="73426141"/>
    <w:rsid w:val="734533DB"/>
    <w:rsid w:val="73736585"/>
    <w:rsid w:val="73B369C4"/>
    <w:rsid w:val="73BE2F1C"/>
    <w:rsid w:val="73D469E5"/>
    <w:rsid w:val="73F537BA"/>
    <w:rsid w:val="74062B1B"/>
    <w:rsid w:val="74082329"/>
    <w:rsid w:val="74102010"/>
    <w:rsid w:val="741D6C3A"/>
    <w:rsid w:val="74321AC3"/>
    <w:rsid w:val="746E68D5"/>
    <w:rsid w:val="7495284B"/>
    <w:rsid w:val="74AC507A"/>
    <w:rsid w:val="752129D8"/>
    <w:rsid w:val="75680B2B"/>
    <w:rsid w:val="75A4685C"/>
    <w:rsid w:val="7615375C"/>
    <w:rsid w:val="7615690B"/>
    <w:rsid w:val="761A589E"/>
    <w:rsid w:val="76326417"/>
    <w:rsid w:val="765730E6"/>
    <w:rsid w:val="76580EF0"/>
    <w:rsid w:val="767533A7"/>
    <w:rsid w:val="768F3ED2"/>
    <w:rsid w:val="76CF58AF"/>
    <w:rsid w:val="7739584D"/>
    <w:rsid w:val="77AE2926"/>
    <w:rsid w:val="77BC28E5"/>
    <w:rsid w:val="77DE4564"/>
    <w:rsid w:val="7801186E"/>
    <w:rsid w:val="78026A28"/>
    <w:rsid w:val="780E790A"/>
    <w:rsid w:val="78675C35"/>
    <w:rsid w:val="7880586F"/>
    <w:rsid w:val="7897732B"/>
    <w:rsid w:val="79387E3D"/>
    <w:rsid w:val="79D77ADF"/>
    <w:rsid w:val="7A0A32F4"/>
    <w:rsid w:val="7A186E81"/>
    <w:rsid w:val="7A4651EB"/>
    <w:rsid w:val="7A8B4C0D"/>
    <w:rsid w:val="7A9D0663"/>
    <w:rsid w:val="7ABE06C6"/>
    <w:rsid w:val="7B274D08"/>
    <w:rsid w:val="7B651D18"/>
    <w:rsid w:val="7B7C15AE"/>
    <w:rsid w:val="7BDB7506"/>
    <w:rsid w:val="7C311276"/>
    <w:rsid w:val="7C614E68"/>
    <w:rsid w:val="7C9B33AC"/>
    <w:rsid w:val="7CC92215"/>
    <w:rsid w:val="7CFD409C"/>
    <w:rsid w:val="7DCE03D7"/>
    <w:rsid w:val="7E274F8B"/>
    <w:rsid w:val="7E391CF7"/>
    <w:rsid w:val="7E84314B"/>
    <w:rsid w:val="7EA31172"/>
    <w:rsid w:val="7EC32901"/>
    <w:rsid w:val="7F095FE0"/>
    <w:rsid w:val="7F3A149A"/>
    <w:rsid w:val="7F6956DA"/>
    <w:rsid w:val="7F866B7B"/>
    <w:rsid w:val="7F946C41"/>
    <w:rsid w:val="7F9B312F"/>
    <w:rsid w:val="7FAA22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semiHidden="0" w:name="HTML Code"/>
    <w:lsdException w:uiPriority="99" w:semiHidden="0" w:name="HTML Definition"/>
    <w:lsdException w:uiPriority="99" w:semiHidden="0" w:name="HTML Keyboard"/>
    <w:lsdException w:uiPriority="99" w:name="HTML Preformatted"/>
    <w:lsdException w:uiPriority="99" w:semiHidden="0"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kern w:val="2"/>
      <w:sz w:val="21"/>
      <w:szCs w:val="22"/>
      <w:lang w:val="en-US" w:eastAsia="zh-CN" w:bidi="ar-SA"/>
    </w:rPr>
  </w:style>
  <w:style w:type="paragraph" w:styleId="3">
    <w:name w:val="heading 1"/>
    <w:basedOn w:val="1"/>
    <w:next w:val="1"/>
    <w:link w:val="53"/>
    <w:qFormat/>
    <w:uiPriority w:val="0"/>
    <w:pPr>
      <w:keepNext/>
      <w:keepLines/>
      <w:spacing w:before="340" w:after="330" w:line="578" w:lineRule="auto"/>
      <w:outlineLvl w:val="0"/>
    </w:pPr>
    <w:rPr>
      <w:rFonts w:cs="Times New Roman"/>
      <w:b/>
      <w:bCs/>
      <w:kern w:val="44"/>
      <w:sz w:val="36"/>
      <w:szCs w:val="36"/>
    </w:rPr>
  </w:style>
  <w:style w:type="paragraph" w:styleId="4">
    <w:name w:val="heading 2"/>
    <w:basedOn w:val="1"/>
    <w:next w:val="1"/>
    <w:link w:val="100"/>
    <w:qFormat/>
    <w:uiPriority w:val="0"/>
    <w:pPr>
      <w:keepNext/>
      <w:keepLines/>
      <w:spacing w:before="260" w:after="260" w:line="416" w:lineRule="auto"/>
      <w:outlineLvl w:val="1"/>
    </w:pPr>
    <w:rPr>
      <w:rFonts w:ascii="Calibri Light" w:hAnsi="Calibri Light" w:cs="Times New Roman"/>
      <w:b/>
      <w:bCs/>
      <w:kern w:val="0"/>
      <w:sz w:val="30"/>
      <w:szCs w:val="30"/>
    </w:rPr>
  </w:style>
  <w:style w:type="paragraph" w:styleId="5">
    <w:name w:val="heading 3"/>
    <w:basedOn w:val="1"/>
    <w:next w:val="1"/>
    <w:link w:val="46"/>
    <w:qFormat/>
    <w:uiPriority w:val="0"/>
    <w:pPr>
      <w:spacing w:before="100" w:beforeAutospacing="1" w:after="100" w:afterAutospacing="1"/>
      <w:jc w:val="left"/>
      <w:outlineLvl w:val="2"/>
    </w:pPr>
    <w:rPr>
      <w:rFonts w:ascii="宋体" w:hAnsi="宋体" w:cs="Times New Roman"/>
      <w:b/>
      <w:kern w:val="0"/>
      <w:sz w:val="27"/>
      <w:szCs w:val="27"/>
    </w:rPr>
  </w:style>
  <w:style w:type="paragraph" w:styleId="6">
    <w:name w:val="heading 5"/>
    <w:basedOn w:val="1"/>
    <w:next w:val="1"/>
    <w:qFormat/>
    <w:uiPriority w:val="1"/>
    <w:pPr>
      <w:ind w:left="450"/>
      <w:outlineLvl w:val="4"/>
    </w:pPr>
    <w:rPr>
      <w:b/>
      <w:bCs/>
    </w:rPr>
  </w:style>
  <w:style w:type="character" w:default="1" w:styleId="26">
    <w:name w:val="Default Paragraph Font"/>
    <w:unhideWhenUsed/>
    <w:qFormat/>
    <w:uiPriority w:val="1"/>
  </w:style>
  <w:style w:type="table" w:default="1" w:styleId="24">
    <w:name w:val="Normal Table"/>
    <w:unhideWhenUsed/>
    <w:qFormat/>
    <w:uiPriority w:val="99"/>
    <w:tblPr>
      <w:tblStyle w:val="24"/>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7">
    <w:name w:val="Normal Indent"/>
    <w:basedOn w:val="1"/>
    <w:qFormat/>
    <w:uiPriority w:val="0"/>
    <w:pPr>
      <w:ind w:firstLine="420" w:firstLineChars="200"/>
    </w:pPr>
    <w:rPr>
      <w:rFonts w:ascii="仿宋_GB2312" w:hAnsi="宋体" w:eastAsia="仿宋_GB2312"/>
      <w:color w:val="000000"/>
      <w:szCs w:val="21"/>
    </w:rPr>
  </w:style>
  <w:style w:type="paragraph" w:styleId="8">
    <w:name w:val="toa heading"/>
    <w:basedOn w:val="1"/>
    <w:next w:val="1"/>
    <w:qFormat/>
    <w:uiPriority w:val="0"/>
    <w:pPr>
      <w:spacing w:before="120"/>
    </w:pPr>
    <w:rPr>
      <w:rFonts w:ascii="Arial" w:hAnsi="Arial" w:cs="Arial"/>
      <w:sz w:val="24"/>
    </w:rPr>
  </w:style>
  <w:style w:type="paragraph" w:styleId="9">
    <w:name w:val="annotation text"/>
    <w:basedOn w:val="1"/>
    <w:link w:val="116"/>
    <w:unhideWhenUsed/>
    <w:uiPriority w:val="99"/>
    <w:pPr>
      <w:jc w:val="left"/>
    </w:pPr>
    <w:rPr>
      <w:rFonts w:cs="Times New Roman"/>
    </w:rPr>
  </w:style>
  <w:style w:type="paragraph" w:styleId="10">
    <w:name w:val="Body Text"/>
    <w:basedOn w:val="1"/>
    <w:next w:val="11"/>
    <w:link w:val="102"/>
    <w:qFormat/>
    <w:uiPriority w:val="0"/>
    <w:pPr>
      <w:spacing w:after="120"/>
    </w:pPr>
    <w:rPr>
      <w:rFonts w:cs="Times New Roman"/>
      <w:kern w:val="0"/>
      <w:sz w:val="20"/>
      <w:szCs w:val="20"/>
    </w:rPr>
  </w:style>
  <w:style w:type="paragraph" w:styleId="11">
    <w:name w:val="Body Text First Indent"/>
    <w:basedOn w:val="10"/>
    <w:qFormat/>
    <w:uiPriority w:val="0"/>
    <w:pPr>
      <w:spacing w:after="120"/>
      <w:ind w:firstLine="420" w:firstLineChars="100"/>
    </w:pPr>
    <w:rPr>
      <w:rFonts w:ascii="Times New Roman"/>
      <w:sz w:val="21"/>
    </w:rPr>
  </w:style>
  <w:style w:type="paragraph" w:styleId="12">
    <w:name w:val="Body Text Indent"/>
    <w:basedOn w:val="1"/>
    <w:link w:val="135"/>
    <w:qFormat/>
    <w:uiPriority w:val="0"/>
    <w:pPr>
      <w:spacing w:after="120"/>
      <w:ind w:left="420" w:leftChars="200"/>
    </w:pPr>
    <w:rPr>
      <w:rFonts w:cs="Times New Roman"/>
      <w:kern w:val="0"/>
      <w:sz w:val="20"/>
      <w:szCs w:val="24"/>
    </w:rPr>
  </w:style>
  <w:style w:type="paragraph" w:styleId="13">
    <w:name w:val="Plain Text"/>
    <w:basedOn w:val="1"/>
    <w:link w:val="69"/>
    <w:qFormat/>
    <w:uiPriority w:val="0"/>
    <w:rPr>
      <w:rFonts w:ascii="宋体" w:hAnsi="Courier New" w:eastAsia="仿宋_GB2312" w:cs="Times New Roman"/>
      <w:b/>
      <w:bCs/>
      <w:color w:val="000000"/>
      <w:kern w:val="0"/>
      <w:sz w:val="20"/>
      <w:szCs w:val="20"/>
    </w:rPr>
  </w:style>
  <w:style w:type="paragraph" w:styleId="14">
    <w:name w:val="Date"/>
    <w:basedOn w:val="1"/>
    <w:next w:val="1"/>
    <w:link w:val="94"/>
    <w:qFormat/>
    <w:uiPriority w:val="0"/>
    <w:pPr>
      <w:adjustRightInd w:val="0"/>
      <w:spacing w:line="360" w:lineRule="atLeast"/>
      <w:textAlignment w:val="baseline"/>
    </w:pPr>
    <w:rPr>
      <w:rFonts w:ascii="Times New Roman" w:hAnsi="Times New Roman" w:cs="Times New Roman"/>
      <w:kern w:val="0"/>
      <w:sz w:val="20"/>
      <w:szCs w:val="20"/>
    </w:rPr>
  </w:style>
  <w:style w:type="paragraph" w:styleId="15">
    <w:name w:val="Body Text Indent 2"/>
    <w:basedOn w:val="1"/>
    <w:link w:val="132"/>
    <w:qFormat/>
    <w:uiPriority w:val="0"/>
    <w:pPr>
      <w:widowControl/>
      <w:spacing w:line="480" w:lineRule="atLeast"/>
      <w:ind w:firstLine="480"/>
    </w:pPr>
    <w:rPr>
      <w:rFonts w:ascii="宋体" w:cs="Times New Roman"/>
      <w:kern w:val="0"/>
      <w:sz w:val="24"/>
      <w:szCs w:val="20"/>
    </w:rPr>
  </w:style>
  <w:style w:type="paragraph" w:styleId="16">
    <w:name w:val="Balloon Text"/>
    <w:basedOn w:val="1"/>
    <w:link w:val="67"/>
    <w:unhideWhenUsed/>
    <w:uiPriority w:val="99"/>
    <w:rPr>
      <w:rFonts w:cs="Times New Roman"/>
      <w:sz w:val="18"/>
      <w:szCs w:val="18"/>
    </w:rPr>
  </w:style>
  <w:style w:type="paragraph" w:styleId="17">
    <w:name w:val="footer"/>
    <w:basedOn w:val="1"/>
    <w:link w:val="49"/>
    <w:qFormat/>
    <w:uiPriority w:val="0"/>
    <w:pPr>
      <w:tabs>
        <w:tab w:val="center" w:pos="4153"/>
        <w:tab w:val="right" w:pos="8306"/>
      </w:tabs>
      <w:snapToGrid w:val="0"/>
      <w:jc w:val="left"/>
    </w:pPr>
    <w:rPr>
      <w:rFonts w:ascii="仿宋_GB2312" w:hAnsi="宋体" w:eastAsia="仿宋_GB2312" w:cs="Times New Roman"/>
      <w:b/>
      <w:bCs/>
      <w:color w:val="000000"/>
      <w:kern w:val="0"/>
      <w:sz w:val="18"/>
      <w:szCs w:val="18"/>
    </w:rPr>
  </w:style>
  <w:style w:type="paragraph" w:styleId="18">
    <w:name w:val="header"/>
    <w:basedOn w:val="1"/>
    <w:link w:val="57"/>
    <w:qFormat/>
    <w:uiPriority w:val="0"/>
    <w:pPr>
      <w:pBdr>
        <w:bottom w:val="single" w:color="auto" w:sz="6" w:space="1"/>
      </w:pBdr>
      <w:tabs>
        <w:tab w:val="center" w:pos="4153"/>
        <w:tab w:val="right" w:pos="8306"/>
      </w:tabs>
      <w:snapToGrid w:val="0"/>
      <w:jc w:val="center"/>
    </w:pPr>
    <w:rPr>
      <w:rFonts w:ascii="仿宋_GB2312" w:hAnsi="宋体" w:eastAsia="仿宋_GB2312" w:cs="Times New Roman"/>
      <w:b/>
      <w:bCs/>
      <w:color w:val="000000"/>
      <w:kern w:val="0"/>
      <w:sz w:val="18"/>
      <w:szCs w:val="18"/>
    </w:rPr>
  </w:style>
  <w:style w:type="paragraph" w:styleId="19">
    <w:name w:val="toc 1"/>
    <w:basedOn w:val="1"/>
    <w:next w:val="1"/>
    <w:qFormat/>
    <w:uiPriority w:val="0"/>
    <w:pPr>
      <w:spacing w:line="360" w:lineRule="atLeast"/>
    </w:pPr>
    <w:rPr>
      <w:rFonts w:ascii="宋体" w:cs="Times New Roman"/>
      <w:bCs/>
      <w:sz w:val="22"/>
    </w:rPr>
  </w:style>
  <w:style w:type="paragraph" w:styleId="20">
    <w:name w:val="Body Text Indent 3"/>
    <w:basedOn w:val="1"/>
    <w:link w:val="123"/>
    <w:qFormat/>
    <w:uiPriority w:val="0"/>
    <w:pPr>
      <w:spacing w:line="500" w:lineRule="exact"/>
      <w:ind w:left="511" w:hanging="511" w:hangingChars="213"/>
    </w:pPr>
    <w:rPr>
      <w:rFonts w:cs="Times New Roman"/>
      <w:kern w:val="0"/>
      <w:sz w:val="24"/>
      <w:szCs w:val="20"/>
    </w:rPr>
  </w:style>
  <w:style w:type="paragraph" w:styleId="21">
    <w:name w:val="Normal (Web)"/>
    <w:basedOn w:val="1"/>
    <w:unhideWhenUsed/>
    <w:uiPriority w:val="99"/>
    <w:pPr>
      <w:spacing w:before="100" w:beforeAutospacing="1" w:after="100" w:afterAutospacing="1"/>
      <w:ind w:left="0" w:right="0"/>
      <w:jc w:val="left"/>
    </w:pPr>
    <w:rPr>
      <w:kern w:val="0"/>
      <w:sz w:val="24"/>
      <w:lang w:val="en-US" w:eastAsia="zh-CN" w:bidi="ar"/>
    </w:rPr>
  </w:style>
  <w:style w:type="paragraph" w:styleId="22">
    <w:name w:val="Title"/>
    <w:basedOn w:val="1"/>
    <w:next w:val="1"/>
    <w:link w:val="55"/>
    <w:qFormat/>
    <w:uiPriority w:val="0"/>
    <w:pPr>
      <w:spacing w:before="240" w:after="60"/>
      <w:jc w:val="center"/>
      <w:outlineLvl w:val="0"/>
    </w:pPr>
    <w:rPr>
      <w:rFonts w:ascii="Arial" w:hAnsi="Arial" w:cs="Times New Roman"/>
      <w:kern w:val="0"/>
      <w:sz w:val="32"/>
      <w:szCs w:val="32"/>
    </w:rPr>
  </w:style>
  <w:style w:type="paragraph" w:styleId="23">
    <w:name w:val="annotation subject"/>
    <w:basedOn w:val="9"/>
    <w:next w:val="9"/>
    <w:link w:val="88"/>
    <w:unhideWhenUsed/>
    <w:uiPriority w:val="99"/>
    <w:rPr>
      <w:b/>
      <w:bCs/>
    </w:r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dr w:val="single" w:color="E8E8E8" w:sz="8" w:space="0"/>
    </w:rPr>
  </w:style>
  <w:style w:type="character" w:styleId="28">
    <w:name w:val="page number"/>
    <w:basedOn w:val="26"/>
    <w:qFormat/>
    <w:uiPriority w:val="0"/>
  </w:style>
  <w:style w:type="character" w:styleId="29">
    <w:name w:val="FollowedHyperlink"/>
    <w:unhideWhenUsed/>
    <w:qFormat/>
    <w:uiPriority w:val="99"/>
    <w:rPr>
      <w:color w:val="954F72"/>
      <w:u w:val="single"/>
    </w:rPr>
  </w:style>
  <w:style w:type="character" w:styleId="30">
    <w:name w:val="HTML Definition"/>
    <w:unhideWhenUsed/>
    <w:uiPriority w:val="99"/>
    <w:rPr>
      <w:i/>
    </w:rPr>
  </w:style>
  <w:style w:type="character" w:styleId="31">
    <w:name w:val="Hyperlink"/>
    <w:qFormat/>
    <w:uiPriority w:val="0"/>
    <w:rPr>
      <w:color w:val="0000FF"/>
      <w:u w:val="none"/>
    </w:rPr>
  </w:style>
  <w:style w:type="character" w:styleId="32">
    <w:name w:val="HTML Code"/>
    <w:unhideWhenUsed/>
    <w:uiPriority w:val="99"/>
    <w:rPr>
      <w:rFonts w:hint="default" w:ascii="Consolas" w:hAnsi="Consolas" w:eastAsia="Consolas" w:cs="Consolas"/>
      <w:sz w:val="21"/>
      <w:szCs w:val="21"/>
    </w:rPr>
  </w:style>
  <w:style w:type="character" w:styleId="33">
    <w:name w:val="annotation reference"/>
    <w:unhideWhenUsed/>
    <w:uiPriority w:val="99"/>
    <w:rPr>
      <w:sz w:val="21"/>
      <w:szCs w:val="21"/>
    </w:rPr>
  </w:style>
  <w:style w:type="character" w:styleId="34">
    <w:name w:val="HTML Keyboard"/>
    <w:unhideWhenUsed/>
    <w:uiPriority w:val="99"/>
    <w:rPr>
      <w:rFonts w:ascii="Consolas" w:hAnsi="Consolas" w:eastAsia="Consolas" w:cs="Consolas"/>
      <w:sz w:val="21"/>
      <w:szCs w:val="21"/>
    </w:rPr>
  </w:style>
  <w:style w:type="character" w:styleId="35">
    <w:name w:val="HTML Sample"/>
    <w:unhideWhenUsed/>
    <w:uiPriority w:val="99"/>
    <w:rPr>
      <w:rFonts w:hint="default" w:ascii="Consolas" w:hAnsi="Consolas" w:eastAsia="Consolas" w:cs="Consolas"/>
      <w:sz w:val="21"/>
      <w:szCs w:val="21"/>
    </w:rPr>
  </w:style>
  <w:style w:type="character" w:customStyle="1" w:styleId="36">
    <w:name w:val="font11"/>
    <w:uiPriority w:val="0"/>
    <w:rPr>
      <w:rFonts w:hint="eastAsia" w:ascii="宋体" w:hAnsi="宋体" w:eastAsia="宋体" w:cs="宋体"/>
      <w:color w:val="FF0000"/>
      <w:sz w:val="18"/>
      <w:szCs w:val="18"/>
      <w:u w:val="none"/>
    </w:rPr>
  </w:style>
  <w:style w:type="character" w:customStyle="1" w:styleId="37">
    <w:name w:val="font181"/>
    <w:qFormat/>
    <w:uiPriority w:val="0"/>
    <w:rPr>
      <w:rFonts w:hint="eastAsia" w:ascii="宋体" w:hAnsi="宋体" w:eastAsia="宋体" w:cs="宋体"/>
      <w:color w:val="000000"/>
      <w:sz w:val="22"/>
      <w:szCs w:val="22"/>
      <w:u w:val="none"/>
    </w:rPr>
  </w:style>
  <w:style w:type="character" w:customStyle="1" w:styleId="38">
    <w:name w:val="zige"/>
    <w:basedOn w:val="26"/>
    <w:uiPriority w:val="0"/>
  </w:style>
  <w:style w:type="character" w:customStyle="1" w:styleId="39">
    <w:name w:val="fl"/>
    <w:uiPriority w:val="0"/>
    <w:rPr>
      <w:sz w:val="14"/>
      <w:szCs w:val="14"/>
    </w:rPr>
  </w:style>
  <w:style w:type="character" w:customStyle="1" w:styleId="40">
    <w:name w:val="success"/>
    <w:uiPriority w:val="0"/>
    <w:rPr>
      <w:color w:val="2DC12D"/>
    </w:rPr>
  </w:style>
  <w:style w:type="character" w:customStyle="1" w:styleId="41">
    <w:name w:val="redline"/>
    <w:uiPriority w:val="0"/>
    <w:rPr>
      <w:color w:val="FF0000"/>
    </w:rPr>
  </w:style>
  <w:style w:type="character" w:customStyle="1" w:styleId="42">
    <w:name w:val="current3"/>
    <w:basedOn w:val="26"/>
    <w:uiPriority w:val="0"/>
  </w:style>
  <w:style w:type="character" w:customStyle="1" w:styleId="43">
    <w:name w:val="selected"/>
    <w:uiPriority w:val="0"/>
    <w:rPr>
      <w:color w:val="1B78FF"/>
      <w:bdr w:val="single" w:color="3177FD" w:sz="4" w:space="0"/>
    </w:rPr>
  </w:style>
  <w:style w:type="character" w:customStyle="1" w:styleId="44">
    <w:name w:val="font31"/>
    <w:uiPriority w:val="0"/>
    <w:rPr>
      <w:rFonts w:hint="eastAsia" w:ascii="宋体" w:hAnsi="宋体" w:eastAsia="宋体" w:cs="宋体"/>
      <w:color w:val="000000"/>
      <w:sz w:val="18"/>
      <w:szCs w:val="18"/>
      <w:u w:val="none"/>
    </w:rPr>
  </w:style>
  <w:style w:type="character" w:customStyle="1" w:styleId="45">
    <w:name w:val="shenhezhong"/>
    <w:uiPriority w:val="0"/>
    <w:rPr>
      <w:color w:val="FFFFFF"/>
      <w:sz w:val="12"/>
      <w:szCs w:val="12"/>
      <w:shd w:val="clear" w:color="auto" w:fill="28B928"/>
    </w:rPr>
  </w:style>
  <w:style w:type="character" w:customStyle="1" w:styleId="46">
    <w:name w:val="标题 3 Char"/>
    <w:link w:val="5"/>
    <w:qFormat/>
    <w:uiPriority w:val="0"/>
    <w:rPr>
      <w:rFonts w:ascii="宋体" w:hAnsi="宋体" w:eastAsia="宋体" w:cs="Times New Roman"/>
      <w:b/>
      <w:kern w:val="0"/>
      <w:sz w:val="27"/>
      <w:szCs w:val="27"/>
    </w:rPr>
  </w:style>
  <w:style w:type="character" w:customStyle="1" w:styleId="47">
    <w:name w:val="icon_bj3"/>
    <w:uiPriority w:val="0"/>
    <w:rPr>
      <w:color w:val="FFFFFF"/>
      <w:sz w:val="12"/>
      <w:szCs w:val="12"/>
      <w:shd w:val="clear" w:color="auto" w:fill="4A90E2"/>
    </w:rPr>
  </w:style>
  <w:style w:type="character" w:customStyle="1" w:styleId="48">
    <w:name w:val="heighthight5"/>
    <w:uiPriority w:val="0"/>
    <w:rPr>
      <w:color w:val="FAAE14"/>
    </w:rPr>
  </w:style>
  <w:style w:type="character" w:customStyle="1" w:styleId="49">
    <w:name w:val="页脚 Char"/>
    <w:link w:val="17"/>
    <w:qFormat/>
    <w:uiPriority w:val="0"/>
    <w:rPr>
      <w:rFonts w:ascii="仿宋_GB2312" w:hAnsi="宋体" w:eastAsia="仿宋_GB2312" w:cs="宋体"/>
      <w:b/>
      <w:bCs/>
      <w:color w:val="000000"/>
      <w:sz w:val="18"/>
      <w:szCs w:val="18"/>
    </w:rPr>
  </w:style>
  <w:style w:type="character" w:customStyle="1" w:styleId="50">
    <w:name w:val="font161"/>
    <w:qFormat/>
    <w:uiPriority w:val="0"/>
    <w:rPr>
      <w:rFonts w:hint="default" w:ascii="Times New Roman" w:hAnsi="Times New Roman" w:cs="Times New Roman"/>
      <w:color w:val="000000"/>
      <w:sz w:val="22"/>
      <w:szCs w:val="22"/>
      <w:u w:val="none"/>
    </w:rPr>
  </w:style>
  <w:style w:type="character" w:customStyle="1" w:styleId="51">
    <w:name w:val="sl"/>
    <w:uiPriority w:val="0"/>
    <w:rPr>
      <w:sz w:val="12"/>
      <w:szCs w:val="12"/>
    </w:rPr>
  </w:style>
  <w:style w:type="character" w:customStyle="1" w:styleId="52">
    <w:name w:val="icon_bj"/>
    <w:uiPriority w:val="0"/>
    <w:rPr>
      <w:color w:val="FFFFFF"/>
      <w:sz w:val="12"/>
      <w:szCs w:val="12"/>
      <w:shd w:val="clear" w:color="auto" w:fill="4A90E2"/>
    </w:rPr>
  </w:style>
  <w:style w:type="character" w:customStyle="1" w:styleId="53">
    <w:name w:val="标题 1 Char"/>
    <w:link w:val="3"/>
    <w:qFormat/>
    <w:uiPriority w:val="0"/>
    <w:rPr>
      <w:rFonts w:ascii="Calibri" w:hAnsi="Calibri" w:eastAsia="宋体" w:cs="Calibri"/>
      <w:b/>
      <w:bCs/>
      <w:kern w:val="44"/>
      <w:sz w:val="36"/>
      <w:szCs w:val="36"/>
    </w:rPr>
  </w:style>
  <w:style w:type="character" w:customStyle="1" w:styleId="54">
    <w:name w:val="today1"/>
    <w:uiPriority w:val="0"/>
    <w:rPr>
      <w:color w:val="606060"/>
      <w:shd w:val="clear" w:color="auto" w:fill="F5F6FA"/>
    </w:rPr>
  </w:style>
  <w:style w:type="character" w:customStyle="1" w:styleId="55">
    <w:name w:val="标题 Char"/>
    <w:link w:val="22"/>
    <w:qFormat/>
    <w:uiPriority w:val="0"/>
    <w:rPr>
      <w:rFonts w:ascii="Arial" w:hAnsi="Arial" w:eastAsia="宋体" w:cs="Arial"/>
      <w:sz w:val="32"/>
      <w:szCs w:val="32"/>
    </w:rPr>
  </w:style>
  <w:style w:type="character" w:customStyle="1" w:styleId="56">
    <w:name w:val="tuih"/>
    <w:uiPriority w:val="0"/>
    <w:rPr>
      <w:color w:val="57607A"/>
      <w:bdr w:val="single" w:color="CDCCCC" w:sz="4" w:space="0"/>
    </w:rPr>
  </w:style>
  <w:style w:type="character" w:customStyle="1" w:styleId="57">
    <w:name w:val="页眉 Char"/>
    <w:link w:val="18"/>
    <w:qFormat/>
    <w:uiPriority w:val="0"/>
    <w:rPr>
      <w:rFonts w:ascii="仿宋_GB2312" w:hAnsi="宋体" w:eastAsia="仿宋_GB2312" w:cs="宋体"/>
      <w:b/>
      <w:bCs/>
      <w:color w:val="000000"/>
      <w:sz w:val="18"/>
      <w:szCs w:val="18"/>
    </w:rPr>
  </w:style>
  <w:style w:type="character" w:customStyle="1" w:styleId="58">
    <w:name w:val="star-info"/>
    <w:uiPriority w:val="0"/>
    <w:rPr>
      <w:color w:val="FD7B24"/>
      <w:sz w:val="16"/>
      <w:szCs w:val="16"/>
    </w:rPr>
  </w:style>
  <w:style w:type="character" w:customStyle="1" w:styleId="59">
    <w:name w:val="heighthight"/>
    <w:uiPriority w:val="0"/>
    <w:rPr>
      <w:color w:val="FAAE14"/>
    </w:rPr>
  </w:style>
  <w:style w:type="character" w:customStyle="1" w:styleId="60">
    <w:name w:val="tuih5"/>
    <w:uiPriority w:val="0"/>
    <w:rPr>
      <w:color w:val="57607A"/>
      <w:bdr w:val="single" w:color="CDCCCC" w:sz="4" w:space="0"/>
    </w:rPr>
  </w:style>
  <w:style w:type="character" w:customStyle="1" w:styleId="61">
    <w:name w:val="current4"/>
    <w:uiPriority w:val="0"/>
    <w:rPr>
      <w:color w:val="FFFFFF"/>
      <w:shd w:val="clear" w:color="auto" w:fill="5BA0FF"/>
    </w:rPr>
  </w:style>
  <w:style w:type="character" w:customStyle="1" w:styleId="62">
    <w:name w:val="icon_bj6"/>
    <w:uiPriority w:val="0"/>
    <w:rPr>
      <w:color w:val="FFFFFF"/>
      <w:sz w:val="12"/>
      <w:szCs w:val="12"/>
      <w:shd w:val="clear" w:color="auto" w:fill="4A90E2"/>
    </w:rPr>
  </w:style>
  <w:style w:type="character" w:customStyle="1" w:styleId="63">
    <w:name w:val="tuih2"/>
    <w:uiPriority w:val="0"/>
    <w:rPr>
      <w:color w:val="57607A"/>
      <w:bdr w:val="single" w:color="CDCCCC" w:sz="4" w:space="0"/>
    </w:rPr>
  </w:style>
  <w:style w:type="character" w:customStyle="1" w:styleId="64">
    <w:name w:val="font101"/>
    <w:uiPriority w:val="0"/>
    <w:rPr>
      <w:rFonts w:hint="eastAsia" w:ascii="宋体" w:hAnsi="宋体" w:eastAsia="宋体" w:cs="宋体"/>
      <w:color w:val="000000"/>
      <w:sz w:val="18"/>
      <w:szCs w:val="18"/>
      <w:u w:val="none"/>
    </w:rPr>
  </w:style>
  <w:style w:type="character" w:customStyle="1" w:styleId="65">
    <w:name w:val="icon_bj7"/>
    <w:uiPriority w:val="0"/>
    <w:rPr>
      <w:color w:val="FFFFFF"/>
      <w:sz w:val="12"/>
      <w:szCs w:val="12"/>
      <w:shd w:val="clear" w:color="auto" w:fill="4A90E2"/>
    </w:rPr>
  </w:style>
  <w:style w:type="character" w:customStyle="1" w:styleId="66">
    <w:name w:val="pagetitle1"/>
    <w:uiPriority w:val="0"/>
    <w:rPr>
      <w:color w:val="24344E"/>
      <w:sz w:val="18"/>
      <w:szCs w:val="18"/>
    </w:rPr>
  </w:style>
  <w:style w:type="character" w:customStyle="1" w:styleId="67">
    <w:name w:val="批注框文本 Char"/>
    <w:link w:val="16"/>
    <w:semiHidden/>
    <w:uiPriority w:val="99"/>
    <w:rPr>
      <w:rFonts w:ascii="Calibri" w:hAnsi="Calibri" w:cs="宋体"/>
      <w:kern w:val="2"/>
      <w:sz w:val="18"/>
      <w:szCs w:val="18"/>
    </w:rPr>
  </w:style>
  <w:style w:type="character" w:customStyle="1" w:styleId="68">
    <w:name w:val="select"/>
    <w:uiPriority w:val="0"/>
    <w:rPr>
      <w:color w:val="FFFFFF"/>
      <w:shd w:val="clear" w:color="auto" w:fill="3595F8"/>
    </w:rPr>
  </w:style>
  <w:style w:type="character" w:customStyle="1" w:styleId="69">
    <w:name w:val="纯文本 Char"/>
    <w:link w:val="13"/>
    <w:qFormat/>
    <w:uiPriority w:val="0"/>
    <w:rPr>
      <w:rFonts w:ascii="宋体" w:hAnsi="Courier New" w:eastAsia="仿宋_GB2312" w:cs="宋体"/>
      <w:b/>
      <w:bCs/>
      <w:color w:val="000000"/>
    </w:rPr>
  </w:style>
  <w:style w:type="character" w:customStyle="1" w:styleId="70">
    <w:name w:val="current"/>
    <w:uiPriority w:val="0"/>
    <w:rPr>
      <w:color w:val="FFFFFF"/>
      <w:bdr w:val="single" w:color="1C7FD1" w:sz="4" w:space="0"/>
      <w:shd w:val="clear" w:color="auto" w:fill="1C7FD1"/>
    </w:rPr>
  </w:style>
  <w:style w:type="character" w:customStyle="1" w:styleId="71">
    <w:name w:val="gotoset5"/>
    <w:uiPriority w:val="0"/>
    <w:rPr>
      <w:color w:val="999999"/>
    </w:rPr>
  </w:style>
  <w:style w:type="character" w:customStyle="1" w:styleId="72">
    <w:name w:val="skip1"/>
    <w:basedOn w:val="26"/>
    <w:uiPriority w:val="0"/>
  </w:style>
  <w:style w:type="character" w:customStyle="1" w:styleId="73">
    <w:name w:val="tuih1"/>
    <w:uiPriority w:val="0"/>
    <w:rPr>
      <w:color w:val="57607A"/>
      <w:bdr w:val="single" w:color="CDCCCC" w:sz="4" w:space="0"/>
    </w:rPr>
  </w:style>
  <w:style w:type="character" w:customStyle="1" w:styleId="74">
    <w:name w:val="error1"/>
    <w:uiPriority w:val="0"/>
    <w:rPr>
      <w:color w:val="FF625C"/>
    </w:rPr>
  </w:style>
  <w:style w:type="character" w:customStyle="1" w:styleId="75">
    <w:name w:val="font141"/>
    <w:qFormat/>
    <w:uiPriority w:val="0"/>
    <w:rPr>
      <w:rFonts w:hint="eastAsia" w:ascii="宋体" w:hAnsi="宋体" w:eastAsia="宋体" w:cs="宋体"/>
      <w:color w:val="000000"/>
      <w:sz w:val="22"/>
      <w:szCs w:val="22"/>
      <w:u w:val="none"/>
    </w:rPr>
  </w:style>
  <w:style w:type="character" w:customStyle="1" w:styleId="76">
    <w:name w:val="font151"/>
    <w:qFormat/>
    <w:uiPriority w:val="0"/>
    <w:rPr>
      <w:rFonts w:hint="default" w:ascii="Times New Roman" w:hAnsi="Times New Roman" w:cs="Times New Roman"/>
      <w:color w:val="000000"/>
      <w:sz w:val="22"/>
      <w:szCs w:val="22"/>
      <w:u w:val="none"/>
    </w:rPr>
  </w:style>
  <w:style w:type="character" w:customStyle="1" w:styleId="77">
    <w:name w:val="gotoset1"/>
    <w:uiPriority w:val="0"/>
    <w:rPr>
      <w:color w:val="999999"/>
    </w:rPr>
  </w:style>
  <w:style w:type="character" w:customStyle="1" w:styleId="78">
    <w:name w:val="current5"/>
    <w:uiPriority w:val="0"/>
    <w:rPr>
      <w:color w:val="FFFFFF"/>
      <w:shd w:val="clear" w:color="auto" w:fill="5BA0FF"/>
    </w:rPr>
  </w:style>
  <w:style w:type="character" w:customStyle="1" w:styleId="79">
    <w:name w:val="tuih12"/>
    <w:uiPriority w:val="0"/>
    <w:rPr>
      <w:color w:val="57607A"/>
      <w:bdr w:val="single" w:color="CDCCCC" w:sz="4" w:space="0"/>
    </w:rPr>
  </w:style>
  <w:style w:type="character" w:customStyle="1" w:styleId="80">
    <w:name w:val="heighthight6"/>
    <w:uiPriority w:val="0"/>
    <w:rPr>
      <w:color w:val="FAAE14"/>
    </w:rPr>
  </w:style>
  <w:style w:type="character" w:customStyle="1" w:styleId="81">
    <w:name w:val="tuih7"/>
    <w:uiPriority w:val="0"/>
    <w:rPr>
      <w:color w:val="57607A"/>
      <w:bdr w:val="single" w:color="CDCCCC" w:sz="4" w:space="0"/>
    </w:rPr>
  </w:style>
  <w:style w:type="character" w:customStyle="1" w:styleId="82">
    <w:name w:val="icon_bj8"/>
    <w:uiPriority w:val="0"/>
    <w:rPr>
      <w:color w:val="FFFFFF"/>
      <w:sz w:val="12"/>
      <w:szCs w:val="12"/>
      <w:shd w:val="clear" w:color="auto" w:fill="4A90E2"/>
    </w:rPr>
  </w:style>
  <w:style w:type="character" w:customStyle="1" w:styleId="83">
    <w:name w:val="current6"/>
    <w:uiPriority w:val="0"/>
    <w:rPr>
      <w:color w:val="FFFFFF"/>
      <w:shd w:val="clear" w:color="auto" w:fill="5BA0FF"/>
    </w:rPr>
  </w:style>
  <w:style w:type="character" w:customStyle="1" w:styleId="84">
    <w:name w:val="search"/>
    <w:basedOn w:val="26"/>
    <w:uiPriority w:val="0"/>
  </w:style>
  <w:style w:type="character" w:customStyle="1" w:styleId="85">
    <w:name w:val="font91"/>
    <w:uiPriority w:val="0"/>
    <w:rPr>
      <w:rFonts w:hint="eastAsia" w:ascii="宋体" w:hAnsi="宋体" w:eastAsia="宋体" w:cs="宋体"/>
      <w:color w:val="000000"/>
      <w:sz w:val="18"/>
      <w:szCs w:val="18"/>
      <w:u w:val="none"/>
    </w:rPr>
  </w:style>
  <w:style w:type="character" w:customStyle="1" w:styleId="86">
    <w:name w:val="last-child"/>
    <w:basedOn w:val="26"/>
    <w:uiPriority w:val="0"/>
  </w:style>
  <w:style w:type="character" w:customStyle="1" w:styleId="87">
    <w:name w:val="selected1"/>
    <w:uiPriority w:val="0"/>
    <w:rPr>
      <w:color w:val="1B78FF"/>
      <w:bdr w:val="single" w:color="3177FD" w:sz="4" w:space="0"/>
    </w:rPr>
  </w:style>
  <w:style w:type="character" w:customStyle="1" w:styleId="88">
    <w:name w:val="批注主题 Char"/>
    <w:link w:val="23"/>
    <w:semiHidden/>
    <w:uiPriority w:val="99"/>
    <w:rPr>
      <w:rFonts w:ascii="Calibri" w:hAnsi="Calibri" w:cs="宋体"/>
      <w:b/>
      <w:bCs/>
      <w:kern w:val="2"/>
      <w:sz w:val="21"/>
      <w:szCs w:val="22"/>
    </w:rPr>
  </w:style>
  <w:style w:type="character" w:customStyle="1" w:styleId="89">
    <w:name w:val="font71"/>
    <w:uiPriority w:val="0"/>
    <w:rPr>
      <w:rFonts w:hint="eastAsia" w:ascii="宋体" w:hAnsi="宋体" w:eastAsia="宋体" w:cs="宋体"/>
      <w:color w:val="FF0000"/>
      <w:sz w:val="18"/>
      <w:szCs w:val="18"/>
      <w:u w:val="none"/>
    </w:rPr>
  </w:style>
  <w:style w:type="character" w:customStyle="1" w:styleId="90">
    <w:name w:val="font51"/>
    <w:qFormat/>
    <w:uiPriority w:val="0"/>
    <w:rPr>
      <w:rFonts w:hint="eastAsia" w:ascii="宋体" w:hAnsi="宋体" w:eastAsia="宋体" w:cs="宋体"/>
      <w:b/>
      <w:color w:val="000000"/>
      <w:sz w:val="20"/>
      <w:szCs w:val="20"/>
      <w:u w:val="none"/>
    </w:rPr>
  </w:style>
  <w:style w:type="character" w:customStyle="1" w:styleId="91">
    <w:name w:val="current1"/>
    <w:uiPriority w:val="0"/>
    <w:rPr>
      <w:color w:val="FFFFFF"/>
      <w:bdr w:val="single" w:color="197AFF" w:sz="4" w:space="0"/>
      <w:shd w:val="clear" w:color="auto" w:fill="197AFF"/>
    </w:rPr>
  </w:style>
  <w:style w:type="character" w:customStyle="1" w:styleId="92">
    <w:name w:val="icon_bj2"/>
    <w:uiPriority w:val="0"/>
    <w:rPr>
      <w:color w:val="FFFFFF"/>
      <w:sz w:val="12"/>
      <w:szCs w:val="12"/>
      <w:shd w:val="clear" w:color="auto" w:fill="4A90E2"/>
    </w:rPr>
  </w:style>
  <w:style w:type="character" w:customStyle="1" w:styleId="93">
    <w:name w:val="font81"/>
    <w:qFormat/>
    <w:uiPriority w:val="0"/>
    <w:rPr>
      <w:rFonts w:hint="eastAsia" w:ascii="宋体" w:hAnsi="宋体" w:eastAsia="宋体" w:cs="宋体"/>
      <w:b/>
      <w:color w:val="000000"/>
      <w:sz w:val="20"/>
      <w:szCs w:val="20"/>
      <w:u w:val="none"/>
    </w:rPr>
  </w:style>
  <w:style w:type="character" w:customStyle="1" w:styleId="94">
    <w:name w:val="日期 Char"/>
    <w:link w:val="14"/>
    <w:qFormat/>
    <w:uiPriority w:val="0"/>
    <w:rPr>
      <w:rFonts w:ascii="Times New Roman" w:hAnsi="Times New Roman" w:eastAsia="宋体" w:cs="宋体"/>
    </w:rPr>
  </w:style>
  <w:style w:type="character" w:customStyle="1" w:styleId="95">
    <w:name w:val="tuih3"/>
    <w:uiPriority w:val="0"/>
    <w:rPr>
      <w:color w:val="57607A"/>
      <w:bdr w:val="single" w:color="CDCCCC" w:sz="4" w:space="0"/>
    </w:rPr>
  </w:style>
  <w:style w:type="character" w:customStyle="1" w:styleId="96">
    <w:name w:val="gotoset"/>
    <w:uiPriority w:val="0"/>
    <w:rPr>
      <w:color w:val="999999"/>
    </w:rPr>
  </w:style>
  <w:style w:type="character" w:customStyle="1" w:styleId="97">
    <w:name w:val="gotoset2"/>
    <w:uiPriority w:val="0"/>
    <w:rPr>
      <w:color w:val="999999"/>
    </w:rPr>
  </w:style>
  <w:style w:type="character" w:customStyle="1" w:styleId="98">
    <w:name w:val="tuih9"/>
    <w:uiPriority w:val="0"/>
    <w:rPr>
      <w:color w:val="57607A"/>
      <w:bdr w:val="single" w:color="CDCCCC" w:sz="4" w:space="0"/>
    </w:rPr>
  </w:style>
  <w:style w:type="character" w:customStyle="1" w:styleId="99">
    <w:name w:val="font112"/>
    <w:qFormat/>
    <w:uiPriority w:val="0"/>
    <w:rPr>
      <w:rFonts w:hint="eastAsia" w:ascii="宋体" w:hAnsi="宋体" w:eastAsia="宋体" w:cs="宋体"/>
      <w:b/>
      <w:color w:val="000000"/>
      <w:sz w:val="22"/>
      <w:szCs w:val="22"/>
      <w:u w:val="none"/>
    </w:rPr>
  </w:style>
  <w:style w:type="character" w:customStyle="1" w:styleId="100">
    <w:name w:val="标题 2 Char"/>
    <w:link w:val="4"/>
    <w:qFormat/>
    <w:uiPriority w:val="0"/>
    <w:rPr>
      <w:rFonts w:ascii="Calibri Light" w:hAnsi="Calibri Light" w:eastAsia="宋体" w:cs="Calibri Light"/>
      <w:b/>
      <w:bCs/>
      <w:sz w:val="30"/>
      <w:szCs w:val="30"/>
    </w:rPr>
  </w:style>
  <w:style w:type="character" w:customStyle="1" w:styleId="101">
    <w:name w:val="today"/>
    <w:uiPriority w:val="0"/>
    <w:rPr>
      <w:color w:val="606060"/>
      <w:shd w:val="clear" w:color="auto" w:fill="F5F6FA"/>
    </w:rPr>
  </w:style>
  <w:style w:type="character" w:customStyle="1" w:styleId="102">
    <w:name w:val="正文文本 Char"/>
    <w:link w:val="10"/>
    <w:qFormat/>
    <w:uiPriority w:val="0"/>
    <w:rPr>
      <w:rFonts w:ascii="Calibri" w:hAnsi="Calibri" w:eastAsia="宋体" w:cs="宋体"/>
    </w:rPr>
  </w:style>
  <w:style w:type="character" w:customStyle="1" w:styleId="103">
    <w:name w:val="font21"/>
    <w:qFormat/>
    <w:uiPriority w:val="0"/>
    <w:rPr>
      <w:rFonts w:hint="eastAsia" w:ascii="宋体" w:hAnsi="宋体" w:eastAsia="宋体" w:cs="宋体"/>
      <w:b/>
      <w:color w:val="806000"/>
      <w:sz w:val="20"/>
      <w:szCs w:val="20"/>
      <w:u w:val="none"/>
    </w:rPr>
  </w:style>
  <w:style w:type="character" w:customStyle="1" w:styleId="104">
    <w:name w:val="font231"/>
    <w:qFormat/>
    <w:uiPriority w:val="0"/>
    <w:rPr>
      <w:rFonts w:hint="default" w:ascii="Times New Roman" w:hAnsi="Times New Roman" w:cs="Times New Roman"/>
      <w:b/>
      <w:color w:val="000000"/>
      <w:sz w:val="22"/>
      <w:szCs w:val="22"/>
      <w:u w:val="none"/>
    </w:rPr>
  </w:style>
  <w:style w:type="character" w:customStyle="1" w:styleId="105">
    <w:name w:val="date-title1"/>
    <w:uiPriority w:val="0"/>
    <w:rPr>
      <w:color w:val="24344E"/>
      <w:sz w:val="18"/>
      <w:szCs w:val="18"/>
    </w:rPr>
  </w:style>
  <w:style w:type="character" w:customStyle="1" w:styleId="106">
    <w:name w:val="gotoset3"/>
    <w:uiPriority w:val="0"/>
    <w:rPr>
      <w:color w:val="999999"/>
    </w:rPr>
  </w:style>
  <w:style w:type="character" w:customStyle="1" w:styleId="107">
    <w:name w:val="heighthight3"/>
    <w:uiPriority w:val="0"/>
    <w:rPr>
      <w:color w:val="FAAE14"/>
    </w:rPr>
  </w:style>
  <w:style w:type="character" w:customStyle="1" w:styleId="108">
    <w:name w:val="redline1"/>
    <w:uiPriority w:val="0"/>
    <w:rPr>
      <w:color w:val="FF0000"/>
    </w:rPr>
  </w:style>
  <w:style w:type="character" w:customStyle="1" w:styleId="109">
    <w:name w:val="skip"/>
    <w:basedOn w:val="26"/>
    <w:uiPriority w:val="0"/>
  </w:style>
  <w:style w:type="character" w:customStyle="1" w:styleId="110">
    <w:name w:val="tuih6"/>
    <w:uiPriority w:val="0"/>
    <w:rPr>
      <w:color w:val="57607A"/>
      <w:bdr w:val="single" w:color="CDCCCC" w:sz="4" w:space="0"/>
    </w:rPr>
  </w:style>
  <w:style w:type="character" w:customStyle="1" w:styleId="111">
    <w:name w:val="heighthight1"/>
    <w:uiPriority w:val="0"/>
    <w:rPr>
      <w:color w:val="FAAE14"/>
    </w:rPr>
  </w:style>
  <w:style w:type="character" w:customStyle="1" w:styleId="112">
    <w:name w:val="font121"/>
    <w:uiPriority w:val="0"/>
    <w:rPr>
      <w:rFonts w:hint="eastAsia" w:ascii="宋体" w:hAnsi="宋体" w:eastAsia="宋体" w:cs="宋体"/>
      <w:color w:val="000000"/>
      <w:sz w:val="18"/>
      <w:szCs w:val="18"/>
      <w:u w:val="none"/>
    </w:rPr>
  </w:style>
  <w:style w:type="character" w:customStyle="1" w:styleId="113">
    <w:name w:val="textcolor1"/>
    <w:qFormat/>
    <w:uiPriority w:val="0"/>
    <w:rPr>
      <w:color w:val="FF6600"/>
    </w:rPr>
  </w:style>
  <w:style w:type="character" w:customStyle="1" w:styleId="114">
    <w:name w:val="tuih4"/>
    <w:uiPriority w:val="0"/>
    <w:rPr>
      <w:color w:val="57607A"/>
      <w:bdr w:val="single" w:color="CDCCCC" w:sz="4" w:space="0"/>
    </w:rPr>
  </w:style>
  <w:style w:type="character" w:customStyle="1" w:styleId="115">
    <w:name w:val="tuih13"/>
    <w:uiPriority w:val="0"/>
    <w:rPr>
      <w:color w:val="57607A"/>
      <w:bdr w:val="single" w:color="CDCCCC" w:sz="4" w:space="0"/>
    </w:rPr>
  </w:style>
  <w:style w:type="character" w:customStyle="1" w:styleId="116">
    <w:name w:val="批注文字 Char"/>
    <w:link w:val="9"/>
    <w:semiHidden/>
    <w:uiPriority w:val="99"/>
    <w:rPr>
      <w:rFonts w:ascii="Calibri" w:hAnsi="Calibri" w:cs="宋体"/>
      <w:kern w:val="2"/>
      <w:sz w:val="21"/>
      <w:szCs w:val="22"/>
    </w:rPr>
  </w:style>
  <w:style w:type="character" w:customStyle="1" w:styleId="117">
    <w:name w:val="current2"/>
    <w:uiPriority w:val="0"/>
    <w:rPr>
      <w:color w:val="197AFF"/>
      <w:shd w:val="clear" w:color="auto" w:fill="EBECF0"/>
    </w:rPr>
  </w:style>
  <w:style w:type="character" w:customStyle="1" w:styleId="118">
    <w:name w:val="font01"/>
    <w:qFormat/>
    <w:uiPriority w:val="0"/>
    <w:rPr>
      <w:rFonts w:hint="eastAsia" w:ascii="新宋体" w:hAnsi="新宋体" w:eastAsia="新宋体" w:cs="新宋体"/>
      <w:color w:val="000000"/>
      <w:sz w:val="21"/>
      <w:szCs w:val="21"/>
      <w:u w:val="none"/>
    </w:rPr>
  </w:style>
  <w:style w:type="character" w:customStyle="1" w:styleId="119">
    <w:name w:val="heighthight2"/>
    <w:uiPriority w:val="0"/>
    <w:rPr>
      <w:color w:val="FAAE14"/>
    </w:rPr>
  </w:style>
  <w:style w:type="character" w:customStyle="1" w:styleId="120">
    <w:name w:val="heighthight4"/>
    <w:uiPriority w:val="0"/>
    <w:rPr>
      <w:color w:val="FAAE14"/>
    </w:rPr>
  </w:style>
  <w:style w:type="character" w:customStyle="1" w:styleId="121">
    <w:name w:val="font212"/>
    <w:qFormat/>
    <w:uiPriority w:val="0"/>
    <w:rPr>
      <w:rFonts w:hint="default" w:ascii="Times New Roman" w:hAnsi="Times New Roman" w:cs="Times New Roman"/>
      <w:color w:val="000000"/>
      <w:sz w:val="22"/>
      <w:szCs w:val="22"/>
      <w:u w:val="none"/>
    </w:rPr>
  </w:style>
  <w:style w:type="character" w:customStyle="1" w:styleId="122">
    <w:name w:val="tuih11"/>
    <w:uiPriority w:val="0"/>
    <w:rPr>
      <w:color w:val="57607A"/>
      <w:bdr w:val="single" w:color="CDCCCC" w:sz="4" w:space="0"/>
    </w:rPr>
  </w:style>
  <w:style w:type="character" w:customStyle="1" w:styleId="123">
    <w:name w:val="正文文本缩进 3 Char"/>
    <w:link w:val="20"/>
    <w:qFormat/>
    <w:uiPriority w:val="0"/>
    <w:rPr>
      <w:rFonts w:ascii="Calibri" w:hAnsi="Calibri" w:eastAsia="宋体" w:cs="宋体"/>
      <w:sz w:val="24"/>
    </w:rPr>
  </w:style>
  <w:style w:type="character" w:customStyle="1" w:styleId="124">
    <w:name w:val="danger"/>
    <w:uiPriority w:val="0"/>
    <w:rPr>
      <w:color w:val="FF2200"/>
    </w:rPr>
  </w:style>
  <w:style w:type="character" w:customStyle="1" w:styleId="125">
    <w:name w:val="icon_bj5"/>
    <w:uiPriority w:val="0"/>
    <w:rPr>
      <w:color w:val="FFFFFF"/>
      <w:sz w:val="12"/>
      <w:szCs w:val="12"/>
      <w:shd w:val="clear" w:color="auto" w:fill="4A90E2"/>
    </w:rPr>
  </w:style>
  <w:style w:type="character" w:customStyle="1" w:styleId="126">
    <w:name w:val="px14"/>
    <w:basedOn w:val="26"/>
    <w:qFormat/>
    <w:uiPriority w:val="99"/>
  </w:style>
  <w:style w:type="character" w:customStyle="1" w:styleId="127">
    <w:name w:val="icon_bj1"/>
    <w:uiPriority w:val="0"/>
    <w:rPr>
      <w:color w:val="FFFFFF"/>
      <w:sz w:val="12"/>
      <w:szCs w:val="12"/>
      <w:shd w:val="clear" w:color="auto" w:fill="4A90E2"/>
    </w:rPr>
  </w:style>
  <w:style w:type="character" w:customStyle="1" w:styleId="128">
    <w:name w:val="error"/>
    <w:uiPriority w:val="0"/>
    <w:rPr>
      <w:color w:val="FF625C"/>
    </w:rPr>
  </w:style>
  <w:style w:type="character" w:customStyle="1" w:styleId="129">
    <w:name w:val="date-title"/>
    <w:uiPriority w:val="0"/>
    <w:rPr>
      <w:color w:val="24344E"/>
      <w:sz w:val="18"/>
      <w:szCs w:val="18"/>
    </w:rPr>
  </w:style>
  <w:style w:type="character" w:customStyle="1" w:styleId="130">
    <w:name w:val="font41"/>
    <w:qFormat/>
    <w:uiPriority w:val="0"/>
    <w:rPr>
      <w:rFonts w:hint="eastAsia" w:ascii="宋体" w:hAnsi="宋体" w:eastAsia="宋体" w:cs="宋体"/>
      <w:color w:val="000000"/>
      <w:sz w:val="20"/>
      <w:szCs w:val="20"/>
      <w:u w:val="none"/>
    </w:rPr>
  </w:style>
  <w:style w:type="character" w:customStyle="1" w:styleId="131">
    <w:name w:val="font61"/>
    <w:qFormat/>
    <w:uiPriority w:val="0"/>
    <w:rPr>
      <w:rFonts w:hint="eastAsia" w:ascii="宋体" w:hAnsi="宋体" w:eastAsia="宋体" w:cs="宋体"/>
      <w:color w:val="000000"/>
      <w:sz w:val="20"/>
      <w:szCs w:val="20"/>
      <w:u w:val="none"/>
    </w:rPr>
  </w:style>
  <w:style w:type="character" w:customStyle="1" w:styleId="132">
    <w:name w:val="正文文本缩进 2 Char"/>
    <w:link w:val="15"/>
    <w:qFormat/>
    <w:uiPriority w:val="0"/>
    <w:rPr>
      <w:rFonts w:ascii="宋体" w:hAnsi="Calibri" w:eastAsia="宋体" w:cs="宋体"/>
      <w:kern w:val="0"/>
      <w:sz w:val="24"/>
      <w:szCs w:val="20"/>
    </w:rPr>
  </w:style>
  <w:style w:type="character" w:customStyle="1" w:styleId="133">
    <w:name w:val="caret4"/>
    <w:basedOn w:val="26"/>
    <w:uiPriority w:val="0"/>
  </w:style>
  <w:style w:type="character" w:customStyle="1" w:styleId="134">
    <w:name w:val="gotoset4"/>
    <w:uiPriority w:val="0"/>
    <w:rPr>
      <w:color w:val="999999"/>
    </w:rPr>
  </w:style>
  <w:style w:type="character" w:customStyle="1" w:styleId="135">
    <w:name w:val="正文文本缩进 Char"/>
    <w:link w:val="12"/>
    <w:qFormat/>
    <w:uiPriority w:val="0"/>
    <w:rPr>
      <w:rFonts w:ascii="Calibri" w:hAnsi="Calibri" w:eastAsia="宋体" w:cs="宋体"/>
      <w:szCs w:val="24"/>
    </w:rPr>
  </w:style>
  <w:style w:type="character" w:customStyle="1" w:styleId="136">
    <w:name w:val="pagetitle"/>
    <w:uiPriority w:val="0"/>
    <w:rPr>
      <w:color w:val="24344E"/>
      <w:sz w:val="18"/>
      <w:szCs w:val="18"/>
    </w:rPr>
  </w:style>
  <w:style w:type="character" w:customStyle="1" w:styleId="137">
    <w:name w:val="icon_bj4"/>
    <w:uiPriority w:val="0"/>
    <w:rPr>
      <w:color w:val="FFFFFF"/>
      <w:sz w:val="12"/>
      <w:szCs w:val="12"/>
      <w:shd w:val="clear" w:color="auto" w:fill="4A90E2"/>
    </w:rPr>
  </w:style>
  <w:style w:type="character" w:customStyle="1" w:styleId="138">
    <w:name w:val="tuih8"/>
    <w:uiPriority w:val="0"/>
    <w:rPr>
      <w:color w:val="57607A"/>
      <w:bdr w:val="single" w:color="CDCCCC" w:sz="4" w:space="0"/>
    </w:rPr>
  </w:style>
  <w:style w:type="character" w:customStyle="1" w:styleId="139">
    <w:name w:val="search1"/>
    <w:basedOn w:val="26"/>
    <w:uiPriority w:val="0"/>
  </w:style>
  <w:style w:type="character" w:customStyle="1" w:styleId="140">
    <w:name w:val="tuih10"/>
    <w:uiPriority w:val="0"/>
    <w:rPr>
      <w:color w:val="57607A"/>
      <w:bdr w:val="single" w:color="CDCCCC" w:sz="4" w:space="0"/>
    </w:rPr>
  </w:style>
  <w:style w:type="paragraph" w:customStyle="1" w:styleId="141">
    <w:name w:val="Table Paragraph"/>
    <w:basedOn w:val="1"/>
    <w:qFormat/>
    <w:uiPriority w:val="1"/>
  </w:style>
  <w:style w:type="paragraph" w:customStyle="1" w:styleId="142">
    <w:name w:val="_正文段落"/>
    <w:basedOn w:val="1"/>
    <w:qFormat/>
    <w:uiPriority w:val="0"/>
    <w:pPr>
      <w:spacing w:beforeLines="15" w:afterLines="15" w:line="360" w:lineRule="auto"/>
      <w:ind w:firstLine="200" w:firstLineChars="200"/>
    </w:pPr>
    <w:rPr>
      <w:color w:val="000000"/>
      <w:kern w:val="0"/>
      <w:sz w:val="24"/>
      <w:szCs w:val="24"/>
    </w:rPr>
  </w:style>
  <w:style w:type="paragraph" w:customStyle="1" w:styleId="14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28"/>
      <w:szCs w:val="28"/>
    </w:rPr>
  </w:style>
  <w:style w:type="paragraph" w:customStyle="1" w:styleId="144">
    <w:name w:val="List Paragraph"/>
    <w:basedOn w:val="1"/>
    <w:uiPriority w:val="0"/>
    <w:pPr>
      <w:widowControl/>
      <w:ind w:firstLine="420" w:firstLineChars="200"/>
      <w:jc w:val="left"/>
    </w:pPr>
    <w:rPr>
      <w:rFonts w:ascii="宋体" w:hAnsi="宋体" w:cs="宋体"/>
      <w:kern w:val="0"/>
      <w:sz w:val="24"/>
      <w:szCs w:val="24"/>
    </w:rPr>
  </w:style>
  <w:style w:type="paragraph" w:customStyle="1" w:styleId="145">
    <w:name w:val="表内文字"/>
    <w:basedOn w:val="1"/>
    <w:qFormat/>
    <w:uiPriority w:val="0"/>
    <w:pPr>
      <w:spacing w:line="500" w:lineRule="atLeast"/>
      <w:jc w:val="center"/>
    </w:pPr>
    <w:rPr>
      <w:rFonts w:ascii="Arial" w:hAnsi="Arial" w:eastAsia="楷体_GB2312"/>
      <w:sz w:val="28"/>
    </w:rPr>
  </w:style>
  <w:style w:type="paragraph" w:customStyle="1" w:styleId="146">
    <w:name w:val="_Style 4"/>
    <w:basedOn w:val="1"/>
    <w:next w:val="1"/>
    <w:qFormat/>
    <w:uiPriority w:val="0"/>
    <w:pPr>
      <w:pBdr>
        <w:top w:val="single" w:color="auto" w:sz="6" w:space="1"/>
      </w:pBdr>
      <w:jc w:val="center"/>
    </w:pPr>
    <w:rPr>
      <w:rFonts w:ascii="Arial"/>
      <w:vanish/>
      <w:sz w:val="16"/>
    </w:rPr>
  </w:style>
  <w:style w:type="paragraph" w:customStyle="1" w:styleId="147">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48">
    <w:name w:val="正文 A"/>
    <w:qFormat/>
    <w:uiPriority w:val="0"/>
    <w:pPr>
      <w:widowControl w:val="0"/>
      <w:jc w:val="both"/>
    </w:pPr>
    <w:rPr>
      <w:rFonts w:eastAsia="Calibri" w:cs="Calibri"/>
      <w:color w:val="000000"/>
      <w:kern w:val="2"/>
      <w:sz w:val="21"/>
      <w:szCs w:val="21"/>
      <w:lang w:val="zh-TW" w:eastAsia="zh-TW" w:bidi="ar-SA"/>
    </w:rPr>
  </w:style>
  <w:style w:type="paragraph" w:customStyle="1" w:styleId="149">
    <w:name w:val="_Style 3"/>
    <w:basedOn w:val="1"/>
    <w:next w:val="1"/>
    <w:qFormat/>
    <w:uiPriority w:val="0"/>
    <w:pPr>
      <w:pBdr>
        <w:bottom w:val="single" w:color="auto" w:sz="6" w:space="1"/>
      </w:pBdr>
      <w:jc w:val="center"/>
    </w:pPr>
    <w:rPr>
      <w:rFonts w:ascii="Arial"/>
      <w:vanish/>
      <w:sz w:val="16"/>
    </w:rPr>
  </w:style>
  <w:style w:type="paragraph" w:customStyle="1" w:styleId="150">
    <w:name w:val="正文 New New New New"/>
    <w:qFormat/>
    <w:uiPriority w:val="0"/>
    <w:pPr>
      <w:widowControl w:val="0"/>
      <w:jc w:val="both"/>
    </w:pPr>
    <w:rPr>
      <w:sz w:val="21"/>
      <w:szCs w:val="24"/>
      <w:lang w:val="en-US" w:eastAsia="zh-CN" w:bidi="ar-SA"/>
    </w:rPr>
  </w:style>
  <w:style w:type="paragraph" w:customStyle="1" w:styleId="151">
    <w:name w:val="列出段落2"/>
    <w:basedOn w:val="1"/>
    <w:unhideWhenUsed/>
    <w:qFormat/>
    <w:uiPriority w:val="99"/>
    <w:pPr>
      <w:ind w:firstLine="420" w:firstLineChars="200"/>
    </w:pPr>
  </w:style>
  <w:style w:type="paragraph" w:customStyle="1" w:styleId="152">
    <w:name w:val="表格文字"/>
    <w:basedOn w:val="1"/>
    <w:next w:val="10"/>
    <w:qFormat/>
    <w:uiPriority w:val="0"/>
    <w:pPr>
      <w:adjustRightInd w:val="0"/>
      <w:spacing w:line="420" w:lineRule="atLeast"/>
      <w:jc w:val="left"/>
      <w:textAlignment w:val="baseline"/>
    </w:pPr>
    <w:rPr>
      <w:rFonts w:ascii="Times New Roman" w:hAnsi="Times New Roman" w:eastAsia="宋体"/>
      <w:color w:val="auto"/>
      <w:szCs w:val="24"/>
    </w:rPr>
  </w:style>
  <w:style w:type="paragraph" w:customStyle="1" w:styleId="153">
    <w:name w:val="列出段落1"/>
    <w:basedOn w:val="1"/>
    <w:qFormat/>
    <w:uiPriority w:val="0"/>
    <w:pPr>
      <w:spacing w:line="415" w:lineRule="auto"/>
      <w:ind w:left="420" w:firstLine="420" w:firstLineChars="200"/>
      <w:jc w:val="left"/>
    </w:pPr>
    <w:rPr>
      <w:sz w:val="28"/>
    </w:rPr>
  </w:style>
  <w:style w:type="paragraph" w:customStyle="1" w:styleId="15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styleId="155">
    <w:name w:val="List Paragraph"/>
    <w:basedOn w:val="1"/>
    <w:qFormat/>
    <w:uiPriority w:val="99"/>
    <w:pPr>
      <w:ind w:firstLine="420" w:firstLineChars="200"/>
    </w:pPr>
  </w:style>
  <w:style w:type="paragraph" w:customStyle="1" w:styleId="156">
    <w:name w:val="_Style 14"/>
    <w:qFormat/>
    <w:uiPriority w:val="0"/>
    <w:pPr>
      <w:widowControl w:val="0"/>
      <w:jc w:val="both"/>
    </w:pPr>
    <w:rPr>
      <w:rFonts w:cs="宋体"/>
      <w:kern w:val="2"/>
      <w:sz w:val="21"/>
      <w:szCs w:val="22"/>
      <w:lang w:val="en-US" w:eastAsia="zh-CN" w:bidi="ar-SA"/>
    </w:rPr>
  </w:style>
  <w:style w:type="paragraph" w:customStyle="1" w:styleId="157">
    <w:name w:val="保留正文"/>
    <w:basedOn w:val="10"/>
    <w:qFormat/>
    <w:uiPriority w:val="0"/>
    <w:pPr>
      <w:keepNext/>
      <w:spacing w:after="160"/>
    </w:p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header6.xml" Type="http://schemas.openxmlformats.org/officeDocument/2006/relationships/header"/><Relationship Id="rId13" Target="footer5.xml" Type="http://schemas.openxmlformats.org/officeDocument/2006/relationships/footer"/><Relationship Id="rId14" Target="theme/theme1.xml" Type="http://schemas.openxmlformats.org/officeDocument/2006/relationships/them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11327</Words>
  <Characters>64565</Characters>
  <Lines>538</Lines>
  <Paragraphs>151</Paragraphs>
  <TotalTime>2</TotalTime>
  <ScaleCrop>false</ScaleCrop>
  <LinksUpToDate>false</LinksUpToDate>
  <CharactersWithSpaces>75741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2019-04-10T03:50:00Z</dcterms:created>
  <dc:creator>quxianzhi</dc:creator>
  <cp:lastModifiedBy>WPS_1701756769</cp:lastModifiedBy>
  <cp:lastPrinted>2020-07-28T02:17:00Z</cp:lastPrinted>
  <dcterms:modified xsi:type="dcterms:W3CDTF">2024-02-22T02:50:58Z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C37A0E2519D746698D19D2841F583724_13</vt:lpwstr>
  </property>
</Properties>
</file>