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0" w:line="3"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line="360" w:lineRule="auto"/>
        <w:jc w:val="center"/>
        <w:rPr>
          <w:rFonts w:hint="eastAsia" w:ascii="宋体" w:hAnsi="宋体" w:cs="宋体"/>
          <w:b/>
          <w:spacing w:val="-6"/>
          <w:sz w:val="48"/>
          <w:szCs w:val="48"/>
        </w:rPr>
      </w:pPr>
      <w:r>
        <w:rPr>
          <w:rFonts w:hint="eastAsia" w:ascii="宋体" w:hAnsi="宋体" w:cs="宋体"/>
          <w:b/>
          <w:spacing w:val="-6"/>
          <w:sz w:val="48"/>
          <w:szCs w:val="48"/>
        </w:rPr>
        <w:t>杭州好邦建筑工程咨询有限公司关于</w:t>
      </w:r>
    </w:p>
    <w:p>
      <w:pPr>
        <w:spacing w:line="360" w:lineRule="auto"/>
        <w:jc w:val="center"/>
        <w:rPr>
          <w:rFonts w:hint="eastAsia" w:ascii="宋体" w:hAnsi="宋体" w:cs="宋体"/>
          <w:b/>
          <w:spacing w:val="-6"/>
          <w:sz w:val="72"/>
          <w:szCs w:val="72"/>
        </w:rPr>
      </w:pPr>
      <w:r>
        <w:rPr>
          <w:rFonts w:hint="eastAsia" w:ascii="宋体" w:hAnsi="宋体" w:cs="宋体"/>
          <w:b/>
          <w:spacing w:val="-6"/>
          <w:sz w:val="48"/>
          <w:szCs w:val="48"/>
          <w:lang w:eastAsia="zh-CN"/>
        </w:rPr>
        <w:t>中国美术学院校园建设和管理处象山20号楼地下车库改造项目</w:t>
      </w:r>
    </w:p>
    <w:p>
      <w:pPr>
        <w:spacing w:line="360" w:lineRule="auto"/>
        <w:jc w:val="center"/>
        <w:rPr>
          <w:rFonts w:hint="eastAsia" w:ascii="宋体" w:hAnsi="宋体" w:cs="宋体"/>
          <w:b/>
          <w:spacing w:val="-6"/>
          <w:sz w:val="72"/>
          <w:szCs w:val="72"/>
        </w:rPr>
      </w:pPr>
    </w:p>
    <w:p>
      <w:pPr>
        <w:spacing w:line="360" w:lineRule="auto"/>
        <w:jc w:val="center"/>
        <w:rPr>
          <w:rFonts w:hint="eastAsia" w:ascii="宋体" w:hAnsi="宋体" w:cs="宋体"/>
          <w:b/>
          <w:spacing w:val="-6"/>
          <w:sz w:val="72"/>
          <w:szCs w:val="72"/>
        </w:rPr>
      </w:pPr>
    </w:p>
    <w:p>
      <w:pPr>
        <w:spacing w:line="360" w:lineRule="auto"/>
        <w:jc w:val="center"/>
        <w:rPr>
          <w:rFonts w:hint="eastAsia" w:ascii="宋体" w:hAnsi="宋体" w:cs="宋体"/>
          <w:b/>
          <w:spacing w:val="-6"/>
          <w:sz w:val="72"/>
          <w:szCs w:val="72"/>
        </w:rPr>
      </w:pPr>
      <w:r>
        <w:rPr>
          <w:rFonts w:hint="eastAsia" w:ascii="宋体" w:hAnsi="宋体" w:cs="宋体"/>
          <w:b/>
          <w:spacing w:val="-6"/>
          <w:sz w:val="72"/>
          <w:szCs w:val="72"/>
        </w:rPr>
        <w:t>竞争性磋商文件</w:t>
      </w:r>
    </w:p>
    <w:p>
      <w:pPr>
        <w:spacing w:line="360" w:lineRule="auto"/>
        <w:jc w:val="center"/>
        <w:rPr>
          <w:rFonts w:hint="eastAsia" w:ascii="宋体" w:hAnsi="宋体" w:cs="宋体"/>
          <w:sz w:val="44"/>
          <w:szCs w:val="44"/>
        </w:rPr>
      </w:pPr>
    </w:p>
    <w:p>
      <w:pPr>
        <w:spacing w:line="360" w:lineRule="auto"/>
        <w:jc w:val="center"/>
        <w:rPr>
          <w:rFonts w:hint="eastAsia" w:ascii="宋体" w:hAnsi="宋体" w:cs="宋体"/>
          <w:sz w:val="44"/>
          <w:szCs w:val="44"/>
        </w:rPr>
      </w:pPr>
    </w:p>
    <w:p>
      <w:pPr>
        <w:spacing w:line="360" w:lineRule="auto"/>
        <w:jc w:val="center"/>
        <w:rPr>
          <w:rFonts w:hint="eastAsia" w:ascii="宋体" w:hAnsi="宋体" w:cs="宋体"/>
          <w:sz w:val="44"/>
          <w:szCs w:val="44"/>
        </w:rPr>
      </w:pPr>
    </w:p>
    <w:p>
      <w:pPr>
        <w:spacing w:line="360" w:lineRule="auto"/>
        <w:jc w:val="center"/>
        <w:rPr>
          <w:rFonts w:hint="eastAsia" w:ascii="宋体" w:hAnsi="宋体" w:cs="宋体"/>
          <w:sz w:val="44"/>
          <w:szCs w:val="44"/>
        </w:rPr>
      </w:pPr>
    </w:p>
    <w:p>
      <w:pPr>
        <w:spacing w:line="360" w:lineRule="auto"/>
        <w:rPr>
          <w:rFonts w:hint="eastAsia" w:ascii="宋体" w:hAnsi="宋体" w:eastAsia="宋体" w:cs="宋体"/>
          <w:b/>
          <w:spacing w:val="-6"/>
          <w:sz w:val="30"/>
          <w:szCs w:val="30"/>
          <w:lang w:val="en-US" w:eastAsia="zh-CN"/>
        </w:rPr>
      </w:pPr>
      <w:r>
        <w:rPr>
          <w:rFonts w:hint="eastAsia" w:ascii="宋体" w:hAnsi="宋体" w:cs="宋体"/>
          <w:b/>
          <w:spacing w:val="-6"/>
          <w:sz w:val="30"/>
          <w:szCs w:val="30"/>
        </w:rPr>
        <w:t>项目编号：</w:t>
      </w:r>
      <w:r>
        <w:rPr>
          <w:rFonts w:hint="eastAsia" w:ascii="宋体" w:hAnsi="宋体" w:cs="宋体"/>
          <w:b/>
          <w:spacing w:val="-6"/>
          <w:sz w:val="30"/>
          <w:szCs w:val="30"/>
          <w:lang w:eastAsia="zh-CN"/>
        </w:rPr>
        <w:t>HZHB</w:t>
      </w:r>
      <w:r>
        <w:rPr>
          <w:rFonts w:hint="eastAsia" w:ascii="宋体" w:hAnsi="宋体" w:cs="宋体"/>
          <w:b/>
          <w:spacing w:val="-6"/>
          <w:sz w:val="30"/>
          <w:szCs w:val="30"/>
          <w:lang w:val="en-US" w:eastAsia="zh-CN"/>
        </w:rPr>
        <w:t>-MY201901C</w:t>
      </w:r>
    </w:p>
    <w:p>
      <w:pPr>
        <w:spacing w:line="360" w:lineRule="auto"/>
        <w:rPr>
          <w:rFonts w:hint="eastAsia" w:ascii="宋体" w:hAnsi="宋体" w:eastAsia="宋体" w:cs="宋体"/>
          <w:b/>
          <w:spacing w:val="-6"/>
          <w:sz w:val="30"/>
          <w:szCs w:val="30"/>
          <w:lang w:eastAsia="zh-CN"/>
        </w:rPr>
      </w:pPr>
      <w:r>
        <w:rPr>
          <w:rFonts w:hint="eastAsia" w:ascii="宋体" w:hAnsi="宋体" w:cs="宋体"/>
          <w:b/>
          <w:spacing w:val="-6"/>
          <w:sz w:val="30"/>
          <w:szCs w:val="30"/>
        </w:rPr>
        <w:t>项目名称：</w:t>
      </w:r>
      <w:r>
        <w:rPr>
          <w:rFonts w:hint="eastAsia" w:ascii="宋体" w:hAnsi="宋体" w:cs="宋体"/>
          <w:b/>
          <w:spacing w:val="-6"/>
          <w:sz w:val="30"/>
          <w:szCs w:val="30"/>
          <w:lang w:eastAsia="zh-CN"/>
        </w:rPr>
        <w:t>校园建设和管理处象山20号楼地下车库改造项目</w:t>
      </w:r>
    </w:p>
    <w:p>
      <w:pPr>
        <w:spacing w:line="360" w:lineRule="auto"/>
        <w:rPr>
          <w:rFonts w:hint="eastAsia" w:ascii="宋体" w:hAnsi="宋体" w:cs="宋体"/>
          <w:b/>
          <w:spacing w:val="-6"/>
          <w:sz w:val="30"/>
          <w:szCs w:val="30"/>
        </w:rPr>
      </w:pPr>
      <w:r>
        <w:rPr>
          <w:rFonts w:hint="eastAsia" w:ascii="宋体" w:hAnsi="宋体" w:cs="宋体"/>
          <w:b/>
          <w:spacing w:val="-6"/>
          <w:sz w:val="30"/>
          <w:szCs w:val="30"/>
        </w:rPr>
        <w:t>采购单位：中国美术学院</w:t>
      </w:r>
    </w:p>
    <w:p>
      <w:pPr>
        <w:spacing w:line="360" w:lineRule="auto"/>
        <w:rPr>
          <w:rFonts w:hint="eastAsia" w:ascii="宋体" w:hAnsi="宋体" w:cs="宋体"/>
          <w:b/>
          <w:spacing w:val="-6"/>
          <w:sz w:val="30"/>
          <w:szCs w:val="30"/>
        </w:rPr>
      </w:pPr>
      <w:r>
        <w:rPr>
          <w:rFonts w:hint="eastAsia" w:ascii="宋体" w:hAnsi="宋体" w:cs="宋体"/>
          <w:b/>
          <w:spacing w:val="-6"/>
          <w:sz w:val="30"/>
          <w:szCs w:val="30"/>
        </w:rPr>
        <w:t>代理机构：杭州好邦建筑工程咨询有限公司</w:t>
      </w:r>
    </w:p>
    <w:p>
      <w:pPr>
        <w:spacing w:line="360" w:lineRule="auto"/>
        <w:sectPr>
          <w:headerReference r:id="rId4" w:type="first"/>
          <w:headerReference r:id="rId3" w:type="default"/>
          <w:footerReference r:id="rId5" w:type="default"/>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r>
        <w:rPr>
          <w:rFonts w:hint="eastAsia" w:ascii="宋体" w:hAnsi="宋体" w:cs="宋体"/>
          <w:b/>
          <w:spacing w:val="-6"/>
          <w:sz w:val="30"/>
          <w:szCs w:val="30"/>
        </w:rPr>
        <w:t>日    期：201</w:t>
      </w:r>
      <w:r>
        <w:rPr>
          <w:rFonts w:hint="eastAsia" w:ascii="宋体" w:hAnsi="宋体" w:cs="宋体"/>
          <w:b/>
          <w:spacing w:val="-6"/>
          <w:sz w:val="30"/>
          <w:szCs w:val="30"/>
          <w:lang w:val="en-US" w:eastAsia="zh-CN"/>
        </w:rPr>
        <w:t>9</w:t>
      </w:r>
      <w:r>
        <w:rPr>
          <w:rFonts w:hint="eastAsia" w:ascii="宋体" w:hAnsi="宋体" w:cs="宋体"/>
          <w:b/>
          <w:spacing w:val="-6"/>
          <w:sz w:val="30"/>
          <w:szCs w:val="30"/>
        </w:rPr>
        <w:t>年</w:t>
      </w:r>
      <w:r>
        <w:rPr>
          <w:rFonts w:hint="eastAsia" w:ascii="宋体" w:hAnsi="宋体" w:cs="宋体"/>
          <w:b/>
          <w:spacing w:val="-6"/>
          <w:sz w:val="30"/>
          <w:szCs w:val="30"/>
          <w:lang w:val="en-US" w:eastAsia="zh-CN"/>
        </w:rPr>
        <w:t>4</w:t>
      </w:r>
      <w:r>
        <w:rPr>
          <w:rFonts w:hint="eastAsia" w:ascii="宋体" w:hAnsi="宋体" w:cs="宋体"/>
          <w:b/>
          <w:spacing w:val="-6"/>
          <w:sz w:val="30"/>
          <w:szCs w:val="30"/>
        </w:rPr>
        <w:t>月</w:t>
      </w:r>
    </w:p>
    <w:p>
      <w:pPr>
        <w:tabs>
          <w:tab w:val="left" w:pos="4720"/>
        </w:tabs>
        <w:spacing w:after="0" w:line="502" w:lineRule="exact"/>
        <w:jc w:val="center"/>
        <w:rPr>
          <w:color w:val="FF0000"/>
          <w:sz w:val="20"/>
          <w:szCs w:val="20"/>
        </w:rPr>
      </w:pPr>
      <w:bookmarkStart w:id="1" w:name="page2"/>
      <w:bookmarkEnd w:id="1"/>
      <w:r>
        <w:rPr>
          <w:rFonts w:ascii="宋体" w:hAnsi="宋体" w:eastAsia="宋体" w:cs="宋体"/>
          <w:b/>
          <w:bCs/>
          <w:color w:val="FF0000"/>
          <w:sz w:val="44"/>
          <w:szCs w:val="44"/>
        </w:rPr>
        <w:t>目</w:t>
      </w:r>
      <w:r>
        <w:rPr>
          <w:rFonts w:ascii="宋体" w:hAnsi="宋体" w:eastAsia="宋体" w:cs="宋体"/>
          <w:b/>
          <w:bCs/>
          <w:color w:val="FF0000"/>
          <w:sz w:val="43"/>
          <w:szCs w:val="43"/>
        </w:rPr>
        <w:t>录</w:t>
      </w:r>
    </w:p>
    <w:p>
      <w:pPr>
        <w:spacing w:after="0" w:line="331" w:lineRule="exact"/>
        <w:rPr>
          <w:color w:val="auto"/>
          <w:sz w:val="20"/>
          <w:szCs w:val="20"/>
        </w:rPr>
      </w:pPr>
    </w:p>
    <w:p>
      <w:pPr>
        <w:spacing w:after="0" w:line="331" w:lineRule="exact"/>
        <w:rPr>
          <w:color w:val="auto"/>
          <w:sz w:val="20"/>
          <w:szCs w:val="20"/>
        </w:rPr>
      </w:pPr>
    </w:p>
    <w:p>
      <w:pPr>
        <w:spacing w:after="0" w:line="331" w:lineRule="exact"/>
        <w:rPr>
          <w:color w:val="auto"/>
          <w:sz w:val="20"/>
          <w:szCs w:val="20"/>
        </w:rPr>
      </w:pPr>
    </w:p>
    <w:p>
      <w:pPr>
        <w:pStyle w:val="12"/>
        <w:keepNext w:val="0"/>
        <w:keepLines w:val="0"/>
        <w:pageBreakBefore w:val="0"/>
        <w:widowControl/>
        <w:kinsoku/>
        <w:wordWrap/>
        <w:overflowPunct/>
        <w:topLinePunct w:val="0"/>
        <w:autoSpaceDE/>
        <w:autoSpaceDN/>
        <w:bidi w:val="0"/>
        <w:adjustRightInd/>
        <w:snapToGrid/>
        <w:spacing w:before="0" w:after="0"/>
        <w:textAlignment w:val="auto"/>
        <w:outlineLvl w:val="9"/>
        <w:rPr>
          <w:rFonts w:hint="eastAsia" w:ascii="宋体" w:hAnsi="宋体" w:eastAsiaTheme="minorEastAsia"/>
          <w:b w:val="0"/>
          <w:bCs w:val="0"/>
          <w:caps w:val="0"/>
          <w:color w:val="auto"/>
          <w:sz w:val="21"/>
          <w:szCs w:val="21"/>
          <w:u w:val="none"/>
          <w:lang w:val="en-US" w:eastAsia="zh-CN"/>
        </w:rPr>
      </w:pPr>
      <w:r>
        <w:rPr>
          <w:rFonts w:ascii="宋体" w:hAnsi="宋体"/>
          <w:color w:val="auto"/>
          <w:sz w:val="21"/>
          <w:szCs w:val="21"/>
          <w:u w:val="none"/>
        </w:rPr>
        <w:fldChar w:fldCharType="begin"/>
      </w:r>
      <w:r>
        <w:rPr>
          <w:rStyle w:val="19"/>
          <w:rFonts w:ascii="宋体" w:hAnsi="宋体"/>
          <w:color w:val="auto"/>
          <w:sz w:val="21"/>
          <w:szCs w:val="21"/>
          <w:u w:val="none"/>
        </w:rPr>
        <w:instrText xml:space="preserve"> </w:instrText>
      </w:r>
      <w:r>
        <w:rPr>
          <w:rFonts w:ascii="宋体" w:hAnsi="宋体"/>
          <w:color w:val="auto"/>
          <w:sz w:val="21"/>
          <w:szCs w:val="21"/>
          <w:u w:val="none"/>
        </w:rPr>
        <w:instrText xml:space="preserve">HYPERLINK \l "_Toc504387635"</w:instrText>
      </w:r>
      <w:r>
        <w:rPr>
          <w:rStyle w:val="19"/>
          <w:rFonts w:ascii="宋体" w:hAnsi="宋体"/>
          <w:color w:val="auto"/>
          <w:sz w:val="21"/>
          <w:szCs w:val="21"/>
          <w:u w:val="none"/>
        </w:rPr>
        <w:instrText xml:space="preserve"> </w:instrText>
      </w:r>
      <w:r>
        <w:rPr>
          <w:rFonts w:ascii="宋体" w:hAnsi="宋体"/>
          <w:color w:val="auto"/>
          <w:sz w:val="21"/>
          <w:szCs w:val="21"/>
          <w:u w:val="none"/>
        </w:rPr>
        <w:fldChar w:fldCharType="separate"/>
      </w:r>
      <w:r>
        <w:rPr>
          <w:rStyle w:val="19"/>
          <w:rFonts w:hint="eastAsia" w:ascii="宋体" w:hAnsi="宋体" w:cs="Arial"/>
          <w:color w:val="auto"/>
          <w:sz w:val="21"/>
          <w:szCs w:val="21"/>
          <w:u w:val="none"/>
        </w:rPr>
        <w:t>第一章</w:t>
      </w:r>
      <w:r>
        <w:rPr>
          <w:rStyle w:val="19"/>
          <w:rFonts w:ascii="宋体" w:hAnsi="宋体" w:cs="Arial"/>
          <w:color w:val="auto"/>
          <w:sz w:val="21"/>
          <w:szCs w:val="21"/>
          <w:u w:val="none"/>
        </w:rPr>
        <w:t xml:space="preserve">  </w:t>
      </w:r>
      <w:r>
        <w:rPr>
          <w:color w:val="auto"/>
          <w:u w:val="none"/>
        </w:rPr>
        <w:fldChar w:fldCharType="begin"/>
      </w:r>
      <w:r>
        <w:rPr>
          <w:color w:val="auto"/>
          <w:u w:val="none"/>
        </w:rPr>
        <w:instrText xml:space="preserve"> HYPERLINK \l "page3" \h </w:instrText>
      </w:r>
      <w:r>
        <w:rPr>
          <w:color w:val="auto"/>
          <w:u w:val="none"/>
        </w:rPr>
        <w:fldChar w:fldCharType="separate"/>
      </w:r>
      <w:r>
        <w:rPr>
          <w:rFonts w:ascii="宋体" w:hAnsi="宋体" w:eastAsia="宋体" w:cs="宋体"/>
          <w:b/>
          <w:bCs/>
          <w:color w:val="auto"/>
          <w:sz w:val="21"/>
          <w:szCs w:val="21"/>
          <w:u w:val="none"/>
        </w:rPr>
        <w:t>竞争性磋商公告</w:t>
      </w:r>
      <w:r>
        <w:rPr>
          <w:rFonts w:ascii="宋体" w:hAnsi="宋体" w:eastAsia="宋体" w:cs="宋体"/>
          <w:b/>
          <w:bCs/>
          <w:color w:val="auto"/>
          <w:sz w:val="21"/>
          <w:szCs w:val="21"/>
          <w:u w:val="none"/>
        </w:rPr>
        <w:fldChar w:fldCharType="end"/>
      </w:r>
      <w:r>
        <w:rPr>
          <w:rFonts w:ascii="宋体" w:hAnsi="宋体"/>
          <w:color w:val="auto"/>
          <w:sz w:val="21"/>
          <w:szCs w:val="21"/>
          <w:u w:val="none"/>
        </w:rPr>
        <w:fldChar w:fldCharType="end"/>
      </w:r>
    </w:p>
    <w:p>
      <w:pPr>
        <w:pStyle w:val="12"/>
        <w:keepNext w:val="0"/>
        <w:keepLines w:val="0"/>
        <w:pageBreakBefore w:val="0"/>
        <w:widowControl/>
        <w:kinsoku/>
        <w:wordWrap/>
        <w:overflowPunct/>
        <w:topLinePunct w:val="0"/>
        <w:autoSpaceDE/>
        <w:autoSpaceDN/>
        <w:bidi w:val="0"/>
        <w:adjustRightInd/>
        <w:snapToGrid/>
        <w:spacing w:before="0" w:after="0"/>
        <w:textAlignment w:val="auto"/>
        <w:outlineLvl w:val="9"/>
        <w:rPr>
          <w:rFonts w:ascii="宋体" w:hAnsi="宋体"/>
          <w:b w:val="0"/>
          <w:bCs w:val="0"/>
          <w:caps w:val="0"/>
          <w:color w:val="auto"/>
          <w:sz w:val="21"/>
          <w:szCs w:val="21"/>
          <w:u w:val="none"/>
        </w:rPr>
      </w:pPr>
      <w:r>
        <w:rPr>
          <w:rFonts w:ascii="宋体" w:hAnsi="宋体"/>
          <w:color w:val="auto"/>
          <w:sz w:val="21"/>
          <w:szCs w:val="21"/>
          <w:u w:val="none"/>
        </w:rPr>
        <w:fldChar w:fldCharType="begin"/>
      </w:r>
      <w:r>
        <w:rPr>
          <w:rStyle w:val="19"/>
          <w:rFonts w:ascii="宋体" w:hAnsi="宋体"/>
          <w:color w:val="auto"/>
          <w:sz w:val="21"/>
          <w:szCs w:val="21"/>
          <w:u w:val="none"/>
        </w:rPr>
        <w:instrText xml:space="preserve"> </w:instrText>
      </w:r>
      <w:r>
        <w:rPr>
          <w:rFonts w:ascii="宋体" w:hAnsi="宋体"/>
          <w:color w:val="auto"/>
          <w:sz w:val="21"/>
          <w:szCs w:val="21"/>
          <w:u w:val="none"/>
        </w:rPr>
        <w:instrText xml:space="preserve">HYPERLINK \l "_Toc504387636"</w:instrText>
      </w:r>
      <w:r>
        <w:rPr>
          <w:rStyle w:val="19"/>
          <w:rFonts w:ascii="宋体" w:hAnsi="宋体"/>
          <w:color w:val="auto"/>
          <w:sz w:val="21"/>
          <w:szCs w:val="21"/>
          <w:u w:val="none"/>
        </w:rPr>
        <w:instrText xml:space="preserve"> </w:instrText>
      </w:r>
      <w:r>
        <w:rPr>
          <w:rFonts w:ascii="宋体" w:hAnsi="宋体"/>
          <w:color w:val="auto"/>
          <w:sz w:val="21"/>
          <w:szCs w:val="21"/>
          <w:u w:val="none"/>
        </w:rPr>
        <w:fldChar w:fldCharType="separate"/>
      </w:r>
      <w:r>
        <w:rPr>
          <w:rStyle w:val="19"/>
          <w:rFonts w:hint="eastAsia" w:ascii="宋体" w:hAnsi="宋体" w:cs="Arial"/>
          <w:color w:val="auto"/>
          <w:sz w:val="21"/>
          <w:szCs w:val="21"/>
          <w:u w:val="none"/>
        </w:rPr>
        <w:t>第二章</w:t>
      </w:r>
      <w:r>
        <w:rPr>
          <w:rStyle w:val="19"/>
          <w:rFonts w:ascii="宋体" w:hAnsi="宋体" w:cs="Arial"/>
          <w:color w:val="auto"/>
          <w:sz w:val="21"/>
          <w:szCs w:val="21"/>
          <w:u w:val="none"/>
        </w:rPr>
        <w:t xml:space="preserve">  </w:t>
      </w:r>
      <w:r>
        <w:rPr>
          <w:color w:val="auto"/>
          <w:u w:val="none"/>
        </w:rPr>
        <w:fldChar w:fldCharType="begin"/>
      </w:r>
      <w:r>
        <w:rPr>
          <w:color w:val="auto"/>
          <w:u w:val="none"/>
        </w:rPr>
        <w:instrText xml:space="preserve"> HYPERLINK \l "page6" \h </w:instrText>
      </w:r>
      <w:r>
        <w:rPr>
          <w:color w:val="auto"/>
          <w:u w:val="none"/>
        </w:rPr>
        <w:fldChar w:fldCharType="separate"/>
      </w:r>
      <w:r>
        <w:rPr>
          <w:rFonts w:ascii="宋体" w:hAnsi="宋体" w:eastAsia="宋体" w:cs="宋体"/>
          <w:b/>
          <w:bCs/>
          <w:color w:val="auto"/>
          <w:sz w:val="21"/>
          <w:szCs w:val="21"/>
          <w:u w:val="none"/>
        </w:rPr>
        <w:t>供应商须知前附表</w:t>
      </w:r>
      <w:r>
        <w:rPr>
          <w:rFonts w:ascii="宋体" w:hAnsi="宋体" w:eastAsia="宋体" w:cs="宋体"/>
          <w:b/>
          <w:bCs/>
          <w:color w:val="auto"/>
          <w:sz w:val="21"/>
          <w:szCs w:val="21"/>
          <w:u w:val="none"/>
        </w:rPr>
        <w:fldChar w:fldCharType="end"/>
      </w:r>
      <w:r>
        <w:rPr>
          <w:rFonts w:ascii="宋体" w:hAnsi="宋体"/>
          <w:color w:val="auto"/>
          <w:sz w:val="21"/>
          <w:szCs w:val="21"/>
          <w:u w:val="none"/>
        </w:rPr>
        <w:fldChar w:fldCharType="end"/>
      </w:r>
    </w:p>
    <w:p>
      <w:pPr>
        <w:pStyle w:val="12"/>
        <w:keepNext w:val="0"/>
        <w:keepLines w:val="0"/>
        <w:pageBreakBefore w:val="0"/>
        <w:widowControl/>
        <w:kinsoku/>
        <w:wordWrap/>
        <w:overflowPunct/>
        <w:topLinePunct w:val="0"/>
        <w:autoSpaceDE/>
        <w:autoSpaceDN/>
        <w:bidi w:val="0"/>
        <w:adjustRightInd/>
        <w:snapToGrid/>
        <w:spacing w:before="0" w:after="0"/>
        <w:textAlignment w:val="auto"/>
        <w:outlineLvl w:val="9"/>
        <w:rPr>
          <w:rFonts w:ascii="宋体" w:hAnsi="宋体"/>
          <w:b w:val="0"/>
          <w:bCs w:val="0"/>
          <w:caps w:val="0"/>
          <w:color w:val="auto"/>
          <w:sz w:val="21"/>
          <w:szCs w:val="21"/>
          <w:u w:val="none"/>
        </w:rPr>
      </w:pPr>
      <w:r>
        <w:rPr>
          <w:rFonts w:ascii="宋体" w:hAnsi="宋体"/>
          <w:color w:val="auto"/>
          <w:sz w:val="21"/>
          <w:szCs w:val="21"/>
          <w:u w:val="none"/>
        </w:rPr>
        <w:fldChar w:fldCharType="begin"/>
      </w:r>
      <w:r>
        <w:rPr>
          <w:rStyle w:val="19"/>
          <w:rFonts w:ascii="宋体" w:hAnsi="宋体"/>
          <w:color w:val="auto"/>
          <w:sz w:val="21"/>
          <w:szCs w:val="21"/>
          <w:u w:val="none"/>
        </w:rPr>
        <w:instrText xml:space="preserve"> </w:instrText>
      </w:r>
      <w:r>
        <w:rPr>
          <w:rFonts w:ascii="宋体" w:hAnsi="宋体"/>
          <w:color w:val="auto"/>
          <w:sz w:val="21"/>
          <w:szCs w:val="21"/>
          <w:u w:val="none"/>
        </w:rPr>
        <w:instrText xml:space="preserve">HYPERLINK \l "_Toc504387637"</w:instrText>
      </w:r>
      <w:r>
        <w:rPr>
          <w:rStyle w:val="19"/>
          <w:rFonts w:ascii="宋体" w:hAnsi="宋体"/>
          <w:color w:val="auto"/>
          <w:sz w:val="21"/>
          <w:szCs w:val="21"/>
          <w:u w:val="none"/>
        </w:rPr>
        <w:instrText xml:space="preserve"> </w:instrText>
      </w:r>
      <w:r>
        <w:rPr>
          <w:rFonts w:ascii="宋体" w:hAnsi="宋体"/>
          <w:color w:val="auto"/>
          <w:sz w:val="21"/>
          <w:szCs w:val="21"/>
          <w:u w:val="none"/>
        </w:rPr>
        <w:fldChar w:fldCharType="separate"/>
      </w:r>
      <w:r>
        <w:rPr>
          <w:rStyle w:val="19"/>
          <w:rFonts w:hint="eastAsia" w:ascii="宋体" w:hAnsi="宋体" w:cs="Arial"/>
          <w:color w:val="auto"/>
          <w:sz w:val="21"/>
          <w:szCs w:val="21"/>
          <w:u w:val="none"/>
        </w:rPr>
        <w:t>第三章</w:t>
      </w:r>
      <w:r>
        <w:rPr>
          <w:rStyle w:val="19"/>
          <w:rFonts w:ascii="宋体" w:hAnsi="宋体" w:cs="Arial"/>
          <w:color w:val="auto"/>
          <w:sz w:val="21"/>
          <w:szCs w:val="21"/>
          <w:u w:val="none"/>
        </w:rPr>
        <w:t xml:space="preserve">  </w:t>
      </w:r>
      <w:r>
        <w:rPr>
          <w:color w:val="auto"/>
          <w:u w:val="none"/>
        </w:rPr>
        <w:fldChar w:fldCharType="begin"/>
      </w:r>
      <w:r>
        <w:rPr>
          <w:color w:val="auto"/>
          <w:u w:val="none"/>
        </w:rPr>
        <w:instrText xml:space="preserve"> HYPERLINK \l "page9" \h </w:instrText>
      </w:r>
      <w:r>
        <w:rPr>
          <w:color w:val="auto"/>
          <w:u w:val="none"/>
        </w:rPr>
        <w:fldChar w:fldCharType="separate"/>
      </w:r>
      <w:r>
        <w:rPr>
          <w:rFonts w:ascii="宋体" w:hAnsi="宋体" w:eastAsia="宋体" w:cs="宋体"/>
          <w:b/>
          <w:bCs/>
          <w:color w:val="auto"/>
          <w:sz w:val="21"/>
          <w:szCs w:val="21"/>
          <w:u w:val="none"/>
        </w:rPr>
        <w:t>供应商须知</w:t>
      </w:r>
      <w:r>
        <w:rPr>
          <w:rFonts w:ascii="宋体" w:hAnsi="宋体" w:eastAsia="宋体" w:cs="宋体"/>
          <w:b/>
          <w:bCs/>
          <w:color w:val="auto"/>
          <w:sz w:val="21"/>
          <w:szCs w:val="21"/>
          <w:u w:val="none"/>
        </w:rPr>
        <w:fldChar w:fldCharType="end"/>
      </w:r>
      <w:r>
        <w:rPr>
          <w:rFonts w:ascii="宋体" w:hAnsi="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rPr>
        <w:t>一、总则</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rPr>
        <w:t>二、</w:t>
      </w:r>
      <w:r>
        <w:rPr>
          <w:rFonts w:ascii="宋体" w:hAnsi="宋体" w:eastAsia="宋体" w:cs="宋体"/>
          <w:color w:val="auto"/>
          <w:sz w:val="21"/>
          <w:szCs w:val="21"/>
          <w:u w:val="none"/>
        </w:rPr>
        <w:t>竞争性磋商文件</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sz w:val="21"/>
          <w:szCs w:val="21"/>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"_Toc504387640"</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rPr>
        <w:t>三、</w:t>
      </w:r>
      <w:r>
        <w:rPr>
          <w:rFonts w:ascii="宋体" w:hAnsi="宋体" w:eastAsia="宋体" w:cs="宋体"/>
          <w:color w:val="auto"/>
          <w:sz w:val="21"/>
          <w:szCs w:val="21"/>
          <w:u w:val="none"/>
        </w:rPr>
        <w:t>响应文件</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lang w:val="en-US" w:eastAsia="zh-CN"/>
        </w:rPr>
        <w:t>四</w:t>
      </w:r>
      <w:r>
        <w:rPr>
          <w:rStyle w:val="19"/>
          <w:rFonts w:hint="eastAsia" w:ascii="宋体" w:hAnsi="宋体" w:eastAsia="宋体" w:cs="Arial"/>
          <w:color w:val="auto"/>
          <w:sz w:val="21"/>
          <w:szCs w:val="21"/>
          <w:u w:val="none"/>
        </w:rPr>
        <w:t>、</w:t>
      </w:r>
      <w:r>
        <w:rPr>
          <w:rFonts w:ascii="宋体" w:hAnsi="宋体" w:eastAsia="宋体" w:cs="宋体"/>
          <w:color w:val="auto"/>
          <w:sz w:val="21"/>
          <w:szCs w:val="21"/>
        </w:rPr>
        <w:t>磋商响应</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lang w:val="en-US" w:eastAsia="zh-CN"/>
        </w:rPr>
        <w:t>五</w:t>
      </w:r>
      <w:r>
        <w:rPr>
          <w:rStyle w:val="19"/>
          <w:rFonts w:hint="eastAsia" w:ascii="宋体" w:hAnsi="宋体" w:eastAsia="宋体" w:cs="Arial"/>
          <w:color w:val="auto"/>
          <w:sz w:val="21"/>
          <w:szCs w:val="21"/>
          <w:u w:val="none"/>
        </w:rPr>
        <w:t>、</w:t>
      </w:r>
      <w:r>
        <w:rPr>
          <w:rFonts w:ascii="宋体" w:hAnsi="宋体" w:eastAsia="宋体" w:cs="宋体"/>
          <w:color w:val="auto"/>
          <w:sz w:val="21"/>
          <w:szCs w:val="21"/>
        </w:rPr>
        <w:t>响应文件的开启、评审及合同签订</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Style w:val="19"/>
          <w:rFonts w:hint="eastAsia" w:ascii="宋体" w:hAnsi="宋体" w:eastAsia="宋体" w:cs="Arial"/>
          <w:color w:val="auto"/>
          <w:sz w:val="21"/>
          <w:szCs w:val="21"/>
          <w:u w:val="none"/>
          <w:lang w:val="en-US" w:eastAsia="zh-CN"/>
        </w:rPr>
        <w:t>六</w:t>
      </w:r>
      <w:r>
        <w:rPr>
          <w:rStyle w:val="19"/>
          <w:rFonts w:hint="eastAsia" w:ascii="宋体" w:hAnsi="宋体" w:eastAsia="宋体" w:cs="Arial"/>
          <w:color w:val="auto"/>
          <w:sz w:val="21"/>
          <w:szCs w:val="21"/>
          <w:u w:val="none"/>
        </w:rPr>
        <w:t>、</w:t>
      </w:r>
      <w:r>
        <w:rPr>
          <w:rFonts w:ascii="宋体" w:hAnsi="宋体" w:eastAsia="宋体" w:cs="宋体"/>
          <w:color w:val="auto"/>
          <w:sz w:val="21"/>
          <w:szCs w:val="21"/>
        </w:rPr>
        <w:t>磋商</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第四章 </w:t>
      </w:r>
      <w:r>
        <w:fldChar w:fldCharType="begin"/>
      </w:r>
      <w:r>
        <w:instrText xml:space="preserve"> HYPERLINK \l "page22" \h </w:instrText>
      </w:r>
      <w:r>
        <w:fldChar w:fldCharType="separate"/>
      </w:r>
      <w:r>
        <w:rPr>
          <w:rFonts w:ascii="宋体" w:hAnsi="宋体" w:eastAsia="宋体" w:cs="宋体"/>
          <w:b/>
          <w:bCs/>
          <w:color w:val="auto"/>
          <w:sz w:val="21"/>
          <w:szCs w:val="21"/>
        </w:rPr>
        <w:t>采购内容及技术要求</w:t>
      </w:r>
      <w:r>
        <w:rPr>
          <w:rFonts w:ascii="宋体" w:hAnsi="宋体" w:eastAsia="宋体" w:cs="宋体"/>
          <w:b/>
          <w:bCs/>
          <w:color w:val="auto"/>
          <w:sz w:val="21"/>
          <w:szCs w:val="21"/>
        </w:rPr>
        <w:fldChar w:fldCharType="end"/>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sz w:val="21"/>
          <w:szCs w:val="21"/>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"_Toc504387640"</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第五章 </w:t>
      </w:r>
      <w:r>
        <w:rPr>
          <w:rFonts w:hint="eastAsia" w:ascii="宋体" w:hAnsi="宋体" w:eastAsia="宋体" w:cs="宋体"/>
          <w:color w:val="auto"/>
          <w:sz w:val="21"/>
          <w:szCs w:val="21"/>
          <w:u w:val="none"/>
          <w:lang w:val="en-US" w:eastAsia="zh-CN"/>
        </w:rPr>
        <w:t>合同</w:t>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"_Toc504387638"</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第六章 </w:t>
      </w:r>
      <w:r>
        <w:fldChar w:fldCharType="begin"/>
      </w:r>
      <w:r>
        <w:instrText xml:space="preserve"> HYPERLINK \l "page25" \h </w:instrText>
      </w:r>
      <w:r>
        <w:fldChar w:fldCharType="separate"/>
      </w:r>
      <w:r>
        <w:rPr>
          <w:rFonts w:ascii="宋体" w:hAnsi="宋体" w:eastAsia="宋体" w:cs="宋体"/>
          <w:b/>
          <w:bCs/>
          <w:color w:val="auto"/>
          <w:sz w:val="21"/>
          <w:szCs w:val="21"/>
        </w:rPr>
        <w:t>响应文件格式</w:t>
      </w:r>
      <w:r>
        <w:rPr>
          <w:rFonts w:ascii="宋体" w:hAnsi="宋体" w:eastAsia="宋体" w:cs="宋体"/>
          <w:b/>
          <w:bCs/>
          <w:color w:val="auto"/>
          <w:sz w:val="21"/>
          <w:szCs w:val="21"/>
        </w:rPr>
        <w:fldChar w:fldCharType="end"/>
      </w:r>
      <w:r>
        <w:rPr>
          <w:rFonts w:ascii="宋体" w:hAnsi="宋体" w:eastAsia="宋体"/>
          <w:color w:val="auto"/>
          <w:sz w:val="21"/>
          <w:szCs w:val="21"/>
          <w:u w:val="none"/>
        </w:rPr>
        <w:fldChar w:fldCharType="end"/>
      </w:r>
    </w:p>
    <w:p>
      <w:pPr>
        <w:pStyle w:val="1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b w:val="0"/>
          <w:smallCaps w:val="0"/>
          <w:color w:val="auto"/>
          <w:sz w:val="21"/>
          <w:szCs w:val="21"/>
          <w:u w:val="none"/>
          <w:lang w:val="en-US" w:eastAsia="zh-CN"/>
        </w:rPr>
      </w:pPr>
      <w:r>
        <w:rPr>
          <w:rFonts w:ascii="宋体" w:hAnsi="宋体" w:eastAsia="宋体"/>
          <w:color w:val="auto"/>
          <w:sz w:val="21"/>
          <w:szCs w:val="21"/>
          <w:u w:val="none"/>
        </w:rPr>
        <w:fldChar w:fldCharType="begin"/>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instrText xml:space="preserve">HYPERLINK \l "_Toc504387639"</w:instrText>
      </w:r>
      <w:r>
        <w:rPr>
          <w:rStyle w:val="19"/>
          <w:rFonts w:ascii="宋体" w:hAnsi="宋体" w:eastAsia="宋体"/>
          <w:color w:val="auto"/>
          <w:sz w:val="21"/>
          <w:szCs w:val="21"/>
          <w:u w:val="none"/>
        </w:rPr>
        <w:instrText xml:space="preserve"> </w:instrText>
      </w:r>
      <w:r>
        <w:rPr>
          <w:rFonts w:ascii="宋体" w:hAnsi="宋体" w:eastAsia="宋体"/>
          <w:color w:val="auto"/>
          <w:sz w:val="21"/>
          <w:szCs w:val="21"/>
          <w:u w:val="none"/>
        </w:rPr>
        <w:fldChar w:fldCharType="separate"/>
      </w:r>
      <w:r>
        <w:rPr>
          <w:rFonts w:hint="eastAsia" w:ascii="宋体" w:hAnsi="宋体" w:eastAsia="宋体"/>
          <w:color w:val="auto"/>
          <w:sz w:val="21"/>
          <w:szCs w:val="21"/>
          <w:u w:val="none"/>
          <w:lang w:val="en-US" w:eastAsia="zh-CN"/>
        </w:rPr>
        <w:t xml:space="preserve">第七章 </w:t>
      </w:r>
      <w:r>
        <w:fldChar w:fldCharType="begin"/>
      </w:r>
      <w:r>
        <w:instrText xml:space="preserve"> HYPERLINK \l "page89" \h </w:instrText>
      </w:r>
      <w:r>
        <w:fldChar w:fldCharType="separate"/>
      </w:r>
      <w:r>
        <w:rPr>
          <w:rFonts w:ascii="宋体" w:hAnsi="宋体" w:eastAsia="宋体" w:cs="宋体"/>
          <w:b/>
          <w:bCs/>
          <w:color w:val="auto"/>
          <w:sz w:val="21"/>
          <w:szCs w:val="21"/>
        </w:rPr>
        <w:t>评审办法</w:t>
      </w:r>
      <w:r>
        <w:rPr>
          <w:rFonts w:ascii="宋体" w:hAnsi="宋体" w:eastAsia="宋体" w:cs="宋体"/>
          <w:b/>
          <w:bCs/>
          <w:color w:val="auto"/>
          <w:sz w:val="21"/>
          <w:szCs w:val="21"/>
        </w:rPr>
        <w:fldChar w:fldCharType="end"/>
      </w:r>
      <w:r>
        <w:rPr>
          <w:rFonts w:ascii="宋体" w:hAnsi="宋体" w:eastAsia="宋体"/>
          <w:color w:val="auto"/>
          <w:sz w:val="21"/>
          <w:szCs w:val="21"/>
          <w:u w:val="none"/>
        </w:rPr>
        <w:fldChar w:fldCharType="end"/>
      </w:r>
    </w:p>
    <w:p>
      <w:pPr>
        <w:spacing w:after="0" w:line="200" w:lineRule="exact"/>
        <w:jc w:val="lef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pacing w:after="0" w:line="200" w:lineRule="exact"/>
        <w:rPr>
          <w:rFonts w:ascii="Times New Roman" w:hAnsi="Times New Roman" w:eastAsia="Times New Roman" w:cs="Times New Roman"/>
          <w:b/>
          <w:bCs/>
          <w:color w:val="auto"/>
          <w:sz w:val="21"/>
          <w:szCs w:val="21"/>
        </w:rPr>
      </w:pPr>
    </w:p>
    <w:p>
      <w:pPr>
        <w:sectPr>
          <w:headerReference r:id="rId6" w:type="default"/>
          <w:pgSz w:w="11900" w:h="16838"/>
          <w:pgMar w:top="1440" w:right="706" w:bottom="401" w:left="1440" w:header="567" w:footer="567" w:gutter="0"/>
          <w:pgBorders>
            <w:top w:val="none" w:sz="0" w:space="0"/>
            <w:left w:val="none" w:sz="0" w:space="0"/>
            <w:bottom w:val="none" w:sz="0" w:space="0"/>
            <w:right w:val="none" w:sz="0" w:space="0"/>
          </w:pgBorders>
          <w:pgNumType w:fmt="decimal"/>
          <w:cols w:equalWidth="0" w:num="1">
            <w:col w:w="9760"/>
          </w:cols>
        </w:sectPr>
      </w:pPr>
    </w:p>
    <w:p>
      <w:pPr>
        <w:spacing w:after="0" w:line="1" w:lineRule="exact"/>
        <w:rPr>
          <w:color w:val="auto"/>
          <w:sz w:val="20"/>
          <w:szCs w:val="20"/>
        </w:rPr>
      </w:pPr>
      <w:bookmarkStart w:id="2" w:name="page3"/>
      <w:bookmarkEnd w:id="2"/>
    </w:p>
    <w:p>
      <w:pPr>
        <w:tabs>
          <w:tab w:val="left" w:pos="4100"/>
        </w:tabs>
        <w:spacing w:after="0" w:line="366" w:lineRule="exact"/>
        <w:ind w:left="2820"/>
        <w:rPr>
          <w:color w:val="auto"/>
          <w:sz w:val="20"/>
          <w:szCs w:val="20"/>
        </w:rPr>
      </w:pPr>
      <w:r>
        <w:rPr>
          <w:rFonts w:ascii="宋体" w:hAnsi="宋体" w:eastAsia="宋体" w:cs="宋体"/>
          <w:b/>
          <w:bCs/>
          <w:color w:val="auto"/>
          <w:sz w:val="32"/>
          <w:szCs w:val="32"/>
        </w:rPr>
        <w:t>第一章</w:t>
      </w:r>
      <w:r>
        <w:rPr>
          <w:rFonts w:ascii="宋体" w:hAnsi="宋体" w:eastAsia="宋体" w:cs="宋体"/>
          <w:b/>
          <w:bCs/>
          <w:color w:val="auto"/>
          <w:sz w:val="32"/>
          <w:szCs w:val="32"/>
        </w:rPr>
        <w:tab/>
      </w:r>
      <w:r>
        <w:rPr>
          <w:rFonts w:ascii="宋体" w:hAnsi="宋体" w:eastAsia="宋体" w:cs="宋体"/>
          <w:b/>
          <w:bCs/>
          <w:color w:val="auto"/>
          <w:sz w:val="32"/>
          <w:szCs w:val="32"/>
        </w:rPr>
        <w:t>竞争性磋商公告</w:t>
      </w:r>
    </w:p>
    <w:p>
      <w:pPr>
        <w:spacing w:after="0" w:line="25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0" w:firstLine="420" w:firstLineChars="200"/>
        <w:jc w:val="both"/>
        <w:textAlignment w:val="auto"/>
        <w:outlineLvl w:val="9"/>
        <w:rPr>
          <w:color w:val="auto"/>
          <w:sz w:val="20"/>
          <w:szCs w:val="20"/>
        </w:rPr>
      </w:pPr>
      <w:r>
        <w:rPr>
          <w:rFonts w:ascii="宋体" w:hAnsi="宋体" w:eastAsia="宋体" w:cs="宋体"/>
          <w:color w:val="auto"/>
          <w:sz w:val="21"/>
          <w:szCs w:val="21"/>
        </w:rPr>
        <w:t>根据《中华人民共和国政府采购法》、《政府采购竞争性磋商采购方式管理暂行办法》等有关规定，</w:t>
      </w:r>
      <w:r>
        <w:rPr>
          <w:rFonts w:hint="eastAsia" w:ascii="宋体" w:hAnsi="宋体" w:eastAsia="宋体" w:cs="宋体"/>
          <w:color w:val="auto"/>
          <w:sz w:val="21"/>
          <w:szCs w:val="21"/>
          <w:u w:val="single"/>
          <w:lang w:eastAsia="zh-CN"/>
        </w:rPr>
        <w:t>杭州好邦建筑工程咨询有限公司</w:t>
      </w:r>
      <w:r>
        <w:rPr>
          <w:rFonts w:ascii="宋体" w:hAnsi="宋体" w:eastAsia="宋体" w:cs="宋体"/>
          <w:color w:val="auto"/>
          <w:sz w:val="21"/>
          <w:szCs w:val="21"/>
        </w:rPr>
        <w:t>受</w:t>
      </w:r>
      <w:r>
        <w:rPr>
          <w:rFonts w:hint="eastAsia" w:ascii="宋体" w:hAnsi="宋体" w:eastAsia="宋体" w:cs="宋体"/>
          <w:color w:val="auto"/>
          <w:sz w:val="21"/>
          <w:szCs w:val="21"/>
          <w:u w:val="single"/>
          <w:lang w:eastAsia="zh-CN"/>
        </w:rPr>
        <w:t>中国美术学院</w:t>
      </w:r>
      <w:r>
        <w:rPr>
          <w:rFonts w:ascii="宋体" w:hAnsi="宋体" w:eastAsia="宋体" w:cs="宋体"/>
          <w:color w:val="auto"/>
          <w:sz w:val="21"/>
          <w:szCs w:val="21"/>
        </w:rPr>
        <w:t>委托，以竞争性磋商的方式就</w:t>
      </w:r>
      <w:r>
        <w:rPr>
          <w:rFonts w:hint="eastAsia" w:ascii="宋体" w:hAnsi="宋体" w:eastAsia="宋体" w:cs="宋体"/>
          <w:color w:val="auto"/>
          <w:sz w:val="21"/>
          <w:szCs w:val="21"/>
          <w:u w:val="single"/>
          <w:lang w:eastAsia="zh-CN"/>
        </w:rPr>
        <w:t>校园建设和管理处象山20号楼地下车库改造项目</w:t>
      </w:r>
      <w:r>
        <w:rPr>
          <w:rFonts w:ascii="宋体" w:hAnsi="宋体" w:eastAsia="宋体" w:cs="宋体"/>
          <w:color w:val="auto"/>
          <w:sz w:val="21"/>
          <w:szCs w:val="21"/>
        </w:rPr>
        <w:t>组织采购，欢迎国内合格的供应商前来参加磋商。</w:t>
      </w:r>
    </w:p>
    <w:p>
      <w:pPr>
        <w:spacing w:after="0" w:line="240" w:lineRule="exact"/>
        <w:ind w:firstLine="422" w:firstLineChars="200"/>
        <w:rPr>
          <w:rFonts w:hint="eastAsia" w:eastAsia="宋体"/>
          <w:color w:val="auto"/>
          <w:sz w:val="20"/>
          <w:szCs w:val="20"/>
          <w:lang w:eastAsia="zh-CN"/>
        </w:rPr>
      </w:pPr>
      <w:r>
        <w:rPr>
          <w:rFonts w:ascii="宋体" w:hAnsi="宋体" w:eastAsia="宋体" w:cs="宋体"/>
          <w:b/>
          <w:bCs/>
          <w:color w:val="auto"/>
          <w:sz w:val="21"/>
          <w:szCs w:val="21"/>
        </w:rPr>
        <w:t>一、项目编号：</w:t>
      </w:r>
      <w:r>
        <w:rPr>
          <w:rFonts w:hint="eastAsia" w:ascii="宋体" w:hAnsi="宋体" w:eastAsia="宋体" w:cs="宋体"/>
          <w:b/>
          <w:bCs/>
          <w:color w:val="auto"/>
          <w:sz w:val="21"/>
          <w:szCs w:val="21"/>
          <w:lang w:eastAsia="zh-CN"/>
        </w:rPr>
        <w:t>HZHB-MY201901C</w:t>
      </w:r>
    </w:p>
    <w:p>
      <w:pPr>
        <w:spacing w:after="0" w:line="168" w:lineRule="exact"/>
        <w:rPr>
          <w:color w:val="auto"/>
          <w:sz w:val="20"/>
          <w:szCs w:val="20"/>
        </w:rPr>
      </w:pPr>
    </w:p>
    <w:p>
      <w:pPr>
        <w:numPr>
          <w:ilvl w:val="0"/>
          <w:numId w:val="0"/>
        </w:numPr>
        <w:spacing w:after="0" w:line="24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w:t>
      </w:r>
      <w:r>
        <w:rPr>
          <w:rFonts w:ascii="宋体" w:hAnsi="宋体" w:eastAsia="宋体" w:cs="宋体"/>
          <w:b/>
          <w:bCs/>
          <w:color w:val="auto"/>
          <w:sz w:val="21"/>
          <w:szCs w:val="21"/>
        </w:rPr>
        <w:t>采购项目的内容、数量、简要规格描述</w:t>
      </w:r>
    </w:p>
    <w:p>
      <w:pPr>
        <w:numPr>
          <w:ilvl w:val="0"/>
          <w:numId w:val="0"/>
        </w:numPr>
        <w:spacing w:after="0" w:line="240" w:lineRule="exact"/>
        <w:rPr>
          <w:rFonts w:ascii="宋体" w:hAnsi="宋体" w:eastAsia="宋体" w:cs="宋体"/>
          <w:b/>
          <w:bCs/>
          <w:color w:val="auto"/>
          <w:sz w:val="21"/>
          <w:szCs w:val="21"/>
        </w:rPr>
      </w:pPr>
    </w:p>
    <w:tbl>
      <w:tblPr>
        <w:tblStyle w:val="21"/>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298"/>
        <w:gridCol w:w="383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856" w:type="dxa"/>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项目内容</w:t>
            </w:r>
          </w:p>
        </w:tc>
        <w:tc>
          <w:tcPr>
            <w:tcW w:w="1298" w:type="dxa"/>
            <w:vAlign w:val="center"/>
          </w:tcPr>
          <w:p>
            <w:pPr>
              <w:spacing w:line="288" w:lineRule="auto"/>
              <w:jc w:val="center"/>
              <w:rPr>
                <w:rFonts w:hint="eastAsia" w:ascii="宋体" w:hAnsi="宋体" w:eastAsiaTheme="minorEastAsia"/>
                <w:spacing w:val="-6"/>
                <w:sz w:val="21"/>
                <w:szCs w:val="21"/>
                <w:lang w:val="en-US" w:eastAsia="zh-CN"/>
              </w:rPr>
            </w:pPr>
            <w:r>
              <w:rPr>
                <w:rFonts w:hint="eastAsia" w:ascii="宋体" w:hAnsi="宋体"/>
                <w:spacing w:val="-6"/>
                <w:sz w:val="21"/>
                <w:szCs w:val="21"/>
              </w:rPr>
              <w:t>数量</w:t>
            </w:r>
            <w:r>
              <w:rPr>
                <w:rFonts w:hint="eastAsia" w:ascii="宋体" w:hAnsi="宋体"/>
                <w:spacing w:val="-6"/>
                <w:sz w:val="21"/>
                <w:szCs w:val="21"/>
                <w:lang w:val="en-US" w:eastAsia="zh-CN"/>
              </w:rPr>
              <w:t>/单位</w:t>
            </w:r>
          </w:p>
        </w:tc>
        <w:tc>
          <w:tcPr>
            <w:tcW w:w="3832" w:type="dxa"/>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项目基本概况</w:t>
            </w:r>
          </w:p>
        </w:tc>
        <w:tc>
          <w:tcPr>
            <w:tcW w:w="1547" w:type="dxa"/>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2856" w:type="dxa"/>
            <w:vAlign w:val="center"/>
          </w:tcPr>
          <w:p>
            <w:pPr>
              <w:spacing w:line="288" w:lineRule="auto"/>
              <w:jc w:val="center"/>
              <w:rPr>
                <w:rFonts w:hint="eastAsia" w:ascii="宋体" w:hAnsi="宋体" w:eastAsia="宋体"/>
                <w:spacing w:val="-6"/>
                <w:sz w:val="21"/>
                <w:szCs w:val="21"/>
                <w:lang w:eastAsia="zh-CN"/>
              </w:rPr>
            </w:pPr>
            <w:r>
              <w:rPr>
                <w:rFonts w:hint="eastAsia" w:ascii="宋体" w:hAnsi="宋体"/>
                <w:spacing w:val="-6"/>
                <w:sz w:val="21"/>
                <w:szCs w:val="21"/>
                <w:lang w:eastAsia="zh-CN"/>
              </w:rPr>
              <w:t>校园建设和管理处象山20号楼地下车库改造项目</w:t>
            </w:r>
          </w:p>
        </w:tc>
        <w:tc>
          <w:tcPr>
            <w:tcW w:w="1298" w:type="dxa"/>
            <w:vAlign w:val="center"/>
          </w:tcPr>
          <w:p>
            <w:pPr>
              <w:spacing w:line="288" w:lineRule="auto"/>
              <w:jc w:val="center"/>
              <w:rPr>
                <w:rFonts w:hint="eastAsia" w:ascii="宋体" w:hAnsi="宋体" w:eastAsia="宋体"/>
                <w:spacing w:val="-6"/>
                <w:sz w:val="21"/>
                <w:szCs w:val="21"/>
                <w:lang w:eastAsia="zh-CN"/>
              </w:rPr>
            </w:pPr>
            <w:r>
              <w:rPr>
                <w:rFonts w:hint="eastAsia" w:ascii="宋体" w:hAnsi="宋体"/>
                <w:spacing w:val="-6"/>
                <w:sz w:val="21"/>
                <w:szCs w:val="21"/>
              </w:rPr>
              <w:t>1</w:t>
            </w:r>
            <w:r>
              <w:rPr>
                <w:rFonts w:hint="eastAsia" w:ascii="宋体" w:hAnsi="宋体"/>
                <w:spacing w:val="-6"/>
                <w:sz w:val="21"/>
                <w:szCs w:val="21"/>
                <w:lang w:val="en-US" w:eastAsia="zh-CN"/>
              </w:rPr>
              <w:t>项</w:t>
            </w:r>
          </w:p>
        </w:tc>
        <w:tc>
          <w:tcPr>
            <w:tcW w:w="3832" w:type="dxa"/>
            <w:vAlign w:val="center"/>
          </w:tcPr>
          <w:p>
            <w:pPr>
              <w:spacing w:line="288" w:lineRule="auto"/>
              <w:jc w:val="center"/>
              <w:rPr>
                <w:rFonts w:hint="eastAsia" w:ascii="宋体" w:hAnsi="宋体"/>
                <w:spacing w:val="-6"/>
                <w:sz w:val="21"/>
                <w:szCs w:val="21"/>
              </w:rPr>
            </w:pPr>
            <w:r>
              <w:rPr>
                <w:rFonts w:hint="eastAsia" w:ascii="宋体" w:hAnsi="宋体" w:cs="宋体"/>
                <w:color w:val="000000"/>
                <w:kern w:val="0"/>
                <w:sz w:val="21"/>
                <w:szCs w:val="21"/>
              </w:rPr>
              <w:t>具体详见竞争性磋商采购需求</w:t>
            </w:r>
            <w:r>
              <w:rPr>
                <w:rFonts w:hint="eastAsia" w:ascii="宋体" w:hAnsi="宋体" w:cs="宋体"/>
                <w:color w:val="000000"/>
                <w:kern w:val="0"/>
                <w:sz w:val="21"/>
                <w:szCs w:val="21"/>
                <w:lang w:val="en-US" w:eastAsia="zh-CN"/>
              </w:rPr>
              <w:t>及图纸、工程量清单</w:t>
            </w:r>
            <w:r>
              <w:rPr>
                <w:rFonts w:hint="eastAsia" w:ascii="宋体" w:hAnsi="宋体" w:cs="宋体"/>
                <w:color w:val="000000"/>
                <w:kern w:val="0"/>
                <w:sz w:val="21"/>
                <w:szCs w:val="21"/>
              </w:rPr>
              <w:t>；</w:t>
            </w:r>
          </w:p>
        </w:tc>
        <w:tc>
          <w:tcPr>
            <w:tcW w:w="1547" w:type="dxa"/>
            <w:vAlign w:val="center"/>
          </w:tcPr>
          <w:p>
            <w:pPr>
              <w:spacing w:line="288" w:lineRule="auto"/>
              <w:jc w:val="center"/>
              <w:rPr>
                <w:rFonts w:hint="eastAsia" w:ascii="宋体" w:hAnsi="宋体"/>
                <w:spacing w:val="-6"/>
                <w:sz w:val="21"/>
                <w:szCs w:val="21"/>
              </w:rPr>
            </w:pPr>
            <w:r>
              <w:rPr>
                <w:rFonts w:hint="eastAsia" w:ascii="宋体" w:hAnsi="宋体"/>
                <w:spacing w:val="-6"/>
                <w:sz w:val="21"/>
                <w:szCs w:val="21"/>
                <w:lang w:val="en-US" w:eastAsia="zh-CN"/>
              </w:rPr>
              <w:t>150</w:t>
            </w:r>
            <w:r>
              <w:rPr>
                <w:rFonts w:hint="eastAsia" w:ascii="宋体" w:hAnsi="宋体"/>
                <w:spacing w:val="-6"/>
                <w:sz w:val="21"/>
                <w:szCs w:val="21"/>
              </w:rPr>
              <w:t>万元</w:t>
            </w:r>
            <w:r>
              <w:rPr>
                <w:rFonts w:ascii="宋体" w:hAnsi="宋体"/>
                <w:spacing w:val="-6"/>
                <w:sz w:val="21"/>
                <w:szCs w:val="21"/>
              </w:rPr>
              <w:t>人民币</w:t>
            </w:r>
          </w:p>
        </w:tc>
      </w:tr>
    </w:tbl>
    <w:p>
      <w:pPr>
        <w:numPr>
          <w:ilvl w:val="0"/>
          <w:numId w:val="0"/>
        </w:numPr>
        <w:spacing w:after="0" w:line="240" w:lineRule="exact"/>
        <w:rPr>
          <w:rFonts w:ascii="宋体" w:hAnsi="宋体" w:eastAsia="宋体" w:cs="宋体"/>
          <w:b/>
          <w:bCs/>
          <w:color w:val="auto"/>
          <w:sz w:val="21"/>
          <w:szCs w:val="21"/>
        </w:rPr>
      </w:pPr>
    </w:p>
    <w:p>
      <w:pPr>
        <w:spacing w:after="0" w:line="165" w:lineRule="exact"/>
        <w:rPr>
          <w:rFonts w:hint="eastAsia" w:ascii="宋体" w:hAnsi="宋体" w:eastAsia="宋体" w:cs="宋体"/>
          <w:color w:val="auto"/>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合格磋商响应供应商的资格要求：</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ascii="宋体" w:hAnsi="宋体" w:eastAsia="宋体" w:cs="宋体"/>
          <w:color w:val="auto"/>
          <w:sz w:val="21"/>
          <w:szCs w:val="21"/>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）符合《中华人民共和国政府采购法》第二十二条的规定；</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hint="eastAsia" w:ascii="Arial" w:hAnsi="Arial" w:eastAsia="宋体" w:cs="Arial"/>
          <w:color w:val="auto"/>
          <w:sz w:val="21"/>
          <w:szCs w:val="21"/>
          <w:lang w:val="en-US" w:eastAsia="zh-CN"/>
        </w:rPr>
        <w:t>2</w:t>
      </w:r>
      <w:r>
        <w:rPr>
          <w:rFonts w:ascii="宋体" w:hAnsi="宋体" w:eastAsia="宋体" w:cs="宋体"/>
          <w:color w:val="auto"/>
          <w:sz w:val="21"/>
          <w:szCs w:val="21"/>
        </w:rPr>
        <w:t>）供应商未被列入失信被执行人名单、重大税收违法案件当事人名单、政府采购严重违法失信行为记录名单，信用信息以信用中国网站（</w:t>
      </w:r>
      <w:r>
        <w:rPr>
          <w:rFonts w:ascii="Arial" w:hAnsi="Arial" w:eastAsia="Arial" w:cs="Arial"/>
          <w:color w:val="auto"/>
          <w:sz w:val="21"/>
          <w:szCs w:val="21"/>
        </w:rPr>
        <w:t>www.creditchina.gov.cn</w:t>
      </w:r>
      <w:r>
        <w:rPr>
          <w:rFonts w:ascii="宋体" w:hAnsi="宋体" w:eastAsia="宋体" w:cs="宋体"/>
          <w:color w:val="auto"/>
          <w:sz w:val="21"/>
          <w:szCs w:val="21"/>
        </w:rPr>
        <w:t>）、中国政府采购网（</w:t>
      </w:r>
      <w:r>
        <w:rPr>
          <w:rFonts w:ascii="Arial" w:hAnsi="Arial" w:eastAsia="Arial" w:cs="Arial"/>
          <w:color w:val="auto"/>
          <w:sz w:val="21"/>
          <w:szCs w:val="21"/>
        </w:rPr>
        <w:t>www.ccgp.gov.cn</w:t>
      </w:r>
      <w:r>
        <w:rPr>
          <w:rFonts w:ascii="宋体" w:hAnsi="宋体" w:eastAsia="宋体" w:cs="宋体"/>
          <w:color w:val="auto"/>
          <w:sz w:val="21"/>
          <w:szCs w:val="21"/>
        </w:rPr>
        <w:t>）公布为准；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ascii="宋体" w:hAnsi="宋体" w:eastAsia="宋体" w:cs="宋体"/>
          <w:color w:val="auto"/>
          <w:sz w:val="21"/>
          <w:szCs w:val="21"/>
        </w:rPr>
      </w:pPr>
      <w:r>
        <w:rPr>
          <w:rFonts w:ascii="宋体" w:hAnsi="宋体" w:eastAsia="宋体" w:cs="宋体"/>
          <w:color w:val="auto"/>
          <w:sz w:val="21"/>
          <w:szCs w:val="21"/>
        </w:rPr>
        <w:t>（</w:t>
      </w:r>
      <w:r>
        <w:rPr>
          <w:rFonts w:hint="eastAsia" w:ascii="Arial" w:hAnsi="Arial" w:eastAsia="宋体" w:cs="Arial"/>
          <w:color w:val="auto"/>
          <w:sz w:val="21"/>
          <w:szCs w:val="21"/>
          <w:lang w:val="en-US" w:eastAsia="zh-CN"/>
        </w:rPr>
        <w:t>3</w:t>
      </w:r>
      <w:r>
        <w:rPr>
          <w:rFonts w:ascii="宋体" w:hAnsi="宋体" w:eastAsia="宋体" w:cs="宋体"/>
          <w:color w:val="auto"/>
          <w:sz w:val="21"/>
          <w:szCs w:val="21"/>
        </w:rPr>
        <w:t>）单位负责人为同一人或者存在直接控股、管理关系的不同供应商，不得参加同一合同项下的政府采购活动。</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磋商响应供应商特定条件：</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hint="eastAsia" w:ascii="Arial" w:hAnsi="Arial" w:eastAsia="宋体" w:cs="Arial"/>
          <w:color w:val="auto"/>
          <w:sz w:val="21"/>
          <w:szCs w:val="21"/>
          <w:lang w:val="en-US" w:eastAsia="zh-CN"/>
        </w:rPr>
        <w:t>1</w:t>
      </w:r>
      <w:r>
        <w:rPr>
          <w:rFonts w:ascii="宋体" w:hAnsi="宋体" w:eastAsia="宋体" w:cs="宋体"/>
          <w:color w:val="auto"/>
          <w:sz w:val="21"/>
          <w:szCs w:val="21"/>
        </w:rPr>
        <w:t>）</w:t>
      </w:r>
      <w:r>
        <w:rPr>
          <w:rFonts w:hint="eastAsia" w:ascii="宋体" w:hAnsi="宋体" w:eastAsia="宋体" w:cs="宋体"/>
          <w:color w:val="auto"/>
          <w:sz w:val="21"/>
          <w:szCs w:val="21"/>
        </w:rPr>
        <w:t>具备</w:t>
      </w:r>
      <w:r>
        <w:rPr>
          <w:rFonts w:hint="eastAsia" w:ascii="宋体" w:hAnsi="宋体" w:eastAsia="宋体" w:cs="宋体"/>
          <w:color w:val="auto"/>
          <w:sz w:val="21"/>
          <w:szCs w:val="21"/>
          <w:u w:val="single"/>
        </w:rPr>
        <w:t>建筑装修装饰工程专业承包贰级及以上资质</w:t>
      </w:r>
      <w:r>
        <w:rPr>
          <w:rFonts w:hint="eastAsia" w:ascii="宋体" w:hAnsi="宋体" w:eastAsia="宋体" w:cs="宋体"/>
          <w:color w:val="auto"/>
          <w:sz w:val="21"/>
          <w:szCs w:val="21"/>
        </w:rPr>
        <w:t>和</w:t>
      </w:r>
      <w:r>
        <w:rPr>
          <w:rFonts w:hint="eastAsia" w:ascii="宋体" w:hAnsi="宋体" w:eastAsia="宋体" w:cs="宋体"/>
          <w:color w:val="auto"/>
          <w:sz w:val="21"/>
          <w:szCs w:val="21"/>
          <w:u w:val="single"/>
        </w:rPr>
        <w:t>消防设施工程专业承包贰级及以上资质</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u w:val="single"/>
        </w:rPr>
        <w:t>建筑机电安装工程专业承包叁级及以上</w:t>
      </w:r>
      <w:r>
        <w:rPr>
          <w:rFonts w:hint="eastAsia" w:ascii="宋体" w:hAnsi="宋体" w:eastAsia="宋体" w:cs="宋体"/>
          <w:color w:val="auto"/>
          <w:sz w:val="21"/>
          <w:szCs w:val="21"/>
          <w:u w:val="single"/>
          <w:lang w:val="en-US" w:eastAsia="zh-CN"/>
        </w:rPr>
        <w:t>资质</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hint="eastAsia" w:ascii="Arial" w:hAnsi="Arial" w:eastAsia="宋体" w:cs="Arial"/>
          <w:color w:val="auto"/>
          <w:sz w:val="21"/>
          <w:szCs w:val="21"/>
          <w:lang w:val="en-US" w:eastAsia="zh-CN"/>
        </w:rPr>
        <w:t>2</w:t>
      </w:r>
      <w:r>
        <w:rPr>
          <w:rFonts w:ascii="宋体" w:hAnsi="宋体" w:eastAsia="宋体" w:cs="宋体"/>
          <w:color w:val="auto"/>
          <w:sz w:val="21"/>
          <w:szCs w:val="21"/>
        </w:rPr>
        <w:t>）</w:t>
      </w:r>
      <w:r>
        <w:rPr>
          <w:rFonts w:hint="eastAsia" w:ascii="宋体" w:hAnsi="宋体" w:eastAsia="宋体" w:cs="宋体"/>
          <w:color w:val="auto"/>
          <w:sz w:val="21"/>
          <w:szCs w:val="21"/>
          <w:u w:val="single"/>
          <w:lang w:val="en-US" w:eastAsia="zh-CN"/>
        </w:rPr>
        <w:t>拟任项目经理具备建筑工程注册建造师二级及以上资格</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hint="eastAsia" w:ascii="Arial" w:hAnsi="Arial" w:eastAsia="宋体" w:cs="Arial"/>
          <w:color w:val="auto"/>
          <w:sz w:val="21"/>
          <w:szCs w:val="21"/>
          <w:lang w:val="en-US" w:eastAsia="zh-CN"/>
        </w:rPr>
        <w:t>3</w:t>
      </w:r>
      <w:r>
        <w:rPr>
          <w:rFonts w:ascii="宋体" w:hAnsi="宋体" w:eastAsia="宋体" w:cs="宋体"/>
          <w:color w:val="auto"/>
          <w:sz w:val="21"/>
          <w:szCs w:val="21"/>
        </w:rPr>
        <w:t>）本项目不接受联合体。</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color w:val="auto"/>
          <w:sz w:val="20"/>
          <w:szCs w:val="20"/>
        </w:rPr>
      </w:pPr>
      <w:r>
        <w:rPr>
          <w:rFonts w:ascii="宋体" w:hAnsi="宋体" w:eastAsia="宋体" w:cs="宋体"/>
          <w:b/>
          <w:bCs/>
          <w:color w:val="auto"/>
          <w:sz w:val="21"/>
          <w:szCs w:val="21"/>
        </w:rPr>
        <w:t>四、获取磋商文件的时间、地点、方式及磋商文件售价</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）时间：</w:t>
      </w:r>
      <w:r>
        <w:rPr>
          <w:rFonts w:ascii="Arial" w:hAnsi="Arial" w:eastAsia="Arial" w:cs="Arial"/>
          <w:color w:val="FF0000"/>
          <w:sz w:val="21"/>
          <w:szCs w:val="21"/>
        </w:rPr>
        <w:t>201</w:t>
      </w:r>
      <w:r>
        <w:rPr>
          <w:rFonts w:hint="eastAsia" w:ascii="Arial" w:hAnsi="Arial" w:eastAsia="宋体" w:cs="Arial"/>
          <w:color w:val="FF0000"/>
          <w:sz w:val="21"/>
          <w:szCs w:val="21"/>
          <w:lang w:val="en-US" w:eastAsia="zh-CN"/>
        </w:rPr>
        <w:t>9</w:t>
      </w:r>
      <w:r>
        <w:rPr>
          <w:rFonts w:ascii="宋体" w:hAnsi="宋体" w:eastAsia="宋体" w:cs="宋体"/>
          <w:color w:val="FF0000"/>
          <w:sz w:val="21"/>
          <w:szCs w:val="21"/>
        </w:rPr>
        <w:t>年</w:t>
      </w:r>
      <w:r>
        <w:rPr>
          <w:rFonts w:hint="eastAsia" w:ascii="Arial" w:hAnsi="Arial" w:eastAsia="宋体" w:cs="Arial"/>
          <w:color w:val="FF0000"/>
          <w:sz w:val="21"/>
          <w:szCs w:val="21"/>
          <w:lang w:val="en-US" w:eastAsia="zh-CN"/>
        </w:rPr>
        <w:t>4</w:t>
      </w:r>
      <w:r>
        <w:rPr>
          <w:rFonts w:ascii="宋体" w:hAnsi="宋体" w:eastAsia="宋体" w:cs="宋体"/>
          <w:color w:val="FF0000"/>
          <w:sz w:val="21"/>
          <w:szCs w:val="21"/>
        </w:rPr>
        <w:t>月</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29</w:t>
      </w:r>
      <w:r>
        <w:rPr>
          <w:rFonts w:ascii="宋体" w:hAnsi="宋体" w:eastAsia="宋体" w:cs="宋体"/>
          <w:color w:val="FF0000"/>
          <w:sz w:val="21"/>
          <w:szCs w:val="21"/>
        </w:rPr>
        <w:t>日起至</w:t>
      </w:r>
      <w:r>
        <w:rPr>
          <w:rFonts w:ascii="Arial" w:hAnsi="Arial" w:eastAsia="Arial" w:cs="Arial"/>
          <w:color w:val="FF0000"/>
          <w:sz w:val="21"/>
          <w:szCs w:val="21"/>
        </w:rPr>
        <w:t xml:space="preserve"> 201</w:t>
      </w:r>
      <w:r>
        <w:rPr>
          <w:rFonts w:hint="eastAsia" w:ascii="Arial" w:hAnsi="Arial" w:eastAsia="宋体" w:cs="Arial"/>
          <w:color w:val="FF0000"/>
          <w:sz w:val="21"/>
          <w:szCs w:val="21"/>
          <w:lang w:val="en-US" w:eastAsia="zh-CN"/>
        </w:rPr>
        <w:t>9</w:t>
      </w:r>
      <w:r>
        <w:rPr>
          <w:rFonts w:ascii="Arial" w:hAnsi="Arial" w:eastAsia="Arial" w:cs="Arial"/>
          <w:color w:val="FF0000"/>
          <w:sz w:val="21"/>
          <w:szCs w:val="21"/>
        </w:rPr>
        <w:t xml:space="preserve"> </w:t>
      </w:r>
      <w:r>
        <w:rPr>
          <w:rFonts w:ascii="宋体" w:hAnsi="宋体" w:eastAsia="宋体" w:cs="宋体"/>
          <w:color w:val="FF0000"/>
          <w:sz w:val="21"/>
          <w:szCs w:val="21"/>
        </w:rPr>
        <w:t>年</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5</w:t>
      </w:r>
      <w:r>
        <w:rPr>
          <w:rFonts w:ascii="宋体" w:hAnsi="宋体" w:eastAsia="宋体" w:cs="宋体"/>
          <w:color w:val="FF0000"/>
          <w:sz w:val="21"/>
          <w:szCs w:val="21"/>
        </w:rPr>
        <w:t>月</w:t>
      </w:r>
      <w:r>
        <w:rPr>
          <w:rFonts w:hint="eastAsia" w:ascii="Arial" w:hAnsi="Arial" w:eastAsia="宋体" w:cs="Arial"/>
          <w:color w:val="FF0000"/>
          <w:sz w:val="21"/>
          <w:szCs w:val="21"/>
          <w:lang w:val="en-US" w:eastAsia="zh-CN"/>
        </w:rPr>
        <w:t>8</w:t>
      </w:r>
      <w:r>
        <w:rPr>
          <w:rFonts w:ascii="宋体" w:hAnsi="宋体" w:eastAsia="宋体" w:cs="宋体"/>
          <w:color w:val="FF0000"/>
          <w:sz w:val="21"/>
          <w:szCs w:val="21"/>
        </w:rPr>
        <w:t>日</w:t>
      </w:r>
      <w:r>
        <w:rPr>
          <w:rFonts w:ascii="宋体" w:hAnsi="宋体" w:eastAsia="宋体" w:cs="宋体"/>
          <w:color w:val="auto"/>
          <w:sz w:val="21"/>
          <w:szCs w:val="21"/>
        </w:rPr>
        <w:t>（双休日及法定节假日除外）</w:t>
      </w:r>
    </w:p>
    <w:p>
      <w:pPr>
        <w:keepNext w:val="0"/>
        <w:keepLines w:val="0"/>
        <w:pageBreakBefore w:val="0"/>
        <w:widowControl/>
        <w:kinsoku/>
        <w:wordWrap/>
        <w:overflowPunct/>
        <w:topLinePunct w:val="0"/>
        <w:autoSpaceDE/>
        <w:autoSpaceDN/>
        <w:bidi w:val="0"/>
        <w:adjustRightInd/>
        <w:snapToGrid/>
        <w:spacing w:after="0" w:line="360" w:lineRule="auto"/>
        <w:ind w:left="440" w:firstLine="210" w:firstLineChars="100"/>
        <w:jc w:val="left"/>
        <w:textAlignment w:val="auto"/>
        <w:outlineLvl w:val="9"/>
        <w:rPr>
          <w:color w:val="auto"/>
          <w:sz w:val="20"/>
          <w:szCs w:val="20"/>
        </w:rPr>
      </w:pPr>
      <w:r>
        <w:rPr>
          <w:rFonts w:ascii="宋体" w:hAnsi="宋体" w:eastAsia="宋体" w:cs="宋体"/>
          <w:color w:val="auto"/>
          <w:sz w:val="21"/>
          <w:szCs w:val="21"/>
        </w:rPr>
        <w:t>上午：</w:t>
      </w:r>
      <w:r>
        <w:rPr>
          <w:rFonts w:hint="eastAsia" w:ascii="Arial" w:hAnsi="Arial" w:eastAsia="宋体" w:cs="Arial"/>
          <w:color w:val="auto"/>
          <w:sz w:val="21"/>
          <w:szCs w:val="21"/>
          <w:lang w:val="en-US" w:eastAsia="zh-CN"/>
        </w:rPr>
        <w:t>9</w:t>
      </w:r>
      <w:r>
        <w:rPr>
          <w:rFonts w:ascii="Arial" w:hAnsi="Arial" w:eastAsia="Arial" w:cs="Arial"/>
          <w:color w:val="auto"/>
          <w:sz w:val="21"/>
          <w:szCs w:val="21"/>
        </w:rPr>
        <w:t>:30-11:30</w:t>
      </w:r>
      <w:r>
        <w:rPr>
          <w:rFonts w:ascii="宋体" w:hAnsi="宋体" w:eastAsia="宋体" w:cs="宋体"/>
          <w:color w:val="auto"/>
          <w:sz w:val="21"/>
          <w:szCs w:val="21"/>
        </w:rPr>
        <w:t>；下午：</w:t>
      </w:r>
      <w:r>
        <w:rPr>
          <w:rFonts w:ascii="Arial" w:hAnsi="Arial" w:eastAsia="Arial" w:cs="Arial"/>
          <w:color w:val="auto"/>
          <w:sz w:val="21"/>
          <w:szCs w:val="21"/>
        </w:rPr>
        <w:t>14:</w:t>
      </w:r>
      <w:r>
        <w:rPr>
          <w:rFonts w:hint="eastAsia" w:ascii="Arial" w:hAnsi="Arial" w:eastAsia="宋体" w:cs="Arial"/>
          <w:color w:val="auto"/>
          <w:sz w:val="21"/>
          <w:szCs w:val="21"/>
          <w:lang w:val="en-US" w:eastAsia="zh-CN"/>
        </w:rPr>
        <w:t>0</w:t>
      </w:r>
      <w:r>
        <w:rPr>
          <w:rFonts w:ascii="Arial" w:hAnsi="Arial" w:eastAsia="Arial" w:cs="Arial"/>
          <w:color w:val="auto"/>
          <w:sz w:val="21"/>
          <w:szCs w:val="21"/>
        </w:rPr>
        <w:t>0-1</w:t>
      </w:r>
      <w:r>
        <w:rPr>
          <w:rFonts w:hint="eastAsia" w:ascii="Arial" w:hAnsi="Arial" w:eastAsia="宋体" w:cs="Arial"/>
          <w:color w:val="auto"/>
          <w:sz w:val="21"/>
          <w:szCs w:val="21"/>
          <w:lang w:val="en-US" w:eastAsia="zh-CN"/>
        </w:rPr>
        <w:t>6</w:t>
      </w:r>
      <w:r>
        <w:rPr>
          <w:rFonts w:ascii="Arial" w:hAnsi="Arial" w:eastAsia="Arial" w:cs="Arial"/>
          <w:color w:val="auto"/>
          <w:sz w:val="21"/>
          <w:szCs w:val="21"/>
        </w:rPr>
        <w:t>:30</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2</w:t>
      </w:r>
      <w:r>
        <w:rPr>
          <w:rFonts w:ascii="宋体" w:hAnsi="宋体" w:eastAsia="宋体" w:cs="宋体"/>
          <w:color w:val="auto"/>
          <w:sz w:val="21"/>
          <w:szCs w:val="21"/>
        </w:rPr>
        <w:t>）地点：</w:t>
      </w:r>
      <w:r>
        <w:rPr>
          <w:rFonts w:hint="eastAsia" w:ascii="宋体" w:hAnsi="宋体" w:eastAsia="宋体" w:cs="宋体"/>
          <w:color w:val="auto"/>
          <w:sz w:val="21"/>
          <w:szCs w:val="21"/>
          <w:lang w:eastAsia="zh-CN"/>
        </w:rPr>
        <w:t>杭州市西湖区文三路18号新世纪大酒店7楼；</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hint="eastAsia" w:ascii="宋体" w:hAnsi="宋体" w:eastAsia="宋体" w:cs="宋体"/>
          <w:color w:val="auto"/>
          <w:sz w:val="21"/>
          <w:szCs w:val="21"/>
        </w:rPr>
      </w:pPr>
      <w:r>
        <w:rPr>
          <w:rFonts w:ascii="宋体" w:hAnsi="宋体" w:eastAsia="宋体" w:cs="宋体"/>
          <w:color w:val="auto"/>
          <w:sz w:val="21"/>
          <w:szCs w:val="21"/>
        </w:rPr>
        <w:t>（</w:t>
      </w:r>
      <w:r>
        <w:rPr>
          <w:rFonts w:ascii="Arial" w:hAnsi="Arial" w:eastAsia="Arial" w:cs="Arial"/>
          <w:color w:val="auto"/>
          <w:sz w:val="21"/>
          <w:szCs w:val="21"/>
        </w:rPr>
        <w:t>3</w:t>
      </w:r>
      <w:r>
        <w:rPr>
          <w:rFonts w:ascii="宋体" w:hAnsi="宋体" w:eastAsia="宋体" w:cs="宋体"/>
          <w:color w:val="auto"/>
          <w:sz w:val="21"/>
          <w:szCs w:val="21"/>
        </w:rPr>
        <w:t>）获取方式：</w:t>
      </w:r>
      <w:r>
        <w:rPr>
          <w:rFonts w:hint="eastAsia" w:ascii="宋体" w:hAnsi="宋体" w:eastAsia="宋体" w:cs="宋体"/>
          <w:color w:val="auto"/>
          <w:sz w:val="21"/>
          <w:szCs w:val="21"/>
        </w:rPr>
        <w:t>现场报名或邮箱报名；邮箱：</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"mailto:401519561@qq.com；"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401519561@qq.com；</w:t>
      </w:r>
      <w:r>
        <w:rPr>
          <w:rFonts w:hint="eastAsia" w:ascii="宋体" w:hAnsi="宋体" w:eastAsia="宋体" w:cs="宋体"/>
          <w:color w:val="auto"/>
          <w:sz w:val="21"/>
          <w:szCs w:val="21"/>
        </w:rPr>
        <w:fldChar w:fldCharType="end"/>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（报名资料发至邮箱→代理公司审核→标书费转至代理公司账户（保证金同个账户）→打款截图回复到邮箱）报名资料为扫描件，拒绝图片。</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4</w:t>
      </w:r>
      <w:r>
        <w:rPr>
          <w:rFonts w:ascii="宋体" w:hAnsi="宋体" w:eastAsia="宋体" w:cs="宋体"/>
          <w:color w:val="auto"/>
          <w:sz w:val="21"/>
          <w:szCs w:val="21"/>
        </w:rPr>
        <w:t>）售价（元）：每本</w:t>
      </w:r>
      <w:r>
        <w:rPr>
          <w:rFonts w:ascii="Arial" w:hAnsi="Arial" w:eastAsia="Arial" w:cs="Arial"/>
          <w:color w:val="auto"/>
          <w:sz w:val="21"/>
          <w:szCs w:val="21"/>
        </w:rPr>
        <w:t xml:space="preserve"> 500</w:t>
      </w:r>
      <w:r>
        <w:rPr>
          <w:rFonts w:ascii="宋体" w:hAnsi="宋体" w:eastAsia="宋体" w:cs="宋体"/>
          <w:color w:val="auto"/>
          <w:sz w:val="21"/>
          <w:szCs w:val="21"/>
        </w:rPr>
        <w:t>（售后不退）。</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五、磋商响应截止时间：</w:t>
      </w:r>
      <w:r>
        <w:rPr>
          <w:rFonts w:ascii="Arial" w:hAnsi="Arial" w:eastAsia="Arial" w:cs="Arial"/>
          <w:color w:val="FF0000"/>
          <w:sz w:val="21"/>
          <w:szCs w:val="21"/>
        </w:rPr>
        <w:t>201</w:t>
      </w:r>
      <w:r>
        <w:rPr>
          <w:rFonts w:hint="eastAsia" w:ascii="Arial" w:hAnsi="Arial" w:eastAsia="宋体" w:cs="Arial"/>
          <w:color w:val="FF0000"/>
          <w:sz w:val="21"/>
          <w:szCs w:val="21"/>
          <w:lang w:val="en-US" w:eastAsia="zh-CN"/>
        </w:rPr>
        <w:t>9</w:t>
      </w:r>
      <w:r>
        <w:rPr>
          <w:rFonts w:ascii="Arial" w:hAnsi="Arial" w:eastAsia="Arial" w:cs="Arial"/>
          <w:color w:val="FF0000"/>
          <w:sz w:val="21"/>
          <w:szCs w:val="21"/>
        </w:rPr>
        <w:t xml:space="preserve"> </w:t>
      </w:r>
      <w:r>
        <w:rPr>
          <w:rFonts w:ascii="宋体" w:hAnsi="宋体" w:eastAsia="宋体" w:cs="宋体"/>
          <w:color w:val="FF0000"/>
          <w:sz w:val="21"/>
          <w:szCs w:val="21"/>
        </w:rPr>
        <w:t>年</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5</w:t>
      </w:r>
      <w:r>
        <w:rPr>
          <w:rFonts w:ascii="宋体" w:hAnsi="宋体" w:eastAsia="宋体" w:cs="宋体"/>
          <w:color w:val="FF0000"/>
          <w:sz w:val="21"/>
          <w:szCs w:val="21"/>
        </w:rPr>
        <w:t>月</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13</w:t>
      </w:r>
      <w:r>
        <w:rPr>
          <w:rFonts w:ascii="宋体" w:hAnsi="宋体" w:eastAsia="宋体" w:cs="宋体"/>
          <w:color w:val="FF0000"/>
          <w:sz w:val="21"/>
          <w:szCs w:val="21"/>
        </w:rPr>
        <w:t>日</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14</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00</w:t>
      </w:r>
      <w:r>
        <w:rPr>
          <w:rFonts w:ascii="宋体" w:hAnsi="宋体" w:eastAsia="宋体" w:cs="宋体"/>
          <w:color w:val="FF0000"/>
          <w:sz w:val="21"/>
          <w:szCs w:val="21"/>
        </w:rPr>
        <w:t>整</w:t>
      </w:r>
      <w:r>
        <w:rPr>
          <w:rFonts w:hint="eastAsia" w:ascii="宋体" w:hAnsi="宋体" w:eastAsia="宋体" w:cs="宋体"/>
          <w:color w:val="FF000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六、磋商响应文件提交地点：</w:t>
      </w:r>
      <w:r>
        <w:rPr>
          <w:rFonts w:hint="eastAsia" w:ascii="宋体" w:hAnsi="宋体" w:eastAsia="宋体" w:cs="宋体"/>
          <w:color w:val="auto"/>
          <w:sz w:val="21"/>
          <w:szCs w:val="21"/>
          <w:lang w:eastAsia="zh-CN"/>
        </w:rPr>
        <w:t>杭州市西湖区文三路18号新世纪大酒店7楼；</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七、磋商时间：</w:t>
      </w:r>
      <w:r>
        <w:rPr>
          <w:rFonts w:ascii="Arial" w:hAnsi="Arial" w:eastAsia="Arial" w:cs="Arial"/>
          <w:color w:val="FF0000"/>
          <w:sz w:val="21"/>
          <w:szCs w:val="21"/>
        </w:rPr>
        <w:t>201</w:t>
      </w:r>
      <w:r>
        <w:rPr>
          <w:rFonts w:hint="eastAsia" w:ascii="Arial" w:hAnsi="Arial" w:eastAsia="宋体" w:cs="Arial"/>
          <w:color w:val="FF0000"/>
          <w:sz w:val="21"/>
          <w:szCs w:val="21"/>
          <w:lang w:val="en-US" w:eastAsia="zh-CN"/>
        </w:rPr>
        <w:t>9</w:t>
      </w:r>
      <w:r>
        <w:rPr>
          <w:rFonts w:ascii="Arial" w:hAnsi="Arial" w:eastAsia="Arial" w:cs="Arial"/>
          <w:color w:val="FF0000"/>
          <w:sz w:val="21"/>
          <w:szCs w:val="21"/>
        </w:rPr>
        <w:t xml:space="preserve"> </w:t>
      </w:r>
      <w:r>
        <w:rPr>
          <w:rFonts w:ascii="宋体" w:hAnsi="宋体" w:eastAsia="宋体" w:cs="宋体"/>
          <w:color w:val="FF0000"/>
          <w:sz w:val="21"/>
          <w:szCs w:val="21"/>
        </w:rPr>
        <w:t>年</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5</w:t>
      </w:r>
      <w:r>
        <w:rPr>
          <w:rFonts w:ascii="宋体" w:hAnsi="宋体" w:eastAsia="宋体" w:cs="宋体"/>
          <w:color w:val="FF0000"/>
          <w:sz w:val="21"/>
          <w:szCs w:val="21"/>
        </w:rPr>
        <w:t>月</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13</w:t>
      </w:r>
      <w:r>
        <w:rPr>
          <w:rFonts w:ascii="宋体" w:hAnsi="宋体" w:eastAsia="宋体" w:cs="宋体"/>
          <w:color w:val="FF0000"/>
          <w:sz w:val="21"/>
          <w:szCs w:val="21"/>
        </w:rPr>
        <w:t>日</w:t>
      </w:r>
      <w:r>
        <w:rPr>
          <w:rFonts w:ascii="Arial" w:hAnsi="Arial" w:eastAsia="Arial" w:cs="Arial"/>
          <w:color w:val="FF0000"/>
          <w:sz w:val="21"/>
          <w:szCs w:val="21"/>
        </w:rPr>
        <w:t xml:space="preserve"> </w:t>
      </w:r>
      <w:r>
        <w:rPr>
          <w:rFonts w:hint="eastAsia" w:ascii="Arial" w:hAnsi="Arial" w:eastAsia="宋体" w:cs="Arial"/>
          <w:color w:val="FF0000"/>
          <w:sz w:val="21"/>
          <w:szCs w:val="21"/>
          <w:lang w:val="en-US" w:eastAsia="zh-CN"/>
        </w:rPr>
        <w:t>14</w:t>
      </w:r>
      <w:r>
        <w:rPr>
          <w:rFonts w:ascii="Arial" w:hAnsi="Arial" w:eastAsia="Arial" w:cs="Arial"/>
          <w:color w:val="FF0000"/>
          <w:sz w:val="21"/>
          <w:szCs w:val="21"/>
        </w:rPr>
        <w:t xml:space="preserve"> </w:t>
      </w:r>
      <w:r>
        <w:rPr>
          <w:rFonts w:hint="eastAsia" w:ascii="Arial" w:hAnsi="Arial" w:eastAsia="宋体" w:cs="Arial"/>
          <w:color w:val="FF0000"/>
          <w:sz w:val="21"/>
          <w:szCs w:val="21"/>
          <w:lang w:eastAsia="zh-CN"/>
        </w:rPr>
        <w:t>：</w:t>
      </w:r>
      <w:r>
        <w:rPr>
          <w:rFonts w:hint="eastAsia" w:ascii="Arial" w:hAnsi="Arial" w:eastAsia="宋体" w:cs="Arial"/>
          <w:color w:val="FF0000"/>
          <w:sz w:val="21"/>
          <w:szCs w:val="21"/>
          <w:lang w:val="en-US" w:eastAsia="zh-CN"/>
        </w:rPr>
        <w:t>00</w:t>
      </w:r>
      <w:r>
        <w:rPr>
          <w:rFonts w:ascii="宋体" w:hAnsi="宋体" w:eastAsia="宋体" w:cs="宋体"/>
          <w:color w:val="FF0000"/>
          <w:sz w:val="21"/>
          <w:szCs w:val="21"/>
        </w:rPr>
        <w:t>整</w:t>
      </w:r>
      <w:r>
        <w:rPr>
          <w:rFonts w:hint="eastAsia" w:ascii="宋体" w:hAnsi="宋体" w:eastAsia="宋体" w:cs="宋体"/>
          <w:color w:val="FF000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eastAsia="宋体"/>
          <w:color w:val="auto"/>
          <w:sz w:val="20"/>
          <w:szCs w:val="20"/>
          <w:lang w:eastAsia="zh-CN"/>
        </w:rPr>
      </w:pPr>
      <w:r>
        <w:rPr>
          <w:rFonts w:ascii="宋体" w:hAnsi="宋体" w:eastAsia="宋体" w:cs="宋体"/>
          <w:b/>
          <w:bCs/>
          <w:color w:val="auto"/>
          <w:sz w:val="21"/>
          <w:szCs w:val="21"/>
        </w:rPr>
        <w:t>八、磋商地点：</w:t>
      </w:r>
      <w:r>
        <w:rPr>
          <w:rFonts w:hint="eastAsia" w:ascii="宋体" w:hAnsi="宋体" w:eastAsia="宋体" w:cs="宋体"/>
          <w:color w:val="auto"/>
          <w:sz w:val="21"/>
          <w:szCs w:val="21"/>
          <w:lang w:eastAsia="zh-CN"/>
        </w:rPr>
        <w:t>杭州市西湖区文三路18号新世纪大酒店7楼；</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color w:val="auto"/>
          <w:sz w:val="20"/>
          <w:szCs w:val="20"/>
        </w:rPr>
      </w:pPr>
      <w:r>
        <w:rPr>
          <w:rFonts w:ascii="宋体" w:hAnsi="宋体" w:eastAsia="宋体" w:cs="宋体"/>
          <w:b/>
          <w:bCs/>
          <w:color w:val="auto"/>
          <w:sz w:val="21"/>
          <w:szCs w:val="21"/>
        </w:rPr>
        <w:t>九、磋商保证金及交付方式：</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jc w:val="left"/>
        <w:textAlignment w:val="auto"/>
        <w:outlineLvl w:val="9"/>
        <w:rPr>
          <w:rFonts w:hint="eastAsia" w:eastAsia="宋体"/>
          <w:color w:val="auto"/>
          <w:sz w:val="20"/>
          <w:szCs w:val="20"/>
          <w:lang w:eastAsia="zh-CN"/>
        </w:rPr>
      </w:pPr>
      <w:r>
        <w:rPr>
          <w:rFonts w:ascii="宋体" w:hAnsi="宋体" w:eastAsia="宋体" w:cs="宋体"/>
          <w:color w:val="auto"/>
          <w:sz w:val="21"/>
          <w:szCs w:val="21"/>
        </w:rPr>
        <w:t>保证金金额：</w:t>
      </w:r>
      <w:r>
        <w:rPr>
          <w:rFonts w:hint="eastAsia" w:ascii="宋体" w:hAnsi="宋体" w:eastAsia="宋体" w:cs="宋体"/>
          <w:color w:val="auto"/>
          <w:sz w:val="21"/>
          <w:szCs w:val="21"/>
          <w:lang w:val="en-US" w:eastAsia="zh-CN"/>
        </w:rPr>
        <w:t>叁万</w:t>
      </w:r>
      <w:r>
        <w:rPr>
          <w:rFonts w:ascii="宋体" w:hAnsi="宋体" w:eastAsia="宋体" w:cs="宋体"/>
          <w:color w:val="auto"/>
          <w:sz w:val="21"/>
          <w:szCs w:val="21"/>
        </w:rPr>
        <w:t>元人民币</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rPr>
          <w:color w:val="auto"/>
          <w:sz w:val="20"/>
          <w:szCs w:val="20"/>
        </w:rPr>
      </w:pPr>
      <w:bookmarkStart w:id="3" w:name="page4"/>
      <w:bookmarkEnd w:id="3"/>
      <w:r>
        <w:rPr>
          <w:rFonts w:ascii="宋体" w:hAnsi="宋体" w:eastAsia="宋体" w:cs="宋体"/>
          <w:color w:val="auto"/>
          <w:sz w:val="21"/>
          <w:szCs w:val="21"/>
        </w:rPr>
        <w:t>支付方式：银行转账（汇款、电汇）或汇（支、本）票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非现金</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rPr>
          <w:color w:val="auto"/>
          <w:sz w:val="20"/>
          <w:szCs w:val="20"/>
        </w:rPr>
      </w:pPr>
      <w:r>
        <w:rPr>
          <w:rFonts w:ascii="宋体" w:hAnsi="宋体" w:eastAsia="宋体" w:cs="宋体"/>
          <w:color w:val="auto"/>
          <w:sz w:val="21"/>
          <w:szCs w:val="21"/>
        </w:rPr>
        <w:t>收款单位（户名）：</w:t>
      </w:r>
      <w:r>
        <w:rPr>
          <w:rFonts w:hint="eastAsia" w:ascii="宋体" w:hAnsi="宋体" w:eastAsia="宋体" w:cs="宋体"/>
          <w:color w:val="auto"/>
          <w:sz w:val="21"/>
          <w:szCs w:val="21"/>
          <w:lang w:eastAsia="zh-CN"/>
        </w:rPr>
        <w:t>杭州好邦建筑工程咨询有限公司；</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rPr>
          <w:color w:val="auto"/>
          <w:sz w:val="20"/>
          <w:szCs w:val="20"/>
        </w:rPr>
      </w:pPr>
      <w:r>
        <w:rPr>
          <w:rFonts w:ascii="宋体" w:hAnsi="宋体" w:eastAsia="宋体" w:cs="宋体"/>
          <w:color w:val="auto"/>
          <w:sz w:val="21"/>
          <w:szCs w:val="21"/>
        </w:rPr>
        <w:t>开户：</w:t>
      </w:r>
      <w:r>
        <w:rPr>
          <w:rFonts w:hint="eastAsia" w:ascii="宋体" w:hAnsi="宋体" w:eastAsia="宋体" w:cs="宋体"/>
          <w:color w:val="auto"/>
          <w:sz w:val="21"/>
          <w:szCs w:val="21"/>
        </w:rPr>
        <w:t>工行杭州莫干山路支行</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rPr>
          <w:color w:val="auto"/>
          <w:sz w:val="20"/>
          <w:szCs w:val="20"/>
        </w:rPr>
      </w:pPr>
      <w:r>
        <w:rPr>
          <w:rFonts w:ascii="宋体" w:hAnsi="宋体" w:eastAsia="宋体" w:cs="宋体"/>
          <w:color w:val="auto"/>
          <w:sz w:val="21"/>
          <w:szCs w:val="21"/>
        </w:rPr>
        <w:t>账号：</w:t>
      </w:r>
      <w:r>
        <w:rPr>
          <w:rFonts w:hint="eastAsia" w:ascii="宋体" w:hAnsi="宋体" w:eastAsia="宋体" w:cs="宋体"/>
          <w:color w:val="auto"/>
          <w:sz w:val="21"/>
          <w:szCs w:val="21"/>
        </w:rPr>
        <w:t>1202026109900035396</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十、其他事项：</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1、磋商公告期限：从公告发布之日起至公告发布之日后的第 4 个工作日；</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2、未经报名登记并获取磋商文件的供应商参与本项目投标，将被拒绝；</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3、供应商认为采购文件使自己的权益受到损害的，可以自收到采购文件之日（发售截止日之后收到采购文件的，以发售截止日为准）或者采购文件公告期限届满之日（竞争性磋商公告为公告发布后的第</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个工作日）起</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hint="eastAsia" w:eastAsia="宋体"/>
          <w:b/>
          <w:bCs/>
          <w:color w:val="auto"/>
          <w:sz w:val="20"/>
          <w:szCs w:val="20"/>
          <w:lang w:val="en-US" w:eastAsia="zh-CN"/>
        </w:rPr>
      </w:pPr>
      <w:r>
        <w:rPr>
          <w:rFonts w:ascii="宋体" w:hAnsi="宋体" w:eastAsia="宋体" w:cs="宋体"/>
          <w:b/>
          <w:bCs/>
          <w:color w:val="auto"/>
          <w:sz w:val="21"/>
          <w:szCs w:val="21"/>
        </w:rPr>
        <w:t>4、购买竞争性磋商时须提交的文件资料：</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邮件报名需复印件加盖公章</w:t>
      </w:r>
      <w:r>
        <w:rPr>
          <w:rFonts w:hint="eastAsia" w:ascii="宋体" w:hAnsi="宋体" w:eastAsia="宋体" w:cs="宋体"/>
          <w:b/>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b/>
          <w:bCs/>
          <w:color w:val="auto"/>
          <w:sz w:val="20"/>
          <w:szCs w:val="20"/>
        </w:rPr>
      </w:pPr>
      <w:r>
        <w:rPr>
          <w:rFonts w:ascii="宋体" w:hAnsi="宋体" w:eastAsia="宋体" w:cs="宋体"/>
          <w:b/>
          <w:bCs/>
          <w:color w:val="auto"/>
          <w:sz w:val="21"/>
          <w:szCs w:val="21"/>
        </w:rPr>
        <w:t>1）介绍信或法人授权书（原件</w:t>
      </w:r>
      <w:r>
        <w:rPr>
          <w:rFonts w:hint="eastAsia" w:ascii="宋体" w:hAnsi="宋体" w:eastAsia="宋体" w:cs="宋体"/>
          <w:b/>
          <w:bCs/>
          <w:color w:val="auto"/>
          <w:sz w:val="21"/>
          <w:szCs w:val="21"/>
          <w:lang w:val="en-US" w:eastAsia="zh-CN"/>
        </w:rPr>
        <w:t>加盖公章</w:t>
      </w:r>
      <w:r>
        <w:rPr>
          <w:rFonts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b/>
          <w:bCs/>
          <w:color w:val="auto"/>
          <w:sz w:val="20"/>
          <w:szCs w:val="20"/>
        </w:rPr>
      </w:pPr>
      <w:r>
        <w:rPr>
          <w:rFonts w:ascii="宋体" w:hAnsi="宋体" w:eastAsia="宋体" w:cs="宋体"/>
          <w:b/>
          <w:bCs/>
          <w:color w:val="auto"/>
          <w:sz w:val="21"/>
          <w:szCs w:val="21"/>
        </w:rPr>
        <w:t>2）被授权人身份证（</w:t>
      </w:r>
      <w:r>
        <w:rPr>
          <w:rFonts w:hint="eastAsia" w:ascii="宋体" w:hAnsi="宋体" w:eastAsia="宋体" w:cs="宋体"/>
          <w:b/>
          <w:bCs/>
          <w:color w:val="auto"/>
          <w:sz w:val="21"/>
          <w:szCs w:val="21"/>
          <w:lang w:val="en-US" w:eastAsia="zh-CN"/>
        </w:rPr>
        <w:t>复印</w:t>
      </w:r>
      <w:r>
        <w:rPr>
          <w:rFonts w:ascii="宋体" w:hAnsi="宋体" w:eastAsia="宋体" w:cs="宋体"/>
          <w:b/>
          <w:bCs/>
          <w:color w:val="auto"/>
          <w:sz w:val="21"/>
          <w:szCs w:val="21"/>
        </w:rPr>
        <w:t>件</w:t>
      </w:r>
      <w:r>
        <w:rPr>
          <w:rFonts w:hint="eastAsia" w:ascii="宋体" w:hAnsi="宋体" w:eastAsia="宋体" w:cs="宋体"/>
          <w:b/>
          <w:bCs/>
          <w:color w:val="auto"/>
          <w:sz w:val="21"/>
          <w:szCs w:val="21"/>
          <w:lang w:val="en-US" w:eastAsia="zh-CN"/>
        </w:rPr>
        <w:t>加盖公章</w:t>
      </w:r>
      <w:r>
        <w:rPr>
          <w:rFonts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ascii="宋体" w:hAnsi="宋体" w:eastAsia="宋体" w:cs="宋体"/>
          <w:b/>
          <w:bCs/>
          <w:color w:val="auto"/>
          <w:sz w:val="21"/>
          <w:szCs w:val="21"/>
        </w:rPr>
      </w:pPr>
      <w:r>
        <w:rPr>
          <w:rFonts w:ascii="宋体" w:hAnsi="宋体" w:eastAsia="宋体" w:cs="宋体"/>
          <w:b/>
          <w:bCs/>
          <w:color w:val="auto"/>
          <w:sz w:val="21"/>
          <w:szCs w:val="21"/>
        </w:rPr>
        <w:t>3）营业执照副本（复印件加盖公章）；</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 供应商报名表；</w:t>
      </w:r>
      <w:r>
        <w:rPr>
          <w:rFonts w:ascii="宋体" w:hAnsi="宋体" w:eastAsia="宋体" w:cs="宋体"/>
          <w:b/>
          <w:bCs/>
          <w:color w:val="auto"/>
          <w:sz w:val="21"/>
          <w:szCs w:val="21"/>
        </w:rPr>
        <w:t>（原件</w:t>
      </w:r>
      <w:r>
        <w:rPr>
          <w:rFonts w:hint="eastAsia" w:ascii="宋体" w:hAnsi="宋体" w:eastAsia="宋体" w:cs="宋体"/>
          <w:b/>
          <w:bCs/>
          <w:color w:val="auto"/>
          <w:sz w:val="21"/>
          <w:szCs w:val="21"/>
          <w:lang w:val="en-US" w:eastAsia="zh-CN"/>
        </w:rPr>
        <w:t>加盖公章</w:t>
      </w:r>
      <w:r>
        <w:rPr>
          <w:rFonts w:ascii="宋体" w:hAnsi="宋体" w:eastAsia="宋体" w:cs="宋体"/>
          <w:b/>
          <w:bCs/>
          <w:color w:val="auto"/>
          <w:sz w:val="21"/>
          <w:szCs w:val="21"/>
        </w:rPr>
        <w:t>）</w:t>
      </w:r>
      <w:r>
        <w:rPr>
          <w:rFonts w:hint="eastAsia" w:ascii="宋体" w:hAnsi="宋体" w:eastAsia="宋体" w:cs="宋体"/>
          <w:b/>
          <w:bCs/>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5）特定资格要求相关资质（复印件加盖公章）；</w:t>
      </w:r>
    </w:p>
    <w:p>
      <w:pPr>
        <w:keepNext w:val="0"/>
        <w:keepLines w:val="0"/>
        <w:pageBreakBefore w:val="0"/>
        <w:widowControl/>
        <w:kinsoku/>
        <w:wordWrap/>
        <w:overflowPunct/>
        <w:topLinePunct w:val="0"/>
        <w:autoSpaceDE/>
        <w:autoSpaceDN/>
        <w:bidi w:val="0"/>
        <w:adjustRightInd/>
        <w:snapToGrid/>
        <w:spacing w:after="0" w:line="360" w:lineRule="auto"/>
        <w:ind w:right="346" w:firstLine="210" w:firstLineChars="100"/>
        <w:jc w:val="both"/>
        <w:textAlignment w:val="auto"/>
        <w:outlineLvl w:val="9"/>
        <w:rPr>
          <w:color w:val="auto"/>
          <w:sz w:val="21"/>
          <w:szCs w:val="21"/>
        </w:rPr>
      </w:pP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、竞争性磋商文件发售截止时间之后潜在供应商仍然可以购买磋商文件，但该供应商如对磋商文件有疑问可以按磋商文件规定的询疑时间前提出，逾期提出的，采购组织机构可以不予受理、答复；</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1"/>
          <w:szCs w:val="21"/>
        </w:rPr>
      </w:pP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、潜在供应商可在浙江政府采购网 http://www.zjzfcg.gov.cn 进行免费注册，具体详见浙江政府采购网供应商注册要求；</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rFonts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ascii="宋体" w:hAnsi="宋体" w:eastAsia="宋体" w:cs="宋体"/>
          <w:color w:val="auto"/>
          <w:sz w:val="21"/>
          <w:szCs w:val="21"/>
        </w:rPr>
        <w:t>、书面质疑受理地点：</w:t>
      </w:r>
      <w:r>
        <w:rPr>
          <w:rFonts w:hint="eastAsia" w:ascii="宋体" w:hAnsi="宋体" w:eastAsia="宋体" w:cs="宋体"/>
          <w:color w:val="auto"/>
          <w:sz w:val="21"/>
          <w:szCs w:val="21"/>
          <w:lang w:eastAsia="zh-CN"/>
        </w:rPr>
        <w:t>杭州市西湖区文三路18号新世纪大酒店7楼；</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1"/>
          <w:szCs w:val="21"/>
        </w:rPr>
      </w:pPr>
      <w:r>
        <w:rPr>
          <w:rFonts w:ascii="宋体" w:hAnsi="宋体" w:eastAsia="宋体" w:cs="宋体"/>
          <w:color w:val="auto"/>
          <w:sz w:val="21"/>
          <w:szCs w:val="21"/>
        </w:rPr>
        <w:t>联系人：</w:t>
      </w:r>
      <w:r>
        <w:rPr>
          <w:rFonts w:hint="eastAsia" w:ascii="宋体" w:hAnsi="宋体" w:eastAsia="宋体" w:cs="宋体"/>
          <w:color w:val="auto"/>
          <w:sz w:val="21"/>
          <w:szCs w:val="21"/>
          <w:lang w:val="en-US" w:eastAsia="zh-CN"/>
        </w:rPr>
        <w:t>章先生               电话、</w:t>
      </w:r>
      <w:r>
        <w:rPr>
          <w:rFonts w:ascii="宋体" w:hAnsi="宋体" w:eastAsia="宋体" w:cs="宋体"/>
          <w:color w:val="auto"/>
          <w:sz w:val="21"/>
          <w:szCs w:val="21"/>
        </w:rPr>
        <w:t>传真：0571-</w:t>
      </w:r>
      <w:r>
        <w:rPr>
          <w:rFonts w:hint="eastAsia" w:ascii="宋体" w:hAnsi="宋体" w:eastAsia="宋体" w:cs="宋体"/>
          <w:color w:val="auto"/>
          <w:sz w:val="21"/>
          <w:szCs w:val="21"/>
          <w:lang w:val="en-US" w:eastAsia="zh-CN"/>
        </w:rPr>
        <w:t>81952301</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十一、联系方式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采购人：</w:t>
      </w:r>
      <w:r>
        <w:rPr>
          <w:rFonts w:hint="eastAsia" w:ascii="宋体" w:hAnsi="宋体" w:eastAsia="宋体" w:cs="宋体"/>
          <w:color w:val="auto"/>
          <w:sz w:val="21"/>
          <w:szCs w:val="21"/>
          <w:lang w:eastAsia="zh-CN"/>
        </w:rPr>
        <w:t>中国美术学院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联系人：</w:t>
      </w:r>
      <w:r>
        <w:rPr>
          <w:rFonts w:hint="eastAsia" w:ascii="宋体" w:hAnsi="宋体" w:eastAsia="宋体" w:cs="宋体"/>
          <w:color w:val="auto"/>
          <w:sz w:val="21"/>
          <w:szCs w:val="21"/>
          <w:lang w:val="en-US" w:eastAsia="zh-CN"/>
        </w:rPr>
        <w:t>吴</w:t>
      </w:r>
      <w:r>
        <w:rPr>
          <w:rFonts w:ascii="宋体" w:hAnsi="宋体" w:eastAsia="宋体" w:cs="宋体"/>
          <w:color w:val="auto"/>
          <w:sz w:val="21"/>
          <w:szCs w:val="21"/>
        </w:rPr>
        <w:t>老师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rPr>
      </w:pPr>
      <w:r>
        <w:rPr>
          <w:rFonts w:ascii="宋体" w:hAnsi="宋体" w:eastAsia="宋体" w:cs="宋体"/>
          <w:color w:val="auto"/>
          <w:sz w:val="21"/>
          <w:szCs w:val="21"/>
        </w:rPr>
        <w:t>联系电话：</w:t>
      </w:r>
      <w:r>
        <w:rPr>
          <w:rFonts w:hint="eastAsia" w:ascii="宋体" w:hAnsi="宋体" w:eastAsia="宋体" w:cs="宋体"/>
          <w:color w:val="auto"/>
          <w:sz w:val="21"/>
          <w:szCs w:val="21"/>
        </w:rPr>
        <w:t>0571-87164696</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val="en-US" w:eastAsia="zh-CN"/>
        </w:rPr>
        <w:t>金</w:t>
      </w:r>
      <w:r>
        <w:rPr>
          <w:rFonts w:hint="eastAsia" w:ascii="宋体" w:hAnsi="宋体" w:eastAsia="宋体" w:cs="宋体"/>
          <w:color w:val="auto"/>
          <w:sz w:val="21"/>
          <w:szCs w:val="21"/>
        </w:rPr>
        <w:t>老师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lang w:val="en-US"/>
        </w:rPr>
      </w:pPr>
      <w:r>
        <w:rPr>
          <w:rFonts w:hint="eastAsia" w:ascii="宋体" w:hAnsi="宋体" w:eastAsia="宋体" w:cs="宋体"/>
          <w:color w:val="auto"/>
          <w:sz w:val="21"/>
          <w:szCs w:val="21"/>
        </w:rPr>
        <w:t>联系方式：0571-</w:t>
      </w:r>
      <w:r>
        <w:rPr>
          <w:rFonts w:hint="eastAsia" w:ascii="宋体" w:hAnsi="宋体" w:eastAsia="宋体" w:cs="宋体"/>
          <w:color w:val="auto"/>
          <w:sz w:val="21"/>
          <w:szCs w:val="21"/>
          <w:lang w:val="en-US" w:eastAsia="zh-CN"/>
        </w:rPr>
        <w:t>87200091</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地址：</w:t>
      </w:r>
      <w:r>
        <w:rPr>
          <w:rFonts w:hint="eastAsia" w:ascii="宋体" w:hAnsi="宋体" w:eastAsia="宋体" w:cs="宋体"/>
          <w:color w:val="auto"/>
          <w:sz w:val="21"/>
          <w:szCs w:val="21"/>
        </w:rPr>
        <w:t>杭州市南山路218号</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采购代理机构名称：</w:t>
      </w:r>
      <w:r>
        <w:rPr>
          <w:rFonts w:hint="eastAsia" w:asciiTheme="minorEastAsia" w:hAnsiTheme="minorEastAsia" w:eastAsiaTheme="minorEastAsia" w:cstheme="minorEastAsia"/>
          <w:color w:val="auto"/>
          <w:sz w:val="21"/>
          <w:szCs w:val="21"/>
          <w:lang w:eastAsia="zh-CN"/>
        </w:rPr>
        <w:t>杭州好邦建筑工程咨询有限公司</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地址：</w:t>
      </w:r>
      <w:r>
        <w:rPr>
          <w:rFonts w:hint="eastAsia" w:asciiTheme="minorEastAsia" w:hAnsiTheme="minorEastAsia" w:cstheme="minorEastAsia"/>
          <w:color w:val="auto"/>
          <w:sz w:val="21"/>
          <w:szCs w:val="21"/>
          <w:lang w:eastAsia="zh-CN"/>
        </w:rPr>
        <w:t>杭州市西湖区文三路18号新世纪大酒店7楼</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val="en-US" w:eastAsia="zh-CN"/>
        </w:rPr>
        <w:t>曹</w:t>
      </w:r>
      <w:r>
        <w:rPr>
          <w:rFonts w:hint="eastAsia" w:asciiTheme="minorEastAsia" w:hAnsiTheme="minorEastAsia" w:eastAsiaTheme="minorEastAsia" w:cstheme="minorEastAsia"/>
          <w:color w:val="auto"/>
          <w:sz w:val="21"/>
          <w:szCs w:val="21"/>
        </w:rPr>
        <w:t>先生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eastAsia="zh-CN"/>
        </w:rPr>
        <w:t>0571-8195230</w:t>
      </w:r>
      <w:r>
        <w:rPr>
          <w:rFonts w:hint="eastAsia" w:asciiTheme="minorEastAsia" w:hAnsiTheme="minorEastAsia" w:cstheme="minorEastAsia"/>
          <w:color w:val="auto"/>
          <w:sz w:val="21"/>
          <w:szCs w:val="21"/>
          <w:lang w:val="en-US" w:eastAsia="zh-CN"/>
        </w:rPr>
        <w:t>1</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传真：0571-</w:t>
      </w:r>
      <w:r>
        <w:rPr>
          <w:rFonts w:hint="eastAsia" w:asciiTheme="minorEastAsia" w:hAnsiTheme="minorEastAsia" w:eastAsiaTheme="minorEastAsia" w:cstheme="minorEastAsia"/>
          <w:color w:val="auto"/>
          <w:sz w:val="21"/>
          <w:szCs w:val="21"/>
          <w:lang w:eastAsia="zh-CN"/>
        </w:rPr>
        <w:t>8195230</w:t>
      </w:r>
      <w:r>
        <w:rPr>
          <w:rFonts w:hint="eastAsia" w:asciiTheme="minorEastAsia" w:hAnsiTheme="minorEastAsia" w:cstheme="minorEastAsia"/>
          <w:color w:val="auto"/>
          <w:sz w:val="21"/>
          <w:szCs w:val="21"/>
          <w:lang w:val="en-US" w:eastAsia="zh-CN"/>
        </w:rPr>
        <w:t>1</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同级政府采购监管部门：浙江省财政厅政府采购监管处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联系人：倪文良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联系电话：0571-87057615</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地址：杭州市环城西路 37 号</w:t>
      </w:r>
    </w:p>
    <w:p>
      <w:pPr>
        <w:keepNext w:val="0"/>
        <w:keepLines w:val="0"/>
        <w:pageBreakBefore w:val="0"/>
        <w:widowControl/>
        <w:kinsoku/>
        <w:wordWrap/>
        <w:overflowPunct/>
        <w:topLinePunct w:val="0"/>
        <w:autoSpaceDE/>
        <w:autoSpaceDN/>
        <w:bidi w:val="0"/>
        <w:adjustRightInd/>
        <w:snapToGrid/>
        <w:spacing w:line="360" w:lineRule="auto"/>
        <w:ind w:firstLine="398" w:firstLineChars="200"/>
        <w:jc w:val="both"/>
        <w:textAlignment w:val="auto"/>
        <w:rPr>
          <w:rFonts w:hint="eastAsia" w:asciiTheme="minorEastAsia" w:hAnsiTheme="minorEastAsia" w:eastAsiaTheme="minorEastAsia" w:cstheme="minorEastAsia"/>
          <w:b/>
          <w:spacing w:val="-6"/>
          <w:sz w:val="21"/>
          <w:szCs w:val="21"/>
        </w:rPr>
      </w:pPr>
      <w:r>
        <w:rPr>
          <w:rFonts w:hint="eastAsia" w:asciiTheme="minorEastAsia" w:hAnsiTheme="minorEastAsia" w:eastAsiaTheme="minorEastAsia" w:cstheme="minorEastAsia"/>
          <w:b/>
          <w:spacing w:val="-6"/>
          <w:sz w:val="21"/>
          <w:szCs w:val="21"/>
        </w:rPr>
        <w:t>十</w:t>
      </w:r>
      <w:r>
        <w:rPr>
          <w:rFonts w:hint="eastAsia" w:asciiTheme="minorEastAsia" w:hAnsiTheme="minorEastAsia" w:eastAsiaTheme="minorEastAsia" w:cstheme="minorEastAsia"/>
          <w:b/>
          <w:spacing w:val="-6"/>
          <w:sz w:val="21"/>
          <w:szCs w:val="21"/>
          <w:lang w:val="en-US" w:eastAsia="zh-CN"/>
        </w:rPr>
        <w:t>二</w:t>
      </w:r>
      <w:r>
        <w:rPr>
          <w:rFonts w:hint="eastAsia" w:asciiTheme="minorEastAsia" w:hAnsiTheme="minorEastAsia" w:eastAsiaTheme="minorEastAsia" w:cstheme="minorEastAsia"/>
          <w:b/>
          <w:spacing w:val="-6"/>
          <w:sz w:val="21"/>
          <w:szCs w:val="21"/>
        </w:rPr>
        <w:t>、采购项目需要落实的政府采购政策：</w:t>
      </w:r>
    </w:p>
    <w:p>
      <w:pPr>
        <w:keepNext w:val="0"/>
        <w:keepLines w:val="0"/>
        <w:pageBreakBefore w:val="0"/>
        <w:widowControl/>
        <w:kinsoku/>
        <w:wordWrap/>
        <w:overflowPunct/>
        <w:topLinePunct w:val="0"/>
        <w:autoSpaceDE/>
        <w:autoSpaceDN/>
        <w:bidi w:val="0"/>
        <w:adjustRightInd/>
        <w:snapToGrid/>
        <w:spacing w:line="360" w:lineRule="auto"/>
        <w:ind w:right="62" w:firstLine="396" w:firstLineChars="200"/>
        <w:jc w:val="both"/>
        <w:textAlignment w:val="auto"/>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spacing w:val="-6"/>
          <w:kern w:val="0"/>
          <w:sz w:val="21"/>
          <w:szCs w:val="21"/>
        </w:rPr>
        <w:t>1.政府采购促进中小企业发展；</w:t>
      </w:r>
    </w:p>
    <w:p>
      <w:pPr>
        <w:keepNext w:val="0"/>
        <w:keepLines w:val="0"/>
        <w:pageBreakBefore w:val="0"/>
        <w:widowControl/>
        <w:kinsoku/>
        <w:wordWrap/>
        <w:overflowPunct/>
        <w:topLinePunct w:val="0"/>
        <w:autoSpaceDE/>
        <w:autoSpaceDN/>
        <w:bidi w:val="0"/>
        <w:adjustRightInd/>
        <w:snapToGrid/>
        <w:spacing w:line="360" w:lineRule="auto"/>
        <w:ind w:right="62" w:firstLine="396" w:firstLineChars="200"/>
        <w:jc w:val="both"/>
        <w:textAlignment w:val="auto"/>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spacing w:val="-6"/>
          <w:kern w:val="0"/>
          <w:sz w:val="21"/>
          <w:szCs w:val="21"/>
        </w:rPr>
        <w:t>2.政府采购支持监狱企业发展；</w:t>
      </w:r>
    </w:p>
    <w:p>
      <w:pPr>
        <w:keepNext w:val="0"/>
        <w:keepLines w:val="0"/>
        <w:pageBreakBefore w:val="0"/>
        <w:widowControl/>
        <w:kinsoku/>
        <w:wordWrap/>
        <w:overflowPunct/>
        <w:topLinePunct w:val="0"/>
        <w:autoSpaceDE/>
        <w:autoSpaceDN/>
        <w:bidi w:val="0"/>
        <w:adjustRightInd/>
        <w:snapToGrid/>
        <w:spacing w:line="360" w:lineRule="auto"/>
        <w:ind w:right="62" w:firstLine="396" w:firstLineChars="200"/>
        <w:jc w:val="both"/>
        <w:textAlignment w:val="auto"/>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spacing w:val="-6"/>
          <w:kern w:val="0"/>
          <w:sz w:val="21"/>
          <w:szCs w:val="21"/>
        </w:rPr>
        <w:t>3.政府采购促进残疾人就业；</w:t>
      </w:r>
    </w:p>
    <w:p>
      <w:pPr>
        <w:keepNext w:val="0"/>
        <w:keepLines w:val="0"/>
        <w:pageBreakBefore w:val="0"/>
        <w:widowControl/>
        <w:kinsoku/>
        <w:wordWrap/>
        <w:overflowPunct/>
        <w:topLinePunct w:val="0"/>
        <w:autoSpaceDE/>
        <w:autoSpaceDN/>
        <w:bidi w:val="0"/>
        <w:adjustRightInd/>
        <w:snapToGrid/>
        <w:spacing w:after="0" w:line="360" w:lineRule="auto"/>
        <w:ind w:right="3626" w:firstLine="396" w:firstLineChars="200"/>
        <w:jc w:val="both"/>
        <w:textAlignment w:val="auto"/>
        <w:rPr>
          <w:rFonts w:hint="eastAsia" w:asciiTheme="minorEastAsia" w:hAnsiTheme="minorEastAsia" w:eastAsiaTheme="minorEastAsia" w:cstheme="minorEastAsia"/>
          <w:sz w:val="21"/>
          <w:szCs w:val="21"/>
          <w:lang w:eastAsia="zh-CN"/>
        </w:rPr>
        <w:sectPr>
          <w:headerReference r:id="rId7" w:type="default"/>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r>
        <w:rPr>
          <w:rFonts w:hint="eastAsia" w:asciiTheme="minorEastAsia" w:hAnsiTheme="minorEastAsia" w:eastAsiaTheme="minorEastAsia" w:cstheme="minorEastAsia"/>
          <w:spacing w:val="-6"/>
          <w:kern w:val="0"/>
          <w:sz w:val="21"/>
          <w:szCs w:val="21"/>
        </w:rPr>
        <w:t>4.政府采购鼓励节能、环保产品；</w:t>
      </w:r>
    </w:p>
    <w:p>
      <w:pPr>
        <w:spacing w:after="0" w:line="1" w:lineRule="exact"/>
        <w:rPr>
          <w:color w:val="auto"/>
          <w:sz w:val="20"/>
          <w:szCs w:val="20"/>
        </w:rPr>
      </w:pPr>
      <w:bookmarkStart w:id="4" w:name="page5"/>
      <w:bookmarkEnd w:id="4"/>
      <w:bookmarkStart w:id="5" w:name="page6"/>
      <w:bookmarkEnd w:id="5"/>
    </w:p>
    <w:p>
      <w:pPr>
        <w:spacing w:after="0" w:line="20" w:lineRule="exact"/>
      </w:pPr>
      <w:r>
        <w:rPr>
          <w:color w:val="auto"/>
          <w:sz w:val="20"/>
          <w:szCs w:val="20"/>
        </w:rPr>
        <w:drawing>
          <wp:anchor distT="0" distB="0" distL="114300" distR="114300" simplePos="0" relativeHeight="251658240" behindDoc="1" locked="0" layoutInCell="0" allowOverlap="1">
            <wp:simplePos x="0" y="0"/>
            <wp:positionH relativeFrom="column">
              <wp:posOffset>2235835</wp:posOffset>
            </wp:positionH>
            <wp:positionV relativeFrom="paragraph">
              <wp:posOffset>-5064125</wp:posOffset>
            </wp:positionV>
            <wp:extent cx="126365" cy="160020"/>
            <wp:effectExtent l="0" t="0" r="63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srcRect/>
                    <a:stretch>
                      <a:fillRect/>
                    </a:stretch>
                  </pic:blipFill>
                  <pic:spPr>
                    <a:xfrm>
                      <a:off x="0" y="0"/>
                      <a:ext cx="126365" cy="160020"/>
                    </a:xfrm>
                    <a:prstGeom prst="rect">
                      <a:avLst/>
                    </a:prstGeom>
                    <a:noFill/>
                  </pic:spPr>
                </pic:pic>
              </a:graphicData>
            </a:graphic>
          </wp:anchor>
        </w:drawing>
      </w:r>
    </w:p>
    <w:p>
      <w:pPr>
        <w:numPr>
          <w:ilvl w:val="0"/>
          <w:numId w:val="1"/>
        </w:numPr>
        <w:tabs>
          <w:tab w:val="center" w:pos="4737"/>
        </w:tabs>
        <w:jc w:val="center"/>
        <w:rPr>
          <w:rFonts w:hint="eastAsia"/>
          <w:b/>
          <w:bCs/>
          <w:sz w:val="32"/>
          <w:szCs w:val="32"/>
          <w:lang w:val="en-US" w:eastAsia="zh-CN"/>
        </w:rPr>
      </w:pPr>
      <w:r>
        <w:rPr>
          <w:rFonts w:hint="eastAsia"/>
          <w:b/>
          <w:bCs/>
          <w:sz w:val="32"/>
          <w:szCs w:val="32"/>
          <w:lang w:val="en-US" w:eastAsia="zh-CN"/>
        </w:rPr>
        <w:t>供应商须知前附表</w:t>
      </w:r>
    </w:p>
    <w:p>
      <w:pPr>
        <w:numPr>
          <w:ilvl w:val="0"/>
          <w:numId w:val="0"/>
        </w:numPr>
        <w:tabs>
          <w:tab w:val="center" w:pos="4737"/>
        </w:tabs>
        <w:jc w:val="both"/>
        <w:rPr>
          <w:rFonts w:hint="eastAsia"/>
          <w:b/>
          <w:bCs/>
          <w:sz w:val="32"/>
          <w:szCs w:val="32"/>
          <w:lang w:val="en-US" w:eastAsia="zh-CN"/>
        </w:rPr>
      </w:pPr>
    </w:p>
    <w:tbl>
      <w:tblPr>
        <w:tblStyle w:val="2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hint="eastAsia" w:ascii="宋体" w:hAnsi="宋体" w:cs="Arial"/>
                <w:b/>
                <w:sz w:val="21"/>
                <w:szCs w:val="21"/>
              </w:rPr>
            </w:pPr>
            <w:r>
              <w:rPr>
                <w:rFonts w:hint="eastAsia" w:ascii="宋体" w:hAnsi="宋体" w:cs="Arial"/>
                <w:b/>
                <w:sz w:val="21"/>
                <w:szCs w:val="21"/>
              </w:rPr>
              <w:t>序号</w:t>
            </w:r>
          </w:p>
        </w:tc>
        <w:tc>
          <w:tcPr>
            <w:tcW w:w="2146" w:type="dxa"/>
            <w:tcBorders>
              <w:top w:val="single" w:color="auto" w:sz="12" w:space="0"/>
            </w:tcBorders>
            <w:vAlign w:val="center"/>
          </w:tcPr>
          <w:p>
            <w:pPr>
              <w:snapToGrid w:val="0"/>
              <w:spacing w:line="400" w:lineRule="exact"/>
              <w:jc w:val="center"/>
              <w:rPr>
                <w:rFonts w:ascii="宋体" w:hAnsi="宋体" w:cs="Arial"/>
                <w:b/>
                <w:sz w:val="21"/>
                <w:szCs w:val="21"/>
              </w:rPr>
            </w:pPr>
            <w:r>
              <w:rPr>
                <w:rFonts w:ascii="宋体" w:hAnsi="宋体" w:cs="Arial"/>
                <w:b/>
                <w:sz w:val="21"/>
                <w:szCs w:val="21"/>
              </w:rPr>
              <w:t>内容</w:t>
            </w:r>
          </w:p>
        </w:tc>
        <w:tc>
          <w:tcPr>
            <w:tcW w:w="6314" w:type="dxa"/>
            <w:tcBorders>
              <w:top w:val="single" w:color="auto" w:sz="12" w:space="0"/>
              <w:right w:val="single" w:color="auto" w:sz="12" w:space="0"/>
            </w:tcBorders>
            <w:vAlign w:val="center"/>
          </w:tcPr>
          <w:p>
            <w:pPr>
              <w:snapToGrid w:val="0"/>
              <w:spacing w:line="400" w:lineRule="exact"/>
              <w:jc w:val="center"/>
              <w:rPr>
                <w:rFonts w:ascii="宋体" w:hAnsi="宋体" w:cs="Arial"/>
                <w:b/>
                <w:sz w:val="21"/>
                <w:szCs w:val="21"/>
              </w:rPr>
            </w:pPr>
            <w:r>
              <w:rPr>
                <w:rFonts w:ascii="宋体" w:hAnsi="宋体" w:cs="Arial"/>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采购代理机构</w:t>
            </w:r>
          </w:p>
        </w:tc>
        <w:tc>
          <w:tcPr>
            <w:tcW w:w="6314" w:type="dxa"/>
            <w:tcBorders>
              <w:right w:val="single" w:color="auto" w:sz="12" w:space="0"/>
            </w:tcBorders>
            <w:vAlign w:val="center"/>
          </w:tcPr>
          <w:p>
            <w:pPr>
              <w:spacing w:line="300" w:lineRule="exact"/>
              <w:rPr>
                <w:rFonts w:ascii="宋体" w:hAnsi="宋体"/>
                <w:sz w:val="21"/>
                <w:szCs w:val="21"/>
              </w:rPr>
            </w:pPr>
            <w:r>
              <w:rPr>
                <w:rFonts w:hint="eastAsia" w:ascii="宋体" w:hAnsi="宋体" w:cs="宋体"/>
                <w:color w:val="000000"/>
                <w:kern w:val="0"/>
                <w:sz w:val="21"/>
                <w:szCs w:val="21"/>
                <w:lang w:eastAsia="zh-CN"/>
              </w:rPr>
              <w:t>杭州好邦建筑工程咨询有限公司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3</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ascii="宋体" w:hAnsi="宋体" w:cs="Arial"/>
                <w:sz w:val="21"/>
                <w:szCs w:val="21"/>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sz w:val="21"/>
                <w:szCs w:val="21"/>
              </w:rPr>
            </w:pPr>
            <w:r>
              <w:rPr>
                <w:rFonts w:hint="eastAsia" w:ascii="宋体" w:hAnsi="宋体" w:cs="Arial"/>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4</w:t>
            </w:r>
          </w:p>
        </w:tc>
        <w:tc>
          <w:tcPr>
            <w:tcW w:w="2146" w:type="dxa"/>
            <w:vAlign w:val="center"/>
          </w:tcPr>
          <w:p>
            <w:pPr>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工期</w:t>
            </w:r>
          </w:p>
        </w:tc>
        <w:tc>
          <w:tcPr>
            <w:tcW w:w="6314" w:type="dxa"/>
            <w:tcBorders>
              <w:right w:val="single" w:color="auto" w:sz="12" w:space="0"/>
            </w:tcBorders>
            <w:vAlign w:val="center"/>
          </w:tcPr>
          <w:p>
            <w:pPr>
              <w:rPr>
                <w:rFonts w:ascii="宋体" w:hAnsi="宋体" w:cs="Arial"/>
                <w:sz w:val="21"/>
                <w:szCs w:val="21"/>
              </w:rPr>
            </w:pPr>
            <w:r>
              <w:rPr>
                <w:rFonts w:ascii="宋体" w:hAnsi="宋体"/>
                <w:b/>
                <w:bCs/>
                <w:sz w:val="21"/>
                <w:szCs w:val="21"/>
              </w:rPr>
              <w:t>计划工期：</w:t>
            </w:r>
            <w:r>
              <w:rPr>
                <w:rFonts w:hint="eastAsia" w:ascii="宋体" w:hAnsi="宋体"/>
                <w:b/>
                <w:bCs/>
                <w:sz w:val="21"/>
                <w:szCs w:val="21"/>
                <w:lang w:val="en-US" w:eastAsia="zh-CN"/>
              </w:rPr>
              <w:t>签订合同</w:t>
            </w:r>
            <w:r>
              <w:rPr>
                <w:rFonts w:hint="eastAsia" w:ascii="宋体" w:hAnsi="宋体"/>
                <w:b/>
                <w:bCs/>
                <w:color w:val="auto"/>
                <w:sz w:val="21"/>
                <w:szCs w:val="21"/>
                <w:lang w:val="en-US" w:eastAsia="zh-CN"/>
              </w:rPr>
              <w:t>之日起90天内完成。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cs="Arial"/>
                <w:sz w:val="21"/>
                <w:szCs w:val="21"/>
                <w:lang w:val="en-US" w:eastAsia="zh-CN"/>
              </w:rPr>
              <w:t>质量要求符合《工程施工质量验收规范》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现场踏勘</w:t>
            </w:r>
          </w:p>
        </w:tc>
        <w:tc>
          <w:tcPr>
            <w:tcW w:w="6314" w:type="dxa"/>
            <w:tcBorders>
              <w:right w:val="single" w:color="auto" w:sz="12" w:space="0"/>
            </w:tcBorders>
            <w:vAlign w:val="center"/>
          </w:tcPr>
          <w:p>
            <w:pPr>
              <w:spacing w:line="300" w:lineRule="exact"/>
              <w:rPr>
                <w:rFonts w:ascii="宋体" w:hAnsi="宋体" w:cs="Arial"/>
                <w:sz w:val="21"/>
                <w:szCs w:val="21"/>
              </w:rPr>
            </w:pPr>
            <w:r>
              <w:rPr>
                <w:rFonts w:hint="eastAsia" w:ascii="宋体" w:hAnsi="宋体" w:cs="Arial"/>
                <w:b/>
                <w:bCs/>
                <w:kern w:val="0"/>
                <w:sz w:val="21"/>
                <w:szCs w:val="21"/>
              </w:rPr>
              <w:t>不组织，</w:t>
            </w:r>
            <w:r>
              <w:rPr>
                <w:rFonts w:ascii="宋体" w:hAnsi="宋体" w:cs="Arial"/>
                <w:b/>
                <w:bCs/>
                <w:sz w:val="21"/>
                <w:szCs w:val="21"/>
              </w:rPr>
              <w:t>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答疑会</w:t>
            </w:r>
          </w:p>
        </w:tc>
        <w:tc>
          <w:tcPr>
            <w:tcW w:w="6314" w:type="dxa"/>
            <w:tcBorders>
              <w:right w:val="single" w:color="auto" w:sz="12" w:space="0"/>
            </w:tcBorders>
            <w:vAlign w:val="center"/>
          </w:tcPr>
          <w:p>
            <w:pPr>
              <w:spacing w:line="300" w:lineRule="exact"/>
              <w:ind w:right="87"/>
              <w:rPr>
                <w:rFonts w:hint="eastAsia" w:ascii="宋体" w:hAnsi="宋体" w:eastAsiaTheme="minorEastAsia"/>
                <w:sz w:val="21"/>
                <w:szCs w:val="21"/>
                <w:lang w:val="en-US" w:eastAsia="zh-CN"/>
              </w:rPr>
            </w:pPr>
            <w:r>
              <w:rPr>
                <w:rFonts w:hint="eastAsia" w:ascii="宋体" w:hAnsi="宋体"/>
                <w:sz w:val="21"/>
                <w:szCs w:val="21"/>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8</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eastAsia="zh-CN"/>
              </w:rPr>
            </w:pPr>
            <w:r>
              <w:rPr>
                <w:rFonts w:hint="eastAsia" w:ascii="宋体" w:hAnsi="宋体" w:cs="宋体"/>
                <w:b/>
                <w:bCs/>
                <w:kern w:val="0"/>
                <w:sz w:val="21"/>
                <w:szCs w:val="21"/>
                <w:lang w:val="en-US" w:eastAsia="zh-CN"/>
              </w:rPr>
              <w:t>分包</w:t>
            </w:r>
          </w:p>
        </w:tc>
        <w:tc>
          <w:tcPr>
            <w:tcW w:w="6314" w:type="dxa"/>
            <w:tcBorders>
              <w:right w:val="single" w:color="auto" w:sz="12" w:space="0"/>
            </w:tcBorders>
            <w:vAlign w:val="center"/>
          </w:tcPr>
          <w:p>
            <w:pPr>
              <w:spacing w:line="300" w:lineRule="exac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9</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cs="Arial"/>
                <w:sz w:val="21"/>
                <w:szCs w:val="21"/>
              </w:rPr>
            </w:pPr>
            <w:r>
              <w:rPr>
                <w:rFonts w:hint="eastAsia" w:hAnsi="宋体"/>
                <w:sz w:val="21"/>
                <w:szCs w:val="21"/>
              </w:rPr>
              <w:t>投标人在收到招标文件后，对招标文件若有疑问，均应在</w:t>
            </w:r>
            <w:r>
              <w:rPr>
                <w:rFonts w:hAnsi="宋体" w:cs="Arial"/>
                <w:color w:val="FF0000"/>
                <w:sz w:val="21"/>
                <w:szCs w:val="21"/>
              </w:rPr>
              <w:t>201</w:t>
            </w:r>
            <w:r>
              <w:rPr>
                <w:rFonts w:hint="eastAsia" w:hAnsi="宋体" w:cs="Arial"/>
                <w:color w:val="FF0000"/>
                <w:sz w:val="21"/>
                <w:szCs w:val="21"/>
                <w:lang w:val="en-US" w:eastAsia="zh-CN"/>
              </w:rPr>
              <w:t>9</w:t>
            </w:r>
            <w:r>
              <w:rPr>
                <w:rFonts w:hint="eastAsia" w:hAnsi="宋体" w:cs="Arial"/>
                <w:color w:val="FF0000"/>
                <w:sz w:val="21"/>
                <w:szCs w:val="21"/>
                <w:lang w:eastAsia="zh-CN"/>
              </w:rPr>
              <w:t>年</w:t>
            </w:r>
            <w:r>
              <w:rPr>
                <w:rFonts w:hint="eastAsia" w:hAnsi="宋体" w:cs="Arial"/>
                <w:color w:val="FF0000"/>
                <w:sz w:val="21"/>
                <w:szCs w:val="21"/>
                <w:lang w:val="en-US" w:eastAsia="zh-CN"/>
              </w:rPr>
              <w:t>5</w:t>
            </w:r>
            <w:r>
              <w:rPr>
                <w:rFonts w:hAnsi="宋体" w:cs="Arial"/>
                <w:color w:val="FF0000"/>
                <w:sz w:val="21"/>
                <w:szCs w:val="21"/>
              </w:rPr>
              <w:t>月</w:t>
            </w:r>
            <w:r>
              <w:rPr>
                <w:rFonts w:hint="eastAsia" w:hAnsi="宋体" w:cs="Arial"/>
                <w:color w:val="FF0000"/>
                <w:sz w:val="21"/>
                <w:szCs w:val="21"/>
                <w:u w:val="none"/>
                <w:lang w:val="en-US" w:eastAsia="zh-CN"/>
              </w:rPr>
              <w:t>9</w:t>
            </w:r>
            <w:r>
              <w:rPr>
                <w:rFonts w:hAnsi="宋体" w:cs="Arial"/>
                <w:color w:val="FF0000"/>
                <w:sz w:val="21"/>
                <w:szCs w:val="21"/>
              </w:rPr>
              <w:t>日</w:t>
            </w:r>
            <w:r>
              <w:rPr>
                <w:rFonts w:hint="eastAsia" w:hAnsi="宋体" w:cs="Arial"/>
                <w:color w:val="FF0000"/>
                <w:sz w:val="21"/>
                <w:szCs w:val="21"/>
              </w:rPr>
              <w:t xml:space="preserve">17 </w:t>
            </w:r>
            <w:r>
              <w:rPr>
                <w:rFonts w:hint="eastAsia" w:hAnsi="宋体" w:cs="Arial"/>
                <w:color w:val="FF0000"/>
                <w:sz w:val="21"/>
                <w:szCs w:val="21"/>
                <w:lang w:val="en-US" w:eastAsia="zh-CN"/>
              </w:rPr>
              <w:t>:00</w:t>
            </w:r>
            <w:r>
              <w:rPr>
                <w:rFonts w:hint="eastAsia" w:hAnsi="宋体"/>
                <w:sz w:val="21"/>
                <w:szCs w:val="21"/>
              </w:rPr>
              <w:t>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1</w:t>
            </w:r>
            <w:r>
              <w:rPr>
                <w:rFonts w:hint="eastAsia" w:ascii="宋体" w:hAnsi="宋体" w:cs="Arial"/>
                <w:sz w:val="21"/>
                <w:szCs w:val="21"/>
              </w:rPr>
              <w:t>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cs="Arial"/>
                <w:sz w:val="21"/>
                <w:szCs w:val="21"/>
                <w:lang w:val="en-US" w:eastAsia="zh-CN"/>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11</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响应文件份数</w:t>
            </w:r>
          </w:p>
        </w:tc>
        <w:tc>
          <w:tcPr>
            <w:tcW w:w="6314" w:type="dxa"/>
            <w:tcBorders>
              <w:right w:val="single" w:color="auto" w:sz="12" w:space="0"/>
            </w:tcBorders>
            <w:vAlign w:val="center"/>
          </w:tcPr>
          <w:p>
            <w:pPr>
              <w:pStyle w:val="6"/>
              <w:rPr>
                <w:rFonts w:hint="eastAsia" w:ascii="宋体" w:hAnsi="宋体" w:cs="Arial" w:eastAsiaTheme="minorEastAsia"/>
                <w:sz w:val="21"/>
                <w:szCs w:val="21"/>
                <w:lang w:val="en-US" w:eastAsia="zh-CN"/>
              </w:rPr>
            </w:pPr>
            <w:r>
              <w:rPr>
                <w:rFonts w:hint="eastAsia" w:ascii="宋体" w:hAnsi="宋体" w:cs="宋体"/>
                <w:kern w:val="0"/>
                <w:sz w:val="24"/>
                <w:lang w:bidi="ar"/>
              </w:rPr>
              <w:t>响应文件组成：正本一份；副本四份。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2</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b/>
                <w:bCs/>
                <w:sz w:val="21"/>
                <w:szCs w:val="21"/>
                <w:lang w:val="en-US" w:eastAsia="zh-CN"/>
              </w:rPr>
            </w:pPr>
            <w:r>
              <w:rPr>
                <w:rFonts w:hint="eastAsia" w:ascii="宋体" w:hAnsi="宋体" w:cs="Arial"/>
                <w:b/>
                <w:bCs/>
                <w:sz w:val="21"/>
                <w:szCs w:val="21"/>
                <w:lang w:val="en-US" w:eastAsia="zh-CN"/>
              </w:rPr>
              <w:t>响应文件装订要求</w:t>
            </w:r>
          </w:p>
        </w:tc>
        <w:tc>
          <w:tcPr>
            <w:tcW w:w="6314" w:type="dxa"/>
            <w:tcBorders>
              <w:right w:val="single" w:color="auto" w:sz="12" w:space="0"/>
            </w:tcBorders>
            <w:vAlign w:val="center"/>
          </w:tcPr>
          <w:p>
            <w:pPr>
              <w:spacing w:line="300" w:lineRule="exact"/>
              <w:rPr>
                <w:rFonts w:hint="eastAsia" w:ascii="宋体" w:hAnsi="宋体"/>
                <w:b/>
                <w:bCs/>
                <w:spacing w:val="-6"/>
                <w:sz w:val="24"/>
                <w:u w:val="single"/>
                <w:lang w:eastAsia="zh-CN"/>
              </w:rPr>
            </w:pPr>
            <w:r>
              <w:rPr>
                <w:rFonts w:hint="eastAsia" w:ascii="宋体" w:hAnsi="宋体"/>
                <w:spacing w:val="-6"/>
                <w:sz w:val="24"/>
                <w:u w:val="single"/>
              </w:rPr>
              <w:t>响应方应将报价文件、商务文件、技术文件</w:t>
            </w:r>
            <w:r>
              <w:rPr>
                <w:rFonts w:hint="eastAsia" w:ascii="宋体" w:hAnsi="宋体"/>
                <w:spacing w:val="-6"/>
                <w:sz w:val="24"/>
                <w:u w:val="single"/>
                <w:lang w:val="en-US" w:eastAsia="zh-CN"/>
              </w:rPr>
              <w:t>分别编制，</w:t>
            </w:r>
            <w:r>
              <w:rPr>
                <w:rFonts w:hint="eastAsia" w:ascii="宋体" w:hAnsi="宋体"/>
                <w:b/>
                <w:bCs/>
                <w:spacing w:val="-6"/>
                <w:sz w:val="24"/>
                <w:u w:val="single"/>
                <w:lang w:val="en-US" w:eastAsia="zh-CN"/>
              </w:rPr>
              <w:t>三部分</w:t>
            </w:r>
            <w:r>
              <w:rPr>
                <w:rFonts w:hint="eastAsia" w:ascii="宋体" w:hAnsi="宋体"/>
                <w:b/>
                <w:bCs/>
                <w:spacing w:val="-6"/>
                <w:sz w:val="24"/>
                <w:u w:val="single"/>
              </w:rPr>
              <w:t>合钉成一本</w:t>
            </w:r>
            <w:r>
              <w:rPr>
                <w:rFonts w:hint="eastAsia" w:ascii="宋体" w:hAnsi="宋体"/>
                <w:b/>
                <w:bCs/>
                <w:spacing w:val="-6"/>
                <w:sz w:val="24"/>
                <w:u w:val="single"/>
                <w:lang w:eastAsia="zh-CN"/>
              </w:rPr>
              <w:t>。（</w:t>
            </w:r>
            <w:r>
              <w:rPr>
                <w:rFonts w:hint="eastAsia" w:ascii="宋体" w:hAnsi="宋体"/>
                <w:b/>
                <w:bCs/>
                <w:spacing w:val="-6"/>
                <w:sz w:val="24"/>
                <w:u w:val="single"/>
                <w:lang w:val="en-US" w:eastAsia="zh-CN"/>
              </w:rPr>
              <w:t>要求胶装</w:t>
            </w:r>
            <w:r>
              <w:rPr>
                <w:rFonts w:hint="eastAsia" w:ascii="宋体" w:hAnsi="宋体"/>
                <w:b/>
                <w:bCs/>
                <w:spacing w:val="-6"/>
                <w:sz w:val="24"/>
                <w:u w:val="single"/>
                <w:lang w:eastAsia="zh-CN"/>
              </w:rPr>
              <w:t>）</w:t>
            </w:r>
          </w:p>
          <w:p>
            <w:pPr>
              <w:spacing w:line="300" w:lineRule="exact"/>
              <w:rPr>
                <w:rFonts w:hint="eastAsia" w:ascii="宋体" w:hAnsi="宋体" w:cs="Arial" w:eastAsiaTheme="minorEastAsia"/>
                <w:b/>
                <w:bCs/>
                <w:sz w:val="21"/>
                <w:szCs w:val="21"/>
                <w:lang w:val="en-US" w:eastAsia="zh-CN"/>
              </w:rPr>
            </w:pPr>
            <w:r>
              <w:rPr>
                <w:rFonts w:hint="eastAsia" w:ascii="宋体" w:hAnsi="宋体"/>
                <w:spacing w:val="-6"/>
                <w:sz w:val="24"/>
              </w:rPr>
              <w:t>▲</w:t>
            </w:r>
            <w:r>
              <w:rPr>
                <w:rFonts w:hint="eastAsia" w:ascii="宋体" w:hAnsi="宋体" w:cs="宋体"/>
                <w:kern w:val="0"/>
                <w:sz w:val="24"/>
                <w:lang w:bidi="ar"/>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3</w:t>
            </w:r>
          </w:p>
        </w:tc>
        <w:tc>
          <w:tcPr>
            <w:tcW w:w="2146" w:type="dxa"/>
            <w:vAlign w:val="center"/>
          </w:tcPr>
          <w:p>
            <w:pPr>
              <w:spacing w:line="3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磋商保证金</w:t>
            </w:r>
          </w:p>
        </w:tc>
        <w:tc>
          <w:tcPr>
            <w:tcW w:w="6314"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Arial"/>
                <w:sz w:val="21"/>
                <w:szCs w:val="21"/>
              </w:rPr>
            </w:pPr>
            <w:r>
              <w:rPr>
                <w:rFonts w:ascii="宋体" w:hAnsi="宋体" w:cs="Arial"/>
                <w:sz w:val="21"/>
                <w:szCs w:val="21"/>
              </w:rPr>
              <w:t>人民币</w:t>
            </w:r>
            <w:r>
              <w:rPr>
                <w:rFonts w:hint="eastAsia" w:ascii="宋体" w:hAnsi="宋体" w:cs="Arial"/>
                <w:sz w:val="21"/>
                <w:szCs w:val="21"/>
                <w:lang w:val="en-US" w:eastAsia="zh-CN"/>
              </w:rPr>
              <w:t>叁万</w:t>
            </w:r>
            <w:r>
              <w:rPr>
                <w:rFonts w:ascii="宋体" w:hAnsi="宋体" w:cs="Arial"/>
                <w:sz w:val="21"/>
                <w:szCs w:val="21"/>
              </w:rPr>
              <w:t>元</w:t>
            </w:r>
            <w:r>
              <w:rPr>
                <w:rFonts w:hint="eastAsia" w:ascii="宋体" w:hAnsi="宋体" w:cs="Arial"/>
                <w:sz w:val="21"/>
                <w:szCs w:val="21"/>
                <w:lang w:val="en-US" w:eastAsia="zh-CN"/>
              </w:rPr>
              <w:t>整</w:t>
            </w:r>
            <w:r>
              <w:rPr>
                <w:rFonts w:ascii="宋体" w:hAnsi="宋体" w:cs="Arial"/>
                <w:sz w:val="21"/>
                <w:szCs w:val="21"/>
              </w:rPr>
              <w:t>，</w:t>
            </w:r>
            <w:r>
              <w:rPr>
                <w:rFonts w:hint="eastAsia" w:ascii="宋体" w:hAnsi="宋体" w:cs="Arial"/>
                <w:sz w:val="21"/>
                <w:szCs w:val="21"/>
              </w:rPr>
              <w:t>采用</w:t>
            </w:r>
            <w:r>
              <w:rPr>
                <w:rFonts w:hint="eastAsia" w:ascii="宋体" w:hAnsi="宋体"/>
                <w:bCs/>
                <w:kern w:val="0"/>
                <w:sz w:val="21"/>
                <w:szCs w:val="21"/>
              </w:rPr>
              <w:t>汇票/支票/银行转帐</w:t>
            </w:r>
            <w:r>
              <w:rPr>
                <w:rFonts w:ascii="宋体" w:hAnsi="宋体" w:cs="Arial"/>
                <w:sz w:val="21"/>
                <w:szCs w:val="21"/>
              </w:rPr>
              <w:t>，应在</w:t>
            </w:r>
            <w:r>
              <w:rPr>
                <w:rFonts w:hint="eastAsia" w:ascii="宋体" w:hAnsi="宋体" w:cs="Arial"/>
                <w:sz w:val="21"/>
                <w:szCs w:val="21"/>
              </w:rPr>
              <w:t>投标截止时间前</w:t>
            </w:r>
            <w:r>
              <w:rPr>
                <w:rFonts w:hint="eastAsia" w:ascii="宋体" w:hAnsi="宋体" w:cs="Arial"/>
                <w:sz w:val="21"/>
                <w:szCs w:val="21"/>
                <w:lang w:val="en-US" w:eastAsia="zh-CN"/>
              </w:rPr>
              <w:t>一个工作日16:00前</w:t>
            </w:r>
            <w:r>
              <w:rPr>
                <w:rFonts w:ascii="宋体" w:hAnsi="宋体" w:cs="Arial"/>
                <w:sz w:val="21"/>
                <w:szCs w:val="21"/>
              </w:rPr>
              <w:t>递交到以下帐户：</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宋体" w:hAnsi="宋体" w:eastAsia="宋体" w:cs="Arial"/>
                <w:sz w:val="21"/>
                <w:szCs w:val="21"/>
                <w:lang w:eastAsia="zh-CN"/>
              </w:rPr>
            </w:pPr>
            <w:r>
              <w:rPr>
                <w:rFonts w:hint="eastAsia" w:ascii="宋体" w:hAnsi="宋体" w:cs="Arial"/>
                <w:sz w:val="21"/>
                <w:szCs w:val="21"/>
              </w:rPr>
              <w:t>收款单位（户名）:</w:t>
            </w:r>
            <w:r>
              <w:rPr>
                <w:rFonts w:hint="eastAsia" w:ascii="宋体" w:hAnsi="宋体" w:cs="Arial"/>
                <w:sz w:val="21"/>
                <w:szCs w:val="21"/>
                <w:lang w:eastAsia="zh-CN"/>
              </w:rPr>
              <w:t>杭州好邦建筑工程咨询有限公司</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宋体" w:hAnsi="宋体" w:cs="Arial"/>
                <w:sz w:val="21"/>
                <w:szCs w:val="21"/>
              </w:rPr>
            </w:pPr>
            <w:r>
              <w:rPr>
                <w:rFonts w:hint="eastAsia" w:ascii="宋体" w:hAnsi="宋体" w:cs="Arial"/>
                <w:sz w:val="21"/>
                <w:szCs w:val="21"/>
              </w:rPr>
              <w:t>开户银行：</w:t>
            </w:r>
            <w:r>
              <w:rPr>
                <w:rFonts w:hint="eastAsia" w:ascii="宋体" w:hAnsi="宋体" w:cs="Arial"/>
                <w:sz w:val="21"/>
                <w:szCs w:val="21"/>
                <w:lang w:eastAsia="zh-CN"/>
              </w:rPr>
              <w:t>工行杭州莫干山路支行</w:t>
            </w:r>
          </w:p>
          <w:p>
            <w:pPr>
              <w:pStyle w:val="8"/>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Ansi="宋体" w:cs="Arial"/>
                <w:u w:val="single"/>
              </w:rPr>
            </w:pPr>
            <w:r>
              <w:rPr>
                <w:rFonts w:hint="eastAsia" w:ascii="宋体" w:hAnsi="宋体" w:cs="Arial"/>
                <w:sz w:val="21"/>
                <w:szCs w:val="21"/>
              </w:rPr>
              <w:t>银行账号：</w:t>
            </w:r>
            <w:r>
              <w:rPr>
                <w:rFonts w:hint="eastAsia" w:ascii="宋体" w:hAnsi="宋体" w:cs="Arial"/>
                <w:sz w:val="21"/>
                <w:szCs w:val="21"/>
                <w:lang w:eastAsia="zh-CN"/>
              </w:rPr>
              <w:t>1202026109900035396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4</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cs="Arial"/>
                <w:sz w:val="21"/>
                <w:szCs w:val="21"/>
                <w:lang w:val="en-US" w:eastAsia="zh-CN"/>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5</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响应文件密封要求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eastAsiaTheme="minorEastAsia"/>
                <w:sz w:val="21"/>
                <w:szCs w:val="21"/>
                <w:lang w:val="en-US" w:eastAsia="zh-CN"/>
              </w:rPr>
            </w:pPr>
            <w:r>
              <w:rPr>
                <w:rFonts w:hint="eastAsia" w:ascii="宋体" w:hAnsi="宋体" w:eastAsia="金山简黑体" w:cs="宋体"/>
                <w:b/>
                <w:spacing w:val="-8"/>
                <w:kern w:val="0"/>
                <w:sz w:val="24"/>
                <w:szCs w:val="20"/>
                <w:lang w:val="en-US" w:eastAsia="zh-CN" w:bidi="ar"/>
              </w:rPr>
              <w:t>应将响应文件正本与副本密封包装为一包。</w:t>
            </w:r>
            <w:r>
              <w:rPr>
                <w:rFonts w:hint="eastAsia" w:ascii="宋体" w:hAnsi="宋体" w:cs="Arial"/>
                <w:sz w:val="21"/>
                <w:szCs w:val="21"/>
                <w:lang w:val="en-US" w:eastAsia="zh-CN"/>
              </w:rPr>
              <w:t>在外包装上注明投标项目名称、项目编号、投标人全称及开标时启封字样，并加盖公章。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hint="eastAsia" w:ascii="宋体" w:hAnsi="宋体" w:cs="Arial"/>
                <w:sz w:val="21"/>
                <w:szCs w:val="21"/>
              </w:rPr>
              <w:t>16</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ascii="宋体" w:hAnsi="宋体" w:cs="Arial"/>
                <w:sz w:val="21"/>
                <w:szCs w:val="21"/>
              </w:rPr>
              <w:t>1</w:t>
            </w:r>
            <w:r>
              <w:rPr>
                <w:rFonts w:hint="eastAsia" w:ascii="宋体" w:hAnsi="宋体" w:cs="Arial"/>
                <w:sz w:val="21"/>
                <w:szCs w:val="21"/>
              </w:rPr>
              <w:t>7</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eastAsia="宋体" w:cs="Arial"/>
                <w:sz w:val="21"/>
                <w:szCs w:val="21"/>
                <w:lang w:val="en-US" w:eastAsia="zh-CN"/>
              </w:rPr>
            </w:pPr>
            <w:r>
              <w:rPr>
                <w:rFonts w:hint="eastAsia" w:ascii="宋体" w:hAnsi="宋体" w:cs="Arial"/>
                <w:sz w:val="21"/>
                <w:szCs w:val="21"/>
                <w:lang w:val="en-US" w:eastAsia="zh-CN"/>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cs="Arial"/>
                <w:sz w:val="21"/>
                <w:szCs w:val="21"/>
              </w:rPr>
            </w:pPr>
            <w:r>
              <w:rPr>
                <w:rFonts w:hint="eastAsia" w:ascii="宋体" w:hAnsi="宋体" w:eastAsia="宋体" w:cs="Arial"/>
                <w:sz w:val="21"/>
                <w:szCs w:val="21"/>
                <w:lang w:val="en-US" w:eastAsia="zh-CN"/>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hint="eastAsia" w:ascii="宋体" w:hAnsi="宋体" w:cs="Arial"/>
                <w:sz w:val="21"/>
                <w:szCs w:val="21"/>
              </w:rPr>
            </w:pPr>
            <w:r>
              <w:rPr>
                <w:rFonts w:hint="eastAsia" w:ascii="宋体" w:hAnsi="宋体" w:cs="Arial"/>
                <w:sz w:val="21"/>
                <w:szCs w:val="21"/>
              </w:rPr>
              <w:t>18</w:t>
            </w:r>
          </w:p>
        </w:tc>
        <w:tc>
          <w:tcPr>
            <w:tcW w:w="2146" w:type="dxa"/>
            <w:vAlign w:val="center"/>
          </w:tcPr>
          <w:p>
            <w:pPr>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履约保证金</w:t>
            </w:r>
          </w:p>
        </w:tc>
        <w:tc>
          <w:tcPr>
            <w:tcW w:w="6314" w:type="dxa"/>
            <w:tcBorders>
              <w:right w:val="single" w:color="auto" w:sz="12" w:space="0"/>
            </w:tcBorders>
            <w:vAlign w:val="center"/>
          </w:tcPr>
          <w:p>
            <w:pPr>
              <w:rPr>
                <w:rFonts w:hint="eastAsia" w:ascii="宋体" w:hAnsi="宋体" w:cs="Arial" w:eastAsiaTheme="minorEastAsia"/>
                <w:b/>
                <w:sz w:val="21"/>
                <w:szCs w:val="21"/>
                <w:lang w:val="en-US" w:eastAsia="zh-CN"/>
              </w:rPr>
            </w:pPr>
            <w:r>
              <w:rPr>
                <w:rFonts w:hint="eastAsia" w:ascii="宋体" w:hAnsi="宋体" w:cs="Arial"/>
                <w:b/>
                <w:sz w:val="21"/>
                <w:szCs w:val="21"/>
                <w:lang w:val="en-US" w:eastAsia="zh-CN"/>
              </w:rPr>
              <w:t>成交金额的2.5%，签订合同前缴纳至学校账户。（待项目验收合格后15日内退还，不计息）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19</w:t>
            </w:r>
          </w:p>
        </w:tc>
        <w:tc>
          <w:tcPr>
            <w:tcW w:w="2146" w:type="dxa"/>
            <w:vAlign w:val="center"/>
          </w:tcPr>
          <w:p>
            <w:pPr>
              <w:autoSpaceDE w:val="0"/>
              <w:autoSpaceDN w:val="0"/>
              <w:adjustRightInd w:val="0"/>
              <w:snapToGrid w:val="0"/>
              <w:spacing w:line="300" w:lineRule="exact"/>
              <w:jc w:val="center"/>
              <w:textAlignment w:val="bottom"/>
              <w:rPr>
                <w:rFonts w:ascii="宋体" w:hAnsi="宋体" w:cs="Arial"/>
                <w:sz w:val="21"/>
                <w:szCs w:val="21"/>
              </w:rPr>
            </w:pPr>
            <w:r>
              <w:rPr>
                <w:rFonts w:ascii="宋体" w:hAnsi="宋体" w:cs="Arial"/>
                <w:sz w:val="21"/>
                <w:szCs w:val="21"/>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cs="Arial"/>
                <w:sz w:val="21"/>
                <w:szCs w:val="21"/>
              </w:rPr>
            </w:pPr>
            <w:r>
              <w:rPr>
                <w:rFonts w:ascii="宋体" w:hAnsi="宋体" w:cs="Arial"/>
                <w:sz w:val="21"/>
                <w:szCs w:val="21"/>
              </w:rPr>
              <w:t>综合</w:t>
            </w:r>
            <w:r>
              <w:rPr>
                <w:rFonts w:hint="eastAsia" w:ascii="宋体" w:hAnsi="宋体" w:cs="Arial"/>
                <w:sz w:val="21"/>
                <w:szCs w:val="21"/>
              </w:rPr>
              <w:t>评</w:t>
            </w:r>
            <w:r>
              <w:rPr>
                <w:rFonts w:hint="eastAsia" w:ascii="宋体" w:hAnsi="宋体" w:cs="Arial"/>
                <w:sz w:val="21"/>
                <w:szCs w:val="21"/>
                <w:lang w:val="en-US" w:eastAsia="zh-CN"/>
              </w:rPr>
              <w:t>分</w:t>
            </w:r>
            <w:r>
              <w:rPr>
                <w:rFonts w:ascii="宋体" w:hAnsi="宋体" w:cs="Arial"/>
                <w:sz w:val="21"/>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20</w:t>
            </w:r>
          </w:p>
        </w:tc>
        <w:tc>
          <w:tcPr>
            <w:tcW w:w="2146" w:type="dxa"/>
            <w:vAlign w:val="center"/>
          </w:tcPr>
          <w:p>
            <w:pPr>
              <w:autoSpaceDE w:val="0"/>
              <w:autoSpaceDN w:val="0"/>
              <w:adjustRightInd w:val="0"/>
              <w:snapToGrid w:val="0"/>
              <w:spacing w:line="300" w:lineRule="exact"/>
              <w:jc w:val="center"/>
              <w:textAlignment w:val="bottom"/>
              <w:rPr>
                <w:rFonts w:hint="eastAsia" w:ascii="宋体" w:hAnsi="宋体" w:cs="Arial"/>
                <w:b/>
                <w:sz w:val="21"/>
                <w:szCs w:val="21"/>
              </w:rPr>
            </w:pPr>
            <w:r>
              <w:rPr>
                <w:rFonts w:hint="eastAsia" w:ascii="宋体" w:hAnsi="宋体" w:cs="Arial"/>
                <w:b/>
                <w:sz w:val="21"/>
                <w:szCs w:val="21"/>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hint="eastAsia" w:ascii="宋体" w:hAnsi="宋体" w:cs="Arial"/>
                <w:b/>
                <w:sz w:val="21"/>
                <w:szCs w:val="21"/>
              </w:rPr>
            </w:pPr>
            <w:r>
              <w:rPr>
                <w:rFonts w:ascii="宋体" w:hAnsi="宋体" w:cs="Arial"/>
                <w:b/>
                <w:sz w:val="21"/>
                <w:szCs w:val="21"/>
              </w:rPr>
              <w:t>▲</w:t>
            </w:r>
            <w:r>
              <w:rPr>
                <w:rFonts w:hint="eastAsia" w:ascii="宋体" w:hAnsi="宋体" w:cs="Arial"/>
                <w:b/>
                <w:sz w:val="21"/>
                <w:szCs w:val="21"/>
              </w:rPr>
              <w:t>最高限价人民</w:t>
            </w:r>
            <w:r>
              <w:rPr>
                <w:rFonts w:hint="eastAsia" w:ascii="宋体" w:hAnsi="宋体" w:cs="Arial"/>
                <w:b/>
                <w:color w:val="auto"/>
                <w:sz w:val="21"/>
                <w:szCs w:val="21"/>
              </w:rPr>
              <w:t>币</w:t>
            </w:r>
            <w:r>
              <w:rPr>
                <w:rFonts w:hint="eastAsia" w:ascii="宋体" w:hAnsi="宋体" w:cs="Arial"/>
                <w:b/>
                <w:color w:val="auto"/>
                <w:sz w:val="21"/>
                <w:szCs w:val="21"/>
                <w:lang w:val="en-US" w:eastAsia="zh-CN"/>
              </w:rPr>
              <w:t>150万元整</w:t>
            </w:r>
            <w:r>
              <w:rPr>
                <w:rFonts w:hint="eastAsia" w:ascii="宋体" w:hAnsi="宋体" w:cs="Arial"/>
                <w:b/>
                <w:color w:val="auto"/>
                <w:sz w:val="21"/>
                <w:szCs w:val="21"/>
              </w:rPr>
              <w:t>，</w:t>
            </w:r>
            <w:r>
              <w:rPr>
                <w:rFonts w:hint="eastAsia" w:ascii="宋体" w:hAnsi="宋体" w:cs="Arial"/>
                <w:b/>
                <w:sz w:val="21"/>
                <w:szCs w:val="21"/>
              </w:rPr>
              <w:t>超过最高限价的按无效</w:t>
            </w:r>
            <w:r>
              <w:rPr>
                <w:rFonts w:hint="eastAsia" w:ascii="宋体" w:hAnsi="宋体" w:cs="Arial"/>
                <w:b/>
                <w:sz w:val="21"/>
                <w:szCs w:val="21"/>
                <w:lang w:val="en-US" w:eastAsia="zh-CN"/>
              </w:rPr>
              <w:t>标</w:t>
            </w:r>
            <w:r>
              <w:rPr>
                <w:rFonts w:hint="eastAsia" w:ascii="宋体" w:hAnsi="宋体" w:cs="Arial"/>
                <w:b/>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21</w:t>
            </w:r>
          </w:p>
        </w:tc>
        <w:tc>
          <w:tcPr>
            <w:tcW w:w="2146" w:type="dxa"/>
            <w:vAlign w:val="center"/>
          </w:tcPr>
          <w:p>
            <w:r>
              <w:rPr>
                <w:rFonts w:hint="eastAsia" w:ascii="宋体" w:hAnsi="宋体"/>
                <w:b/>
                <w:snapToGrid w:val="0"/>
                <w:kern w:val="10"/>
                <w:sz w:val="21"/>
                <w:szCs w:val="21"/>
              </w:rPr>
              <w:t>中标结果公示媒体</w:t>
            </w:r>
          </w:p>
        </w:tc>
        <w:tc>
          <w:tcPr>
            <w:tcW w:w="6314" w:type="dxa"/>
            <w:tcBorders>
              <w:right w:val="single" w:color="auto" w:sz="12" w:space="0"/>
            </w:tcBorders>
            <w:vAlign w:val="center"/>
          </w:tcPr>
          <w:p>
            <w:pPr>
              <w:rPr>
                <w:rFonts w:hint="eastAsia" w:eastAsia="宋体"/>
                <w:lang w:val="en-US" w:eastAsia="zh-CN"/>
              </w:rPr>
            </w:pPr>
            <w:r>
              <w:rPr>
                <w:rFonts w:ascii="宋体" w:hAnsi="宋体" w:cs="宋体"/>
                <w:kern w:val="0"/>
                <w:sz w:val="21"/>
                <w:szCs w:val="21"/>
              </w:rPr>
              <w:t>浙江</w:t>
            </w:r>
            <w:r>
              <w:rPr>
                <w:rFonts w:hint="eastAsia" w:ascii="宋体" w:hAnsi="宋体" w:cs="宋体"/>
                <w:kern w:val="0"/>
                <w:sz w:val="21"/>
                <w:szCs w:val="21"/>
                <w:lang w:val="en-US" w:eastAsia="zh-CN"/>
              </w:rPr>
              <w:t>省</w:t>
            </w:r>
            <w:r>
              <w:rPr>
                <w:rFonts w:ascii="宋体" w:hAnsi="宋体" w:cs="宋体"/>
                <w:kern w:val="0"/>
                <w:sz w:val="21"/>
                <w:szCs w:val="21"/>
              </w:rPr>
              <w:t>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hint="eastAsia" w:ascii="宋体" w:hAnsi="宋体" w:cs="Arial"/>
                <w:sz w:val="21"/>
                <w:szCs w:val="21"/>
              </w:rPr>
            </w:pPr>
            <w:r>
              <w:rPr>
                <w:rFonts w:hint="eastAsia" w:ascii="宋体" w:hAnsi="宋体" w:cs="Arial"/>
                <w:sz w:val="21"/>
                <w:szCs w:val="21"/>
              </w:rPr>
              <w:t>22</w:t>
            </w:r>
          </w:p>
        </w:tc>
        <w:tc>
          <w:tcPr>
            <w:tcW w:w="2146" w:type="dxa"/>
            <w:vAlign w:val="center"/>
          </w:tcPr>
          <w:p>
            <w:pPr>
              <w:jc w:val="center"/>
              <w:rPr>
                <w:rFonts w:hint="eastAsia" w:ascii="宋体" w:hAnsi="宋体" w:eastAsia="宋体" w:cs="Arial"/>
                <w:b/>
                <w:kern w:val="0"/>
                <w:sz w:val="21"/>
                <w:szCs w:val="21"/>
                <w:lang w:val="en-US" w:eastAsia="zh-CN"/>
              </w:rPr>
            </w:pPr>
            <w:r>
              <w:rPr>
                <w:rFonts w:hint="eastAsia" w:ascii="宋体" w:hAnsi="宋体" w:cs="Arial"/>
                <w:b/>
                <w:kern w:val="0"/>
                <w:sz w:val="21"/>
                <w:szCs w:val="21"/>
                <w:lang w:val="en-US" w:eastAsia="zh-CN"/>
              </w:rPr>
              <w:t>采购代理服务费与造价编制服务费</w:t>
            </w:r>
          </w:p>
        </w:tc>
        <w:tc>
          <w:tcPr>
            <w:tcW w:w="6314" w:type="dxa"/>
            <w:tcBorders>
              <w:right w:val="single" w:color="auto" w:sz="12" w:space="0"/>
            </w:tcBorders>
            <w:vAlign w:val="center"/>
          </w:tcPr>
          <w:p>
            <w:pPr>
              <w:rPr>
                <w:rFonts w:hint="eastAsia"/>
                <w:b/>
                <w:bCs/>
                <w:u w:val="single"/>
              </w:rPr>
            </w:pPr>
            <w:r>
              <w:rPr>
                <w:rFonts w:hint="eastAsia"/>
                <w:b/>
                <w:bCs/>
                <w:u w:val="single"/>
                <w:lang w:val="en-US" w:eastAsia="zh-CN"/>
              </w:rPr>
              <w:t>1.</w:t>
            </w:r>
            <w:r>
              <w:rPr>
                <w:rFonts w:hint="eastAsia"/>
                <w:b/>
                <w:bCs/>
                <w:u w:val="single"/>
              </w:rPr>
              <w:t>成交供应商在成交通知书发出后七个工作日内，向采购代理机构交纳代理服务费，参照国家发改委发改办价格[2003]857号通知和原国家计[2002]1980号文件下浮20%。</w:t>
            </w:r>
          </w:p>
          <w:p>
            <w:r>
              <w:rPr>
                <w:rFonts w:hint="eastAsia" w:ascii="宋体" w:hAnsi="宋体" w:cs="Arial"/>
                <w:b/>
                <w:bCs/>
                <w:sz w:val="21"/>
                <w:szCs w:val="21"/>
                <w:u w:val="single"/>
                <w:lang w:val="en-US" w:eastAsia="zh-CN"/>
              </w:rPr>
              <w:t>2.浙价服2009 84文件收取。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ascii="宋体" w:hAnsi="宋体" w:cs="Arial"/>
                <w:kern w:val="0"/>
                <w:sz w:val="21"/>
                <w:szCs w:val="21"/>
              </w:rPr>
            </w:pPr>
            <w:r>
              <w:rPr>
                <w:rFonts w:hint="eastAsia" w:ascii="宋体" w:hAnsi="宋体" w:cs="Arial"/>
                <w:kern w:val="0"/>
                <w:sz w:val="21"/>
                <w:szCs w:val="21"/>
              </w:rPr>
              <w:t>22</w:t>
            </w:r>
          </w:p>
        </w:tc>
        <w:tc>
          <w:tcPr>
            <w:tcW w:w="2146" w:type="dxa"/>
            <w:vMerge w:val="restart"/>
            <w:vAlign w:val="center"/>
          </w:tcPr>
          <w:p>
            <w:pPr>
              <w:snapToGrid w:val="0"/>
              <w:spacing w:line="300" w:lineRule="exact"/>
              <w:jc w:val="center"/>
              <w:rPr>
                <w:rFonts w:ascii="宋体" w:hAnsi="宋体" w:cs="Arial"/>
                <w:b/>
                <w:kern w:val="0"/>
                <w:sz w:val="21"/>
                <w:szCs w:val="21"/>
              </w:rPr>
            </w:pPr>
            <w:r>
              <w:rPr>
                <w:rFonts w:ascii="宋体" w:hAnsi="宋体" w:cs="Arial"/>
                <w:b/>
                <w:kern w:val="0"/>
                <w:sz w:val="21"/>
                <w:szCs w:val="21"/>
              </w:rPr>
              <w:t>特别提醒</w:t>
            </w:r>
          </w:p>
        </w:tc>
        <w:tc>
          <w:tcPr>
            <w:tcW w:w="6314" w:type="dxa"/>
            <w:tcBorders>
              <w:right w:val="single" w:color="auto" w:sz="12" w:space="0"/>
            </w:tcBorders>
            <w:vAlign w:val="center"/>
          </w:tcPr>
          <w:p>
            <w:pPr>
              <w:snapToGrid w:val="0"/>
              <w:spacing w:line="300" w:lineRule="exact"/>
              <w:rPr>
                <w:rFonts w:ascii="宋体" w:hAnsi="宋体" w:cs="Arial"/>
                <w:b w:val="0"/>
                <w:bCs/>
                <w:snapToGrid w:val="0"/>
                <w:kern w:val="0"/>
                <w:sz w:val="21"/>
                <w:szCs w:val="21"/>
              </w:rPr>
            </w:pPr>
            <w:r>
              <w:rPr>
                <w:rFonts w:hint="eastAsia" w:ascii="宋体" w:hAnsi="宋体" w:cs="Arial"/>
                <w:b w:val="0"/>
                <w:bCs/>
                <w:snapToGrid w:val="0"/>
                <w:kern w:val="0"/>
                <w:sz w:val="21"/>
                <w:szCs w:val="21"/>
              </w:rPr>
              <w:t>企业信用融资: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vMerge w:val="continue"/>
            <w:tcBorders>
              <w:left w:val="single" w:color="auto" w:sz="12" w:space="0"/>
              <w:bottom w:val="single" w:color="auto" w:sz="12" w:space="0"/>
            </w:tcBorders>
            <w:vAlign w:val="center"/>
          </w:tcPr>
          <w:p>
            <w:pPr>
              <w:snapToGrid w:val="0"/>
              <w:spacing w:line="300" w:lineRule="exact"/>
              <w:jc w:val="center"/>
              <w:rPr>
                <w:rFonts w:ascii="宋体" w:hAnsi="宋体" w:cs="Arial"/>
                <w:kern w:val="0"/>
                <w:sz w:val="21"/>
                <w:szCs w:val="21"/>
              </w:rPr>
            </w:pPr>
          </w:p>
        </w:tc>
        <w:tc>
          <w:tcPr>
            <w:tcW w:w="2146" w:type="dxa"/>
            <w:vMerge w:val="continue"/>
            <w:tcBorders>
              <w:bottom w:val="single" w:color="auto" w:sz="12" w:space="0"/>
            </w:tcBorders>
            <w:vAlign w:val="center"/>
          </w:tcPr>
          <w:p>
            <w:pPr>
              <w:snapToGrid w:val="0"/>
              <w:spacing w:line="300" w:lineRule="exact"/>
              <w:jc w:val="center"/>
              <w:rPr>
                <w:rFonts w:ascii="宋体" w:hAnsi="宋体" w:cs="Arial"/>
                <w:b/>
                <w:kern w:val="0"/>
                <w:sz w:val="21"/>
                <w:szCs w:val="21"/>
              </w:rPr>
            </w:pPr>
          </w:p>
        </w:tc>
        <w:tc>
          <w:tcPr>
            <w:tcW w:w="6314" w:type="dxa"/>
            <w:tcBorders>
              <w:bottom w:val="single" w:color="auto" w:sz="12" w:space="0"/>
              <w:right w:val="single" w:color="auto" w:sz="12" w:space="0"/>
            </w:tcBorders>
            <w:vAlign w:val="center"/>
          </w:tcPr>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根据《关于在政府采购活动中查询及使用信用记录有关问题的通知》财库[2016]125号的规定：</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1）采购人或采购代理机构将对本项目供应商的信用信息进行查询。</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2）查询渠道为信用中国网站（www.creditchina.gov.cn）、中国政府采购网（www.ccgp.gov.cn）。</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4）信用信息查询记录和证据以网页截图等方式留存。</w:t>
            </w:r>
          </w:p>
          <w:p>
            <w:pPr>
              <w:snapToGrid w:val="0"/>
              <w:spacing w:line="300" w:lineRule="exact"/>
              <w:rPr>
                <w:rFonts w:hint="eastAsia" w:ascii="宋体" w:hAnsi="宋体" w:cs="Arial"/>
                <w:b w:val="0"/>
                <w:bCs/>
                <w:kern w:val="10"/>
                <w:sz w:val="21"/>
                <w:szCs w:val="21"/>
              </w:rPr>
            </w:pPr>
            <w:r>
              <w:rPr>
                <w:rFonts w:hint="eastAsia" w:ascii="宋体" w:hAnsi="宋体" w:cs="Arial"/>
                <w:b w:val="0"/>
                <w:bCs/>
                <w:kern w:val="10"/>
                <w:sz w:val="21"/>
                <w:szCs w:val="21"/>
              </w:rPr>
              <w:t>5）投标截止日当日网站显示的信用信息将作为评审和确定中标人的依据。</w:t>
            </w:r>
          </w:p>
          <w:p>
            <w:pPr>
              <w:snapToGrid w:val="0"/>
              <w:spacing w:line="300" w:lineRule="exact"/>
              <w:rPr>
                <w:rFonts w:ascii="宋体" w:hAnsi="宋体" w:cs="Arial"/>
                <w:b w:val="0"/>
                <w:bCs/>
                <w:kern w:val="10"/>
                <w:sz w:val="21"/>
                <w:szCs w:val="21"/>
              </w:rPr>
            </w:pPr>
            <w:r>
              <w:rPr>
                <w:rFonts w:hint="eastAsia" w:ascii="宋体" w:hAnsi="宋体" w:cs="Arial"/>
                <w:b w:val="0"/>
                <w:bCs/>
                <w:kern w:val="10"/>
                <w:sz w:val="21"/>
                <w:szCs w:val="21"/>
              </w:rPr>
              <w:t>6）联合体成员存在不良信用记录的，视同联合体存在不良信用记录。</w:t>
            </w:r>
          </w:p>
        </w:tc>
      </w:tr>
    </w:tbl>
    <w:p>
      <w:pPr>
        <w:spacing w:after="0"/>
        <w:rPr>
          <w:color w:val="auto"/>
          <w:sz w:val="20"/>
          <w:szCs w:val="20"/>
        </w:rPr>
      </w:pPr>
      <w:bookmarkStart w:id="6" w:name="page8"/>
      <w:bookmarkEnd w:id="6"/>
      <w:bookmarkStart w:id="7" w:name="page7"/>
      <w:bookmarkEnd w:id="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326" w:bottom="401" w:left="1440" w:header="567" w:footer="567" w:gutter="0"/>
          <w:pgBorders>
            <w:top w:val="none" w:sz="0" w:space="0"/>
            <w:left w:val="none" w:sz="0" w:space="0"/>
            <w:bottom w:val="none" w:sz="0" w:space="0"/>
            <w:right w:val="none" w:sz="0" w:space="0"/>
          </w:pgBorders>
          <w:pgNumType w:fmt="decimal"/>
          <w:cols w:equalWidth="0" w:num="1">
            <w:col w:w="9140"/>
          </w:cols>
        </w:sectPr>
      </w:pPr>
    </w:p>
    <w:p>
      <w:pPr>
        <w:spacing w:after="0" w:line="1" w:lineRule="exact"/>
        <w:rPr>
          <w:color w:val="auto"/>
          <w:sz w:val="20"/>
          <w:szCs w:val="20"/>
        </w:rPr>
      </w:pPr>
      <w:bookmarkStart w:id="8" w:name="page9"/>
      <w:bookmarkEnd w:id="8"/>
    </w:p>
    <w:p>
      <w:pPr>
        <w:tabs>
          <w:tab w:val="left" w:pos="300"/>
        </w:tabs>
        <w:spacing w:after="0" w:line="366" w:lineRule="exact"/>
        <w:ind w:left="2700"/>
        <w:jc w:val="both"/>
        <w:rPr>
          <w:color w:val="auto"/>
          <w:sz w:val="20"/>
          <w:szCs w:val="20"/>
        </w:rPr>
      </w:pPr>
      <w:r>
        <w:rPr>
          <w:rFonts w:ascii="宋体" w:hAnsi="宋体" w:eastAsia="宋体" w:cs="宋体"/>
          <w:b/>
          <w:bCs/>
          <w:color w:val="auto"/>
          <w:sz w:val="32"/>
          <w:szCs w:val="32"/>
        </w:rPr>
        <w:t>第三章</w:t>
      </w:r>
      <w:r>
        <w:rPr>
          <w:rFonts w:ascii="宋体" w:hAnsi="宋体" w:eastAsia="宋体" w:cs="宋体"/>
          <w:b/>
          <w:bCs/>
          <w:color w:val="auto"/>
          <w:sz w:val="32"/>
          <w:szCs w:val="32"/>
        </w:rPr>
        <w:tab/>
      </w:r>
      <w:r>
        <w:rPr>
          <w:rFonts w:ascii="宋体" w:hAnsi="宋体" w:eastAsia="宋体" w:cs="宋体"/>
          <w:b/>
          <w:bCs/>
          <w:color w:val="auto"/>
          <w:sz w:val="32"/>
          <w:szCs w:val="32"/>
        </w:rPr>
        <w:t>供应商须知</w:t>
      </w:r>
    </w:p>
    <w:p>
      <w:pPr>
        <w:spacing w:after="0" w:line="256" w:lineRule="exact"/>
        <w:rPr>
          <w:color w:val="auto"/>
          <w:sz w:val="20"/>
          <w:szCs w:val="20"/>
        </w:rPr>
      </w:pPr>
    </w:p>
    <w:p>
      <w:pPr>
        <w:spacing w:after="0" w:line="240" w:lineRule="exact"/>
        <w:ind w:firstLine="422" w:firstLineChars="200"/>
        <w:rPr>
          <w:color w:val="auto"/>
          <w:sz w:val="20"/>
          <w:szCs w:val="20"/>
        </w:rPr>
      </w:pPr>
      <w:r>
        <w:rPr>
          <w:rFonts w:ascii="宋体" w:hAnsi="宋体" w:eastAsia="宋体" w:cs="宋体"/>
          <w:b/>
          <w:bCs/>
          <w:color w:val="auto"/>
          <w:sz w:val="21"/>
          <w:szCs w:val="21"/>
        </w:rPr>
        <w:t>一、总则</w:t>
      </w:r>
    </w:p>
    <w:p>
      <w:pPr>
        <w:spacing w:after="0" w:line="172"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w:t>
      </w:r>
      <w:r>
        <w:rPr>
          <w:rFonts w:ascii="宋体" w:hAnsi="宋体" w:eastAsia="宋体" w:cs="宋体"/>
          <w:color w:val="auto"/>
          <w:sz w:val="21"/>
          <w:szCs w:val="21"/>
        </w:rPr>
        <w:t>、实施依据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本次采购工作是按照《中华人民共和国政府采购法》、《政府采购竞争性磋商采购方式管理暂行办法》等招标投标有关法律、法规、规章、文件的规定组织和实施。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1.2</w:t>
      </w:r>
      <w:r>
        <w:rPr>
          <w:rFonts w:ascii="宋体" w:hAnsi="宋体" w:eastAsia="宋体" w:cs="宋体"/>
          <w:color w:val="auto"/>
          <w:sz w:val="21"/>
          <w:szCs w:val="21"/>
        </w:rPr>
        <w:t>、采购方式：竞争性磋商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1.3</w:t>
      </w:r>
      <w:r>
        <w:rPr>
          <w:rFonts w:ascii="宋体" w:hAnsi="宋体" w:eastAsia="宋体" w:cs="宋体"/>
          <w:color w:val="auto"/>
          <w:sz w:val="21"/>
          <w:szCs w:val="21"/>
        </w:rPr>
        <w:t>、定义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采购人：是指依法进行政府采购的国家机关、事业单位、团体组织，见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eastAsia="宋体" w:cs="宋体"/>
          <w:color w:val="auto"/>
          <w:sz w:val="21"/>
          <w:szCs w:val="21"/>
        </w:rPr>
        <w:t>采购代理机构：受采购人委托，在委托的范围内办理政府采购事宜的机构，见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供应商：是指参加本政府采购项目磋商的供应商；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供应商代表：是指参加本项目磋商活动的供应商法定代表人或法定代表人授权代表；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磋商联合体：是指两个以上供应商组成联合体，以一个供应商的身份参加磋商；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甲方：是指合同签订的一方，一般与采购人、用户相同；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乙方：是指合同签订的另一方，与成交人相同；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制造商：是指拥有响应产品自主知识产权的单位；</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color w:val="auto"/>
          <w:sz w:val="20"/>
          <w:szCs w:val="20"/>
        </w:rPr>
      </w:pPr>
      <w:r>
        <w:rPr>
          <w:rFonts w:ascii="宋体" w:hAnsi="宋体" w:eastAsia="宋体" w:cs="宋体"/>
          <w:color w:val="auto"/>
          <w:sz w:val="21"/>
          <w:szCs w:val="21"/>
        </w:rPr>
        <w:t>中小企业（含中型、小型、微型）：符合中小企业划分标准（工信部联企业</w:t>
      </w:r>
      <w:r>
        <w:rPr>
          <w:rFonts w:ascii="Arial" w:hAnsi="Arial" w:eastAsia="Arial" w:cs="Arial"/>
          <w:color w:val="auto"/>
          <w:sz w:val="21"/>
          <w:szCs w:val="21"/>
        </w:rPr>
        <w:t>[2011]300</w:t>
      </w:r>
      <w:r>
        <w:rPr>
          <w:rFonts w:ascii="宋体" w:hAnsi="宋体" w:eastAsia="宋体" w:cs="宋体"/>
          <w:color w:val="auto"/>
          <w:sz w:val="21"/>
          <w:szCs w:val="21"/>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w:t>
      </w:r>
      <w:r>
        <w:rPr>
          <w:rFonts w:ascii="Arial" w:hAnsi="Arial" w:eastAsia="Arial" w:cs="Arial"/>
          <w:color w:val="auto"/>
          <w:sz w:val="21"/>
          <w:szCs w:val="21"/>
        </w:rPr>
        <w:t>2018</w:t>
      </w:r>
      <w:r>
        <w:rPr>
          <w:rFonts w:ascii="宋体" w:hAnsi="宋体" w:eastAsia="宋体" w:cs="宋体"/>
          <w:color w:val="auto"/>
          <w:sz w:val="21"/>
          <w:szCs w:val="21"/>
        </w:rPr>
        <w:t>〕</w:t>
      </w:r>
      <w:r>
        <w:rPr>
          <w:rFonts w:ascii="Arial" w:hAnsi="Arial" w:eastAsia="Arial" w:cs="Arial"/>
          <w:color w:val="auto"/>
          <w:sz w:val="21"/>
          <w:szCs w:val="21"/>
        </w:rPr>
        <w:t xml:space="preserve"> 141 </w:t>
      </w:r>
      <w:r>
        <w:rPr>
          <w:rFonts w:ascii="宋体" w:hAnsi="宋体" w:eastAsia="宋体" w:cs="宋体"/>
          <w:color w:val="auto"/>
          <w:sz w:val="21"/>
          <w:szCs w:val="21"/>
        </w:rPr>
        <w:t>号）的规定的单位；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政府采购监管部门：浙江省财政厅政府采购监管处。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1.4</w:t>
      </w:r>
      <w:r>
        <w:rPr>
          <w:rFonts w:ascii="宋体" w:hAnsi="宋体" w:eastAsia="宋体" w:cs="宋体"/>
          <w:color w:val="auto"/>
          <w:sz w:val="21"/>
          <w:szCs w:val="21"/>
        </w:rPr>
        <w:t>、供应商须知前附表规定接受联合体磋商的，应遵守以下规定：（本工程不适用）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）两个以上供应商可以组成一个联合体，以一个供应商的身份共同参加磋商；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）组成联合体参加本项目磋商的，供应商须在购买竞争性磋商文件时向采购代理机构</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eastAsia="宋体" w:cs="宋体"/>
          <w:color w:val="auto"/>
          <w:sz w:val="21"/>
          <w:szCs w:val="21"/>
        </w:rPr>
        <w:t>作出相关书面说明，否则响应无效；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w:t>
      </w:r>
      <w:r>
        <w:rPr>
          <w:rFonts w:ascii="宋体" w:hAnsi="宋体" w:eastAsia="宋体" w:cs="宋体"/>
          <w:color w:val="auto"/>
          <w:sz w:val="21"/>
          <w:szCs w:val="21"/>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r>
        <w:rPr>
          <w:rFonts w:ascii="Arial" w:hAnsi="Arial" w:eastAsia="Arial" w:cs="Arial"/>
          <w:color w:val="auto"/>
          <w:sz w:val="21"/>
          <w:szCs w:val="21"/>
        </w:rPr>
        <w:t>4</w:t>
      </w:r>
      <w:r>
        <w:rPr>
          <w:rFonts w:ascii="宋体" w:hAnsi="宋体" w:eastAsia="宋体" w:cs="宋体"/>
          <w:color w:val="auto"/>
          <w:sz w:val="21"/>
          <w:szCs w:val="21"/>
        </w:rPr>
        <w:t>）联合体各方之间须签订磋商联合协议，明确约定联合体各方承担的工作和相应的责</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bookmarkStart w:id="9" w:name="page10"/>
      <w:bookmarkEnd w:id="9"/>
      <w:r>
        <w:rPr>
          <w:rFonts w:ascii="宋体" w:hAnsi="宋体" w:eastAsia="宋体" w:cs="宋体"/>
          <w:color w:val="auto"/>
          <w:sz w:val="21"/>
          <w:szCs w:val="21"/>
        </w:rPr>
        <w:t>任，在磋商联合协议中指定本项目主办人，并将磋商联合协议作为响应文件组成的一部分；本项目的主体、关键性工作须由主办人完成，并在磋商联合协议中进行说明；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5）联合体各方签订磋商联合协议后，不得再以自己名义单独在本项目中参加磋商，也不得组成新的联合体参加本项目磋商；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6）联合体各方共同与采购人签订采购合同，就采购合同约定的事项对采购人承担连带责任；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7）磋商保证金由主办人提供，对联合体各方均具有约束力；响应文件须由主办人盖章及其全权代表签署。</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1.5、费用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无论磋商过程中的做法和结果如何，供应商自行承担磋商活动中所发生的全部费用。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1.6、保密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参与磋商活动的各方应对竞争性磋商文件和响应文件中的商业和技术等秘密保密，违者应对此造成的后果承担法律责任。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1.7、语言文字</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除专用术语外，与磋商有关的语言使用中文。专用术语应附有中文注释。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1.8、计量单位</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所有计量均采用中华人民共和国法定计量单位。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1.9、踏勘现场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1.9.1 供应商须知前附表规定组织踏勘现场的，采购人按供应商须知前附表规定的时间、地点组织供应商踏勘项目现场。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1.9.2 供应商踏勘现场发生的费用自理。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1.9.3 除采购人的原因外，供应商自行负责在踏勘现场中所发生的人员伤亡和财产损失。</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1.9.4 采购人在踏勘现场中介绍的场地和相关的周边环境情况，供供应商在编制响应文</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件时参考，采购人不对供应商据此作出的判断和决策负责。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1.10、答疑会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1.10.1 供应商须知前附表规定召开答疑会的，采购人按供应商须知前附表规定的时间和</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地点召开答疑会，澄清供应商提出的问题。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1.10.2 供应商应在答疑会时间的前一天，以书面形式将提出的问题送达采购人，以便采</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ascii="宋体" w:hAnsi="宋体" w:eastAsia="宋体" w:cs="宋体"/>
          <w:color w:val="auto"/>
          <w:sz w:val="21"/>
          <w:szCs w:val="21"/>
        </w:rPr>
      </w:pPr>
      <w:r>
        <w:rPr>
          <w:rFonts w:ascii="宋体" w:hAnsi="宋体" w:eastAsia="宋体" w:cs="宋体"/>
          <w:color w:val="auto"/>
          <w:sz w:val="21"/>
          <w:szCs w:val="21"/>
        </w:rPr>
        <w:t>购人在会议期间澄清。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1.10.3 答疑会后，采购人按本章 2.4 款规定对供应商所提问题进行澄清答复。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1.11、分包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供应商须知前附表规定允许分包的，供应商应当在响应文件载明分包的具体情况，应符合采购人在供应商须知前附表规定的分包内容、分包金额和接受分包的第三人资质要求等限制条件。</w:t>
      </w:r>
    </w:p>
    <w:p>
      <w:pPr>
        <w:spacing w:after="0" w:line="200" w:lineRule="exact"/>
        <w:rPr>
          <w:color w:val="auto"/>
          <w:sz w:val="20"/>
          <w:szCs w:val="20"/>
        </w:rPr>
      </w:pPr>
    </w:p>
    <w:p>
      <w:pPr>
        <w:spacing w:after="0" w:line="304"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1" w:lineRule="exact"/>
        <w:rPr>
          <w:color w:val="auto"/>
          <w:sz w:val="20"/>
          <w:szCs w:val="20"/>
        </w:rPr>
      </w:pPr>
      <w:bookmarkStart w:id="10" w:name="page11"/>
      <w:bookmarkEnd w:id="10"/>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1.12</w:t>
      </w:r>
      <w:r>
        <w:rPr>
          <w:rFonts w:ascii="宋体" w:hAnsi="宋体" w:eastAsia="宋体" w:cs="宋体"/>
          <w:color w:val="auto"/>
          <w:sz w:val="21"/>
          <w:szCs w:val="21"/>
        </w:rPr>
        <w:t>、偏离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响应文件应完全响应竞争性磋商文件规定的实质性内容和条件。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1.13</w:t>
      </w:r>
      <w:r>
        <w:rPr>
          <w:rFonts w:ascii="宋体" w:hAnsi="宋体" w:eastAsia="宋体" w:cs="宋体"/>
          <w:color w:val="auto"/>
          <w:sz w:val="21"/>
          <w:szCs w:val="21"/>
        </w:rPr>
        <w:t>、其他</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1.13.1▲</w:t>
      </w:r>
      <w:r>
        <w:rPr>
          <w:rFonts w:ascii="宋体" w:hAnsi="宋体" w:eastAsia="宋体" w:cs="宋体"/>
          <w:b/>
          <w:bCs/>
          <w:color w:val="auto"/>
          <w:sz w:val="21"/>
          <w:szCs w:val="21"/>
          <w:u w:val="single" w:color="auto"/>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1.13.2▲</w:t>
      </w:r>
      <w:r>
        <w:rPr>
          <w:rFonts w:ascii="宋体" w:hAnsi="宋体" w:eastAsia="宋体" w:cs="宋体"/>
          <w:b/>
          <w:bCs/>
          <w:color w:val="auto"/>
          <w:sz w:val="21"/>
          <w:szCs w:val="21"/>
          <w:u w:val="single" w:color="auto"/>
        </w:rPr>
        <w:t>供应商对所响应标项内的采购内容必须全部进行响应。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1.13.4 </w:t>
      </w:r>
      <w:r>
        <w:rPr>
          <w:rFonts w:ascii="宋体" w:hAnsi="宋体" w:eastAsia="宋体" w:cs="宋体"/>
          <w:color w:val="auto"/>
          <w:sz w:val="21"/>
          <w:szCs w:val="21"/>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1.13.5 </w:t>
      </w:r>
      <w:r>
        <w:rPr>
          <w:rFonts w:ascii="宋体" w:hAnsi="宋体" w:eastAsia="宋体" w:cs="宋体"/>
          <w:color w:val="auto"/>
          <w:sz w:val="21"/>
          <w:szCs w:val="21"/>
        </w:rPr>
        <w:t>竞争性磋商文件中如有描述歧义或前后不一致的地方，磋商小组有权按公平、合理的原则进行评判，但对同一条款的评判适用于每个供应商。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1.13.6 </w:t>
      </w:r>
      <w:r>
        <w:rPr>
          <w:rFonts w:ascii="宋体" w:hAnsi="宋体" w:eastAsia="宋体" w:cs="宋体"/>
          <w:color w:val="auto"/>
          <w:sz w:val="21"/>
          <w:szCs w:val="21"/>
        </w:rPr>
        <w:t>响应文件的响应内容必须真实、明确、准确。否则，磋商小组将对其作出不利的评审。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1.13.7 </w:t>
      </w:r>
      <w:r>
        <w:rPr>
          <w:rFonts w:ascii="宋体" w:hAnsi="宋体" w:eastAsia="宋体" w:cs="宋体"/>
          <w:color w:val="auto"/>
          <w:sz w:val="21"/>
          <w:szCs w:val="21"/>
        </w:rPr>
        <w:t>乙方为履行合同引起的相关人员的差旅费、食宿费以及其它不可预知的费用由乙方自理。合同实施过程中，须与甲方积极配合。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w:t>
      </w:r>
      <w:r>
        <w:rPr>
          <w:rFonts w:hint="eastAsia" w:ascii="Arial" w:hAnsi="Arial" w:eastAsia="宋体" w:cs="Arial"/>
          <w:color w:val="auto"/>
          <w:sz w:val="21"/>
          <w:szCs w:val="21"/>
          <w:lang w:val="en-US" w:eastAsia="zh-CN"/>
        </w:rPr>
        <w:t>3</w:t>
      </w:r>
      <w:r>
        <w:rPr>
          <w:rFonts w:ascii="Arial" w:hAnsi="Arial" w:eastAsia="Arial" w:cs="Arial"/>
          <w:color w:val="auto"/>
          <w:sz w:val="21"/>
          <w:szCs w:val="21"/>
        </w:rPr>
        <w:t xml:space="preserve">.8 </w:t>
      </w:r>
      <w:r>
        <w:rPr>
          <w:rFonts w:ascii="宋体" w:hAnsi="宋体" w:eastAsia="宋体" w:cs="宋体"/>
          <w:color w:val="auto"/>
          <w:sz w:val="21"/>
          <w:szCs w:val="21"/>
        </w:rPr>
        <w:t>项目资金为财政性投资，资金已落实。</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1.1</w:t>
      </w:r>
      <w:r>
        <w:rPr>
          <w:rFonts w:hint="eastAsia" w:ascii="Arial" w:hAnsi="Arial" w:eastAsia="宋体" w:cs="Arial"/>
          <w:color w:val="auto"/>
          <w:sz w:val="21"/>
          <w:szCs w:val="21"/>
          <w:lang w:val="en-US" w:eastAsia="zh-CN"/>
        </w:rPr>
        <w:t>3</w:t>
      </w:r>
      <w:r>
        <w:rPr>
          <w:rFonts w:ascii="Arial" w:hAnsi="Arial" w:eastAsia="Arial" w:cs="Arial"/>
          <w:color w:val="auto"/>
          <w:sz w:val="21"/>
          <w:szCs w:val="21"/>
        </w:rPr>
        <w:t xml:space="preserve">.9 </w:t>
      </w:r>
      <w:r>
        <w:rPr>
          <w:rFonts w:ascii="宋体" w:hAnsi="宋体" w:eastAsia="宋体" w:cs="宋体"/>
          <w:color w:val="auto"/>
          <w:sz w:val="21"/>
          <w:szCs w:val="21"/>
        </w:rPr>
        <w:t>供应商须对所提供产品、方案、技术、服务等拥有合法的占有和处置权，并对涉及项目的所有内容可能侵权行为指控负责，保证不伤害采购人的利益。在法律范围内，如果</w:t>
      </w:r>
      <w:r>
        <w:rPr>
          <w:rFonts w:ascii="宋体" w:hAnsi="宋体" w:eastAsia="宋体" w:cs="宋体"/>
          <w:color w:val="auto"/>
          <w:sz w:val="20"/>
          <w:szCs w:val="20"/>
        </w:rPr>
        <w:t>出现文字、图片、商标和技术等侵权行为而造成的纠纷和产生的一切费用，采购人概不负责，</w:t>
      </w:r>
      <w:r>
        <w:rPr>
          <w:rFonts w:ascii="宋体" w:hAnsi="宋体" w:eastAsia="宋体" w:cs="宋体"/>
          <w:color w:val="auto"/>
          <w:sz w:val="21"/>
          <w:szCs w:val="21"/>
        </w:rPr>
        <w:t>由此给采购人造成损失的，供应商应承担相应后果，并负责赔偿。供应商为执行本项目合同而提供的技术资料等归采购人所有。</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1.13.10 磋商所使用的资格、信誉、荣誉、业绩、企业认证等证明材料必须为供应商自身所拥有，不同法人、其他组织资料与供应商无关，评审时不作为该供应商的依据。</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hint="eastAsia" w:ascii="宋体" w:hAnsi="宋体" w:eastAsia="宋体" w:cs="宋体"/>
          <w:b/>
          <w:bCs/>
          <w:color w:val="auto"/>
          <w:sz w:val="21"/>
          <w:szCs w:val="21"/>
          <w:u w:val="single" w:color="auto"/>
        </w:rPr>
      </w:pPr>
      <w:r>
        <w:rPr>
          <w:rFonts w:hint="eastAsia" w:ascii="宋体" w:hAnsi="宋体" w:eastAsia="宋体" w:cs="宋体"/>
          <w:b/>
          <w:bCs/>
          <w:color w:val="auto"/>
          <w:sz w:val="21"/>
          <w:szCs w:val="21"/>
          <w:u w:val="single" w:color="auto"/>
        </w:rPr>
        <w:t>“▲”系指实质性要求条款，磋商响应供应商必须做出实质性响应，不满足则按无效标处理。</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rFonts w:ascii="宋体" w:hAnsi="宋体" w:eastAsia="宋体" w:cs="宋体"/>
          <w:b/>
          <w:bCs/>
          <w:color w:val="auto"/>
          <w:sz w:val="21"/>
          <w:szCs w:val="21"/>
        </w:rPr>
      </w:pPr>
      <w:r>
        <w:rPr>
          <w:rFonts w:hint="eastAsia" w:ascii="宋体" w:hAnsi="宋体" w:eastAsia="宋体" w:cs="宋体"/>
          <w:b/>
          <w:bCs/>
          <w:color w:val="auto"/>
          <w:sz w:val="21"/>
          <w:szCs w:val="21"/>
          <w:u w:val="single" w:color="auto"/>
        </w:rPr>
        <w:t>“★”系指重要条款，磋商响应供应商应满足或者优于指标要求，否则按照负偏离计算。</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二、竞争性磋商文件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2.1</w:t>
      </w:r>
      <w:r>
        <w:rPr>
          <w:rFonts w:ascii="宋体" w:hAnsi="宋体" w:eastAsia="宋体" w:cs="宋体"/>
          <w:color w:val="auto"/>
          <w:sz w:val="21"/>
          <w:szCs w:val="21"/>
        </w:rPr>
        <w:t>、竞争性磋商文件组成</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2.1.1 </w:t>
      </w:r>
      <w:r>
        <w:rPr>
          <w:rFonts w:ascii="宋体" w:hAnsi="宋体" w:eastAsia="宋体" w:cs="宋体"/>
          <w:color w:val="auto"/>
          <w:sz w:val="21"/>
          <w:szCs w:val="21"/>
        </w:rPr>
        <w:t>第一章 竞争性磋商公告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2.1.2 </w:t>
      </w:r>
      <w:r>
        <w:rPr>
          <w:rFonts w:ascii="宋体" w:hAnsi="宋体" w:eastAsia="宋体" w:cs="宋体"/>
          <w:color w:val="auto"/>
          <w:sz w:val="21"/>
          <w:szCs w:val="21"/>
        </w:rPr>
        <w:t>第二章 供应商须知前附表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2.1.3 </w:t>
      </w:r>
      <w:r>
        <w:rPr>
          <w:rFonts w:ascii="宋体" w:hAnsi="宋体" w:eastAsia="宋体" w:cs="宋体"/>
          <w:color w:val="auto"/>
          <w:sz w:val="21"/>
          <w:szCs w:val="21"/>
        </w:rPr>
        <w:t>第三章 供应商须知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2.1.4 </w:t>
      </w:r>
      <w:r>
        <w:rPr>
          <w:rFonts w:ascii="宋体" w:hAnsi="宋体" w:eastAsia="宋体" w:cs="宋体"/>
          <w:color w:val="auto"/>
          <w:sz w:val="21"/>
          <w:szCs w:val="21"/>
        </w:rPr>
        <w:t>第四章 采购内容及技术要求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2.1.5 </w:t>
      </w:r>
      <w:r>
        <w:rPr>
          <w:rFonts w:ascii="宋体" w:hAnsi="宋体" w:eastAsia="宋体" w:cs="宋体"/>
          <w:color w:val="auto"/>
          <w:sz w:val="21"/>
          <w:szCs w:val="21"/>
        </w:rPr>
        <w:t>第五章 合同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2.1.6 </w:t>
      </w:r>
      <w:r>
        <w:rPr>
          <w:rFonts w:ascii="宋体" w:hAnsi="宋体" w:eastAsia="宋体" w:cs="宋体"/>
          <w:color w:val="auto"/>
          <w:sz w:val="21"/>
          <w:szCs w:val="21"/>
        </w:rPr>
        <w:t>第六章 响应文件格式</w:t>
      </w:r>
    </w:p>
    <w:p>
      <w:pPr>
        <w:spacing w:after="0" w:line="1" w:lineRule="exact"/>
        <w:rPr>
          <w:color w:val="auto"/>
          <w:sz w:val="20"/>
          <w:szCs w:val="20"/>
        </w:rPr>
      </w:pPr>
      <w:bookmarkStart w:id="11" w:name="page12"/>
      <w:bookmarkEnd w:id="11"/>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2.1.7 </w:t>
      </w:r>
      <w:r>
        <w:rPr>
          <w:rFonts w:ascii="宋体" w:hAnsi="宋体" w:eastAsia="宋体" w:cs="宋体"/>
          <w:color w:val="auto"/>
          <w:sz w:val="21"/>
          <w:szCs w:val="21"/>
        </w:rPr>
        <w:t>第七章 评审办法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2.1.8 </w:t>
      </w:r>
      <w:r>
        <w:rPr>
          <w:rFonts w:ascii="宋体" w:hAnsi="宋体" w:eastAsia="宋体" w:cs="宋体"/>
          <w:color w:val="auto"/>
          <w:sz w:val="21"/>
          <w:szCs w:val="21"/>
        </w:rPr>
        <w:t>补充文件（如有）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2.2</w:t>
      </w:r>
      <w:r>
        <w:rPr>
          <w:rFonts w:ascii="宋体" w:hAnsi="宋体" w:eastAsia="宋体" w:cs="宋体"/>
          <w:color w:val="auto"/>
          <w:sz w:val="21"/>
          <w:szCs w:val="21"/>
        </w:rPr>
        <w:t>、竞争性磋商文件的解释权</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竞争性磋商文件的解释权归采购人和采购代理机构所有。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2.3</w:t>
      </w:r>
      <w:r>
        <w:rPr>
          <w:rFonts w:ascii="宋体" w:hAnsi="宋体" w:eastAsia="宋体" w:cs="宋体"/>
          <w:color w:val="auto"/>
          <w:sz w:val="21"/>
          <w:szCs w:val="21"/>
        </w:rPr>
        <w:t>、竞争性磋商文件的质疑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2.3.1 </w:t>
      </w:r>
      <w:r>
        <w:rPr>
          <w:rFonts w:ascii="宋体" w:hAnsi="宋体" w:eastAsia="宋体" w:cs="宋体"/>
          <w:color w:val="auto"/>
          <w:sz w:val="21"/>
          <w:szCs w:val="21"/>
        </w:rPr>
        <w:t>供应商认为竞争性磋商文件规定内容使自己的合法权益受到损害的，供应商可以提出书面质疑。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2.3.2 </w:t>
      </w:r>
      <w:r>
        <w:rPr>
          <w:rFonts w:ascii="宋体" w:hAnsi="宋体" w:eastAsia="宋体" w:cs="宋体"/>
          <w:color w:val="auto"/>
          <w:sz w:val="21"/>
          <w:szCs w:val="21"/>
        </w:rPr>
        <w:t>质疑书须包括以下内容：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（一）质疑人的名称、地址、邮政编码、联系人、联系电话；</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（二）被质疑采购项目名称、编号及采购内容；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（三）具体的质疑事项及事实依据；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（四）认为自己合法权益受到损害或可能受到损害的相关证据材料；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（五）提出质疑的日期。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2.3.3 </w:t>
      </w:r>
      <w:r>
        <w:rPr>
          <w:rFonts w:ascii="宋体" w:hAnsi="宋体" w:eastAsia="宋体" w:cs="宋体"/>
          <w:color w:val="auto"/>
          <w:sz w:val="21"/>
          <w:szCs w:val="21"/>
        </w:rPr>
        <w:t>质疑期限自供应商获得竞争性磋商文件之日起</w:t>
      </w:r>
      <w:r>
        <w:rPr>
          <w:rFonts w:ascii="Arial" w:hAnsi="Arial" w:eastAsia="Arial" w:cs="Arial"/>
          <w:color w:val="auto"/>
          <w:sz w:val="21"/>
          <w:szCs w:val="21"/>
        </w:rPr>
        <w:t xml:space="preserve"> 3 </w:t>
      </w:r>
      <w:r>
        <w:rPr>
          <w:rFonts w:ascii="宋体" w:hAnsi="宋体" w:eastAsia="宋体" w:cs="宋体"/>
          <w:color w:val="auto"/>
          <w:sz w:val="21"/>
          <w:szCs w:val="21"/>
        </w:rPr>
        <w:t>个工作日内且在响应文件递交截止时间前向采购代理机构提出。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2.3.4 </w:t>
      </w:r>
      <w:r>
        <w:rPr>
          <w:rFonts w:ascii="宋体" w:hAnsi="宋体" w:eastAsia="宋体" w:cs="宋体"/>
          <w:color w:val="auto"/>
          <w:sz w:val="21"/>
          <w:szCs w:val="21"/>
        </w:rPr>
        <w:t>质疑书中涉及的相关材料中有外文资料的，应当将与质疑相关的外文资料完整、客观、真实地翻译为中文，并注明翻译人员姓名、工作单位、联系方式等信息。</w:t>
      </w:r>
    </w:p>
    <w:p>
      <w:pPr>
        <w:keepNext w:val="0"/>
        <w:keepLines w:val="0"/>
        <w:pageBreakBefore w:val="0"/>
        <w:widowControl/>
        <w:kinsoku/>
        <w:wordWrap/>
        <w:overflowPunct/>
        <w:topLinePunct w:val="0"/>
        <w:autoSpaceDE/>
        <w:autoSpaceDN/>
        <w:bidi w:val="0"/>
        <w:adjustRightInd/>
        <w:snapToGrid/>
        <w:spacing w:after="0" w:line="360" w:lineRule="auto"/>
        <w:ind w:firstLine="400" w:firstLineChars="200"/>
        <w:textAlignment w:val="auto"/>
        <w:outlineLvl w:val="9"/>
        <w:rPr>
          <w:color w:val="auto"/>
          <w:sz w:val="20"/>
          <w:szCs w:val="20"/>
        </w:rPr>
      </w:pPr>
      <w:r>
        <w:rPr>
          <w:rFonts w:ascii="Arial" w:hAnsi="Arial" w:eastAsia="Arial" w:cs="Arial"/>
          <w:color w:val="auto"/>
          <w:sz w:val="20"/>
          <w:szCs w:val="20"/>
        </w:rPr>
        <w:t xml:space="preserve">2.3.5 </w:t>
      </w:r>
      <w:r>
        <w:rPr>
          <w:rFonts w:ascii="宋体" w:hAnsi="宋体" w:eastAsia="宋体" w:cs="宋体"/>
          <w:color w:val="auto"/>
          <w:sz w:val="21"/>
          <w:szCs w:val="21"/>
        </w:rPr>
        <w:t>质疑书必须署名，由法定代表人签字（或盖章）并加盖单位公章，否则不予受理。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2.3.6 </w:t>
      </w:r>
      <w:r>
        <w:rPr>
          <w:rFonts w:ascii="宋体" w:hAnsi="宋体" w:eastAsia="宋体" w:cs="宋体"/>
          <w:color w:val="auto"/>
          <w:sz w:val="21"/>
          <w:szCs w:val="21"/>
        </w:rPr>
        <w:t>质疑书以直接提交、传真或邮寄方式提交（一式三份）。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2.3.7 </w:t>
      </w:r>
      <w:r>
        <w:rPr>
          <w:rFonts w:ascii="宋体" w:hAnsi="宋体" w:eastAsia="宋体" w:cs="宋体"/>
          <w:color w:val="auto"/>
          <w:sz w:val="21"/>
          <w:szCs w:val="21"/>
        </w:rPr>
        <w:t>质疑书以传真形式提交后，同时须向采购代理机构提交质疑书原件，实际收到原件之日作为收到质疑的日期。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2.4</w:t>
      </w:r>
      <w:r>
        <w:rPr>
          <w:rFonts w:ascii="宋体" w:hAnsi="宋体" w:eastAsia="宋体" w:cs="宋体"/>
          <w:color w:val="auto"/>
          <w:sz w:val="21"/>
          <w:szCs w:val="21"/>
        </w:rPr>
        <w:t>、竞争性磋商文件的澄清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2.4.1 </w:t>
      </w:r>
      <w:r>
        <w:rPr>
          <w:rFonts w:ascii="宋体" w:hAnsi="宋体" w:eastAsia="宋体" w:cs="宋体"/>
          <w:color w:val="auto"/>
          <w:sz w:val="21"/>
          <w:szCs w:val="21"/>
        </w:rPr>
        <w:t>供应商对竞争性磋商文件如有疑问要求澄清，或认为有必要与采购代理机构进行技术交流，供应商需将书面资料在</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2.4.2 </w:t>
      </w:r>
      <w:r>
        <w:rPr>
          <w:rFonts w:ascii="宋体" w:hAnsi="宋体" w:eastAsia="宋体" w:cs="宋体"/>
          <w:color w:val="auto"/>
          <w:sz w:val="21"/>
          <w:szCs w:val="21"/>
        </w:rPr>
        <w:t>供应商要求澄清的资料应加盖单位公章、写明日期。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2.4.3 </w:t>
      </w:r>
      <w:r>
        <w:rPr>
          <w:rFonts w:ascii="宋体" w:hAnsi="宋体" w:eastAsia="宋体" w:cs="宋体"/>
          <w:color w:val="auto"/>
          <w:sz w:val="21"/>
          <w:szCs w:val="21"/>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color w:val="auto"/>
          <w:sz w:val="21"/>
          <w:szCs w:val="21"/>
        </w:rPr>
      </w:pPr>
      <w:r>
        <w:rPr>
          <w:rFonts w:ascii="Arial" w:hAnsi="Arial" w:eastAsia="Arial" w:cs="Arial"/>
          <w:color w:val="auto"/>
          <w:sz w:val="21"/>
          <w:szCs w:val="21"/>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bookmarkStart w:id="12" w:name="page13"/>
      <w:bookmarkEnd w:id="12"/>
      <w:r>
        <w:rPr>
          <w:rFonts w:ascii="Arial" w:hAnsi="Arial" w:eastAsia="Arial" w:cs="Arial"/>
          <w:color w:val="auto"/>
          <w:sz w:val="21"/>
          <w:szCs w:val="21"/>
        </w:rPr>
        <w:t xml:space="preserve">2.4.5 </w:t>
      </w:r>
      <w:r>
        <w:rPr>
          <w:rFonts w:ascii="宋体" w:hAnsi="宋体" w:eastAsia="宋体" w:cs="宋体"/>
          <w:color w:val="auto"/>
          <w:sz w:val="21"/>
          <w:szCs w:val="21"/>
        </w:rPr>
        <w:t>供应商在收到补充文件后，应在</w:t>
      </w:r>
      <w:r>
        <w:rPr>
          <w:rFonts w:ascii="Arial" w:hAnsi="Arial" w:eastAsia="Arial" w:cs="Arial"/>
          <w:color w:val="auto"/>
          <w:sz w:val="21"/>
          <w:szCs w:val="21"/>
        </w:rPr>
        <w:t xml:space="preserve"> 24 </w:t>
      </w:r>
      <w:r>
        <w:rPr>
          <w:rFonts w:ascii="宋体" w:hAnsi="宋体" w:eastAsia="宋体" w:cs="宋体"/>
          <w:color w:val="auto"/>
          <w:sz w:val="21"/>
          <w:szCs w:val="21"/>
        </w:rPr>
        <w:t>小时内以书面形式向采购代理机构确认已收到该补充文件。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2.4.6 </w:t>
      </w:r>
      <w:r>
        <w:rPr>
          <w:rFonts w:ascii="宋体" w:hAnsi="宋体" w:eastAsia="宋体" w:cs="宋体"/>
          <w:color w:val="auto"/>
          <w:sz w:val="21"/>
          <w:szCs w:val="21"/>
        </w:rPr>
        <w:t>供应商在竞争性磋商文件规定的询疑截止时间前内未对竞争性磋商文件提出疑问的，采购代理机构将视其为无异议。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2.4.7 </w:t>
      </w:r>
      <w:r>
        <w:rPr>
          <w:rFonts w:ascii="宋体" w:hAnsi="宋体" w:eastAsia="宋体" w:cs="宋体"/>
          <w:color w:val="auto"/>
          <w:sz w:val="21"/>
          <w:szCs w:val="21"/>
        </w:rPr>
        <w:t>当竞争性磋商文件与补充文件就同一内容的表述不一致时，以最后发出的书面文件为准。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2.5</w:t>
      </w:r>
      <w:r>
        <w:rPr>
          <w:rFonts w:ascii="宋体" w:hAnsi="宋体" w:eastAsia="宋体" w:cs="宋体"/>
          <w:color w:val="auto"/>
          <w:sz w:val="21"/>
          <w:szCs w:val="21"/>
        </w:rPr>
        <w:t>、竞争性磋商文件的修改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2.5.1 </w:t>
      </w:r>
      <w:r>
        <w:rPr>
          <w:rFonts w:ascii="宋体" w:hAnsi="宋体" w:eastAsia="宋体" w:cs="宋体"/>
          <w:color w:val="auto"/>
          <w:sz w:val="21"/>
          <w:szCs w:val="21"/>
        </w:rPr>
        <w:t>在响应文件提交的截止时间前，由于各种原因采购人可能以补充文件的形式修改完善竞争性磋商文件。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2.5.2 </w:t>
      </w:r>
      <w:r>
        <w:rPr>
          <w:rFonts w:ascii="宋体" w:hAnsi="宋体" w:eastAsia="宋体" w:cs="宋体"/>
          <w:color w:val="auto"/>
          <w:sz w:val="21"/>
          <w:szCs w:val="21"/>
        </w:rPr>
        <w:t>补充文件作为竞争性磋商文件组成部分，补充文件将以传真、网上公告等形式告知所有购买竞争性磋商文件的供应商，补充文件对供应商均有约束力。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2.5.3 </w:t>
      </w:r>
      <w:r>
        <w:rPr>
          <w:rFonts w:ascii="宋体" w:hAnsi="宋体" w:eastAsia="宋体" w:cs="宋体"/>
          <w:color w:val="auto"/>
          <w:sz w:val="21"/>
          <w:szCs w:val="21"/>
        </w:rPr>
        <w:t>补充文件发出后，采购人原则上不改变本文件规定的响应文件递交截止时间及开启时间。供应商如认为补充文件内容影响响应文件编制，须延长响应文件递交截止时间的，必须在收到补充文件后</w:t>
      </w:r>
      <w:r>
        <w:rPr>
          <w:rFonts w:ascii="Arial" w:hAnsi="Arial" w:eastAsia="Arial" w:cs="Arial"/>
          <w:color w:val="auto"/>
          <w:sz w:val="21"/>
          <w:szCs w:val="21"/>
        </w:rPr>
        <w:t xml:space="preserve"> 24 </w:t>
      </w:r>
      <w:r>
        <w:rPr>
          <w:rFonts w:ascii="宋体" w:hAnsi="宋体" w:eastAsia="宋体" w:cs="宋体"/>
          <w:color w:val="auto"/>
          <w:sz w:val="21"/>
          <w:szCs w:val="21"/>
        </w:rPr>
        <w:t>小时内将意见和理由以书面形式向采购代理机构提出，否则，采购代理机构视供应商完全接受并有足够的时间编制响应文件且按规定时间进行磋商。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2.5.4 </w:t>
      </w:r>
      <w:r>
        <w:rPr>
          <w:rFonts w:ascii="宋体" w:hAnsi="宋体" w:eastAsia="宋体" w:cs="宋体"/>
          <w:color w:val="auto"/>
          <w:sz w:val="21"/>
          <w:szCs w:val="21"/>
        </w:rPr>
        <w:t>供应商在收到补充文件后，应在</w:t>
      </w:r>
      <w:r>
        <w:rPr>
          <w:rFonts w:ascii="Arial" w:hAnsi="Arial" w:eastAsia="Arial" w:cs="Arial"/>
          <w:color w:val="auto"/>
          <w:sz w:val="21"/>
          <w:szCs w:val="21"/>
        </w:rPr>
        <w:t xml:space="preserve"> 24 </w:t>
      </w:r>
      <w:r>
        <w:rPr>
          <w:rFonts w:ascii="宋体" w:hAnsi="宋体" w:eastAsia="宋体" w:cs="宋体"/>
          <w:color w:val="auto"/>
          <w:sz w:val="21"/>
          <w:szCs w:val="21"/>
        </w:rPr>
        <w:t>小时内以书面形式向采购代理机构确认已收到该补充文件。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2.5.5 </w:t>
      </w:r>
      <w:r>
        <w:rPr>
          <w:rFonts w:ascii="宋体" w:hAnsi="宋体" w:eastAsia="宋体" w:cs="宋体"/>
          <w:color w:val="auto"/>
          <w:sz w:val="21"/>
          <w:szCs w:val="21"/>
        </w:rPr>
        <w:t>供应商收到补充文件后，对补充文件如有疑问要求澄清，应在</w:t>
      </w:r>
      <w:r>
        <w:rPr>
          <w:rFonts w:ascii="Arial" w:hAnsi="Arial" w:eastAsia="Arial" w:cs="Arial"/>
          <w:color w:val="auto"/>
          <w:sz w:val="21"/>
          <w:szCs w:val="21"/>
        </w:rPr>
        <w:t xml:space="preserve"> 24 </w:t>
      </w:r>
      <w:r>
        <w:rPr>
          <w:rFonts w:ascii="宋体" w:hAnsi="宋体" w:eastAsia="宋体" w:cs="宋体"/>
          <w:color w:val="auto"/>
          <w:sz w:val="21"/>
          <w:szCs w:val="21"/>
        </w:rPr>
        <w:t>小时内将书面</w:t>
      </w:r>
      <w:r>
        <w:rPr>
          <w:rFonts w:ascii="宋体" w:hAnsi="宋体" w:eastAsia="宋体" w:cs="宋体"/>
          <w:color w:val="auto"/>
          <w:sz w:val="20"/>
          <w:szCs w:val="20"/>
        </w:rPr>
        <w:t>资料传</w:t>
      </w:r>
      <w:r>
        <w:rPr>
          <w:rFonts w:ascii="宋体" w:hAnsi="宋体" w:eastAsia="宋体" w:cs="宋体"/>
          <w:color w:val="auto"/>
          <w:sz w:val="21"/>
          <w:szCs w:val="21"/>
        </w:rPr>
        <w:t>真或送达至采购代理机构，同时将电子文件发至供应商须知前附表注明的邮箱（</w:t>
      </w:r>
      <w:r>
        <w:rPr>
          <w:rFonts w:ascii="宋体" w:hAnsi="宋体" w:eastAsia="宋体" w:cs="宋体"/>
          <w:color w:val="auto"/>
          <w:sz w:val="20"/>
          <w:szCs w:val="20"/>
        </w:rPr>
        <w:t>电子</w:t>
      </w:r>
      <w:r>
        <w:rPr>
          <w:rFonts w:ascii="宋体" w:hAnsi="宋体" w:eastAsia="宋体" w:cs="宋体"/>
          <w:color w:val="auto"/>
          <w:sz w:val="21"/>
          <w:szCs w:val="21"/>
        </w:rPr>
        <w:t>邮件与书面文件有不一致的，以书面文件为准），并与采购代理机构进行确认。</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2.5.6 </w:t>
      </w:r>
      <w:r>
        <w:rPr>
          <w:rFonts w:ascii="宋体" w:hAnsi="宋体" w:eastAsia="宋体" w:cs="宋体"/>
          <w:color w:val="auto"/>
          <w:sz w:val="21"/>
          <w:szCs w:val="21"/>
        </w:rPr>
        <w:t>供应商要求澄清的资料应加盖单位公章、写明日期。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2.5.7 </w:t>
      </w:r>
      <w:r>
        <w:rPr>
          <w:rFonts w:ascii="宋体" w:hAnsi="宋体" w:eastAsia="宋体" w:cs="宋体"/>
          <w:color w:val="auto"/>
          <w:sz w:val="21"/>
          <w:szCs w:val="21"/>
        </w:rPr>
        <w:t>对补充文件的澄清答复按</w:t>
      </w:r>
      <w:r>
        <w:rPr>
          <w:rFonts w:ascii="Arial" w:hAnsi="Arial" w:eastAsia="Arial" w:cs="Arial"/>
          <w:color w:val="auto"/>
          <w:sz w:val="21"/>
          <w:szCs w:val="21"/>
        </w:rPr>
        <w:t xml:space="preserve"> 2.4 </w:t>
      </w:r>
      <w:r>
        <w:rPr>
          <w:rFonts w:ascii="宋体" w:hAnsi="宋体" w:eastAsia="宋体" w:cs="宋体"/>
          <w:color w:val="auto"/>
          <w:sz w:val="21"/>
          <w:szCs w:val="21"/>
        </w:rPr>
        <w:t>款规定。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2.5.8 </w:t>
      </w:r>
      <w:r>
        <w:rPr>
          <w:rFonts w:ascii="宋体" w:hAnsi="宋体" w:eastAsia="宋体" w:cs="宋体"/>
          <w:color w:val="auto"/>
          <w:sz w:val="21"/>
          <w:szCs w:val="21"/>
        </w:rPr>
        <w:t>当竞争性磋商文件与补充文件就同一内容的表述不一致时，以最后发出的书面文件为准。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2.5.9 </w:t>
      </w:r>
      <w:r>
        <w:rPr>
          <w:rFonts w:ascii="宋体" w:hAnsi="宋体" w:eastAsia="宋体" w:cs="宋体"/>
          <w:color w:val="auto"/>
          <w:sz w:val="21"/>
          <w:szCs w:val="21"/>
        </w:rPr>
        <w:t>任何口头答复均不属于竞争性磋商文件的组成部分。</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三、响应文件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3.1</w:t>
      </w:r>
      <w:r>
        <w:rPr>
          <w:rFonts w:ascii="宋体" w:hAnsi="宋体" w:eastAsia="宋体" w:cs="宋体"/>
          <w:color w:val="auto"/>
          <w:sz w:val="21"/>
          <w:szCs w:val="21"/>
        </w:rPr>
        <w:t>、响应文件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3.1.1 </w:t>
      </w:r>
      <w:r>
        <w:rPr>
          <w:rFonts w:ascii="宋体" w:hAnsi="宋体" w:eastAsia="宋体" w:cs="宋体"/>
          <w:color w:val="auto"/>
          <w:sz w:val="21"/>
          <w:szCs w:val="21"/>
        </w:rPr>
        <w:t>供应商应仔细阅读竞争性磋商文件规定的所有内容，以保证能全面准确理解竞争性磋商文件，并按照竞争性磋商文件要求，详细编制响应文件，响应文件内容必须针对本次磋商响应。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s="宋体"/>
          <w:color w:val="auto"/>
          <w:sz w:val="21"/>
          <w:szCs w:val="21"/>
        </w:rPr>
      </w:pPr>
      <w:r>
        <w:rPr>
          <w:rFonts w:ascii="宋体" w:hAnsi="宋体" w:eastAsia="宋体" w:cs="宋体"/>
          <w:color w:val="auto"/>
          <w:sz w:val="21"/>
          <w:szCs w:val="21"/>
        </w:rPr>
        <w:t>3.1.2 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b/>
          <w:bCs/>
          <w:color w:val="auto"/>
          <w:sz w:val="21"/>
          <w:szCs w:val="21"/>
        </w:rPr>
        <w:t>3.2</w:t>
      </w:r>
      <w:r>
        <w:rPr>
          <w:rFonts w:ascii="宋体" w:hAnsi="宋体" w:eastAsia="宋体" w:cs="宋体"/>
          <w:b/>
          <w:bCs/>
          <w:color w:val="auto"/>
          <w:sz w:val="21"/>
          <w:szCs w:val="21"/>
        </w:rPr>
        <w:t>、响应文件组成</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b/>
          <w:bCs/>
          <w:color w:val="auto"/>
          <w:sz w:val="21"/>
          <w:szCs w:val="21"/>
        </w:rPr>
      </w:pPr>
      <w:r>
        <w:rPr>
          <w:rFonts w:ascii="Arial" w:hAnsi="Arial" w:eastAsia="Arial" w:cs="Arial"/>
          <w:b/>
          <w:bCs/>
          <w:color w:val="auto"/>
          <w:sz w:val="21"/>
          <w:szCs w:val="21"/>
        </w:rPr>
        <w:t>3.2.1 投标文件报价文件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1） 报价函；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2） 初次报价一览表；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3） 工程量清单报价</w:t>
      </w:r>
      <w:bookmarkStart w:id="13" w:name="page14"/>
      <w:bookmarkEnd w:id="1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4） 中小企业（监狱）声明函及其相关的充分的证明材料、残疾人福利性单位声明函。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b/>
          <w:bCs/>
          <w:color w:val="auto"/>
          <w:sz w:val="21"/>
          <w:szCs w:val="21"/>
        </w:rPr>
      </w:pPr>
      <w:r>
        <w:rPr>
          <w:rFonts w:ascii="Arial" w:hAnsi="Arial" w:eastAsia="Arial" w:cs="Arial"/>
          <w:b/>
          <w:bCs/>
          <w:color w:val="auto"/>
          <w:sz w:val="21"/>
          <w:szCs w:val="21"/>
        </w:rPr>
        <w:t>3.2.2 投标文件商务、技术文件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lang w:eastAsia="zh-CN"/>
        </w:rPr>
      </w:pPr>
      <w:r>
        <w:rPr>
          <w:rFonts w:ascii="Arial" w:hAnsi="Arial" w:eastAsia="Arial" w:cs="Arial"/>
          <w:color w:val="auto"/>
          <w:sz w:val="21"/>
          <w:szCs w:val="21"/>
        </w:rPr>
        <w:t>商务文件</w:t>
      </w:r>
      <w:r>
        <w:rPr>
          <w:rFonts w:hint="eastAsia" w:ascii="Arial" w:hAnsi="Arial" w:eastAsia="宋体" w:cs="Arial"/>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1）法定代表人资格证明书或附有法定代表人资格证明书的法定代表人授权书；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2）磋商保证金；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3）资格审查资料；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rPr>
      </w:pPr>
      <w:r>
        <w:rPr>
          <w:rFonts w:ascii="Arial" w:hAnsi="Arial" w:eastAsia="Arial" w:cs="Arial"/>
          <w:color w:val="auto"/>
          <w:sz w:val="21"/>
          <w:szCs w:val="21"/>
        </w:rPr>
        <w:t>4）供应商声明函；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pPr>
      <w:r>
        <w:rPr>
          <w:rFonts w:hint="eastAsia" w:ascii="Arial" w:hAnsi="Arial" w:eastAsia="Arial" w:cs="Arial"/>
          <w:color w:val="auto"/>
          <w:sz w:val="21"/>
          <w:szCs w:val="21"/>
          <w:lang w:val="en-US" w:eastAsia="zh-CN"/>
        </w:rPr>
        <w:t>5）</w:t>
      </w:r>
      <w:r>
        <w:rPr>
          <w:rFonts w:hint="eastAsia" w:ascii="Arial" w:hAnsi="Arial" w:eastAsia="宋体" w:cs="Arial"/>
          <w:color w:val="auto"/>
          <w:sz w:val="21"/>
          <w:szCs w:val="21"/>
          <w:lang w:val="en-US" w:eastAsia="zh-CN"/>
        </w:rPr>
        <w:t>公司基本情况介绍</w:t>
      </w:r>
      <w:r>
        <w:rPr>
          <w:rFonts w:ascii="Arial" w:hAnsi="Arial" w:eastAsia="Arial" w:cs="Arial"/>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lang w:val="en-US" w:eastAsia="zh-CN"/>
        </w:rPr>
      </w:pPr>
      <w:r>
        <w:rPr>
          <w:rFonts w:hint="eastAsia" w:ascii="Arial" w:hAnsi="Arial" w:eastAsia="Arial" w:cs="Arial"/>
          <w:color w:val="auto"/>
          <w:sz w:val="21"/>
          <w:szCs w:val="21"/>
          <w:lang w:val="en-US" w:eastAsia="zh-CN"/>
        </w:rPr>
        <w:t>6）</w:t>
      </w:r>
      <w:r>
        <w:rPr>
          <w:rFonts w:ascii="Arial" w:hAnsi="Arial" w:eastAsia="Arial" w:cs="Arial"/>
          <w:color w:val="auto"/>
          <w:sz w:val="21"/>
          <w:szCs w:val="21"/>
        </w:rPr>
        <w:t>供应商类似工程业绩；</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技术文件：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1</w:t>
      </w:r>
      <w:r>
        <w:rPr>
          <w:rFonts w:ascii="Arial" w:hAnsi="Arial" w:eastAsia="Arial" w:cs="Arial"/>
          <w:color w:val="auto"/>
          <w:sz w:val="21"/>
          <w:szCs w:val="21"/>
          <w:shd w:val="clear" w:color="auto" w:fill="auto"/>
        </w:rPr>
        <w:t>）施工方案</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2</w:t>
      </w:r>
      <w:r>
        <w:rPr>
          <w:rFonts w:ascii="Arial" w:hAnsi="Arial" w:eastAsia="Arial" w:cs="Arial"/>
          <w:color w:val="auto"/>
          <w:sz w:val="21"/>
          <w:szCs w:val="21"/>
          <w:shd w:val="clear" w:color="auto" w:fill="auto"/>
        </w:rPr>
        <w:t>）</w:t>
      </w:r>
      <w:r>
        <w:rPr>
          <w:rFonts w:ascii="宋体" w:hAnsi="宋体"/>
          <w:sz w:val="21"/>
          <w:szCs w:val="21"/>
        </w:rPr>
        <w:t>质量保证措施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spacing w:val="-6"/>
          <w:sz w:val="21"/>
          <w:szCs w:val="21"/>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3</w:t>
      </w:r>
      <w:r>
        <w:rPr>
          <w:rFonts w:hint="eastAsia" w:ascii="Arial" w:hAnsi="Arial" w:eastAsia="宋体" w:cs="Arial"/>
          <w:color w:val="auto"/>
          <w:sz w:val="21"/>
          <w:szCs w:val="21"/>
          <w:shd w:val="clear" w:color="auto" w:fill="auto"/>
          <w:lang w:eastAsia="zh-CN"/>
        </w:rPr>
        <w:t>）</w:t>
      </w:r>
      <w:r>
        <w:rPr>
          <w:rFonts w:hint="eastAsia" w:ascii="宋体" w:hAnsi="宋体" w:eastAsia="宋体" w:cs="宋体"/>
          <w:color w:val="auto"/>
          <w:spacing w:val="-6"/>
          <w:sz w:val="21"/>
          <w:szCs w:val="21"/>
          <w:lang w:val="en-US" w:eastAsia="zh-CN"/>
        </w:rPr>
        <w:t>施工机具和检验仪器的投入</w:t>
      </w:r>
      <w:r>
        <w:rPr>
          <w:rFonts w:hint="eastAsia" w:ascii="Arial" w:hAnsi="Arial" w:eastAsia="宋体" w:cs="Arial"/>
          <w:color w:val="auto"/>
          <w:sz w:val="21"/>
          <w:szCs w:val="21"/>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396" w:firstLineChars="200"/>
        <w:jc w:val="left"/>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（4）工期承诺、进度控制措施及施工质量控制措施；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5</w:t>
      </w:r>
      <w:r>
        <w:rPr>
          <w:rFonts w:ascii="Arial" w:hAnsi="Arial" w:eastAsia="Arial" w:cs="Arial"/>
          <w:color w:val="auto"/>
          <w:sz w:val="21"/>
          <w:szCs w:val="21"/>
          <w:shd w:val="clear" w:color="auto" w:fill="auto"/>
        </w:rPr>
        <w:t>）</w:t>
      </w:r>
      <w:r>
        <w:rPr>
          <w:rFonts w:hint="eastAsia" w:ascii="宋体" w:hAnsi="宋体" w:eastAsia="宋体" w:cs="宋体"/>
          <w:color w:val="auto"/>
          <w:sz w:val="21"/>
          <w:szCs w:val="21"/>
          <w:lang w:val="en-US" w:eastAsia="zh-CN"/>
        </w:rPr>
        <w:t>投入本项目</w:t>
      </w:r>
      <w:r>
        <w:rPr>
          <w:rFonts w:ascii="宋体" w:hAnsi="宋体" w:eastAsia="宋体" w:cs="宋体"/>
          <w:color w:val="auto"/>
          <w:sz w:val="21"/>
          <w:szCs w:val="21"/>
        </w:rPr>
        <w:t>的工程技术管理人员的专业配置情况</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附表三、附表四、附表五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6</w:t>
      </w:r>
      <w:r>
        <w:rPr>
          <w:rFonts w:ascii="Arial" w:hAnsi="Arial" w:eastAsia="Arial" w:cs="Arial"/>
          <w:color w:val="auto"/>
          <w:sz w:val="21"/>
          <w:szCs w:val="21"/>
          <w:shd w:val="clear" w:color="auto" w:fill="auto"/>
        </w:rPr>
        <w:t>）关键工序、复杂环节的相应技术措施；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7</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安全文明施工保证措施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8</w:t>
      </w:r>
      <w:r>
        <w:rPr>
          <w:rFonts w:ascii="Arial" w:hAnsi="Arial" w:eastAsia="Arial" w:cs="Arial"/>
          <w:color w:val="auto"/>
          <w:sz w:val="21"/>
          <w:szCs w:val="21"/>
          <w:shd w:val="clear" w:color="auto" w:fill="auto"/>
        </w:rPr>
        <w:t>）材料设备进场计划及施工计划情况</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9</w:t>
      </w: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合理化建议及售后服务；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lang w:val="en-US" w:eastAsia="zh-CN"/>
        </w:rPr>
      </w:pPr>
      <w:r>
        <w:rPr>
          <w:rFonts w:hint="eastAsia" w:ascii="Arial" w:hAnsi="Arial" w:eastAsia="Arial" w:cs="Arial"/>
          <w:color w:val="auto"/>
          <w:sz w:val="21"/>
          <w:szCs w:val="21"/>
          <w:shd w:val="clear" w:color="auto" w:fill="auto"/>
          <w:lang w:val="en-US" w:eastAsia="zh-CN"/>
        </w:rPr>
        <w:t>（10）</w:t>
      </w:r>
      <w:r>
        <w:rPr>
          <w:rFonts w:ascii="Arial" w:hAnsi="Arial" w:eastAsia="Arial" w:cs="Arial"/>
          <w:color w:val="auto"/>
          <w:sz w:val="21"/>
          <w:szCs w:val="21"/>
          <w:shd w:val="clear" w:color="auto" w:fill="auto"/>
        </w:rPr>
        <w:t>供应商认为需要提供的资料。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b/>
          <w:bCs/>
          <w:color w:val="auto"/>
          <w:sz w:val="21"/>
          <w:szCs w:val="21"/>
          <w:u w:val="single"/>
          <w:shd w:val="clear" w:color="auto" w:fill="auto"/>
          <w:lang w:val="en-US" w:eastAsia="zh-CN"/>
        </w:rPr>
      </w:pPr>
      <w:r>
        <w:rPr>
          <w:rFonts w:hint="eastAsia" w:ascii="Arial" w:hAnsi="Arial" w:eastAsia="Arial" w:cs="Arial"/>
          <w:b/>
          <w:bCs/>
          <w:color w:val="auto"/>
          <w:sz w:val="21"/>
          <w:szCs w:val="21"/>
          <w:u w:val="single"/>
          <w:shd w:val="clear" w:color="auto" w:fill="auto"/>
          <w:lang w:val="en-US" w:eastAsia="zh-CN"/>
        </w:rPr>
        <w:t>采用文字表述外可附下列图表，图表及格式要求附后，没有图表的可格式自拟。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附表一  拟投入的主要施工设备表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附表二  拟配备的试验和检测仪器设备表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 xml:space="preserve">附表三  </w:t>
      </w:r>
      <w:r>
        <w:rPr>
          <w:rFonts w:hint="eastAsia" w:ascii="Arial" w:hAnsi="Arial" w:eastAsia="Arial" w:cs="Arial"/>
          <w:color w:val="auto"/>
          <w:sz w:val="21"/>
          <w:szCs w:val="21"/>
          <w:shd w:val="clear" w:color="auto" w:fill="auto"/>
        </w:rPr>
        <w:t>项目管理班子配备情况表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附表四、项目经理简历表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附表五、技术负责人简历表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w:t>
      </w:r>
      <w:r>
        <w:rPr>
          <w:rFonts w:hint="eastAsia" w:ascii="Arial" w:hAnsi="Arial" w:eastAsia="Arial" w:cs="Arial"/>
          <w:color w:val="auto"/>
          <w:sz w:val="21"/>
          <w:szCs w:val="21"/>
          <w:shd w:val="clear" w:color="auto" w:fill="auto"/>
        </w:rPr>
        <w:t>六、</w:t>
      </w:r>
      <w:r>
        <w:rPr>
          <w:rFonts w:ascii="Arial" w:hAnsi="Arial" w:eastAsia="Arial" w:cs="Arial"/>
          <w:color w:val="auto"/>
          <w:sz w:val="21"/>
          <w:szCs w:val="21"/>
          <w:shd w:val="clear" w:color="auto" w:fill="auto"/>
        </w:rPr>
        <w:t>劳动力计划表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附表</w:t>
      </w:r>
      <w:r>
        <w:rPr>
          <w:rFonts w:hint="eastAsia" w:ascii="Arial" w:hAnsi="Arial" w:eastAsia="Arial" w:cs="Arial"/>
          <w:color w:val="auto"/>
          <w:sz w:val="21"/>
          <w:szCs w:val="21"/>
          <w:shd w:val="clear" w:color="auto" w:fill="auto"/>
        </w:rPr>
        <w:t>七、</w:t>
      </w:r>
      <w:r>
        <w:rPr>
          <w:rFonts w:ascii="Arial" w:hAnsi="Arial" w:eastAsia="Arial" w:cs="Arial"/>
          <w:color w:val="auto"/>
          <w:sz w:val="21"/>
          <w:szCs w:val="21"/>
          <w:shd w:val="clear" w:color="auto" w:fill="auto"/>
        </w:rPr>
        <w:t>计划开、</w:t>
      </w:r>
      <w:r>
        <w:rPr>
          <w:rFonts w:hint="eastAsia" w:ascii="Arial" w:hAnsi="Arial" w:eastAsia="Arial" w:cs="Arial"/>
          <w:color w:val="auto"/>
          <w:sz w:val="21"/>
          <w:szCs w:val="21"/>
          <w:shd w:val="clear" w:color="auto" w:fill="auto"/>
        </w:rPr>
        <w:t>竣工</w:t>
      </w:r>
      <w:r>
        <w:rPr>
          <w:rFonts w:ascii="Arial" w:hAnsi="Arial" w:eastAsia="Arial" w:cs="Arial"/>
          <w:color w:val="auto"/>
          <w:sz w:val="21"/>
          <w:szCs w:val="21"/>
          <w:shd w:val="clear" w:color="auto" w:fill="auto"/>
        </w:rPr>
        <w:t>日期和施工进度网络图</w:t>
      </w:r>
      <w:r>
        <w:rPr>
          <w:rFonts w:hint="eastAsia" w:ascii="Arial" w:hAnsi="Arial" w:eastAsia="宋体" w:cs="Arial"/>
          <w:color w:val="auto"/>
          <w:sz w:val="21"/>
          <w:szCs w:val="21"/>
          <w:shd w:val="clear" w:color="auto" w:fill="auto"/>
          <w:lang w:val="en-US" w:eastAsia="zh-CN"/>
        </w:rPr>
        <w:t>或横道图</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b/>
          <w:bCs/>
          <w:color w:val="auto"/>
          <w:sz w:val="20"/>
          <w:szCs w:val="20"/>
        </w:rPr>
      </w:pPr>
      <w:r>
        <w:rPr>
          <w:rFonts w:ascii="Arial" w:hAnsi="Arial" w:eastAsia="Arial" w:cs="Arial"/>
          <w:b/>
          <w:bCs/>
          <w:color w:val="auto"/>
          <w:sz w:val="21"/>
          <w:szCs w:val="21"/>
        </w:rPr>
        <w:t>3.3</w:t>
      </w:r>
      <w:r>
        <w:rPr>
          <w:rFonts w:ascii="宋体" w:hAnsi="宋体" w:eastAsia="宋体" w:cs="宋体"/>
          <w:b/>
          <w:bCs/>
          <w:color w:val="auto"/>
          <w:sz w:val="21"/>
          <w:szCs w:val="21"/>
        </w:rPr>
        <w:t>、响应文件的编制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3.3.1 </w:t>
      </w:r>
      <w:r>
        <w:rPr>
          <w:rFonts w:ascii="宋体" w:hAnsi="宋体" w:eastAsia="宋体" w:cs="宋体"/>
          <w:color w:val="auto"/>
          <w:sz w:val="21"/>
          <w:szCs w:val="21"/>
        </w:rPr>
        <w:t>响应文件应按照本章</w:t>
      </w:r>
      <w:r>
        <w:rPr>
          <w:rFonts w:ascii="Arial" w:hAnsi="Arial" w:eastAsia="Arial" w:cs="Arial"/>
          <w:color w:val="auto"/>
          <w:sz w:val="21"/>
          <w:szCs w:val="21"/>
        </w:rPr>
        <w:t xml:space="preserve"> 3.2 </w:t>
      </w:r>
      <w:r>
        <w:rPr>
          <w:rFonts w:ascii="宋体" w:hAnsi="宋体" w:eastAsia="宋体" w:cs="宋体"/>
          <w:color w:val="auto"/>
          <w:sz w:val="21"/>
          <w:szCs w:val="21"/>
        </w:rPr>
        <w:t>款中规定的顺序及采用</w:t>
      </w:r>
      <w:r>
        <w:rPr>
          <w:rFonts w:ascii="Arial" w:hAnsi="Arial" w:eastAsia="Arial" w:cs="Arial"/>
          <w:color w:val="auto"/>
          <w:sz w:val="21"/>
          <w:szCs w:val="21"/>
        </w:rPr>
        <w:t>“</w:t>
      </w:r>
      <w:r>
        <w:rPr>
          <w:rFonts w:ascii="宋体" w:hAnsi="宋体" w:eastAsia="宋体" w:cs="宋体"/>
          <w:color w:val="auto"/>
          <w:sz w:val="21"/>
          <w:szCs w:val="21"/>
        </w:rPr>
        <w:t>响应文件格式</w:t>
      </w:r>
      <w:r>
        <w:rPr>
          <w:rFonts w:ascii="Arial" w:hAnsi="Arial" w:eastAsia="Arial" w:cs="Arial"/>
          <w:color w:val="auto"/>
          <w:sz w:val="21"/>
          <w:szCs w:val="21"/>
        </w:rPr>
        <w:t>”</w:t>
      </w:r>
      <w:r>
        <w:rPr>
          <w:rFonts w:ascii="宋体" w:hAnsi="宋体" w:eastAsia="宋体" w:cs="宋体"/>
          <w:color w:val="auto"/>
          <w:sz w:val="21"/>
          <w:szCs w:val="21"/>
        </w:rPr>
        <w:t>中提供的格式进行编制。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3.3.2 </w:t>
      </w:r>
      <w:r>
        <w:rPr>
          <w:rFonts w:ascii="宋体" w:hAnsi="宋体" w:eastAsia="宋体" w:cs="宋体"/>
          <w:color w:val="auto"/>
          <w:sz w:val="21"/>
          <w:szCs w:val="21"/>
        </w:rPr>
        <w:t>响应文件应当对竞争性磋商文件规定的内容进行明确，对竞争性磋商文件规定的实质性内容应当作出响应。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3.3.3 </w:t>
      </w:r>
      <w:r>
        <w:rPr>
          <w:rFonts w:ascii="宋体" w:hAnsi="宋体" w:eastAsia="宋体" w:cs="宋体"/>
          <w:color w:val="auto"/>
          <w:sz w:val="21"/>
          <w:szCs w:val="21"/>
        </w:rPr>
        <w:t>响应文件的正本需打印或用不退色的墨水填写，并注明</w:t>
      </w:r>
      <w:r>
        <w:rPr>
          <w:rFonts w:ascii="Arial" w:hAnsi="Arial" w:eastAsia="Arial" w:cs="Arial"/>
          <w:color w:val="auto"/>
          <w:sz w:val="21"/>
          <w:szCs w:val="21"/>
        </w:rPr>
        <w:t>“</w:t>
      </w:r>
      <w:r>
        <w:rPr>
          <w:rFonts w:ascii="宋体" w:hAnsi="宋体" w:eastAsia="宋体" w:cs="宋体"/>
          <w:color w:val="auto"/>
          <w:sz w:val="21"/>
          <w:szCs w:val="21"/>
        </w:rPr>
        <w:t>正本</w:t>
      </w:r>
      <w:r>
        <w:rPr>
          <w:rFonts w:ascii="Arial" w:hAnsi="Arial" w:eastAsia="Arial" w:cs="Arial"/>
          <w:color w:val="auto"/>
          <w:sz w:val="21"/>
          <w:szCs w:val="21"/>
        </w:rPr>
        <w:t>”</w:t>
      </w:r>
      <w:r>
        <w:rPr>
          <w:rFonts w:ascii="宋体" w:hAnsi="宋体" w:eastAsia="宋体" w:cs="宋体"/>
          <w:color w:val="auto"/>
          <w:sz w:val="21"/>
          <w:szCs w:val="21"/>
        </w:rPr>
        <w:t>字样。副本可以复印，并注明</w:t>
      </w:r>
      <w:r>
        <w:rPr>
          <w:rFonts w:ascii="Arial" w:hAnsi="Arial" w:eastAsia="Arial" w:cs="Arial"/>
          <w:color w:val="auto"/>
          <w:sz w:val="21"/>
          <w:szCs w:val="21"/>
        </w:rPr>
        <w:t>“</w:t>
      </w:r>
      <w:r>
        <w:rPr>
          <w:rFonts w:ascii="宋体" w:hAnsi="宋体" w:eastAsia="宋体" w:cs="宋体"/>
          <w:color w:val="auto"/>
          <w:sz w:val="21"/>
          <w:szCs w:val="21"/>
        </w:rPr>
        <w:t>副本</w:t>
      </w:r>
      <w:r>
        <w:rPr>
          <w:rFonts w:ascii="Arial" w:hAnsi="Arial" w:eastAsia="Arial" w:cs="Arial"/>
          <w:color w:val="auto"/>
          <w:sz w:val="21"/>
          <w:szCs w:val="21"/>
        </w:rPr>
        <w:t>”</w:t>
      </w:r>
      <w:r>
        <w:rPr>
          <w:rFonts w:ascii="宋体" w:hAnsi="宋体" w:eastAsia="宋体" w:cs="宋体"/>
          <w:color w:val="auto"/>
          <w:sz w:val="21"/>
          <w:szCs w:val="21"/>
        </w:rPr>
        <w:t>字样。当副本和正本不一致时，以正本为准。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s="宋体"/>
          <w:color w:val="auto"/>
          <w:sz w:val="21"/>
          <w:szCs w:val="21"/>
        </w:rPr>
      </w:pPr>
      <w:r>
        <w:rPr>
          <w:rFonts w:ascii="Arial" w:hAnsi="Arial" w:eastAsia="Arial" w:cs="Arial"/>
          <w:color w:val="auto"/>
          <w:sz w:val="21"/>
          <w:szCs w:val="21"/>
        </w:rPr>
        <w:t xml:space="preserve">3.3.4 </w:t>
      </w:r>
      <w:r>
        <w:rPr>
          <w:rFonts w:ascii="宋体" w:hAnsi="宋体" w:eastAsia="宋体" w:cs="宋体"/>
          <w:color w:val="auto"/>
          <w:sz w:val="21"/>
          <w:szCs w:val="21"/>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bookmarkStart w:id="14" w:name="page15"/>
      <w:bookmarkEnd w:id="14"/>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color w:val="auto"/>
          <w:sz w:val="20"/>
          <w:szCs w:val="20"/>
        </w:rPr>
      </w:pPr>
      <w:r>
        <w:rPr>
          <w:rFonts w:ascii="Arial" w:hAnsi="Arial" w:eastAsia="Arial" w:cs="Arial"/>
          <w:color w:val="auto"/>
          <w:sz w:val="21"/>
          <w:szCs w:val="21"/>
        </w:rPr>
        <w:t xml:space="preserve">3.3.5 </w:t>
      </w:r>
      <w:r>
        <w:rPr>
          <w:rFonts w:ascii="宋体" w:hAnsi="宋体" w:eastAsia="宋体" w:cs="宋体"/>
          <w:color w:val="auto"/>
          <w:sz w:val="21"/>
          <w:szCs w:val="21"/>
        </w:rPr>
        <w:t>响应文件份数要求详见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3.3.6 </w:t>
      </w:r>
      <w:r>
        <w:rPr>
          <w:rFonts w:ascii="宋体" w:hAnsi="宋体" w:eastAsia="宋体" w:cs="宋体"/>
          <w:color w:val="auto"/>
          <w:sz w:val="21"/>
          <w:szCs w:val="21"/>
        </w:rPr>
        <w:t>响应文件应编制目录，响应文件装订要求详见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3.3.7 </w:t>
      </w:r>
      <w:r>
        <w:rPr>
          <w:rFonts w:ascii="宋体" w:hAnsi="宋体" w:eastAsia="宋体" w:cs="宋体"/>
          <w:color w:val="auto"/>
          <w:sz w:val="21"/>
          <w:szCs w:val="21"/>
        </w:rPr>
        <w:t>由于字迹模糊或表达不清引起的后果由供应商负责。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3.4</w:t>
      </w:r>
      <w:r>
        <w:rPr>
          <w:rFonts w:ascii="宋体" w:hAnsi="宋体" w:eastAsia="宋体" w:cs="宋体"/>
          <w:color w:val="auto"/>
          <w:sz w:val="21"/>
          <w:szCs w:val="21"/>
        </w:rPr>
        <w:t>、磋商报价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u w:val="single" w:color="auto"/>
        </w:rPr>
      </w:pPr>
      <w:r>
        <w:rPr>
          <w:rFonts w:ascii="Arial" w:hAnsi="Arial" w:eastAsia="Arial" w:cs="Arial"/>
          <w:color w:val="auto"/>
          <w:sz w:val="21"/>
          <w:szCs w:val="21"/>
        </w:rPr>
        <w:t>3.4.1 ▲</w:t>
      </w:r>
      <w:r>
        <w:rPr>
          <w:rFonts w:hint="eastAsia" w:ascii="宋体" w:hAnsi="宋体" w:eastAsia="宋体" w:cs="宋体"/>
          <w:b/>
          <w:bCs/>
          <w:color w:val="auto"/>
          <w:sz w:val="21"/>
          <w:szCs w:val="21"/>
          <w:u w:val="single" w:color="auto"/>
          <w:lang w:val="en-US" w:eastAsia="zh-CN"/>
        </w:rPr>
        <w:t>本项目以</w:t>
      </w:r>
      <w:r>
        <w:rPr>
          <w:rFonts w:ascii="宋体" w:hAnsi="宋体" w:eastAsia="宋体" w:cs="宋体"/>
          <w:b/>
          <w:bCs/>
          <w:color w:val="auto"/>
          <w:sz w:val="21"/>
          <w:szCs w:val="21"/>
          <w:u w:val="single" w:color="auto"/>
        </w:rPr>
        <w:t>含税人民币</w:t>
      </w:r>
      <w:r>
        <w:rPr>
          <w:rFonts w:hint="eastAsia" w:ascii="宋体" w:hAnsi="宋体" w:eastAsia="宋体" w:cs="宋体"/>
          <w:b/>
          <w:bCs/>
          <w:color w:val="auto"/>
          <w:sz w:val="21"/>
          <w:szCs w:val="21"/>
          <w:u w:val="single" w:color="auto"/>
          <w:lang w:val="en-US" w:eastAsia="zh-CN"/>
        </w:rPr>
        <w:t>报</w:t>
      </w:r>
      <w:r>
        <w:rPr>
          <w:rFonts w:ascii="宋体" w:hAnsi="宋体" w:eastAsia="宋体" w:cs="宋体"/>
          <w:b/>
          <w:bCs/>
          <w:color w:val="auto"/>
          <w:sz w:val="21"/>
          <w:szCs w:val="21"/>
          <w:u w:val="single" w:color="auto"/>
        </w:rPr>
        <w:t>价</w:t>
      </w:r>
      <w:r>
        <w:rPr>
          <w:rFonts w:ascii="宋体" w:hAnsi="宋体" w:eastAsia="宋体" w:cs="宋体"/>
          <w:color w:val="auto"/>
          <w:sz w:val="21"/>
          <w:szCs w:val="21"/>
          <w:u w:val="single" w:color="auto"/>
        </w:rPr>
        <w:t>。</w:t>
      </w:r>
    </w:p>
    <w:p>
      <w:pPr>
        <w:pStyle w:val="24"/>
        <w:adjustRightInd w:val="0"/>
        <w:snapToGrid w:val="0"/>
        <w:spacing w:before="0"/>
        <w:ind w:left="0" w:leftChars="0" w:firstLine="422" w:firstLineChars="200"/>
        <w:rPr>
          <w:rFonts w:ascii="宋体" w:hAnsi="宋体" w:eastAsia="宋体" w:cs="宋体"/>
          <w:color w:val="auto"/>
          <w:sz w:val="21"/>
          <w:szCs w:val="21"/>
          <w:u w:val="single" w:color="auto"/>
        </w:rPr>
      </w:pPr>
      <w:r>
        <w:rPr>
          <w:rFonts w:hint="eastAsia" w:ascii="宋体" w:hAnsi="宋体"/>
          <w:b/>
          <w:color w:val="auto"/>
          <w:sz w:val="21"/>
          <w:szCs w:val="21"/>
          <w:u w:val="single"/>
          <w:lang w:val="en-US" w:eastAsia="zh-CN"/>
        </w:rPr>
        <w:t>招标文件中明确的采购内容的采购、运输以及施工安装期间潜可能产生的费用、设计费（含施工图优化）、</w:t>
      </w:r>
      <w:r>
        <w:rPr>
          <w:rFonts w:ascii="宋体" w:hAnsi="宋体"/>
          <w:b/>
          <w:color w:val="auto"/>
          <w:sz w:val="21"/>
          <w:szCs w:val="21"/>
          <w:u w:val="single"/>
        </w:rPr>
        <w:t>凡在投标报价中涉及到</w:t>
      </w:r>
      <w:r>
        <w:rPr>
          <w:rFonts w:hint="eastAsia" w:ascii="宋体" w:hAnsi="宋体"/>
          <w:b/>
          <w:color w:val="auto"/>
          <w:sz w:val="21"/>
          <w:szCs w:val="21"/>
          <w:u w:val="single"/>
        </w:rPr>
        <w:t>企业管理费</w:t>
      </w:r>
      <w:r>
        <w:rPr>
          <w:rFonts w:hint="eastAsia" w:ascii="宋体" w:hAnsi="宋体"/>
          <w:b/>
          <w:color w:val="auto"/>
          <w:sz w:val="21"/>
          <w:szCs w:val="21"/>
          <w:u w:val="single"/>
          <w:lang w:eastAsia="zh-CN"/>
        </w:rPr>
        <w:t>、</w:t>
      </w:r>
      <w:r>
        <w:rPr>
          <w:rFonts w:hint="eastAsia" w:ascii="宋体" w:hAnsi="宋体"/>
          <w:b/>
          <w:color w:val="auto"/>
          <w:sz w:val="21"/>
          <w:szCs w:val="21"/>
          <w:u w:val="single"/>
          <w:lang w:val="en-US" w:eastAsia="zh-CN"/>
        </w:rPr>
        <w:t>利润、</w:t>
      </w:r>
      <w:r>
        <w:rPr>
          <w:rFonts w:ascii="宋体" w:hAnsi="宋体"/>
          <w:b/>
          <w:color w:val="auto"/>
          <w:sz w:val="21"/>
          <w:szCs w:val="21"/>
          <w:u w:val="single"/>
        </w:rPr>
        <w:t>措施费</w:t>
      </w:r>
      <w:r>
        <w:rPr>
          <w:rFonts w:hint="eastAsia" w:ascii="宋体" w:hAnsi="宋体"/>
          <w:b/>
          <w:color w:val="auto"/>
          <w:sz w:val="21"/>
          <w:szCs w:val="21"/>
          <w:u w:val="single"/>
          <w:lang w:eastAsia="zh-CN"/>
        </w:rPr>
        <w:t>、</w:t>
      </w:r>
      <w:r>
        <w:rPr>
          <w:rFonts w:ascii="宋体" w:hAnsi="宋体"/>
          <w:b/>
          <w:color w:val="auto"/>
          <w:sz w:val="21"/>
          <w:szCs w:val="21"/>
          <w:u w:val="single"/>
        </w:rPr>
        <w:t>规费、税金等国家、省、市强制性要求的费用，若投标人报价不足或未报价，则视作优惠，一旦中标，投标人自行承担该费用。</w:t>
      </w:r>
      <w:r>
        <w:rPr>
          <w:rFonts w:hint="eastAsia" w:ascii="宋体" w:hAnsi="宋体"/>
          <w:b/>
          <w:color w:val="auto"/>
          <w:sz w:val="21"/>
          <w:szCs w:val="21"/>
          <w:u w:val="single"/>
        </w:rPr>
        <w:t>投标人对合同内容的费用、质量、安全、文明服务等实行全面承包。最后磋商</w:t>
      </w:r>
      <w:r>
        <w:rPr>
          <w:rFonts w:ascii="宋体" w:hAnsi="宋体"/>
          <w:b/>
          <w:color w:val="auto"/>
          <w:sz w:val="21"/>
          <w:szCs w:val="21"/>
          <w:u w:val="single"/>
        </w:rPr>
        <w:t>报价是履行合同的最终价格</w:t>
      </w:r>
      <w:r>
        <w:rPr>
          <w:rFonts w:hint="eastAsia" w:ascii="宋体" w:hAnsi="宋体"/>
          <w:b/>
          <w:color w:val="auto"/>
          <w:sz w:val="21"/>
          <w:szCs w:val="21"/>
          <w:u w:val="singl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3.4.2 </w:t>
      </w:r>
      <w:r>
        <w:rPr>
          <w:rFonts w:ascii="宋体" w:hAnsi="宋体" w:eastAsia="宋体" w:cs="宋体"/>
          <w:color w:val="auto"/>
          <w:sz w:val="21"/>
          <w:szCs w:val="21"/>
        </w:rPr>
        <w:t>供应商应按</w:t>
      </w:r>
      <w:r>
        <w:rPr>
          <w:rFonts w:ascii="Arial" w:hAnsi="Arial" w:eastAsia="Arial" w:cs="Arial"/>
          <w:color w:val="auto"/>
          <w:sz w:val="21"/>
          <w:szCs w:val="21"/>
        </w:rPr>
        <w:t xml:space="preserve"> “</w:t>
      </w:r>
      <w:r>
        <w:rPr>
          <w:rFonts w:ascii="宋体" w:hAnsi="宋体" w:eastAsia="宋体" w:cs="宋体"/>
          <w:color w:val="auto"/>
          <w:sz w:val="21"/>
          <w:szCs w:val="21"/>
        </w:rPr>
        <w:t>工程量清单</w:t>
      </w:r>
      <w:r>
        <w:rPr>
          <w:rFonts w:ascii="Arial" w:hAnsi="Arial" w:eastAsia="Arial" w:cs="Arial"/>
          <w:color w:val="auto"/>
          <w:sz w:val="21"/>
          <w:szCs w:val="21"/>
        </w:rPr>
        <w:t>”</w:t>
      </w:r>
      <w:r>
        <w:rPr>
          <w:rFonts w:ascii="宋体" w:hAnsi="宋体" w:eastAsia="宋体" w:cs="宋体"/>
          <w:color w:val="auto"/>
          <w:sz w:val="21"/>
          <w:szCs w:val="21"/>
        </w:rPr>
        <w:t>的要求填写相应表格，请供应商详细阅读采购文件工程量清单编制说明。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3.4.3 ▲</w:t>
      </w:r>
      <w:r>
        <w:rPr>
          <w:rFonts w:ascii="宋体" w:hAnsi="宋体" w:eastAsia="宋体" w:cs="宋体"/>
          <w:b/>
          <w:bCs/>
          <w:color w:val="auto"/>
          <w:sz w:val="21"/>
          <w:szCs w:val="21"/>
          <w:u w:val="single" w:color="auto"/>
        </w:rPr>
        <w:t>所投标项最后一轮报价只允许有一个报价，不接受有选择报价的响应文件。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3.5</w:t>
      </w:r>
      <w:r>
        <w:rPr>
          <w:rFonts w:ascii="宋体" w:hAnsi="宋体" w:eastAsia="宋体" w:cs="宋体"/>
          <w:color w:val="auto"/>
          <w:sz w:val="21"/>
          <w:szCs w:val="21"/>
        </w:rPr>
        <w:t>、磋商保证金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3.5.1 </w:t>
      </w:r>
      <w:r>
        <w:rPr>
          <w:rFonts w:ascii="宋体" w:hAnsi="宋体" w:eastAsia="宋体" w:cs="宋体"/>
          <w:color w:val="auto"/>
          <w:sz w:val="21"/>
          <w:szCs w:val="21"/>
        </w:rPr>
        <w:t>供应商须按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的规定提供磋商保证金。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3.5.2 </w:t>
      </w:r>
      <w:r>
        <w:rPr>
          <w:rFonts w:ascii="宋体" w:hAnsi="宋体" w:eastAsia="宋体" w:cs="宋体"/>
          <w:color w:val="auto"/>
          <w:sz w:val="21"/>
          <w:szCs w:val="21"/>
        </w:rPr>
        <w:t>成交人在与采购人签订合同后凭磋商保证金缴纳凭证及合同原件办理磋商证金退还手续， 磋商保证金在</w:t>
      </w:r>
      <w:r>
        <w:rPr>
          <w:rFonts w:ascii="Arial" w:hAnsi="Arial" w:eastAsia="Arial" w:cs="Arial"/>
          <w:color w:val="auto"/>
          <w:sz w:val="21"/>
          <w:szCs w:val="21"/>
        </w:rPr>
        <w:t xml:space="preserve"> 5 </w:t>
      </w:r>
      <w:r>
        <w:rPr>
          <w:rFonts w:ascii="宋体" w:hAnsi="宋体" w:eastAsia="宋体" w:cs="宋体"/>
          <w:color w:val="auto"/>
          <w:sz w:val="21"/>
          <w:szCs w:val="21"/>
        </w:rPr>
        <w:t>个工作内退还。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3.5.3 </w:t>
      </w:r>
      <w:r>
        <w:rPr>
          <w:rFonts w:ascii="宋体" w:hAnsi="宋体" w:eastAsia="宋体" w:cs="宋体"/>
          <w:color w:val="auto"/>
          <w:sz w:val="21"/>
          <w:szCs w:val="21"/>
        </w:rPr>
        <w:t>成交候选人在成交人与采购人签订合同后凭磋商保证金缴纳凭证办理磋商保证金退还手续，磋商保证金在</w:t>
      </w:r>
      <w:r>
        <w:rPr>
          <w:rFonts w:ascii="Arial" w:hAnsi="Arial" w:eastAsia="Arial" w:cs="Arial"/>
          <w:color w:val="auto"/>
          <w:sz w:val="21"/>
          <w:szCs w:val="21"/>
        </w:rPr>
        <w:t xml:space="preserve"> 5 </w:t>
      </w:r>
      <w:r>
        <w:rPr>
          <w:rFonts w:ascii="宋体" w:hAnsi="宋体" w:eastAsia="宋体" w:cs="宋体"/>
          <w:color w:val="auto"/>
          <w:sz w:val="21"/>
          <w:szCs w:val="21"/>
        </w:rPr>
        <w:t>个工作内退还。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3.5.4 </w:t>
      </w:r>
      <w:r>
        <w:rPr>
          <w:rFonts w:ascii="宋体" w:hAnsi="宋体" w:eastAsia="宋体" w:cs="宋体"/>
          <w:color w:val="auto"/>
          <w:sz w:val="21"/>
          <w:szCs w:val="21"/>
        </w:rPr>
        <w:t>未成交人在成交通知书发出后凭磋商保证金缴纳凭证办理磋商保证金退还手续，磋商保证金在</w:t>
      </w:r>
      <w:r>
        <w:rPr>
          <w:rFonts w:ascii="Arial" w:hAnsi="Arial" w:eastAsia="Arial" w:cs="Arial"/>
          <w:color w:val="auto"/>
          <w:sz w:val="21"/>
          <w:szCs w:val="21"/>
        </w:rPr>
        <w:t xml:space="preserve"> 5 </w:t>
      </w:r>
      <w:r>
        <w:rPr>
          <w:rFonts w:ascii="宋体" w:hAnsi="宋体" w:eastAsia="宋体" w:cs="宋体"/>
          <w:color w:val="auto"/>
          <w:sz w:val="21"/>
          <w:szCs w:val="21"/>
        </w:rPr>
        <w:t>个工作内退还。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3.5.5 </w:t>
      </w:r>
      <w:r>
        <w:rPr>
          <w:rFonts w:ascii="宋体" w:hAnsi="宋体" w:eastAsia="宋体" w:cs="宋体"/>
          <w:color w:val="auto"/>
          <w:sz w:val="21"/>
          <w:szCs w:val="21"/>
        </w:rPr>
        <w:t>发生下列情况之一，磋商保证金将不予退回：</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）供应商在提交响应文件截止时间后撤回响应文件的；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2</w:t>
      </w:r>
      <w:r>
        <w:rPr>
          <w:rFonts w:ascii="宋体" w:hAnsi="宋体" w:eastAsia="宋体" w:cs="宋体"/>
          <w:color w:val="auto"/>
          <w:sz w:val="21"/>
          <w:szCs w:val="21"/>
        </w:rPr>
        <w:t>）除因不可抗力或磋商文件认可的情形以外，成交供应商不与采购人签订合同的；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3</w:t>
      </w:r>
      <w:r>
        <w:rPr>
          <w:rFonts w:ascii="宋体" w:hAnsi="宋体" w:eastAsia="宋体" w:cs="宋体"/>
          <w:color w:val="auto"/>
          <w:sz w:val="21"/>
          <w:szCs w:val="21"/>
        </w:rPr>
        <w:t>）供应商在签订合同时向采购人提出附加条件的；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4</w:t>
      </w:r>
      <w:r>
        <w:rPr>
          <w:rFonts w:ascii="宋体" w:hAnsi="宋体" w:eastAsia="宋体" w:cs="宋体"/>
          <w:color w:val="auto"/>
          <w:sz w:val="21"/>
          <w:szCs w:val="21"/>
        </w:rPr>
        <w:t>）供应商不按磋商文件要求提交履约保证金的；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5</w:t>
      </w:r>
      <w:r>
        <w:rPr>
          <w:rFonts w:ascii="宋体" w:hAnsi="宋体" w:eastAsia="宋体" w:cs="宋体"/>
          <w:color w:val="auto"/>
          <w:sz w:val="21"/>
          <w:szCs w:val="21"/>
        </w:rPr>
        <w:t>）供应商在响应文件中提供虚假材料的；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6</w:t>
      </w:r>
      <w:r>
        <w:rPr>
          <w:rFonts w:ascii="宋体" w:hAnsi="宋体" w:eastAsia="宋体" w:cs="宋体"/>
          <w:color w:val="auto"/>
          <w:sz w:val="21"/>
          <w:szCs w:val="21"/>
        </w:rPr>
        <w:t>）供应商围标或串通投标的；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7</w:t>
      </w:r>
      <w:r>
        <w:rPr>
          <w:rFonts w:ascii="宋体" w:hAnsi="宋体" w:eastAsia="宋体" w:cs="宋体"/>
          <w:color w:val="auto"/>
          <w:sz w:val="21"/>
          <w:szCs w:val="21"/>
        </w:rPr>
        <w:t>）供应商向磋商小组成员行贿谋求中标的；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8</w:t>
      </w:r>
      <w:r>
        <w:rPr>
          <w:rFonts w:ascii="宋体" w:hAnsi="宋体" w:eastAsia="宋体" w:cs="宋体"/>
          <w:color w:val="auto"/>
          <w:sz w:val="21"/>
          <w:szCs w:val="21"/>
        </w:rPr>
        <w:t>）供应商以非法手段影响评标的；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9</w:t>
      </w:r>
      <w:r>
        <w:rPr>
          <w:rFonts w:ascii="宋体" w:hAnsi="宋体" w:eastAsia="宋体" w:cs="宋体"/>
          <w:color w:val="auto"/>
          <w:sz w:val="21"/>
          <w:szCs w:val="21"/>
        </w:rPr>
        <w:t>）中标后不按规定缴纳服务费的；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10</w:t>
      </w:r>
      <w:r>
        <w:rPr>
          <w:rFonts w:ascii="宋体" w:hAnsi="宋体" w:eastAsia="宋体" w:cs="宋体"/>
          <w:color w:val="auto"/>
          <w:sz w:val="21"/>
          <w:szCs w:val="21"/>
        </w:rPr>
        <w:t>）磋商文件规定的其他情形。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3.6</w:t>
      </w:r>
      <w:r>
        <w:rPr>
          <w:rFonts w:hint="eastAsia" w:ascii="Arial" w:hAnsi="Arial" w:eastAsia="宋体" w:cs="Arial"/>
          <w:color w:val="auto"/>
          <w:sz w:val="21"/>
          <w:szCs w:val="21"/>
          <w:lang w:val="en-US" w:eastAsia="zh-CN"/>
        </w:rPr>
        <w:t xml:space="preserve"> </w:t>
      </w:r>
      <w:r>
        <w:rPr>
          <w:rFonts w:ascii="宋体" w:hAnsi="宋体" w:eastAsia="宋体" w:cs="宋体"/>
          <w:color w:val="auto"/>
          <w:sz w:val="21"/>
          <w:szCs w:val="21"/>
        </w:rPr>
        <w:t>响应文件有效期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3.6.1 </w:t>
      </w:r>
      <w:r>
        <w:rPr>
          <w:rFonts w:ascii="宋体" w:hAnsi="宋体" w:eastAsia="宋体" w:cs="宋体"/>
          <w:color w:val="auto"/>
          <w:sz w:val="21"/>
          <w:szCs w:val="21"/>
        </w:rPr>
        <w:t>响应文件有效期按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规定，响应文件应在该有效期内保持有效。合同签订后，响应文件作为合同附件，响应文件有效期同合同有效期。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3.6.2 </w:t>
      </w:r>
      <w:r>
        <w:rPr>
          <w:rFonts w:ascii="宋体" w:hAnsi="宋体" w:eastAsia="宋体" w:cs="宋体"/>
          <w:color w:val="auto"/>
          <w:sz w:val="21"/>
          <w:szCs w:val="21"/>
        </w:rPr>
        <w:t>在特殊情况下，采购人可与供应商协商延长响应文件有效期，这种要求和答复均应以书面形式进行。</w:t>
      </w:r>
    </w:p>
    <w:p>
      <w:pPr>
        <w:spacing w:after="0" w:line="1" w:lineRule="exact"/>
        <w:rPr>
          <w:color w:val="auto"/>
          <w:sz w:val="20"/>
          <w:szCs w:val="20"/>
        </w:rPr>
      </w:pPr>
      <w:bookmarkStart w:id="15" w:name="page16"/>
      <w:bookmarkEnd w:id="15"/>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3.6.3 </w:t>
      </w:r>
      <w:r>
        <w:rPr>
          <w:rFonts w:ascii="宋体" w:hAnsi="宋体" w:eastAsia="宋体" w:cs="宋体"/>
          <w:color w:val="auto"/>
          <w:sz w:val="21"/>
          <w:szCs w:val="21"/>
        </w:rPr>
        <w:t>供应商可拒绝接受延期要求而不会导致磋商保证金不予退回。同意延长有效期的供应商不能修改响应文件。</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四、磋商响应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4.1</w:t>
      </w:r>
      <w:r>
        <w:rPr>
          <w:rFonts w:ascii="宋体" w:hAnsi="宋体" w:eastAsia="宋体" w:cs="宋体"/>
          <w:color w:val="auto"/>
          <w:sz w:val="21"/>
          <w:szCs w:val="21"/>
        </w:rPr>
        <w:t>、响应文件的密封及标记</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4.1.1 </w:t>
      </w:r>
      <w:r>
        <w:rPr>
          <w:rFonts w:ascii="宋体" w:hAnsi="宋体" w:eastAsia="宋体" w:cs="宋体"/>
          <w:color w:val="auto"/>
          <w:sz w:val="21"/>
          <w:szCs w:val="21"/>
        </w:rPr>
        <w:t>响应文件应按以下方法装袋密封</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详见前附表中要求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4.1.2 </w:t>
      </w:r>
      <w:r>
        <w:rPr>
          <w:rFonts w:ascii="宋体" w:hAnsi="宋体" w:eastAsia="宋体" w:cs="宋体"/>
          <w:b/>
          <w:bCs/>
          <w:color w:val="auto"/>
          <w:sz w:val="21"/>
          <w:szCs w:val="21"/>
        </w:rPr>
        <w:t>如果供应商未按上述要求加写标记，采购人对响应文件的误投和提前启封不负责任。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4.2</w:t>
      </w:r>
      <w:r>
        <w:rPr>
          <w:rFonts w:ascii="宋体" w:hAnsi="宋体" w:eastAsia="宋体" w:cs="宋体"/>
          <w:color w:val="auto"/>
          <w:sz w:val="21"/>
          <w:szCs w:val="21"/>
        </w:rPr>
        <w:t>、响应文件的提交</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4.2.1 </w:t>
      </w:r>
      <w:r>
        <w:rPr>
          <w:rFonts w:ascii="宋体" w:hAnsi="宋体" w:eastAsia="宋体" w:cs="宋体"/>
          <w:color w:val="auto"/>
          <w:sz w:val="21"/>
          <w:szCs w:val="21"/>
        </w:rPr>
        <w:t>供应商应在</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规定响应文件提交的截止时间前提交响应文件。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4.2.2 </w:t>
      </w:r>
      <w:r>
        <w:rPr>
          <w:rFonts w:ascii="宋体" w:hAnsi="宋体" w:eastAsia="宋体" w:cs="宋体"/>
          <w:color w:val="auto"/>
          <w:sz w:val="21"/>
          <w:szCs w:val="21"/>
        </w:rPr>
        <w:t>供应商提交响应文件地点见</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4.2.3 </w:t>
      </w:r>
      <w:r>
        <w:rPr>
          <w:rFonts w:ascii="宋体" w:hAnsi="宋体" w:eastAsia="宋体" w:cs="宋体"/>
          <w:color w:val="auto"/>
          <w:sz w:val="21"/>
          <w:szCs w:val="21"/>
        </w:rPr>
        <w:t>供应商提交的响应文件均不予退还。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4.2.4 </w:t>
      </w:r>
      <w:r>
        <w:rPr>
          <w:rFonts w:ascii="宋体" w:hAnsi="宋体" w:eastAsia="宋体" w:cs="宋体"/>
          <w:color w:val="auto"/>
          <w:sz w:val="21"/>
          <w:szCs w:val="21"/>
        </w:rPr>
        <w:t>逾期送达的或者未送达指定地点的响应文件，采购人将不予受理。</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textAlignment w:val="auto"/>
        <w:outlineLvl w:val="9"/>
        <w:rPr>
          <w:color w:val="auto"/>
          <w:sz w:val="20"/>
          <w:szCs w:val="20"/>
        </w:rPr>
      </w:pPr>
      <w:r>
        <w:rPr>
          <w:rFonts w:ascii="Arial" w:hAnsi="Arial" w:eastAsia="Arial" w:cs="Arial"/>
          <w:color w:val="auto"/>
          <w:sz w:val="21"/>
          <w:szCs w:val="21"/>
        </w:rPr>
        <w:t xml:space="preserve">4.2.5 </w:t>
      </w:r>
      <w:r>
        <w:rPr>
          <w:rFonts w:ascii="宋体" w:hAnsi="宋体" w:eastAsia="宋体" w:cs="宋体"/>
          <w:color w:val="auto"/>
          <w:sz w:val="21"/>
          <w:szCs w:val="21"/>
        </w:rPr>
        <w:t>采购人如因故推迟响应文件递交截止时间，应以书面形式通知所有供应商。在这种情况下，采购人和供应商的权利和义务将受到新的 响应文件提交的截止时间的约束。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4.3</w:t>
      </w:r>
      <w:r>
        <w:rPr>
          <w:rFonts w:ascii="宋体" w:hAnsi="宋体" w:eastAsia="宋体" w:cs="宋体"/>
          <w:color w:val="auto"/>
          <w:sz w:val="21"/>
          <w:szCs w:val="21"/>
        </w:rPr>
        <w:t>、响应文件的修改和撤回</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4.3.1 </w:t>
      </w:r>
      <w:r>
        <w:rPr>
          <w:rFonts w:ascii="宋体" w:hAnsi="宋体" w:eastAsia="宋体" w:cs="宋体"/>
          <w:color w:val="auto"/>
          <w:sz w:val="21"/>
          <w:szCs w:val="21"/>
        </w:rPr>
        <w:t>供应商在递交响应文件以后如必须修改或撤回响应文件，必须在响应文件提交的截止时间以前将书面的磋商修改文件或撤标通知邮寄到达或送达采购代理机构。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4.3.2 </w:t>
      </w:r>
      <w:r>
        <w:rPr>
          <w:rFonts w:ascii="宋体" w:hAnsi="宋体" w:eastAsia="宋体" w:cs="宋体"/>
          <w:color w:val="auto"/>
          <w:sz w:val="21"/>
          <w:szCs w:val="21"/>
        </w:rPr>
        <w:t>磋商修改文件必须密封，在密封袋上写明磋商项目编号、磋商项目名称、供应商名称、所响应标项名称，并注明</w:t>
      </w:r>
      <w:r>
        <w:rPr>
          <w:rFonts w:ascii="Arial" w:hAnsi="Arial" w:eastAsia="Arial" w:cs="Arial"/>
          <w:color w:val="auto"/>
          <w:sz w:val="21"/>
          <w:szCs w:val="21"/>
        </w:rPr>
        <w:t>“</w:t>
      </w:r>
      <w:r>
        <w:rPr>
          <w:rFonts w:ascii="宋体" w:hAnsi="宋体" w:eastAsia="宋体" w:cs="宋体"/>
          <w:color w:val="auto"/>
          <w:sz w:val="21"/>
          <w:szCs w:val="21"/>
        </w:rPr>
        <w:t>修改文件</w:t>
      </w:r>
      <w:r>
        <w:rPr>
          <w:rFonts w:ascii="Arial" w:hAnsi="Arial" w:eastAsia="Arial" w:cs="Arial"/>
          <w:color w:val="auto"/>
          <w:sz w:val="21"/>
          <w:szCs w:val="21"/>
        </w:rPr>
        <w:t>”</w:t>
      </w:r>
      <w:r>
        <w:rPr>
          <w:rFonts w:ascii="宋体" w:hAnsi="宋体" w:eastAsia="宋体" w:cs="宋体"/>
          <w:color w:val="auto"/>
          <w:sz w:val="21"/>
          <w:szCs w:val="21"/>
        </w:rPr>
        <w:t>、</w:t>
      </w:r>
      <w:r>
        <w:rPr>
          <w:rFonts w:ascii="Arial" w:hAnsi="Arial" w:eastAsia="Arial" w:cs="Arial"/>
          <w:color w:val="auto"/>
          <w:sz w:val="21"/>
          <w:szCs w:val="21"/>
        </w:rPr>
        <w:t>“</w:t>
      </w:r>
      <w:r>
        <w:rPr>
          <w:rFonts w:ascii="宋体" w:hAnsi="宋体" w:eastAsia="宋体" w:cs="宋体"/>
          <w:color w:val="auto"/>
          <w:sz w:val="21"/>
          <w:szCs w:val="21"/>
        </w:rPr>
        <w:t>磋商时启封</w:t>
      </w:r>
      <w:r>
        <w:rPr>
          <w:rFonts w:ascii="Arial" w:hAnsi="Arial" w:eastAsia="Arial" w:cs="Arial"/>
          <w:color w:val="auto"/>
          <w:sz w:val="21"/>
          <w:szCs w:val="21"/>
        </w:rPr>
        <w:t>”</w:t>
      </w:r>
      <w:r>
        <w:rPr>
          <w:rFonts w:ascii="宋体" w:hAnsi="宋体" w:eastAsia="宋体" w:cs="宋体"/>
          <w:color w:val="auto"/>
          <w:sz w:val="21"/>
          <w:szCs w:val="21"/>
        </w:rPr>
        <w:t>字样。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4.3.3 </w:t>
      </w:r>
      <w:r>
        <w:rPr>
          <w:rFonts w:ascii="宋体" w:hAnsi="宋体" w:eastAsia="宋体" w:cs="宋体"/>
          <w:color w:val="auto"/>
          <w:sz w:val="21"/>
          <w:szCs w:val="21"/>
        </w:rPr>
        <w:t>供应商以传真或电报形式通知采购人撤标时，必须在响应文件提交的截止时间以前补充由法定代表人或法定代表人授权代表签署的正式文件。但响应文件开启以后要求撤标的，其磋商保证金将不予退回。</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4.4 </w:t>
      </w:r>
      <w:r>
        <w:rPr>
          <w:rFonts w:ascii="宋体" w:hAnsi="宋体" w:eastAsia="宋体" w:cs="宋体"/>
          <w:color w:val="auto"/>
          <w:sz w:val="21"/>
          <w:szCs w:val="21"/>
        </w:rPr>
        <w:t>备选磋商方案</w:t>
      </w:r>
    </w:p>
    <w:p>
      <w:pPr>
        <w:spacing w:after="0" w:line="240" w:lineRule="exact"/>
        <w:ind w:firstLine="420" w:firstLineChars="200"/>
        <w:rPr>
          <w:color w:val="auto"/>
          <w:sz w:val="20"/>
          <w:szCs w:val="20"/>
        </w:rPr>
      </w:pPr>
      <w:r>
        <w:rPr>
          <w:rFonts w:ascii="宋体" w:hAnsi="宋体" w:eastAsia="宋体" w:cs="宋体"/>
          <w:color w:val="auto"/>
          <w:sz w:val="21"/>
          <w:szCs w:val="21"/>
        </w:rPr>
        <w:t>供应商不得提交备选磋商方案，否则，响应文件将被判定为无效标。</w:t>
      </w:r>
    </w:p>
    <w:p>
      <w:pPr>
        <w:spacing w:after="0" w:line="168"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jc w:val="left"/>
        <w:textAlignment w:val="auto"/>
        <w:outlineLvl w:val="9"/>
        <w:rPr>
          <w:color w:val="auto"/>
          <w:sz w:val="20"/>
          <w:szCs w:val="20"/>
        </w:rPr>
      </w:pPr>
      <w:r>
        <w:rPr>
          <w:rFonts w:ascii="宋体" w:hAnsi="宋体" w:eastAsia="宋体" w:cs="宋体"/>
          <w:b/>
          <w:bCs/>
          <w:color w:val="auto"/>
          <w:sz w:val="21"/>
          <w:szCs w:val="21"/>
        </w:rPr>
        <w:t>五、响应文件的开启、评审及合同签订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5.1</w:t>
      </w:r>
      <w:r>
        <w:rPr>
          <w:rFonts w:ascii="宋体" w:hAnsi="宋体" w:eastAsia="宋体" w:cs="宋体"/>
          <w:color w:val="auto"/>
          <w:sz w:val="21"/>
          <w:szCs w:val="21"/>
        </w:rPr>
        <w:t>、开启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 xml:space="preserve">5.1.1 </w:t>
      </w:r>
      <w:r>
        <w:rPr>
          <w:rFonts w:ascii="宋体" w:hAnsi="宋体" w:eastAsia="宋体" w:cs="宋体"/>
          <w:color w:val="auto"/>
          <w:sz w:val="21"/>
          <w:szCs w:val="21"/>
        </w:rPr>
        <w:t>采购人按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规定的时间、地点公开开启，并邀请所有供应商代表准时参加。</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 xml:space="preserve">5.1.2 </w:t>
      </w:r>
      <w:r>
        <w:rPr>
          <w:rFonts w:ascii="宋体" w:hAnsi="宋体" w:eastAsia="宋体" w:cs="宋体"/>
          <w:color w:val="auto"/>
          <w:sz w:val="21"/>
          <w:szCs w:val="21"/>
        </w:rPr>
        <w:t>供应商代表为法定代表人或其委托代理人，供应商代表必须出席开标大会，并签</w:t>
      </w:r>
      <w:r>
        <w:rPr>
          <w:rFonts w:ascii="宋体" w:hAnsi="宋体" w:eastAsia="宋体" w:cs="宋体"/>
          <w:color w:val="auto"/>
          <w:sz w:val="20"/>
          <w:szCs w:val="20"/>
        </w:rPr>
        <w:t>名报</w:t>
      </w:r>
      <w:r>
        <w:rPr>
          <w:rFonts w:ascii="宋体" w:hAnsi="宋体" w:eastAsia="宋体" w:cs="宋体"/>
          <w:color w:val="auto"/>
          <w:sz w:val="21"/>
          <w:szCs w:val="21"/>
        </w:rPr>
        <w:t>到，以证明其出席磋商会议，且随身携带有效身份证原件（或采购人认可的其他身份证</w:t>
      </w:r>
      <w:bookmarkStart w:id="16" w:name="page17"/>
      <w:bookmarkEnd w:id="16"/>
      <w:r>
        <w:rPr>
          <w:rFonts w:ascii="宋体" w:hAnsi="宋体" w:eastAsia="宋体" w:cs="宋体"/>
          <w:color w:val="auto"/>
          <w:sz w:val="21"/>
          <w:szCs w:val="21"/>
        </w:rPr>
        <w:t>明原件）。法定代表人须提供（现场出示或在响应文件中提供）法定代表人资格证明书，委托代理人须提供（现场出示或在响应文件中提供）附有法定代表人资格证明书的授权委托书。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color w:val="auto"/>
          <w:sz w:val="20"/>
          <w:szCs w:val="20"/>
        </w:rPr>
      </w:pPr>
      <w:r>
        <w:rPr>
          <w:rFonts w:ascii="Arial" w:hAnsi="Arial" w:eastAsia="Arial" w:cs="Arial"/>
          <w:color w:val="auto"/>
          <w:sz w:val="21"/>
          <w:szCs w:val="21"/>
        </w:rPr>
        <w:t xml:space="preserve">5.1.3 </w:t>
      </w:r>
      <w:r>
        <w:rPr>
          <w:rFonts w:ascii="宋体" w:hAnsi="宋体" w:eastAsia="宋体" w:cs="宋体"/>
          <w:color w:val="auto"/>
          <w:sz w:val="21"/>
          <w:szCs w:val="21"/>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left"/>
        <w:textAlignment w:val="auto"/>
        <w:outlineLvl w:val="9"/>
        <w:rPr>
          <w:rFonts w:ascii="宋体" w:hAnsi="宋体" w:eastAsia="宋体" w:cs="宋体"/>
          <w:color w:val="auto"/>
          <w:sz w:val="21"/>
          <w:szCs w:val="21"/>
        </w:rPr>
      </w:pPr>
      <w:r>
        <w:rPr>
          <w:rFonts w:ascii="宋体" w:hAnsi="宋体" w:eastAsia="宋体" w:cs="宋体"/>
          <w:color w:val="auto"/>
          <w:sz w:val="21"/>
          <w:szCs w:val="21"/>
        </w:rPr>
        <w:t>主持人宣布开标，介绍开标现场的人员情况，宣读递交采购响应文件的供应商名单、开标纪律、应当回避的情形等注意事项，组织供应商签署《政府采购活动现场确认声明书》。对供应商保证金缴纳情况进行查验、核实。提请供应商代表或公证人员查验采购响应文件密封情况。</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left"/>
        <w:textAlignment w:val="auto"/>
        <w:outlineLvl w:val="9"/>
        <w:rPr>
          <w:color w:val="auto"/>
          <w:sz w:val="20"/>
          <w:szCs w:val="20"/>
        </w:rPr>
      </w:pPr>
      <w:r>
        <w:rPr>
          <w:rFonts w:ascii="宋体" w:hAnsi="宋体" w:eastAsia="宋体" w:cs="宋体"/>
          <w:color w:val="auto"/>
          <w:sz w:val="21"/>
          <w:szCs w:val="21"/>
        </w:rPr>
        <w:t>按供应商提交投标文件的先后顺序当众拆封、清点投标文件（包括正本、副本）数量，将拆封后的</w:t>
      </w:r>
      <w:r>
        <w:rPr>
          <w:rFonts w:hint="eastAsia" w:ascii="宋体" w:hAnsi="宋体" w:eastAsia="宋体" w:cs="宋体"/>
          <w:color w:val="auto"/>
          <w:sz w:val="21"/>
          <w:szCs w:val="21"/>
          <w:lang w:val="en-US" w:eastAsia="zh-CN"/>
        </w:rPr>
        <w:t>响应</w:t>
      </w:r>
      <w:r>
        <w:rPr>
          <w:rFonts w:ascii="宋体" w:hAnsi="宋体" w:eastAsia="宋体" w:cs="宋体"/>
          <w:color w:val="auto"/>
          <w:sz w:val="21"/>
          <w:szCs w:val="21"/>
        </w:rPr>
        <w:t>文件由现场工作人员护送至指定的评审地点。对不符合装订要求的投标文件，由现场工作人员退还供应商代表。</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color w:val="auto"/>
          <w:sz w:val="20"/>
          <w:szCs w:val="20"/>
        </w:rPr>
      </w:pPr>
      <w:r>
        <w:rPr>
          <w:rFonts w:hint="eastAsia" w:ascii="宋体" w:hAnsi="宋体" w:eastAsia="宋体" w:cs="宋体"/>
          <w:color w:val="auto"/>
          <w:sz w:val="21"/>
          <w:szCs w:val="21"/>
          <w:lang w:val="en-US" w:eastAsia="zh-CN"/>
        </w:rPr>
        <w:t>商务技术</w:t>
      </w:r>
      <w:r>
        <w:rPr>
          <w:rFonts w:ascii="宋体" w:hAnsi="宋体" w:eastAsia="宋体" w:cs="宋体"/>
          <w:color w:val="auto"/>
          <w:sz w:val="21"/>
          <w:szCs w:val="21"/>
        </w:rPr>
        <w:t>评审结束后，主持人宣告评审无效供应商名称及理由</w:t>
      </w:r>
      <w:r>
        <w:rPr>
          <w:rFonts w:hint="eastAsia" w:ascii="宋体" w:hAnsi="宋体" w:eastAsia="宋体" w:cs="宋体"/>
          <w:color w:val="auto"/>
          <w:sz w:val="21"/>
          <w:szCs w:val="21"/>
          <w:lang w:val="en-US" w:eastAsia="zh-CN"/>
        </w:rPr>
        <w:t>并</w:t>
      </w:r>
      <w:r>
        <w:rPr>
          <w:rFonts w:ascii="宋体" w:hAnsi="宋体" w:eastAsia="宋体" w:cs="宋体"/>
          <w:color w:val="auto"/>
          <w:sz w:val="21"/>
          <w:szCs w:val="21"/>
        </w:rPr>
        <w:t>签字确认；</w:t>
      </w:r>
      <w:r>
        <w:rPr>
          <w:rFonts w:hint="eastAsia" w:ascii="宋体" w:hAnsi="宋体" w:eastAsia="宋体" w:cs="宋体"/>
          <w:color w:val="auto"/>
          <w:sz w:val="21"/>
          <w:szCs w:val="21"/>
          <w:lang w:val="en-US" w:eastAsia="zh-CN"/>
        </w:rPr>
        <w:t>进行二次报价填写</w:t>
      </w:r>
      <w:r>
        <w:rPr>
          <w:rFonts w:ascii="宋体" w:hAnsi="宋体" w:eastAsia="宋体" w:cs="宋体"/>
          <w:color w:val="auto"/>
          <w:sz w:val="21"/>
          <w:szCs w:val="21"/>
        </w:rPr>
        <w:t>。统一收取最终报价。评审结束后，主持人公布中标候选供应商名单，及采购人最终确定中标供应商名单的时间和公告方式等。</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5.1.4 </w:t>
      </w:r>
      <w:r>
        <w:rPr>
          <w:rFonts w:ascii="宋体" w:hAnsi="宋体" w:eastAsia="宋体" w:cs="宋体"/>
          <w:color w:val="auto"/>
          <w:sz w:val="21"/>
          <w:szCs w:val="21"/>
        </w:rPr>
        <w:t>供应商在响应文件提交的截止时间前提交响应文件撤回函的，采购人将在开启时宣读撤回函，并将其响应文件及其磋商保证金及时退还供应商。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5.1.5 </w:t>
      </w:r>
      <w:r>
        <w:rPr>
          <w:rFonts w:ascii="宋体" w:hAnsi="宋体" w:eastAsia="宋体" w:cs="宋体"/>
          <w:color w:val="auto"/>
          <w:sz w:val="21"/>
          <w:szCs w:val="21"/>
        </w:rPr>
        <w:t>开启结束后，供应商代表应在开启记录上签字确认。唱标人、记录人、监督人均应在开启记录上签字。供应商代表未在开启记录上签字的，均视为对开启结果予以默认。</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5.1.6 </w:t>
      </w:r>
      <w:r>
        <w:rPr>
          <w:rFonts w:ascii="宋体" w:hAnsi="宋体" w:eastAsia="宋体" w:cs="宋体"/>
          <w:color w:val="auto"/>
          <w:sz w:val="21"/>
          <w:szCs w:val="21"/>
        </w:rPr>
        <w:t>开启结束后，如发现开启结果与响应文件不一致者，除磋商小组认定的特殊情况应另行处理外，其开启结果不予纠正。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5.1.7 </w:t>
      </w:r>
      <w:r>
        <w:rPr>
          <w:rFonts w:ascii="宋体" w:hAnsi="宋体" w:eastAsia="宋体" w:cs="宋体"/>
          <w:color w:val="auto"/>
          <w:sz w:val="21"/>
          <w:szCs w:val="21"/>
        </w:rPr>
        <w:t>如供应商不派代表参加开标会（未到场或者不能出示其身份证件或者未按时签到的），投标人不得对采购相关人员、开标过程和开标结果提出异议。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5.2 </w:t>
      </w:r>
      <w:r>
        <w:rPr>
          <w:rFonts w:ascii="宋体" w:hAnsi="宋体" w:eastAsia="宋体" w:cs="宋体"/>
          <w:color w:val="auto"/>
          <w:sz w:val="21"/>
          <w:szCs w:val="21"/>
        </w:rPr>
        <w:t>不予接收的响应文件</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rFonts w:ascii="宋体" w:hAnsi="宋体" w:eastAsia="宋体" w:cs="宋体"/>
          <w:color w:val="auto"/>
          <w:sz w:val="21"/>
          <w:szCs w:val="21"/>
        </w:rPr>
      </w:pPr>
      <w:r>
        <w:rPr>
          <w:rFonts w:ascii="Arial" w:hAnsi="Arial" w:eastAsia="Arial" w:cs="Arial"/>
          <w:color w:val="auto"/>
          <w:sz w:val="21"/>
          <w:szCs w:val="21"/>
        </w:rPr>
        <w:t>1</w:t>
      </w:r>
      <w:r>
        <w:rPr>
          <w:rFonts w:ascii="宋体" w:hAnsi="宋体" w:eastAsia="宋体" w:cs="宋体"/>
          <w:color w:val="auto"/>
          <w:sz w:val="21"/>
          <w:szCs w:val="21"/>
        </w:rPr>
        <w:t>）在响应文件提交的截止时间以后送达的响应文件；</w:t>
      </w:r>
    </w:p>
    <w:p>
      <w:pPr>
        <w:spacing w:after="0" w:line="1" w:lineRule="exact"/>
        <w:rPr>
          <w:color w:val="auto"/>
          <w:sz w:val="20"/>
          <w:szCs w:val="20"/>
        </w:rPr>
      </w:pPr>
      <w:bookmarkStart w:id="17" w:name="page18"/>
      <w:bookmarkEnd w:id="17"/>
    </w:p>
    <w:p>
      <w:pPr>
        <w:spacing w:after="0" w:line="255" w:lineRule="exact"/>
        <w:ind w:firstLine="210" w:firstLineChars="100"/>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）未密封的响应文件。</w:t>
      </w:r>
    </w:p>
    <w:p>
      <w:pPr>
        <w:spacing w:after="0" w:line="153"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5.3</w:t>
      </w:r>
      <w:r>
        <w:rPr>
          <w:rFonts w:ascii="宋体" w:hAnsi="宋体" w:eastAsia="宋体" w:cs="宋体"/>
          <w:color w:val="auto"/>
          <w:sz w:val="21"/>
          <w:szCs w:val="21"/>
        </w:rPr>
        <w:t>、响应文件初步评审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 xml:space="preserve">5.3.1 </w:t>
      </w:r>
      <w:r>
        <w:rPr>
          <w:rFonts w:ascii="宋体" w:hAnsi="宋体" w:eastAsia="宋体" w:cs="宋体"/>
          <w:color w:val="auto"/>
          <w:sz w:val="21"/>
          <w:szCs w:val="21"/>
        </w:rPr>
        <w:t>磋商小组将首先审查每份响应文件是否实质上响应了竞争性磋商文件的要求，实质性响应的响应文件是指响应文件符合竞争性磋商文件规定的实质性内容、条件和规定。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5.3.2 </w:t>
      </w:r>
      <w:r>
        <w:rPr>
          <w:rFonts w:ascii="宋体" w:hAnsi="宋体" w:eastAsia="宋体" w:cs="宋体"/>
          <w:color w:val="auto"/>
          <w:sz w:val="21"/>
          <w:szCs w:val="21"/>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5.3.3 </w:t>
      </w:r>
      <w:r>
        <w:rPr>
          <w:rFonts w:ascii="宋体" w:hAnsi="宋体" w:eastAsia="宋体" w:cs="宋体"/>
          <w:color w:val="auto"/>
          <w:sz w:val="21"/>
          <w:szCs w:val="21"/>
        </w:rPr>
        <w:t>细微偏离是指响应文件对竞争性磋商文件的非实质性内容存在不完全响应或不响应。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5.3.4 </w:t>
      </w:r>
      <w:r>
        <w:rPr>
          <w:rFonts w:ascii="宋体" w:hAnsi="宋体" w:eastAsia="宋体" w:cs="宋体"/>
          <w:color w:val="auto"/>
          <w:sz w:val="21"/>
          <w:szCs w:val="21"/>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六、磋商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6.1</w:t>
      </w:r>
      <w:r>
        <w:rPr>
          <w:rFonts w:ascii="宋体" w:hAnsi="宋体" w:eastAsia="宋体" w:cs="宋体"/>
          <w:color w:val="auto"/>
          <w:sz w:val="21"/>
          <w:szCs w:val="21"/>
        </w:rPr>
        <w:t>、初步评审工作内容</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）资格性检查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依据法律法规及竞争性磋商文件的规定，采购人授权磋商小组对供应商的资格进行审查</w:t>
      </w:r>
      <w:r>
        <w:rPr>
          <w:rFonts w:ascii="仿宋" w:hAnsi="仿宋" w:eastAsia="仿宋" w:cs="仿宋"/>
          <w:color w:val="auto"/>
          <w:sz w:val="24"/>
          <w:szCs w:val="24"/>
        </w:rPr>
        <w:t>,</w:t>
      </w:r>
      <w:r>
        <w:rPr>
          <w:rFonts w:ascii="宋体" w:hAnsi="宋体" w:eastAsia="宋体" w:cs="宋体"/>
          <w:color w:val="auto"/>
          <w:sz w:val="21"/>
          <w:szCs w:val="21"/>
        </w:rPr>
        <w:t>评审小组对响应文件中的提供的资格证明材料进行审查，以确定供应商是否具备磋商资格。</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2</w:t>
      </w:r>
      <w:r>
        <w:rPr>
          <w:rFonts w:ascii="宋体" w:hAnsi="宋体" w:eastAsia="宋体" w:cs="宋体"/>
          <w:color w:val="auto"/>
          <w:sz w:val="21"/>
          <w:szCs w:val="21"/>
        </w:rPr>
        <w:t>）符合性检查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依据竞争性磋商文件的规定，从响应文件的有效性、完整性和对竞争性磋商文件的响应程度进行审查，以确定是否对竞争性磋商文件的实质性要求作出响应。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6.2</w:t>
      </w:r>
      <w:r>
        <w:rPr>
          <w:rFonts w:ascii="宋体" w:hAnsi="宋体" w:eastAsia="宋体" w:cs="宋体"/>
          <w:color w:val="auto"/>
          <w:sz w:val="21"/>
          <w:szCs w:val="21"/>
        </w:rPr>
        <w:t>、响应文件的澄清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6.2.1 </w:t>
      </w:r>
      <w:r>
        <w:rPr>
          <w:rFonts w:ascii="宋体" w:hAnsi="宋体" w:eastAsia="宋体" w:cs="宋体"/>
          <w:color w:val="auto"/>
          <w:sz w:val="21"/>
          <w:szCs w:val="21"/>
        </w:rPr>
        <w:t>磋商小组可要求供应商对响应文件中含义不明确、同类问题表述不一致、有明显的文字和计算错误的内容等进行澄清并做出书面答复。书面答复须由供应商代表签字（或盖章）并作为响应文件的一部分。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6.2.2 </w:t>
      </w:r>
      <w:r>
        <w:rPr>
          <w:rFonts w:ascii="宋体" w:hAnsi="宋体" w:eastAsia="宋体" w:cs="宋体"/>
          <w:color w:val="auto"/>
          <w:sz w:val="21"/>
          <w:szCs w:val="21"/>
        </w:rPr>
        <w:t>供应商对响应文件的澄清不得超出响应文件的范围或者改变响应文件的实质性内容。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6.3</w:t>
      </w:r>
      <w:r>
        <w:rPr>
          <w:rFonts w:ascii="宋体" w:hAnsi="宋体" w:eastAsia="宋体" w:cs="宋体"/>
          <w:color w:val="auto"/>
          <w:sz w:val="21"/>
          <w:szCs w:val="21"/>
        </w:rPr>
        <w:t>、错误修正</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eastAsia="宋体" w:cs="宋体"/>
          <w:color w:val="auto"/>
          <w:sz w:val="21"/>
          <w:szCs w:val="21"/>
        </w:rPr>
        <w:t>磋商小组将对确定为实质上响应竞争性磋商文件要求的响应文件进行校核，看其在磋商报价方面是否有计算、累计或表达上的错误，修正错误的原则及顺序如下：</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1</w:t>
      </w:r>
      <w:r>
        <w:rPr>
          <w:rFonts w:ascii="宋体" w:hAnsi="宋体" w:eastAsia="宋体" w:cs="宋体"/>
          <w:color w:val="auto"/>
          <w:sz w:val="21"/>
          <w:szCs w:val="21"/>
        </w:rPr>
        <w:t>）正本与副本不一致时，以正本为准；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2</w:t>
      </w:r>
      <w:r>
        <w:rPr>
          <w:rFonts w:ascii="宋体" w:hAnsi="宋体" w:eastAsia="宋体" w:cs="宋体"/>
          <w:color w:val="auto"/>
          <w:sz w:val="21"/>
          <w:szCs w:val="21"/>
        </w:rPr>
        <w:t>）响应文件中开标一览表（报价表）内容与响应文件中相应内容不一致的，以开标</w:t>
      </w:r>
      <w:bookmarkStart w:id="18" w:name="page19"/>
      <w:bookmarkEnd w:id="18"/>
      <w:r>
        <w:rPr>
          <w:rFonts w:ascii="宋体" w:hAnsi="宋体" w:eastAsia="宋体" w:cs="宋体"/>
          <w:color w:val="auto"/>
          <w:sz w:val="21"/>
          <w:szCs w:val="21"/>
        </w:rPr>
        <w:t>一览表（报价表）为准；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3</w:t>
      </w:r>
      <w:r>
        <w:rPr>
          <w:rFonts w:ascii="宋体" w:hAnsi="宋体" w:eastAsia="宋体" w:cs="宋体"/>
          <w:color w:val="auto"/>
          <w:sz w:val="21"/>
          <w:szCs w:val="21"/>
        </w:rPr>
        <w:t>）响应文件的大写金额和小写金额不一致的，以大写金额为准；</w:t>
      </w:r>
    </w:p>
    <w:p>
      <w:pPr>
        <w:keepNext w:val="0"/>
        <w:keepLines w:val="0"/>
        <w:pageBreakBefore w:val="0"/>
        <w:widowControl/>
        <w:kinsoku/>
        <w:wordWrap/>
        <w:overflowPunct/>
        <w:topLinePunct w:val="0"/>
        <w:autoSpaceDE/>
        <w:autoSpaceDN/>
        <w:bidi w:val="0"/>
        <w:adjustRightInd/>
        <w:snapToGrid/>
        <w:spacing w:after="0" w:line="360" w:lineRule="auto"/>
        <w:ind w:right="346" w:firstLine="210" w:firstLineChars="100"/>
        <w:jc w:val="both"/>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4</w:t>
      </w:r>
      <w:r>
        <w:rPr>
          <w:rFonts w:ascii="宋体" w:hAnsi="宋体" w:eastAsia="宋体" w:cs="宋体"/>
          <w:color w:val="auto"/>
          <w:sz w:val="21"/>
          <w:szCs w:val="21"/>
        </w:rPr>
        <w:t>）单价金额小数点或者百分比有明显错位的，以开标一览表的总价为准，并修改单价；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5</w:t>
      </w:r>
      <w:r>
        <w:rPr>
          <w:rFonts w:ascii="宋体" w:hAnsi="宋体" w:eastAsia="宋体" w:cs="宋体"/>
          <w:color w:val="auto"/>
          <w:sz w:val="21"/>
          <w:szCs w:val="21"/>
        </w:rPr>
        <w:t>）总价金额与按单价汇总金额不一致的，以单价金额计算结果为准；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6</w:t>
      </w:r>
      <w:r>
        <w:rPr>
          <w:rFonts w:ascii="宋体" w:hAnsi="宋体" w:eastAsia="宋体" w:cs="宋体"/>
          <w:color w:val="auto"/>
          <w:sz w:val="21"/>
          <w:szCs w:val="21"/>
        </w:rPr>
        <w:t>）对不同文字文本响应文件的解释发生异议的，以中文文本为准；</w:t>
      </w:r>
    </w:p>
    <w:p>
      <w:pPr>
        <w:keepNext w:val="0"/>
        <w:keepLines w:val="0"/>
        <w:pageBreakBefore w:val="0"/>
        <w:widowControl/>
        <w:kinsoku/>
        <w:wordWrap/>
        <w:overflowPunct/>
        <w:topLinePunct w:val="0"/>
        <w:autoSpaceDE/>
        <w:autoSpaceDN/>
        <w:bidi w:val="0"/>
        <w:adjustRightInd/>
        <w:snapToGrid/>
        <w:spacing w:after="0" w:line="360" w:lineRule="auto"/>
        <w:ind w:right="346" w:firstLine="210" w:firstLineChars="100"/>
        <w:jc w:val="both"/>
        <w:textAlignment w:val="auto"/>
        <w:outlineLvl w:val="9"/>
        <w:rPr>
          <w:color w:val="auto"/>
          <w:sz w:val="20"/>
          <w:szCs w:val="20"/>
        </w:rPr>
      </w:pPr>
      <w:r>
        <w:rPr>
          <w:rFonts w:ascii="宋体" w:hAnsi="宋体" w:eastAsia="宋体" w:cs="宋体"/>
          <w:color w:val="auto"/>
          <w:sz w:val="21"/>
          <w:szCs w:val="21"/>
        </w:rPr>
        <w:t>（</w:t>
      </w:r>
      <w:r>
        <w:rPr>
          <w:rFonts w:ascii="Arial" w:hAnsi="Arial" w:eastAsia="Arial" w:cs="Arial"/>
          <w:color w:val="auto"/>
          <w:sz w:val="21"/>
          <w:szCs w:val="21"/>
        </w:rPr>
        <w:t>7</w:t>
      </w:r>
      <w:r>
        <w:rPr>
          <w:rFonts w:ascii="宋体" w:hAnsi="宋体" w:eastAsia="宋体" w:cs="宋体"/>
          <w:color w:val="auto"/>
          <w:sz w:val="21"/>
          <w:szCs w:val="21"/>
        </w:rPr>
        <w:t>）如响应文件中报价明细表分项价格或单价有遗报，应视作已含在磋商报价总价中；其磋商报价总价在评审过程中不予调整。其分项价或单价由磋商小组在磋商报价总价不变的前提下根据合理的原则对其予以确定。</w:t>
      </w:r>
    </w:p>
    <w:p>
      <w:pPr>
        <w:spacing w:after="0" w:line="359" w:lineRule="exact"/>
        <w:ind w:right="346" w:firstLine="420" w:firstLineChars="200"/>
        <w:jc w:val="both"/>
        <w:rPr>
          <w:color w:val="auto"/>
          <w:sz w:val="20"/>
          <w:szCs w:val="20"/>
        </w:rPr>
      </w:pPr>
      <w:r>
        <w:rPr>
          <w:rFonts w:ascii="宋体" w:hAnsi="宋体" w:eastAsia="宋体" w:cs="宋体"/>
          <w:color w:val="auto"/>
          <w:sz w:val="21"/>
          <w:szCs w:val="21"/>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after="0" w:line="170"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Arial" w:hAnsi="Arial" w:eastAsia="Arial" w:cs="Arial"/>
          <w:color w:val="auto"/>
          <w:sz w:val="21"/>
          <w:szCs w:val="21"/>
        </w:rPr>
        <w:t>6.4</w:t>
      </w:r>
      <w:r>
        <w:rPr>
          <w:rFonts w:ascii="宋体" w:hAnsi="宋体" w:eastAsia="宋体" w:cs="宋体"/>
          <w:color w:val="auto"/>
          <w:sz w:val="21"/>
          <w:szCs w:val="21"/>
        </w:rPr>
        <w:t>、</w:t>
      </w:r>
      <w:r>
        <w:rPr>
          <w:rFonts w:ascii="宋体" w:hAnsi="宋体" w:eastAsia="宋体" w:cs="宋体"/>
          <w:color w:val="auto"/>
          <w:sz w:val="21"/>
          <w:szCs w:val="21"/>
          <w:u w:val="single"/>
        </w:rPr>
        <w:t>磋商小组认为投标人的报价明显低于其他通过符合性审查投标人的报价，有可能影响产品质量或者不能诚信履约的，应当要求其在评标现场 30 分钟内提供书面说明，必要时提交相关证明材料；投标人不能证明其报价合理性的，评标委员会应当将其作为无效投标处理。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6.5</w:t>
      </w:r>
      <w:r>
        <w:rPr>
          <w:rFonts w:ascii="宋体" w:hAnsi="宋体" w:eastAsia="宋体" w:cs="宋体"/>
          <w:color w:val="auto"/>
          <w:sz w:val="21"/>
          <w:szCs w:val="21"/>
        </w:rPr>
        <w:t>、无效标</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u w:val="single" w:color="auto"/>
        </w:rPr>
        <w:t>有下列情形之一的响应文件，由磋商小组按少数服从多数原则进行认定，经认定属实后将该响应文件作无效标处理</w:t>
      </w:r>
      <w:r>
        <w:rPr>
          <w:rFonts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）供应商不符合磋商资格条件的；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）未按竞争性磋商文件规定提供磋商保证金的响应文件；</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3</w:t>
      </w:r>
      <w:r>
        <w:rPr>
          <w:rFonts w:ascii="宋体" w:hAnsi="宋体" w:eastAsia="宋体" w:cs="宋体"/>
          <w:color w:val="auto"/>
          <w:sz w:val="21"/>
          <w:szCs w:val="21"/>
        </w:rPr>
        <w:t>）报名的供应商与参加磋商的供应商发生实质性变更的且未提供有效证明的；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4</w:t>
      </w:r>
      <w:r>
        <w:rPr>
          <w:rFonts w:ascii="宋体" w:hAnsi="宋体" w:eastAsia="宋体" w:cs="宋体"/>
          <w:color w:val="auto"/>
          <w:sz w:val="21"/>
          <w:szCs w:val="21"/>
        </w:rPr>
        <w:t>）供应商提交两份或两份以上内容不同的响应文件，未声明哪一份有效的；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5</w:t>
      </w:r>
      <w:r>
        <w:rPr>
          <w:rFonts w:ascii="宋体" w:hAnsi="宋体" w:eastAsia="宋体" w:cs="宋体"/>
          <w:color w:val="auto"/>
          <w:sz w:val="21"/>
          <w:szCs w:val="21"/>
        </w:rPr>
        <w:t>）响应文件中未提供或提供无效的法定代表人资格证明书或附法定代表人资格证明书的法定代表人授权书；</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6</w:t>
      </w:r>
      <w:r>
        <w:rPr>
          <w:rFonts w:ascii="宋体" w:hAnsi="宋体" w:eastAsia="宋体" w:cs="宋体"/>
          <w:color w:val="auto"/>
          <w:sz w:val="21"/>
          <w:szCs w:val="21"/>
        </w:rPr>
        <w:t>）未按竞争性磋商文件规定装订；</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7</w:t>
      </w:r>
      <w:r>
        <w:rPr>
          <w:rFonts w:ascii="宋体" w:hAnsi="宋体" w:eastAsia="宋体" w:cs="宋体"/>
          <w:color w:val="auto"/>
          <w:sz w:val="21"/>
          <w:szCs w:val="21"/>
        </w:rPr>
        <w:t>）响应文件内容未按竞争性磋商文件规定签字或盖章的；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8</w:t>
      </w:r>
      <w:r>
        <w:rPr>
          <w:rFonts w:ascii="宋体" w:hAnsi="宋体" w:eastAsia="宋体" w:cs="宋体"/>
          <w:color w:val="auto"/>
          <w:sz w:val="21"/>
          <w:szCs w:val="21"/>
        </w:rPr>
        <w:t>）响应文件组成漏项或未按规定的格式编制或响应文件正、副本份数不足，内容不全或内容字迹模糊辨认不清的而导致评审活动无法正常进行；</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9</w:t>
      </w:r>
      <w:r>
        <w:rPr>
          <w:rFonts w:ascii="宋体" w:hAnsi="宋体" w:eastAsia="宋体" w:cs="宋体"/>
          <w:color w:val="auto"/>
          <w:sz w:val="21"/>
          <w:szCs w:val="21"/>
        </w:rPr>
        <w:t>）供应商未按竞争性磋商文件变更通知更改响应文件的；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10</w:t>
      </w:r>
      <w:r>
        <w:rPr>
          <w:rFonts w:ascii="宋体" w:hAnsi="宋体" w:eastAsia="宋体" w:cs="宋体"/>
          <w:color w:val="auto"/>
          <w:sz w:val="21"/>
          <w:szCs w:val="21"/>
        </w:rPr>
        <w:t>）磋商最终报价超过最高限价的；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11</w:t>
      </w:r>
      <w:r>
        <w:rPr>
          <w:rFonts w:ascii="宋体" w:hAnsi="宋体" w:eastAsia="宋体" w:cs="宋体"/>
          <w:color w:val="auto"/>
          <w:sz w:val="21"/>
          <w:szCs w:val="21"/>
        </w:rPr>
        <w:t>） 磋商最终报价明显高于其市场报价或某些分项报价明显不合理或者低于成本，或明显低于其他通过符合性审查投标人的报价，且在规定时间内不能合理说明原因并提</w:t>
      </w:r>
      <w:bookmarkStart w:id="19" w:name="page20"/>
      <w:bookmarkEnd w:id="19"/>
      <w:r>
        <w:rPr>
          <w:rFonts w:ascii="宋体" w:hAnsi="宋体" w:eastAsia="宋体" w:cs="宋体"/>
          <w:color w:val="auto"/>
          <w:sz w:val="21"/>
          <w:szCs w:val="21"/>
        </w:rPr>
        <w:t>供证明材料的；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12</w:t>
      </w:r>
      <w:r>
        <w:rPr>
          <w:rFonts w:ascii="宋体" w:hAnsi="宋体" w:eastAsia="宋体" w:cs="宋体"/>
          <w:color w:val="auto"/>
          <w:sz w:val="21"/>
          <w:szCs w:val="21"/>
        </w:rPr>
        <w:t>）未实质性响应竞争性磋商文件中带</w:t>
      </w:r>
      <w:r>
        <w:rPr>
          <w:rFonts w:ascii="Arial" w:hAnsi="Arial" w:eastAsia="Arial" w:cs="Arial"/>
          <w:color w:val="auto"/>
          <w:sz w:val="21"/>
          <w:szCs w:val="21"/>
        </w:rPr>
        <w:t>“▲”</w:t>
      </w:r>
      <w:r>
        <w:rPr>
          <w:rFonts w:ascii="宋体" w:hAnsi="宋体" w:eastAsia="宋体" w:cs="宋体"/>
          <w:color w:val="auto"/>
          <w:sz w:val="21"/>
          <w:szCs w:val="21"/>
        </w:rPr>
        <w:t>条款要求的响应文件；</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13</w:t>
      </w:r>
      <w:r>
        <w:rPr>
          <w:rFonts w:ascii="宋体" w:hAnsi="宋体" w:eastAsia="宋体" w:cs="宋体"/>
          <w:color w:val="auto"/>
          <w:sz w:val="21"/>
          <w:szCs w:val="21"/>
        </w:rPr>
        <w:t>）不符合磋商范围、技术规格、技术标准的要求无法满足采购人使用要求；</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14</w:t>
      </w:r>
      <w:r>
        <w:rPr>
          <w:rFonts w:ascii="宋体" w:hAnsi="宋体" w:eastAsia="宋体" w:cs="宋体"/>
          <w:color w:val="auto"/>
          <w:sz w:val="21"/>
          <w:szCs w:val="21"/>
        </w:rPr>
        <w:t>）响应文件附有采购人不能接受的条款；</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color w:val="auto"/>
          <w:sz w:val="21"/>
          <w:szCs w:val="21"/>
        </w:rPr>
        <w:t>15</w:t>
      </w:r>
      <w:r>
        <w:rPr>
          <w:rFonts w:ascii="宋体" w:hAnsi="宋体" w:eastAsia="宋体" w:cs="宋体"/>
          <w:color w:val="auto"/>
          <w:sz w:val="21"/>
          <w:szCs w:val="21"/>
        </w:rPr>
        <w:t>）存在串标、抬标或弄虚作假情况的；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rFonts w:ascii="宋体" w:hAnsi="宋体" w:eastAsia="宋体" w:cs="宋体"/>
          <w:color w:val="auto"/>
          <w:sz w:val="21"/>
          <w:szCs w:val="21"/>
        </w:rPr>
      </w:pPr>
      <w:r>
        <w:rPr>
          <w:rFonts w:ascii="Arial" w:hAnsi="Arial" w:eastAsia="Arial" w:cs="Arial"/>
          <w:color w:val="auto"/>
          <w:sz w:val="21"/>
          <w:szCs w:val="21"/>
        </w:rPr>
        <w:t>16）</w:t>
      </w:r>
      <w:r>
        <w:rPr>
          <w:rFonts w:ascii="宋体" w:hAnsi="宋体" w:eastAsia="宋体" w:cs="宋体"/>
          <w:color w:val="auto"/>
          <w:sz w:val="21"/>
          <w:szCs w:val="21"/>
        </w:rPr>
        <w:t>违反国家及政府部门相关法律、法规、文件规定或经磋商小组认定的其他属于重大偏离。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6.6</w:t>
      </w:r>
      <w:r>
        <w:rPr>
          <w:rFonts w:ascii="宋体" w:hAnsi="宋体" w:eastAsia="宋体" w:cs="宋体"/>
          <w:color w:val="auto"/>
          <w:sz w:val="21"/>
          <w:szCs w:val="21"/>
        </w:rPr>
        <w:t>、磋商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6.6.1 </w:t>
      </w:r>
      <w:r>
        <w:rPr>
          <w:rFonts w:ascii="宋体" w:hAnsi="宋体" w:eastAsia="宋体" w:cs="宋体"/>
          <w:color w:val="auto"/>
          <w:sz w:val="21"/>
          <w:szCs w:val="21"/>
        </w:rPr>
        <w:t>采购人将按相关规定组织磋商小组，对响应文件进行审查、比较和评价。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6.6.2 </w:t>
      </w:r>
      <w:r>
        <w:rPr>
          <w:rFonts w:ascii="宋体" w:hAnsi="宋体" w:eastAsia="宋体" w:cs="宋体"/>
          <w:color w:val="auto"/>
          <w:sz w:val="21"/>
          <w:szCs w:val="21"/>
        </w:rPr>
        <w:t>评审原则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6.6.3 </w:t>
      </w:r>
      <w:r>
        <w:rPr>
          <w:rFonts w:ascii="宋体" w:hAnsi="宋体" w:eastAsia="宋体" w:cs="宋体"/>
          <w:color w:val="auto"/>
          <w:sz w:val="21"/>
          <w:szCs w:val="21"/>
        </w:rPr>
        <w:t>评审办法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评审办法详见第七章。</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b/>
          <w:bCs/>
          <w:color w:val="auto"/>
          <w:sz w:val="21"/>
          <w:szCs w:val="21"/>
        </w:rPr>
        <w:t>6.7</w:t>
      </w:r>
      <w:r>
        <w:rPr>
          <w:rFonts w:ascii="宋体" w:hAnsi="宋体" w:eastAsia="宋体" w:cs="宋体"/>
          <w:b/>
          <w:bCs/>
          <w:color w:val="auto"/>
          <w:sz w:val="21"/>
          <w:szCs w:val="21"/>
        </w:rPr>
        <w:t>、废标</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在采购中，出现下列情形之一的，应予废标：</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1</w:t>
      </w:r>
      <w:r>
        <w:rPr>
          <w:rFonts w:ascii="宋体" w:hAnsi="宋体" w:eastAsia="宋体" w:cs="宋体"/>
          <w:b/>
          <w:bCs/>
          <w:color w:val="auto"/>
          <w:sz w:val="21"/>
          <w:szCs w:val="21"/>
        </w:rPr>
        <w:t>）出现影响采购公正的违法、违规行为的；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2</w:t>
      </w:r>
      <w:r>
        <w:rPr>
          <w:rFonts w:ascii="宋体" w:hAnsi="宋体" w:eastAsia="宋体" w:cs="宋体"/>
          <w:b/>
          <w:bCs/>
          <w:color w:val="auto"/>
          <w:sz w:val="21"/>
          <w:szCs w:val="21"/>
        </w:rPr>
        <w:t>）符合专业条件的供应商或者对采购文件作实质响应的供应商不足三家的；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3</w:t>
      </w:r>
      <w:r>
        <w:rPr>
          <w:rFonts w:ascii="宋体" w:hAnsi="宋体" w:eastAsia="宋体" w:cs="宋体"/>
          <w:b/>
          <w:bCs/>
          <w:color w:val="auto"/>
          <w:sz w:val="21"/>
          <w:szCs w:val="21"/>
        </w:rPr>
        <w:t>）供应商的报价均超过了最高限价的，采购人不能支付的；</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Arial" w:hAnsi="Arial" w:eastAsia="Arial" w:cs="Arial"/>
          <w:b/>
          <w:bCs/>
          <w:color w:val="auto"/>
          <w:sz w:val="21"/>
          <w:szCs w:val="21"/>
        </w:rPr>
        <w:t>4</w:t>
      </w:r>
      <w:r>
        <w:rPr>
          <w:rFonts w:ascii="宋体" w:hAnsi="宋体" w:eastAsia="宋体" w:cs="宋体"/>
          <w:b/>
          <w:bCs/>
          <w:color w:val="auto"/>
          <w:sz w:val="21"/>
          <w:szCs w:val="21"/>
        </w:rPr>
        <w:t>）因重大变故，采购任务取消的。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b/>
          <w:bCs/>
          <w:color w:val="auto"/>
          <w:sz w:val="20"/>
          <w:szCs w:val="20"/>
        </w:rPr>
      </w:pPr>
      <w:r>
        <w:rPr>
          <w:rFonts w:ascii="Arial" w:hAnsi="Arial" w:eastAsia="Arial" w:cs="Arial"/>
          <w:b/>
          <w:bCs/>
          <w:color w:val="auto"/>
          <w:sz w:val="21"/>
          <w:szCs w:val="21"/>
        </w:rPr>
        <w:t>6.8</w:t>
      </w:r>
      <w:r>
        <w:rPr>
          <w:rFonts w:ascii="宋体" w:hAnsi="宋体" w:eastAsia="宋体" w:cs="宋体"/>
          <w:b/>
          <w:bCs/>
          <w:color w:val="auto"/>
          <w:sz w:val="21"/>
          <w:szCs w:val="21"/>
        </w:rPr>
        <w:t>、确认采购结果</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评审结束后，根据磋商小组推荐，采购人按政府采购有关规定确定成交人。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b/>
          <w:bCs/>
          <w:color w:val="auto"/>
          <w:sz w:val="21"/>
          <w:szCs w:val="21"/>
        </w:rPr>
      </w:pPr>
      <w:r>
        <w:rPr>
          <w:rFonts w:ascii="Arial" w:hAnsi="Arial" w:eastAsia="Arial" w:cs="Arial"/>
          <w:b/>
          <w:bCs/>
          <w:color w:val="auto"/>
          <w:sz w:val="21"/>
          <w:szCs w:val="21"/>
        </w:rPr>
        <w:t>6.9、结果公告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在采购人确认采购结果后，采购代理机构按相关政府采购规定将成交结果发布在政府采购网上进行公示，公示期为</w:t>
      </w:r>
      <w:r>
        <w:rPr>
          <w:rFonts w:ascii="Arial" w:hAnsi="Arial" w:eastAsia="Arial" w:cs="Arial"/>
          <w:color w:val="auto"/>
          <w:sz w:val="21"/>
          <w:szCs w:val="21"/>
        </w:rPr>
        <w:t xml:space="preserve"> 1 </w:t>
      </w:r>
      <w:r>
        <w:rPr>
          <w:rFonts w:ascii="宋体" w:hAnsi="宋体" w:eastAsia="宋体" w:cs="宋体"/>
          <w:color w:val="auto"/>
          <w:sz w:val="21"/>
          <w:szCs w:val="21"/>
        </w:rPr>
        <w:t>个工作日。采购人、采购代理机构及磋商小组对未成交的供应商不作落标原因解释。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b/>
          <w:bCs/>
          <w:color w:val="auto"/>
          <w:sz w:val="21"/>
          <w:szCs w:val="21"/>
        </w:rPr>
      </w:pPr>
      <w:r>
        <w:rPr>
          <w:rFonts w:ascii="Arial" w:hAnsi="Arial" w:eastAsia="Arial" w:cs="Arial"/>
          <w:b/>
          <w:bCs/>
          <w:color w:val="auto"/>
          <w:sz w:val="21"/>
          <w:szCs w:val="21"/>
        </w:rPr>
        <w:t>6.10、采购过程、采购结果质疑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6.10.1 </w:t>
      </w:r>
      <w:r>
        <w:rPr>
          <w:rFonts w:ascii="宋体" w:hAnsi="宋体" w:eastAsia="宋体" w:cs="宋体"/>
          <w:color w:val="auto"/>
          <w:sz w:val="21"/>
          <w:szCs w:val="21"/>
        </w:rPr>
        <w:t>供应商认为采购过程、采购结果使自己的合法权益受到损害的，供应商可以提出书面质疑。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6.10.2 </w:t>
      </w:r>
      <w:r>
        <w:rPr>
          <w:rFonts w:ascii="宋体" w:hAnsi="宋体" w:eastAsia="宋体" w:cs="宋体"/>
          <w:color w:val="auto"/>
          <w:sz w:val="21"/>
          <w:szCs w:val="21"/>
        </w:rPr>
        <w:t>质疑书须包括以下内容：</w:t>
      </w:r>
    </w:p>
    <w:p>
      <w:pPr>
        <w:keepNext w:val="0"/>
        <w:keepLines w:val="0"/>
        <w:pageBreakBefore w:val="0"/>
        <w:widowControl/>
        <w:kinsoku/>
        <w:wordWrap/>
        <w:overflowPunct/>
        <w:topLinePunct w:val="0"/>
        <w:autoSpaceDE/>
        <w:autoSpaceDN/>
        <w:bidi w:val="0"/>
        <w:adjustRightInd/>
        <w:snapToGrid/>
        <w:spacing w:after="0" w:line="360" w:lineRule="auto"/>
        <w:ind w:firstLine="200" w:firstLineChars="100"/>
        <w:textAlignment w:val="auto"/>
        <w:outlineLvl w:val="9"/>
        <w:rPr>
          <w:color w:val="auto"/>
          <w:sz w:val="20"/>
          <w:szCs w:val="20"/>
        </w:rPr>
      </w:pPr>
      <w:r>
        <w:rPr>
          <w:rFonts w:ascii="宋体" w:hAnsi="宋体" w:eastAsia="宋体" w:cs="宋体"/>
          <w:color w:val="auto"/>
          <w:sz w:val="20"/>
          <w:szCs w:val="20"/>
        </w:rPr>
        <w:t>（一）</w:t>
      </w:r>
      <w:r>
        <w:rPr>
          <w:rFonts w:ascii="宋体" w:hAnsi="宋体" w:eastAsia="宋体" w:cs="宋体"/>
          <w:color w:val="auto"/>
          <w:sz w:val="21"/>
          <w:szCs w:val="21"/>
        </w:rPr>
        <w:t>质疑人的名称、地址、邮政编码、联系人、联系电话，以及被质疑人名称及联系方式；</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bookmarkStart w:id="20" w:name="page21"/>
      <w:bookmarkEnd w:id="20"/>
      <w:r>
        <w:rPr>
          <w:rFonts w:ascii="宋体" w:hAnsi="宋体" w:eastAsia="宋体" w:cs="宋体"/>
          <w:color w:val="auto"/>
          <w:sz w:val="21"/>
          <w:szCs w:val="21"/>
        </w:rPr>
        <w:t>（二）被质疑采购项目名称、编号及采购内容；</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（三）具体的质疑事项及事实依据；</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（四）认为自己合法权益受到损害或可能受到损害的相关证据材料；</w:t>
      </w:r>
    </w:p>
    <w:p>
      <w:pPr>
        <w:keepNext w:val="0"/>
        <w:keepLines w:val="0"/>
        <w:pageBreakBefore w:val="0"/>
        <w:widowControl/>
        <w:kinsoku/>
        <w:wordWrap/>
        <w:overflowPunct/>
        <w:topLinePunct w:val="0"/>
        <w:autoSpaceDE/>
        <w:autoSpaceDN/>
        <w:bidi w:val="0"/>
        <w:adjustRightInd/>
        <w:snapToGrid/>
        <w:spacing w:after="0" w:line="360" w:lineRule="auto"/>
        <w:ind w:firstLine="210" w:firstLineChars="100"/>
        <w:textAlignment w:val="auto"/>
        <w:outlineLvl w:val="9"/>
        <w:rPr>
          <w:color w:val="auto"/>
          <w:sz w:val="20"/>
          <w:szCs w:val="20"/>
        </w:rPr>
      </w:pPr>
      <w:r>
        <w:rPr>
          <w:rFonts w:ascii="宋体" w:hAnsi="宋体" w:eastAsia="宋体" w:cs="宋体"/>
          <w:color w:val="auto"/>
          <w:sz w:val="21"/>
          <w:szCs w:val="21"/>
        </w:rPr>
        <w:t>（五）提出质疑的日期。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Arial" w:hAnsi="Arial" w:eastAsia="Arial" w:cs="Arial"/>
          <w:color w:val="auto"/>
          <w:sz w:val="21"/>
          <w:szCs w:val="21"/>
        </w:rPr>
      </w:pPr>
      <w:r>
        <w:rPr>
          <w:rFonts w:ascii="Arial" w:hAnsi="Arial" w:eastAsia="Arial" w:cs="Arial"/>
          <w:color w:val="auto"/>
          <w:sz w:val="21"/>
          <w:szCs w:val="21"/>
        </w:rPr>
        <w:t xml:space="preserve">6.10.3 </w:t>
      </w:r>
      <w:r>
        <w:rPr>
          <w:rFonts w:ascii="宋体" w:hAnsi="宋体" w:eastAsia="宋体" w:cs="宋体"/>
          <w:color w:val="auto"/>
          <w:sz w:val="21"/>
          <w:szCs w:val="21"/>
        </w:rPr>
        <w:t>采购过程的质疑期限自各采购程序环节结束之日起计算，</w:t>
      </w:r>
      <w:r>
        <w:rPr>
          <w:rFonts w:ascii="Arial" w:hAnsi="Arial" w:eastAsia="Arial" w:cs="Arial"/>
          <w:color w:val="auto"/>
          <w:sz w:val="21"/>
          <w:szCs w:val="21"/>
        </w:rPr>
        <w:t xml:space="preserve">7 </w:t>
      </w:r>
      <w:r>
        <w:rPr>
          <w:rFonts w:ascii="宋体" w:hAnsi="宋体" w:eastAsia="宋体" w:cs="宋体"/>
          <w:color w:val="auto"/>
          <w:sz w:val="21"/>
          <w:szCs w:val="21"/>
        </w:rPr>
        <w:t>个工作日内向采购代理机构提出，逾期提出不予受理。采购结果的质疑期限自采购结果公告（包括结果公示、结果变更公告等）之日起计算，</w:t>
      </w:r>
      <w:r>
        <w:rPr>
          <w:rFonts w:hint="eastAsia" w:ascii="宋体" w:hAnsi="宋体" w:eastAsia="宋体" w:cs="宋体"/>
          <w:color w:val="auto"/>
          <w:sz w:val="21"/>
          <w:szCs w:val="21"/>
          <w:lang w:val="en-US" w:eastAsia="zh-CN"/>
        </w:rPr>
        <w:t>7</w:t>
      </w:r>
      <w:r>
        <w:rPr>
          <w:rFonts w:ascii="宋体" w:hAnsi="宋体" w:eastAsia="宋体" w:cs="宋体"/>
          <w:color w:val="auto"/>
          <w:sz w:val="21"/>
          <w:szCs w:val="21"/>
        </w:rPr>
        <w:t>个工作日内向采购代理机构提出，逾期提出不予受理。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6.10.4 </w:t>
      </w:r>
      <w:r>
        <w:rPr>
          <w:rFonts w:ascii="宋体" w:hAnsi="宋体" w:eastAsia="宋体" w:cs="宋体"/>
          <w:color w:val="auto"/>
          <w:sz w:val="21"/>
          <w:szCs w:val="21"/>
        </w:rPr>
        <w:t>质疑书中涉及的相关材料中有外文资料的，应当将与质疑相关的外文资料完整、客观、真实地翻译为中文，并注明翻译人员姓名、工作单位、联系方式等信息。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6.10.5 </w:t>
      </w:r>
      <w:r>
        <w:rPr>
          <w:rFonts w:ascii="宋体" w:hAnsi="宋体" w:eastAsia="宋体" w:cs="宋体"/>
          <w:color w:val="auto"/>
          <w:sz w:val="21"/>
          <w:szCs w:val="21"/>
        </w:rPr>
        <w:t>质疑书必须署名，由法定代表人签字（或盖章）并加盖单位公章，否则不予受理。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6.10.6 </w:t>
      </w:r>
      <w:r>
        <w:rPr>
          <w:rFonts w:ascii="宋体" w:hAnsi="宋体" w:eastAsia="宋体" w:cs="宋体"/>
          <w:color w:val="auto"/>
          <w:sz w:val="21"/>
          <w:szCs w:val="21"/>
        </w:rPr>
        <w:t>质疑书以直接提交、传真或邮寄方式提交（一式三份）。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6.10.7 </w:t>
      </w:r>
      <w:r>
        <w:rPr>
          <w:rFonts w:ascii="宋体" w:hAnsi="宋体" w:eastAsia="宋体" w:cs="宋体"/>
          <w:color w:val="auto"/>
          <w:sz w:val="21"/>
          <w:szCs w:val="21"/>
        </w:rPr>
        <w:t>质疑书以传真形式提交后，同时须向采购代理机构提交质疑书原件，采购代理机构以收到原件之日作为收到质疑日。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6.11</w:t>
      </w:r>
      <w:r>
        <w:rPr>
          <w:rFonts w:ascii="宋体" w:hAnsi="宋体" w:eastAsia="宋体" w:cs="宋体"/>
          <w:color w:val="auto"/>
          <w:sz w:val="21"/>
          <w:szCs w:val="21"/>
        </w:rPr>
        <w:t>、发出成交通知书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6.11.1 </w:t>
      </w:r>
      <w:r>
        <w:rPr>
          <w:rFonts w:ascii="宋体" w:hAnsi="宋体" w:eastAsia="宋体" w:cs="宋体"/>
          <w:color w:val="auto"/>
          <w:sz w:val="21"/>
          <w:szCs w:val="21"/>
        </w:rPr>
        <w:t>采购人及采购代理机构将以书面形式向成交人发出成交通知书。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6.12</w:t>
      </w:r>
      <w:r>
        <w:rPr>
          <w:rFonts w:ascii="宋体" w:hAnsi="宋体" w:eastAsia="宋体" w:cs="宋体"/>
          <w:color w:val="auto"/>
          <w:sz w:val="21"/>
          <w:szCs w:val="21"/>
        </w:rPr>
        <w:t>、签订合同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6.12.1 </w:t>
      </w:r>
      <w:r>
        <w:rPr>
          <w:rFonts w:ascii="宋体" w:hAnsi="宋体" w:eastAsia="宋体" w:cs="宋体"/>
          <w:color w:val="auto"/>
          <w:sz w:val="21"/>
          <w:szCs w:val="21"/>
        </w:rPr>
        <w:t>成交人应在接到成交通知书后按成交通知书规定的时间、地点与采购人签订合同。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6.12.2 </w:t>
      </w:r>
      <w:r>
        <w:rPr>
          <w:rFonts w:ascii="宋体" w:hAnsi="宋体" w:eastAsia="宋体" w:cs="宋体"/>
          <w:color w:val="auto"/>
          <w:sz w:val="21"/>
          <w:szCs w:val="21"/>
        </w:rPr>
        <w:t>竞争性磋商文件及补充文件、成交人的响应文件及磋商修改文件、评审过程中有关澄清文件和成交通知书均作为合同附件。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Arial" w:hAnsi="Arial" w:eastAsia="Arial" w:cs="Arial"/>
          <w:color w:val="auto"/>
          <w:sz w:val="21"/>
          <w:szCs w:val="21"/>
        </w:rPr>
        <w:t xml:space="preserve">6.12.3 </w:t>
      </w:r>
      <w:r>
        <w:rPr>
          <w:rFonts w:ascii="宋体" w:hAnsi="宋体" w:eastAsia="宋体" w:cs="宋体"/>
          <w:color w:val="auto"/>
          <w:sz w:val="21"/>
          <w:szCs w:val="21"/>
        </w:rPr>
        <w:t>拒签合同的责任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成交人接到成交通知书后，在规定时间内借故否认已经承诺的条件而拒签合同者，以磋商违约处理，其磋商保证金不予退回，并赔偿采购人由此造成的直接经济损失。采购人将向政府采购监管部门进行汇报。</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6.13</w:t>
      </w:r>
      <w:r>
        <w:rPr>
          <w:rFonts w:ascii="宋体" w:hAnsi="宋体" w:eastAsia="宋体" w:cs="宋体"/>
          <w:color w:val="auto"/>
          <w:sz w:val="21"/>
          <w:szCs w:val="21"/>
        </w:rPr>
        <w:t>、履约保证金</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 xml:space="preserve">6.13.1 </w:t>
      </w:r>
      <w:r>
        <w:rPr>
          <w:rFonts w:ascii="宋体" w:hAnsi="宋体" w:eastAsia="宋体" w:cs="宋体"/>
          <w:color w:val="auto"/>
          <w:sz w:val="21"/>
          <w:szCs w:val="21"/>
        </w:rPr>
        <w:t>成交人在签订合同后按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规定的缴纳履约保证金。</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 xml:space="preserve">6.13.2 </w:t>
      </w:r>
      <w:r>
        <w:rPr>
          <w:rFonts w:ascii="宋体" w:hAnsi="宋体" w:eastAsia="宋体" w:cs="宋体"/>
          <w:color w:val="auto"/>
          <w:sz w:val="21"/>
          <w:szCs w:val="21"/>
        </w:rPr>
        <w:t>履约保证金有效期按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rFonts w:hint="eastAsia" w:ascii="宋体" w:hAnsi="宋体" w:eastAsia="宋体" w:cs="宋体"/>
          <w:color w:val="auto"/>
          <w:sz w:val="21"/>
          <w:szCs w:val="21"/>
          <w:lang w:val="en-US" w:eastAsia="zh-CN"/>
        </w:rPr>
      </w:pPr>
      <w:r>
        <w:rPr>
          <w:rFonts w:ascii="Arial" w:hAnsi="Arial" w:eastAsia="Arial" w:cs="Arial"/>
          <w:color w:val="auto"/>
          <w:sz w:val="21"/>
          <w:szCs w:val="21"/>
        </w:rPr>
        <w:t xml:space="preserve">6.13.3 </w:t>
      </w:r>
      <w:r>
        <w:rPr>
          <w:rFonts w:hint="eastAsia" w:ascii="Arial" w:hAnsi="Arial" w:eastAsia="Arial" w:cs="Arial"/>
          <w:color w:val="auto"/>
          <w:sz w:val="21"/>
          <w:szCs w:val="21"/>
        </w:rPr>
        <w:t>履约担保有效期自履约担保交纳之日起至竣工验收合格后15日内有效。在此有效期截止日后14天内此履约担保（如有剩余）</w:t>
      </w:r>
      <w:r>
        <w:rPr>
          <w:rFonts w:hint="eastAsia" w:ascii="Arial" w:hAnsi="Arial" w:eastAsia="宋体" w:cs="Arial"/>
          <w:color w:val="auto"/>
          <w:sz w:val="21"/>
          <w:szCs w:val="21"/>
          <w:lang w:val="en-US" w:eastAsia="zh-CN"/>
        </w:rPr>
        <w:t>不计息</w:t>
      </w:r>
      <w:r>
        <w:rPr>
          <w:rFonts w:hint="eastAsia" w:ascii="Arial" w:hAnsi="Arial" w:eastAsia="Arial" w:cs="Arial"/>
          <w:color w:val="auto"/>
          <w:sz w:val="21"/>
          <w:szCs w:val="21"/>
        </w:rPr>
        <w:t>退还给承包人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Arial" w:hAnsi="Arial" w:eastAsia="Arial" w:cs="Arial"/>
          <w:color w:val="auto"/>
          <w:sz w:val="21"/>
          <w:szCs w:val="21"/>
        </w:rPr>
        <w:t>6.14</w:t>
      </w:r>
      <w:r>
        <w:rPr>
          <w:rFonts w:ascii="宋体" w:hAnsi="宋体" w:eastAsia="宋体" w:cs="宋体"/>
          <w:color w:val="auto"/>
          <w:sz w:val="21"/>
          <w:szCs w:val="21"/>
        </w:rPr>
        <w:t>、采购代理服务费</w:t>
      </w:r>
    </w:p>
    <w:p>
      <w:pPr>
        <w:keepNext w:val="0"/>
        <w:keepLines w:val="0"/>
        <w:pageBreakBefore w:val="0"/>
        <w:widowControl/>
        <w:kinsoku/>
        <w:wordWrap/>
        <w:overflowPunct/>
        <w:topLinePunct w:val="0"/>
        <w:autoSpaceDE/>
        <w:autoSpaceDN/>
        <w:bidi w:val="0"/>
        <w:adjustRightInd/>
        <w:snapToGrid/>
        <w:spacing w:after="0" w:line="340" w:lineRule="exact"/>
        <w:ind w:firstLine="420" w:firstLineChars="200"/>
        <w:textAlignment w:val="auto"/>
        <w:outlineLvl w:val="9"/>
        <w:rPr>
          <w:color w:val="auto"/>
          <w:sz w:val="20"/>
          <w:szCs w:val="20"/>
        </w:rPr>
      </w:pPr>
      <w:r>
        <w:rPr>
          <w:rFonts w:ascii="宋体" w:hAnsi="宋体" w:eastAsia="宋体" w:cs="宋体"/>
          <w:color w:val="auto"/>
          <w:sz w:val="21"/>
          <w:szCs w:val="21"/>
        </w:rPr>
        <w:t>本次采购代理服务费按</w:t>
      </w:r>
      <w:r>
        <w:rPr>
          <w:rFonts w:ascii="Arial" w:hAnsi="Arial" w:eastAsia="Arial" w:cs="Arial"/>
          <w:color w:val="auto"/>
          <w:sz w:val="21"/>
          <w:szCs w:val="21"/>
        </w:rPr>
        <w:t>“</w:t>
      </w:r>
      <w:r>
        <w:rPr>
          <w:rFonts w:ascii="宋体" w:hAnsi="宋体" w:eastAsia="宋体" w:cs="宋体"/>
          <w:color w:val="auto"/>
          <w:sz w:val="21"/>
          <w:szCs w:val="21"/>
        </w:rPr>
        <w:t>供应商须知前附表</w:t>
      </w:r>
      <w:r>
        <w:rPr>
          <w:rFonts w:ascii="Arial" w:hAnsi="Arial" w:eastAsia="Arial" w:cs="Arial"/>
          <w:color w:val="auto"/>
          <w:sz w:val="21"/>
          <w:szCs w:val="21"/>
        </w:rPr>
        <w:t>”</w:t>
      </w:r>
      <w:r>
        <w:rPr>
          <w:rFonts w:ascii="宋体" w:hAnsi="宋体" w:eastAsia="宋体" w:cs="宋体"/>
          <w:color w:val="auto"/>
          <w:sz w:val="21"/>
          <w:szCs w:val="21"/>
        </w:rPr>
        <w:t>规定收取。</w:t>
      </w: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1" w:lineRule="exact"/>
        <w:rPr>
          <w:color w:val="auto"/>
          <w:sz w:val="20"/>
          <w:szCs w:val="20"/>
        </w:rPr>
      </w:pPr>
      <w:bookmarkStart w:id="21" w:name="page22"/>
      <w:bookmarkEnd w:id="21"/>
    </w:p>
    <w:p>
      <w:pPr>
        <w:tabs>
          <w:tab w:val="left" w:pos="320"/>
        </w:tabs>
        <w:spacing w:after="0" w:line="366" w:lineRule="exact"/>
        <w:jc w:val="center"/>
        <w:rPr>
          <w:color w:val="auto"/>
          <w:sz w:val="20"/>
          <w:szCs w:val="20"/>
        </w:rPr>
      </w:pPr>
      <w:r>
        <w:rPr>
          <w:rFonts w:ascii="宋体" w:hAnsi="宋体" w:eastAsia="宋体" w:cs="宋体"/>
          <w:b/>
          <w:bCs/>
          <w:color w:val="auto"/>
          <w:sz w:val="32"/>
          <w:szCs w:val="32"/>
        </w:rPr>
        <w:t>第四章</w:t>
      </w:r>
      <w:r>
        <w:rPr>
          <w:rFonts w:ascii="宋体" w:hAnsi="宋体" w:eastAsia="宋体" w:cs="宋体"/>
          <w:b/>
          <w:bCs/>
          <w:color w:val="auto"/>
          <w:sz w:val="32"/>
          <w:szCs w:val="32"/>
        </w:rPr>
        <w:tab/>
      </w:r>
      <w:r>
        <w:rPr>
          <w:rFonts w:ascii="宋体" w:hAnsi="宋体" w:eastAsia="宋体" w:cs="宋体"/>
          <w:b/>
          <w:bCs/>
          <w:color w:val="auto"/>
          <w:sz w:val="32"/>
          <w:szCs w:val="32"/>
        </w:rPr>
        <w:t>采购内容及技术要求</w:t>
      </w:r>
    </w:p>
    <w:p>
      <w:pPr>
        <w:spacing w:after="0" w:line="298"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rPr>
          <w:color w:val="auto"/>
          <w:sz w:val="20"/>
          <w:szCs w:val="20"/>
        </w:rPr>
      </w:pPr>
      <w:r>
        <w:rPr>
          <w:rFonts w:ascii="宋体" w:hAnsi="宋体" w:eastAsia="宋体" w:cs="宋体"/>
          <w:b/>
          <w:bCs/>
          <w:color w:val="auto"/>
          <w:sz w:val="21"/>
          <w:szCs w:val="21"/>
        </w:rPr>
        <w:t>（一）规范要求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依据图纸和工程量清单要求及现场踏勘，本工程项目的材料、设备、施工必须达到以下现行中华人民共和国及省、市、行业的一切有关法规、规范的要求，如下述标准及规范要求有出入则以国家规定的标准和规范，有新标准按新标准执行、行业标准及规范，有新标准按新标准执行；</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（二）施工要求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1、本工程施工严格按照规范要求进行施工，达到各项拟定的设计指标。</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2、本工程施工按《机电工程施工质量验收统一标准》（GB50300-2013）、《民用机电工程室内环境污染控制规范》（GB50325—2010）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建筑内部装修设计防火规范 GB 50222-95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等进行施工和验收</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3、在免费保修期内，中标人对有缺陷的部位必须无偿地给予修理与更换，并承担一切由此引起的对招标人或第三者的直接损失，除非该缺陷是由于人为破坏或合同规定的不可抗因素造成的损坏。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4、中标人必须对所承包的工程的质量负全部责任，其责任不因其他材料生产商提供的保证书而减轻或更改。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5、施工时注意做好必要的劳动保护工作。</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（三）材料质量要求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1、材料选择</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本工程使用的原材料必须符合设计要求和施工规范的规定。实际施工过程中，甲方将严格检查验收进场原材料的合格证及质保书，如发现实样与质保书不符，应立即取样进行复查，对不合格的材料严禁用于本工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b/>
          <w:bCs/>
          <w:color w:val="auto"/>
          <w:sz w:val="21"/>
          <w:szCs w:val="21"/>
          <w:u w:val="single" w:color="auto"/>
        </w:rPr>
      </w:pPr>
      <w:r>
        <w:rPr>
          <w:rFonts w:ascii="宋体" w:hAnsi="宋体" w:eastAsia="宋体" w:cs="宋体"/>
          <w:color w:val="auto"/>
          <w:sz w:val="21"/>
          <w:szCs w:val="21"/>
          <w:u w:val="single"/>
        </w:rPr>
        <w:t>本工程涉及的主要材料及零星材料，各供应商须根据招标人要求及规范进行选材并报价，所有材料要求采用在行业内有一定知名度的品牌(招标文件已定品牌的按招标文件)，材料生产厂家必须通过 ISO 质量认证，并符合环保要求，严禁选择不合设计要求的低档材料进行投标报价及组织施工实施。</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u w:val="single" w:color="auto"/>
        </w:rPr>
        <w:t>清单中计量单位为</w:t>
      </w:r>
      <w:r>
        <w:rPr>
          <w:rFonts w:ascii="Arial" w:hAnsi="Arial" w:eastAsia="Arial" w:cs="Arial"/>
          <w:b/>
          <w:bCs/>
          <w:color w:val="auto"/>
          <w:sz w:val="21"/>
          <w:szCs w:val="21"/>
          <w:u w:val="single" w:color="auto"/>
        </w:rPr>
        <w:t>“</w:t>
      </w:r>
      <w:r>
        <w:rPr>
          <w:rFonts w:ascii="宋体" w:hAnsi="宋体" w:eastAsia="宋体" w:cs="宋体"/>
          <w:b/>
          <w:bCs/>
          <w:color w:val="auto"/>
          <w:sz w:val="21"/>
          <w:szCs w:val="21"/>
          <w:u w:val="single" w:color="auto"/>
        </w:rPr>
        <w:t>项</w:t>
      </w:r>
      <w:r>
        <w:rPr>
          <w:rFonts w:ascii="Arial" w:hAnsi="Arial" w:eastAsia="Arial" w:cs="Arial"/>
          <w:b/>
          <w:bCs/>
          <w:color w:val="auto"/>
          <w:sz w:val="21"/>
          <w:szCs w:val="21"/>
          <w:u w:val="single" w:color="auto"/>
        </w:rPr>
        <w:t>”</w:t>
      </w:r>
      <w:r>
        <w:rPr>
          <w:rFonts w:ascii="宋体" w:hAnsi="宋体" w:eastAsia="宋体" w:cs="宋体"/>
          <w:b/>
          <w:bCs/>
          <w:color w:val="auto"/>
          <w:sz w:val="21"/>
          <w:szCs w:val="21"/>
          <w:u w:val="single" w:color="auto"/>
        </w:rPr>
        <w:t>的</w:t>
      </w:r>
      <w:r>
        <w:rPr>
          <w:rFonts w:hint="eastAsia" w:ascii="宋体" w:hAnsi="宋体" w:eastAsia="宋体" w:cs="宋体"/>
          <w:b/>
          <w:bCs/>
          <w:color w:val="auto"/>
          <w:sz w:val="21"/>
          <w:szCs w:val="21"/>
          <w:u w:val="single" w:color="auto"/>
          <w:lang w:val="en-US" w:eastAsia="zh-CN"/>
        </w:rPr>
        <w:t>子</w:t>
      </w:r>
      <w:r>
        <w:rPr>
          <w:rFonts w:ascii="宋体" w:hAnsi="宋体" w:eastAsia="宋体" w:cs="宋体"/>
          <w:b/>
          <w:bCs/>
          <w:color w:val="auto"/>
          <w:sz w:val="21"/>
          <w:szCs w:val="21"/>
          <w:u w:val="single" w:color="auto"/>
        </w:rPr>
        <w:t>目请投标单位自行踏勘现场</w:t>
      </w:r>
      <w:r>
        <w:rPr>
          <w:rFonts w:hint="eastAsia" w:ascii="宋体" w:hAnsi="宋体" w:eastAsia="宋体" w:cs="宋体"/>
          <w:b/>
          <w:bCs/>
          <w:color w:val="auto"/>
          <w:sz w:val="21"/>
          <w:szCs w:val="21"/>
          <w:u w:val="single" w:color="auto"/>
          <w:lang w:val="en-US" w:eastAsia="zh-CN"/>
        </w:rPr>
        <w:t>综合</w:t>
      </w:r>
      <w:r>
        <w:rPr>
          <w:rFonts w:ascii="宋体" w:hAnsi="宋体" w:eastAsia="宋体" w:cs="宋体"/>
          <w:b/>
          <w:bCs/>
          <w:color w:val="auto"/>
          <w:sz w:val="21"/>
          <w:szCs w:val="21"/>
          <w:u w:val="single" w:color="auto"/>
        </w:rPr>
        <w:t>报价，作为专业承包商</w:t>
      </w:r>
      <w:bookmarkStart w:id="22" w:name="page23"/>
      <w:bookmarkEnd w:id="22"/>
      <w:r>
        <w:rPr>
          <w:rFonts w:ascii="宋体" w:hAnsi="宋体" w:eastAsia="宋体" w:cs="宋体"/>
          <w:b/>
          <w:bCs/>
          <w:color w:val="auto"/>
          <w:sz w:val="21"/>
          <w:szCs w:val="21"/>
          <w:u w:val="single" w:color="auto"/>
        </w:rPr>
        <w:t>投标时有义务和责任认真踏勘施工现场，认真核对工程量清单中施工内容和工程量，对</w:t>
      </w:r>
      <w:r>
        <w:rPr>
          <w:rFonts w:hint="eastAsia" w:ascii="宋体" w:hAnsi="宋体" w:eastAsia="宋体" w:cs="宋体"/>
          <w:b/>
          <w:bCs/>
          <w:color w:val="auto"/>
          <w:sz w:val="21"/>
          <w:szCs w:val="21"/>
          <w:u w:val="single" w:color="auto"/>
          <w:lang w:val="en-US" w:eastAsia="zh-CN"/>
        </w:rPr>
        <w:t>项目需求</w:t>
      </w:r>
      <w:r>
        <w:rPr>
          <w:rFonts w:ascii="宋体" w:hAnsi="宋体" w:eastAsia="宋体" w:cs="宋体"/>
          <w:b/>
          <w:bCs/>
          <w:color w:val="auto"/>
          <w:sz w:val="21"/>
          <w:szCs w:val="21"/>
          <w:u w:val="single" w:color="auto"/>
        </w:rPr>
        <w:t>进行深化、细化、完善和调整，中标后任何因现场勘查不足、图纸、工程量清单等不足</w:t>
      </w:r>
      <w:r>
        <w:rPr>
          <w:rFonts w:hint="eastAsia" w:ascii="宋体" w:hAnsi="宋体" w:eastAsia="宋体" w:cs="宋体"/>
          <w:b/>
          <w:bCs/>
          <w:color w:val="auto"/>
          <w:sz w:val="21"/>
          <w:szCs w:val="21"/>
          <w:u w:val="single" w:color="auto"/>
          <w:lang w:val="en-US" w:eastAsia="zh-CN"/>
        </w:rPr>
        <w:t>或深化后的方案</w:t>
      </w:r>
      <w:r>
        <w:rPr>
          <w:rFonts w:ascii="宋体" w:hAnsi="宋体" w:eastAsia="宋体" w:cs="宋体"/>
          <w:b/>
          <w:bCs/>
          <w:color w:val="auto"/>
          <w:sz w:val="21"/>
          <w:szCs w:val="21"/>
          <w:u w:val="single" w:color="auto"/>
        </w:rPr>
        <w:t>而造成的额外工程量变更均不得调整中标金额。</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2、材料的质量保证</w:t>
      </w:r>
    </w:p>
    <w:p>
      <w:pPr>
        <w:keepNext w:val="0"/>
        <w:keepLines w:val="0"/>
        <w:pageBreakBefore w:val="0"/>
        <w:widowControl/>
        <w:kinsoku/>
        <w:wordWrap/>
        <w:overflowPunct/>
        <w:topLinePunct w:val="0"/>
        <w:autoSpaceDE/>
        <w:autoSpaceDN/>
        <w:bidi w:val="0"/>
        <w:adjustRightInd/>
        <w:snapToGrid/>
        <w:spacing w:after="0" w:line="360" w:lineRule="auto"/>
        <w:ind w:left="209" w:leftChars="95" w:firstLine="210" w:firstLineChars="100"/>
        <w:textAlignment w:val="auto"/>
        <w:rPr>
          <w:color w:val="auto"/>
          <w:sz w:val="20"/>
          <w:szCs w:val="20"/>
        </w:rPr>
      </w:pPr>
      <w:r>
        <w:rPr>
          <w:rFonts w:ascii="宋体" w:hAnsi="宋体" w:eastAsia="宋体" w:cs="宋体"/>
          <w:color w:val="auto"/>
          <w:sz w:val="21"/>
          <w:szCs w:val="21"/>
        </w:rPr>
        <w:t>（1）在免费保修期内，中标人对有缺陷的部位必须无偿地给予修理与更换，并承担一切由此引起的对招标人或第三者的直接损失，除非该缺陷是由于人为破坏或合同规定的不可抗因素造成的损坏。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（2）中标人必须对所承包工程的质量负全部责任，其责任不因其他材料生产商提供的保证书而减轻或更改。</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（四）工程管理的要求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1、本工程发包范围内的工程项目，未经招标人同意一律不得分包。一经发现立即取消承包资格，作违约处理，并承担由此引起的一切经济损失。</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2、中标人应严格按已确认施工技术方案组织施工，并无条件地接受招标人代表对施工质量的监督和管理。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3、中标人在工程施工全过程中要认真做好产品保护。因失窃或失火造成的损失均由承包方负责，凡由此而损及招标人利益时，招标人将向中标施工单位索赔。</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（五）保修的要求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sz w:val="20"/>
          <w:szCs w:val="20"/>
        </w:rPr>
      </w:pPr>
      <w:r>
        <w:rPr>
          <w:rFonts w:hint="eastAsia"/>
          <w:color w:val="auto"/>
          <w:sz w:val="20"/>
          <w:szCs w:val="20"/>
          <w:lang w:val="en-US" w:eastAsia="zh-CN"/>
        </w:rPr>
        <w:t xml:space="preserve">         </w:t>
      </w:r>
      <w:r>
        <w:rPr>
          <w:rFonts w:ascii="宋体" w:hAnsi="宋体" w:eastAsia="宋体" w:cs="宋体"/>
          <w:color w:val="auto"/>
          <w:sz w:val="21"/>
          <w:szCs w:val="21"/>
        </w:rPr>
        <w:t>1.承包方施工完毕，并在工程竣工验收合格办理移交手续之日，在签订的工程质量保修书期限内，为发包方提供免费服务。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2.质量保证金为结算价的 2.5%,待保修期结束，按合同约定结清。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3.中标后承包方应与发包人签订工程质量保修书，承包人在质量保修期内，按照有关法律、法规、规章的管理规定和双方约定，承担本项目质量保修责任。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4.承包方要对其所提供的施工、材料、设备及其内在工程质量负全部责任。</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（六）落实政府采购政策要求</w:t>
      </w:r>
    </w:p>
    <w:p>
      <w:pPr>
        <w:keepNext w:val="0"/>
        <w:keepLines w:val="0"/>
        <w:pageBreakBefore w:val="0"/>
        <w:widowControl/>
        <w:numPr>
          <w:ilvl w:val="0"/>
          <w:numId w:val="0"/>
        </w:numPr>
        <w:tabs>
          <w:tab w:val="left" w:pos="1308"/>
        </w:tabs>
        <w:kinsoku/>
        <w:wordWrap/>
        <w:overflowPunct/>
        <w:topLinePunct w:val="0"/>
        <w:autoSpaceDE/>
        <w:autoSpaceDN/>
        <w:bidi w:val="0"/>
        <w:adjustRightInd/>
        <w:snapToGrid/>
        <w:spacing w:after="0" w:line="360" w:lineRule="auto"/>
        <w:ind w:right="346" w:rightChars="0"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ascii="宋体" w:hAnsi="宋体" w:eastAsia="宋体" w:cs="宋体"/>
          <w:color w:val="auto"/>
          <w:sz w:val="21"/>
          <w:szCs w:val="21"/>
        </w:rPr>
        <w:t>本项目对符合财政扶持政策的中小企业（小型、微型）、监狱企业、残疾人福利性单位给予价格优惠扶持，价格优惠扶持见《评审办法》。满足转发财政部 工业和信息化部关于印发《政府采购促进中小企业发展暂行办法》的通知（浙财采监[2012]11 号）的规定的中小企业可享受优惠扶持。满足关于政府采购支持监狱企业发展有关问题的通知（财库〔2014〕68 号）的规定的供应商可享受优惠扶持。满足关于促进残疾人就业政府采购政策的通知（财库〔2017〕141 号）的规定的供应商可享受优惠扶持。</w:t>
      </w:r>
    </w:p>
    <w:p>
      <w:pPr>
        <w:keepNext w:val="0"/>
        <w:keepLines w:val="0"/>
        <w:pageBreakBefore w:val="0"/>
        <w:widowControl/>
        <w:numPr>
          <w:ilvl w:val="0"/>
          <w:numId w:val="0"/>
        </w:numPr>
        <w:tabs>
          <w:tab w:val="left" w:pos="1300"/>
        </w:tabs>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节能产品的强制采购政策</w:t>
      </w:r>
      <w:bookmarkStart w:id="23" w:name="page24"/>
      <w:bookmarkEnd w:id="23"/>
    </w:p>
    <w:p>
      <w:pPr>
        <w:keepNext w:val="0"/>
        <w:keepLines w:val="0"/>
        <w:pageBreakBefore w:val="0"/>
        <w:widowControl/>
        <w:numPr>
          <w:ilvl w:val="0"/>
          <w:numId w:val="0"/>
        </w:numPr>
        <w:tabs>
          <w:tab w:val="left" w:pos="1300"/>
        </w:tabs>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根据财政部、国家发展和改革委员会公布的最新《节能产品政府采购清单》（以下简称</w:t>
      </w:r>
      <w:r>
        <w:rPr>
          <w:rFonts w:ascii="Arial" w:hAnsi="Arial" w:eastAsia="Arial" w:cs="Arial"/>
          <w:color w:val="auto"/>
          <w:sz w:val="21"/>
          <w:szCs w:val="21"/>
        </w:rPr>
        <w:t>“</w:t>
      </w:r>
      <w:r>
        <w:rPr>
          <w:rFonts w:ascii="宋体" w:hAnsi="宋体" w:eastAsia="宋体" w:cs="宋体"/>
          <w:color w:val="auto"/>
          <w:sz w:val="21"/>
          <w:szCs w:val="21"/>
        </w:rPr>
        <w:t>节能清单</w:t>
      </w:r>
      <w:r>
        <w:rPr>
          <w:rFonts w:ascii="Arial" w:hAnsi="Arial" w:eastAsia="Arial" w:cs="Arial"/>
          <w:color w:val="auto"/>
          <w:sz w:val="21"/>
          <w:szCs w:val="21"/>
        </w:rPr>
        <w:t>”</w:t>
      </w:r>
      <w:r>
        <w:rPr>
          <w:rFonts w:ascii="宋体" w:hAnsi="宋体" w:eastAsia="宋体" w:cs="宋体"/>
          <w:color w:val="auto"/>
          <w:sz w:val="21"/>
          <w:szCs w:val="21"/>
        </w:rPr>
        <w:t>）的规定，节能清单所列产品包括政府强制采购和优先采购的节能产品。节能清单中以</w:t>
      </w:r>
      <w:r>
        <w:rPr>
          <w:rFonts w:ascii="Arial" w:hAnsi="Arial" w:eastAsia="Arial" w:cs="Arial"/>
          <w:color w:val="auto"/>
          <w:sz w:val="21"/>
          <w:szCs w:val="21"/>
        </w:rPr>
        <w:t>“</w:t>
      </w:r>
      <w:r>
        <w:rPr>
          <w:rFonts w:ascii="MS PGothic" w:hAnsi="MS PGothic" w:eastAsia="MS PGothic" w:cs="MS PGothic"/>
          <w:color w:val="auto"/>
          <w:sz w:val="21"/>
          <w:szCs w:val="21"/>
        </w:rPr>
        <w:t>★</w:t>
      </w:r>
      <w:r>
        <w:rPr>
          <w:rFonts w:ascii="Arial" w:hAnsi="Arial" w:eastAsia="Arial" w:cs="Arial"/>
          <w:color w:val="auto"/>
          <w:sz w:val="21"/>
          <w:szCs w:val="21"/>
        </w:rPr>
        <w:t>”</w:t>
      </w:r>
      <w:r>
        <w:rPr>
          <w:rFonts w:ascii="宋体" w:hAnsi="宋体" w:eastAsia="宋体" w:cs="宋体"/>
          <w:color w:val="auto"/>
          <w:sz w:val="21"/>
          <w:szCs w:val="21"/>
        </w:rPr>
        <w:t>标注的品目为政府强制采购的节能产品，其他品目为政府优先采购的节能产品。采购人拟采购的产品属于政府强制采购节能产品范围，投标人应采用政府强制采购节能产品清单中的产品进行响应，并且在投标文件中提供该产品所在的节能产品政府采购清单页，注明页码，否则无效。（注：本项目执行最新节能清单。）</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例外情形：采购人拟采购的产品属于政府强制采购节能产品范围，但节能清单中无对应细化分类或节能清单中的产品无法满足工作需要的，投标人可选择在节能清单之外的产品进行响应。如情况不属实，按上款进行处理。</w:t>
      </w:r>
    </w:p>
    <w:p>
      <w:pPr>
        <w:keepNext w:val="0"/>
        <w:keepLines w:val="0"/>
        <w:pageBreakBefore w:val="0"/>
        <w:widowControl/>
        <w:numPr>
          <w:ilvl w:val="0"/>
          <w:numId w:val="0"/>
        </w:numPr>
        <w:tabs>
          <w:tab w:val="left" w:pos="1300"/>
        </w:tabs>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ascii="宋体" w:hAnsi="宋体" w:eastAsia="宋体" w:cs="宋体"/>
          <w:color w:val="auto"/>
          <w:sz w:val="21"/>
          <w:szCs w:val="21"/>
        </w:rPr>
        <w:t>节能环保产品的优先采购政策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sz w:val="20"/>
          <w:szCs w:val="20"/>
        </w:rPr>
      </w:pPr>
      <w:r>
        <w:rPr>
          <w:rFonts w:ascii="宋体" w:hAnsi="宋体" w:eastAsia="宋体" w:cs="宋体"/>
          <w:color w:val="auto"/>
          <w:sz w:val="21"/>
          <w:szCs w:val="21"/>
        </w:rPr>
        <w:t>根据财政部、国家发展和改革委员会公布的最新《节能产品政府采购清单》的规定，本项目将优先选择采购节能清单内产品的供应商。要求如下：如采购人拟采购的产品不属于政府强制采购节能产品范围，投标人选用节能清单（优先采购）中的产品进行投标，并在投标文件中提供该产品所在的节能产品政府采购清单页，注明页码。</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根据财政部、环境保护部公布的最新《环境标志产品政府采购清单》（以下简称</w:t>
      </w:r>
      <w:r>
        <w:rPr>
          <w:rFonts w:ascii="Arial" w:hAnsi="Arial" w:eastAsia="Arial" w:cs="Arial"/>
          <w:color w:val="auto"/>
          <w:sz w:val="21"/>
          <w:szCs w:val="21"/>
        </w:rPr>
        <w:t>“</w:t>
      </w:r>
      <w:r>
        <w:rPr>
          <w:rFonts w:ascii="宋体" w:hAnsi="宋体" w:eastAsia="宋体" w:cs="宋体"/>
          <w:color w:val="auto"/>
          <w:sz w:val="21"/>
          <w:szCs w:val="21"/>
        </w:rPr>
        <w:t>环保清单</w:t>
      </w:r>
      <w:r>
        <w:rPr>
          <w:rFonts w:ascii="Arial" w:hAnsi="Arial" w:eastAsia="Arial" w:cs="Arial"/>
          <w:color w:val="auto"/>
          <w:sz w:val="21"/>
          <w:szCs w:val="21"/>
        </w:rPr>
        <w:t>”</w:t>
      </w:r>
      <w:r>
        <w:rPr>
          <w:rFonts w:ascii="宋体" w:hAnsi="宋体" w:eastAsia="宋体" w:cs="宋体"/>
          <w:color w:val="auto"/>
          <w:sz w:val="21"/>
          <w:szCs w:val="21"/>
        </w:rPr>
        <w:t>）的规定，本项目将优先选择采购环保清单内产品的供应商。要求如下：投标人选用环保清单中的产品进行投标，并在投标文件中提供该产品所在的环境标志产品政府采购清单页，注明页码。</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采购同时列入节能清单、环保清单内产品的投标人优先于采购只列入其中一个清单的产品的投标人。</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color w:val="auto"/>
          <w:sz w:val="20"/>
          <w:szCs w:val="20"/>
        </w:rPr>
      </w:pPr>
      <w:r>
        <w:rPr>
          <w:rFonts w:ascii="宋体" w:hAnsi="宋体" w:eastAsia="宋体" w:cs="宋体"/>
          <w:b/>
          <w:bCs/>
          <w:color w:val="auto"/>
          <w:sz w:val="21"/>
          <w:szCs w:val="21"/>
        </w:rPr>
        <w:t>（七）、针对本工程特殊要求</w:t>
      </w:r>
    </w:p>
    <w:p>
      <w:pPr>
        <w:keepNext w:val="0"/>
        <w:keepLines w:val="0"/>
        <w:pageBreakBefore w:val="0"/>
        <w:widowControl/>
        <w:kinsoku/>
        <w:wordWrap/>
        <w:overflowPunct/>
        <w:topLinePunct w:val="0"/>
        <w:autoSpaceDE/>
        <w:autoSpaceDN/>
        <w:bidi w:val="0"/>
        <w:adjustRightInd/>
        <w:snapToGrid/>
        <w:spacing w:after="0" w:line="360" w:lineRule="auto"/>
        <w:ind w:right="366" w:firstLine="420" w:firstLineChars="200"/>
        <w:jc w:val="both"/>
        <w:textAlignment w:val="auto"/>
        <w:rPr>
          <w:color w:val="auto"/>
          <w:sz w:val="20"/>
          <w:szCs w:val="20"/>
        </w:rPr>
      </w:pPr>
      <w:r>
        <w:rPr>
          <w:rFonts w:ascii="宋体" w:hAnsi="宋体" w:eastAsia="宋体" w:cs="宋体"/>
          <w:color w:val="auto"/>
          <w:sz w:val="21"/>
          <w:szCs w:val="21"/>
        </w:rPr>
        <w:t>1、中标人施工前，要制定详细的施工方案和进度计划，经建设单位批准后方可开工。否则不允许开工，造成工期延误由施工方负责。</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2、施工过程做好隐蔽工程的验收，每个分项工程、检验批经建设单位验收合格后方可隐蔽。未经隐蔽工程验收就擅自隐蔽，建设单位有权进行剥露检查，发生费用由施工方负责。</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3、工程中使用材料必须是环保无污染材料，并进行防火处理。进场必须提供合格证和检测报告，按照验收规范要求进行材料复试的，由建设单位抽样进行复试，确保材料符合设计要求，达到防火、环保要求。电气使用管、盒、线等应符合设计防火 A 级要求，确保材料达到阻燃要求。</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rPr>
          <w:color w:val="auto"/>
          <w:sz w:val="20"/>
          <w:szCs w:val="20"/>
        </w:rPr>
      </w:pPr>
      <w:r>
        <w:rPr>
          <w:rFonts w:ascii="宋体" w:hAnsi="宋体" w:eastAsia="宋体" w:cs="宋体"/>
          <w:color w:val="auto"/>
          <w:sz w:val="21"/>
          <w:szCs w:val="21"/>
        </w:rPr>
        <w:t>4、工程中使用装饰材料在施工前，必须向建设单位提供样品、做样板，经建设单位确认后方可施工。否则返工发生费用施工方自付。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color w:val="auto"/>
          <w:sz w:val="20"/>
          <w:szCs w:val="20"/>
        </w:rPr>
      </w:pPr>
      <w:r>
        <w:rPr>
          <w:rFonts w:ascii="宋体" w:hAnsi="宋体" w:eastAsia="宋体" w:cs="宋体"/>
          <w:color w:val="auto"/>
          <w:sz w:val="21"/>
          <w:szCs w:val="21"/>
        </w:rPr>
        <w:t>5、工程使用材料、设备要建立档案，分部分项工程建立工程验收档案。工程完工后，向建设单位移交工程档案，档案资料不齐全、不符合要求，工程不予结算。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eastAsia="宋体" w:cs="宋体"/>
          <w:color w:val="auto"/>
          <w:sz w:val="21"/>
          <w:szCs w:val="21"/>
        </w:rPr>
      </w:pPr>
      <w:bookmarkStart w:id="24" w:name="page25"/>
      <w:bookmarkEnd w:id="24"/>
      <w:r>
        <w:rPr>
          <w:rFonts w:hint="eastAsia"/>
          <w:color w:val="auto"/>
          <w:sz w:val="20"/>
          <w:szCs w:val="20"/>
          <w:lang w:val="en-US" w:eastAsia="zh-CN"/>
        </w:rPr>
        <w:t xml:space="preserve">        </w:t>
      </w:r>
      <w:r>
        <w:rPr>
          <w:rFonts w:ascii="宋体" w:hAnsi="宋体" w:eastAsia="宋体" w:cs="宋体"/>
          <w:color w:val="auto"/>
          <w:sz w:val="21"/>
          <w:szCs w:val="21"/>
        </w:rPr>
        <w:t>6、工程结束后施工方在自检合格基础上，报建设单位验收。建设单位组织设计、施工相关参与方进行验收，相关设备、仪器等功能检测要求进行现场试验和检测，验收合格方可投入使用。</w:t>
      </w:r>
    </w:p>
    <w:p>
      <w:pPr>
        <w:keepNext w:val="0"/>
        <w:keepLines w:val="0"/>
        <w:pageBreakBefore w:val="0"/>
        <w:widowControl/>
        <w:kinsoku/>
        <w:wordWrap/>
        <w:overflowPunct/>
        <w:topLinePunct w:val="0"/>
        <w:autoSpaceDE/>
        <w:autoSpaceDN/>
        <w:bidi w:val="0"/>
        <w:adjustRightInd/>
        <w:snapToGrid/>
        <w:spacing w:after="0" w:line="360" w:lineRule="auto"/>
        <w:ind w:right="346" w:firstLine="422" w:firstLineChars="200"/>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因本项目为</w:t>
      </w:r>
      <w:r>
        <w:rPr>
          <w:rFonts w:hint="eastAsia" w:ascii="宋体" w:hAnsi="宋体" w:eastAsia="宋体" w:cs="宋体"/>
          <w:b/>
          <w:bCs/>
          <w:color w:val="auto"/>
          <w:sz w:val="21"/>
          <w:szCs w:val="21"/>
          <w:lang w:val="en-US" w:eastAsia="zh-CN"/>
        </w:rPr>
        <w:t>装修</w:t>
      </w:r>
      <w:r>
        <w:rPr>
          <w:rFonts w:hint="eastAsia" w:ascii="宋体" w:hAnsi="宋体" w:eastAsia="宋体" w:cs="宋体"/>
          <w:b/>
          <w:bCs/>
          <w:color w:val="auto"/>
          <w:sz w:val="21"/>
          <w:szCs w:val="21"/>
        </w:rPr>
        <w:t>改造工程，</w:t>
      </w:r>
      <w:r>
        <w:rPr>
          <w:rFonts w:hint="eastAsia" w:ascii="宋体" w:hAnsi="宋体" w:eastAsia="宋体" w:cs="宋体"/>
          <w:b/>
          <w:bCs/>
          <w:color w:val="auto"/>
          <w:sz w:val="21"/>
          <w:szCs w:val="21"/>
          <w:lang w:val="en-US" w:eastAsia="zh-CN"/>
        </w:rPr>
        <w:t>图纸为原始施工图，部分做法工艺需提升，图纸与工程量清单中描述重复及相冲突的、缺失的按照工程量清单为准</w:t>
      </w:r>
      <w:r>
        <w:rPr>
          <w:rFonts w:hint="eastAsia" w:ascii="宋体" w:hAnsi="宋体" w:eastAsia="宋体" w:cs="宋体"/>
          <w:b/>
          <w:bCs/>
          <w:color w:val="auto"/>
          <w:sz w:val="21"/>
          <w:szCs w:val="21"/>
        </w:rPr>
        <w:t>。</w:t>
      </w:r>
    </w:p>
    <w:p>
      <w:pPr>
        <w:pStyle w:val="24"/>
        <w:adjustRightInd w:val="0"/>
        <w:snapToGrid w:val="0"/>
        <w:spacing w:before="0"/>
        <w:ind w:firstLine="422"/>
        <w:rPr>
          <w:rFonts w:ascii="宋体" w:hAnsi="宋体" w:eastAsia="宋体" w:cs="宋体"/>
          <w:b/>
          <w:bCs/>
          <w:color w:val="auto"/>
          <w:sz w:val="32"/>
          <w:szCs w:val="32"/>
        </w:rPr>
      </w:pPr>
      <w:r>
        <w:rPr>
          <w:rFonts w:hint="eastAsia" w:ascii="宋体" w:hAnsi="宋体"/>
          <w:b/>
          <w:color w:val="auto"/>
          <w:sz w:val="21"/>
          <w:szCs w:val="21"/>
          <w:u w:val="single"/>
        </w:rPr>
        <w:t>投标人应先到工地踏勘以充分了解工地位置、情况、道路、储存空间、装卸限制及任何其它足以影响承包价的情况，任何因忽视或误解工地情况而导致的索赔或工期延长申请将不获批准</w:t>
      </w:r>
      <w:r>
        <w:rPr>
          <w:rFonts w:hint="eastAsia" w:ascii="宋体" w:hAnsi="宋体"/>
          <w:b/>
          <w:color w:val="auto"/>
          <w:sz w:val="21"/>
          <w:szCs w:val="21"/>
          <w:u w:val="single"/>
          <w:lang w:eastAsia="zh-CN"/>
        </w:rPr>
        <w:t>。</w:t>
      </w:r>
    </w:p>
    <w:p>
      <w:pPr>
        <w:tabs>
          <w:tab w:val="left" w:pos="300"/>
        </w:tabs>
        <w:spacing w:after="0" w:line="366" w:lineRule="exact"/>
        <w:jc w:val="both"/>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both"/>
        <w:textAlignment w:val="auto"/>
        <w:rPr>
          <w:rFonts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after="0" w:line="360" w:lineRule="auto"/>
        <w:ind w:right="6"/>
        <w:jc w:val="center"/>
        <w:textAlignment w:val="auto"/>
        <w:rPr>
          <w:color w:val="auto"/>
          <w:sz w:val="21"/>
          <w:szCs w:val="21"/>
        </w:rPr>
      </w:pPr>
      <w:r>
        <w:rPr>
          <w:rFonts w:ascii="宋体" w:hAnsi="宋体" w:eastAsia="宋体" w:cs="宋体"/>
          <w:b/>
          <w:bCs/>
          <w:color w:val="auto"/>
          <w:sz w:val="32"/>
          <w:szCs w:val="32"/>
        </w:rPr>
        <w:t>工程量清单编制说明</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一、工程概况</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lang w:eastAsia="zh-CN"/>
        </w:rPr>
      </w:pPr>
      <w:r>
        <w:rPr>
          <w:rFonts w:ascii="宋体" w:hAnsi="宋体" w:eastAsia="宋体" w:cs="宋体"/>
          <w:color w:val="auto"/>
          <w:sz w:val="21"/>
          <w:szCs w:val="21"/>
        </w:rPr>
        <w:t>1、工程名称：</w:t>
      </w:r>
      <w:r>
        <w:rPr>
          <w:rFonts w:hint="eastAsia" w:ascii="宋体" w:hAnsi="宋体" w:eastAsia="宋体" w:cs="宋体"/>
          <w:color w:val="auto"/>
          <w:sz w:val="21"/>
          <w:szCs w:val="21"/>
          <w:lang w:eastAsia="zh-CN"/>
        </w:rPr>
        <w:t>校园建设和管理处象山20号楼地下车库改造项目</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val="en-US" w:eastAsia="zh-CN"/>
        </w:rPr>
      </w:pPr>
      <w:r>
        <w:rPr>
          <w:rFonts w:ascii="宋体" w:hAnsi="宋体" w:eastAsia="宋体" w:cs="宋体"/>
          <w:color w:val="auto"/>
          <w:sz w:val="21"/>
          <w:szCs w:val="21"/>
        </w:rPr>
        <w:t>2、工程地点：</w:t>
      </w:r>
      <w:r>
        <w:rPr>
          <w:rFonts w:hint="eastAsia" w:ascii="宋体" w:hAnsi="宋体" w:eastAsia="宋体" w:cs="宋体"/>
          <w:color w:val="auto"/>
          <w:sz w:val="21"/>
          <w:szCs w:val="21"/>
          <w:lang w:val="en-US" w:eastAsia="zh-CN"/>
        </w:rPr>
        <w:t>中国美术学院象山校区</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val="en-US" w:eastAsia="zh-CN"/>
        </w:rPr>
      </w:pPr>
      <w:r>
        <w:rPr>
          <w:rFonts w:hint="eastAsia" w:ascii="宋体" w:hAnsi="宋体" w:eastAsia="宋体" w:cs="宋体"/>
          <w:color w:val="auto"/>
          <w:sz w:val="21"/>
          <w:szCs w:val="21"/>
          <w:lang w:val="en-US" w:eastAsia="zh-CN"/>
        </w:rPr>
        <w:t>3、</w:t>
      </w:r>
      <w:r>
        <w:rPr>
          <w:rFonts w:ascii="宋体" w:hAnsi="宋体" w:eastAsia="宋体" w:cs="宋体"/>
          <w:color w:val="auto"/>
          <w:sz w:val="21"/>
          <w:szCs w:val="21"/>
        </w:rPr>
        <w:t>工程内容：</w:t>
      </w:r>
      <w:r>
        <w:rPr>
          <w:rFonts w:hint="eastAsia" w:ascii="宋体" w:hAnsi="宋体" w:eastAsia="宋体" w:cs="宋体"/>
          <w:color w:val="auto"/>
          <w:sz w:val="21"/>
          <w:szCs w:val="21"/>
          <w:lang w:val="en-US" w:eastAsia="zh-CN"/>
        </w:rPr>
        <w:t>地下室墙面、地面、坡道改造、地下室停车位划线、增加标识标牌等，增设监控，消防设施、人防设施恢复正常运转等。（详见图纸及工程量清单）</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二、招标范围</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eastAsia="zh-CN"/>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工程量清单及</w:t>
      </w:r>
      <w:r>
        <w:rPr>
          <w:rFonts w:ascii="宋体" w:hAnsi="宋体" w:eastAsia="宋体" w:cs="宋体"/>
          <w:color w:val="auto"/>
          <w:sz w:val="21"/>
          <w:szCs w:val="21"/>
        </w:rPr>
        <w:t>图纸范围内的装修、安装工程</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三、工程量清单编制依据</w:t>
      </w:r>
    </w:p>
    <w:p>
      <w:pPr>
        <w:spacing w:line="360" w:lineRule="auto"/>
        <w:ind w:firstLine="440" w:firstLineChars="200"/>
        <w:rPr>
          <w:rFonts w:hint="eastAsia"/>
          <w:color w:val="auto"/>
          <w:szCs w:val="21"/>
        </w:rPr>
      </w:pPr>
      <w:r>
        <w:rPr>
          <w:rFonts w:hint="eastAsia"/>
          <w:color w:val="auto"/>
          <w:szCs w:val="21"/>
        </w:rPr>
        <w:t>1、根据甲方提供的招标内容、技术要求及工作联系函回复的内容。</w:t>
      </w:r>
    </w:p>
    <w:p>
      <w:pPr>
        <w:spacing w:line="360" w:lineRule="auto"/>
        <w:ind w:firstLine="440" w:firstLineChars="200"/>
        <w:rPr>
          <w:rFonts w:hint="eastAsia"/>
          <w:color w:val="auto"/>
          <w:szCs w:val="21"/>
        </w:rPr>
      </w:pPr>
      <w:r>
        <w:rPr>
          <w:rFonts w:hint="eastAsia"/>
          <w:color w:val="auto"/>
          <w:szCs w:val="21"/>
        </w:rPr>
        <w:t>2、《建设工程工程量清单计价规范》（GB50500—2013）。</w:t>
      </w:r>
    </w:p>
    <w:p>
      <w:pPr>
        <w:spacing w:line="360" w:lineRule="auto"/>
        <w:ind w:firstLine="440" w:firstLineChars="200"/>
        <w:rPr>
          <w:rFonts w:hint="eastAsia"/>
          <w:color w:val="auto"/>
          <w:szCs w:val="21"/>
        </w:rPr>
      </w:pPr>
      <w:r>
        <w:rPr>
          <w:rFonts w:hint="eastAsia"/>
          <w:color w:val="auto"/>
          <w:szCs w:val="21"/>
        </w:rPr>
        <w:t>3、《房屋建筑与装饰工程工程量计算规范》（GB50854—2013）。</w:t>
      </w:r>
    </w:p>
    <w:p>
      <w:pPr>
        <w:spacing w:line="360" w:lineRule="auto"/>
        <w:ind w:firstLine="440" w:firstLineChars="200"/>
        <w:rPr>
          <w:rFonts w:hint="eastAsia"/>
          <w:color w:val="auto"/>
          <w:szCs w:val="21"/>
        </w:rPr>
      </w:pPr>
      <w:r>
        <w:rPr>
          <w:rFonts w:hint="eastAsia"/>
          <w:color w:val="auto"/>
          <w:szCs w:val="21"/>
        </w:rPr>
        <w:t>4、《通用安装工程工程量计算规范》（GB50856—2013）。</w:t>
      </w:r>
    </w:p>
    <w:p>
      <w:pPr>
        <w:spacing w:line="360" w:lineRule="auto"/>
        <w:ind w:firstLine="440" w:firstLineChars="200"/>
        <w:rPr>
          <w:rFonts w:hint="eastAsia"/>
          <w:color w:val="auto"/>
          <w:szCs w:val="21"/>
        </w:rPr>
      </w:pPr>
      <w:r>
        <w:rPr>
          <w:rFonts w:hint="eastAsia"/>
          <w:color w:val="auto"/>
          <w:szCs w:val="21"/>
        </w:rPr>
        <w:t>5、《浙江省建设工程计价规则》（2018 版）。</w:t>
      </w:r>
    </w:p>
    <w:p>
      <w:pPr>
        <w:spacing w:line="360" w:lineRule="auto"/>
        <w:ind w:firstLine="440" w:firstLineChars="200"/>
        <w:rPr>
          <w:rFonts w:hint="eastAsia"/>
          <w:color w:val="auto"/>
          <w:szCs w:val="21"/>
        </w:rPr>
      </w:pPr>
      <w:r>
        <w:rPr>
          <w:rFonts w:hint="eastAsia"/>
          <w:color w:val="auto"/>
          <w:szCs w:val="21"/>
        </w:rPr>
        <w:t>6、《杭州市建设工程工程量清单计价实施细则》（2018 年修订）</w:t>
      </w:r>
    </w:p>
    <w:p>
      <w:pPr>
        <w:spacing w:line="360" w:lineRule="auto"/>
        <w:ind w:firstLine="440" w:firstLineChars="200"/>
        <w:rPr>
          <w:rFonts w:hint="eastAsia"/>
          <w:color w:val="auto"/>
          <w:szCs w:val="21"/>
        </w:rPr>
      </w:pPr>
      <w:r>
        <w:rPr>
          <w:rFonts w:hint="eastAsia"/>
          <w:color w:val="auto"/>
          <w:szCs w:val="21"/>
        </w:rPr>
        <w:t>7、《关于颁发浙江省建设工程计价依据（2018 版）的通知》（浙建建﹝2018﹞61 号）</w:t>
      </w:r>
    </w:p>
    <w:p>
      <w:pPr>
        <w:spacing w:line="360" w:lineRule="auto"/>
        <w:ind w:firstLine="440" w:firstLineChars="200"/>
        <w:rPr>
          <w:rFonts w:hint="eastAsia"/>
          <w:color w:val="auto"/>
          <w:szCs w:val="21"/>
        </w:rPr>
      </w:pPr>
      <w:r>
        <w:rPr>
          <w:rFonts w:hint="eastAsia"/>
          <w:color w:val="auto"/>
          <w:szCs w:val="21"/>
        </w:rPr>
        <w:t>8、《关于印发《杭州市建设工程工程量清单计价实施细则》（2018 年修订）的通知》（杭建市发（2018）578 号）。</w:t>
      </w:r>
    </w:p>
    <w:p>
      <w:pPr>
        <w:spacing w:line="360" w:lineRule="auto"/>
        <w:ind w:firstLine="440" w:firstLineChars="200"/>
        <w:rPr>
          <w:rFonts w:hint="eastAsia"/>
          <w:color w:val="auto"/>
          <w:szCs w:val="21"/>
        </w:rPr>
      </w:pPr>
      <w:r>
        <w:rPr>
          <w:rFonts w:hint="eastAsia"/>
          <w:color w:val="auto"/>
          <w:szCs w:val="21"/>
        </w:rPr>
        <w:t>9、招标文件。</w:t>
      </w:r>
    </w:p>
    <w:p>
      <w:pPr>
        <w:spacing w:line="360" w:lineRule="auto"/>
        <w:ind w:firstLine="440" w:firstLineChars="200"/>
        <w:rPr>
          <w:rFonts w:hint="eastAsia"/>
          <w:color w:val="auto"/>
          <w:szCs w:val="21"/>
        </w:rPr>
      </w:pPr>
      <w:r>
        <w:rPr>
          <w:rFonts w:hint="eastAsia"/>
          <w:color w:val="auto"/>
          <w:szCs w:val="21"/>
          <w:lang w:val="en-US" w:eastAsia="zh-CN"/>
        </w:rPr>
        <w:t>四</w:t>
      </w:r>
      <w:r>
        <w:rPr>
          <w:rFonts w:hint="eastAsia"/>
          <w:color w:val="auto"/>
          <w:szCs w:val="21"/>
        </w:rPr>
        <w:t>、工程质量、工期、材料、施工等要求</w:t>
      </w:r>
    </w:p>
    <w:p>
      <w:pPr>
        <w:spacing w:line="360" w:lineRule="auto"/>
        <w:ind w:firstLine="440" w:firstLineChars="200"/>
        <w:rPr>
          <w:rFonts w:hint="eastAsia"/>
          <w:color w:val="auto"/>
          <w:szCs w:val="21"/>
        </w:rPr>
      </w:pPr>
      <w:r>
        <w:rPr>
          <w:rFonts w:hint="eastAsia"/>
          <w:color w:val="auto"/>
          <w:szCs w:val="21"/>
        </w:rPr>
        <w:t>1、工程质量：根据招标文件要求。</w:t>
      </w:r>
    </w:p>
    <w:p>
      <w:pPr>
        <w:spacing w:line="360" w:lineRule="auto"/>
        <w:ind w:firstLine="440" w:firstLineChars="200"/>
        <w:rPr>
          <w:rFonts w:hint="eastAsia"/>
          <w:color w:val="auto"/>
          <w:szCs w:val="21"/>
        </w:rPr>
      </w:pPr>
      <w:r>
        <w:rPr>
          <w:rFonts w:hint="eastAsia"/>
          <w:color w:val="auto"/>
          <w:szCs w:val="21"/>
        </w:rPr>
        <w:t>2、工期：根据招标文件要求。</w:t>
      </w:r>
    </w:p>
    <w:p>
      <w:pPr>
        <w:spacing w:line="360" w:lineRule="auto"/>
        <w:ind w:firstLine="440" w:firstLineChars="200"/>
        <w:rPr>
          <w:rFonts w:hint="eastAsia"/>
          <w:color w:val="auto"/>
          <w:szCs w:val="21"/>
        </w:rPr>
      </w:pPr>
      <w:r>
        <w:rPr>
          <w:rFonts w:hint="eastAsia"/>
          <w:color w:val="auto"/>
          <w:szCs w:val="21"/>
        </w:rPr>
        <w:t>3、施工要求详见施工图及技术规范。</w:t>
      </w:r>
    </w:p>
    <w:p>
      <w:pPr>
        <w:spacing w:line="360" w:lineRule="auto"/>
        <w:ind w:firstLine="440" w:firstLineChars="200"/>
        <w:rPr>
          <w:rFonts w:hint="eastAsia"/>
          <w:color w:val="auto"/>
          <w:szCs w:val="21"/>
        </w:rPr>
      </w:pPr>
      <w:r>
        <w:rPr>
          <w:rFonts w:hint="eastAsia"/>
          <w:color w:val="auto"/>
          <w:szCs w:val="21"/>
          <w:lang w:val="en-US" w:eastAsia="zh-CN"/>
        </w:rPr>
        <w:t>五</w:t>
      </w:r>
      <w:r>
        <w:rPr>
          <w:rFonts w:hint="eastAsia"/>
          <w:color w:val="auto"/>
          <w:szCs w:val="21"/>
        </w:rPr>
        <w:t>、安全文明施工措施费用的取费计算基数和最低费率标准</w:t>
      </w:r>
    </w:p>
    <w:p>
      <w:pPr>
        <w:spacing w:line="360" w:lineRule="auto"/>
        <w:ind w:firstLine="440" w:firstLineChars="200"/>
        <w:rPr>
          <w:rFonts w:hint="eastAsia"/>
          <w:color w:val="auto"/>
          <w:szCs w:val="21"/>
        </w:rPr>
      </w:pPr>
      <w:r>
        <w:rPr>
          <w:rFonts w:hint="eastAsia"/>
          <w:color w:val="auto"/>
          <w:szCs w:val="21"/>
        </w:rPr>
        <w:t>安全文明施工费由文明施工费、环境保护费、临时设施费、安全施工费组成。以实施标准划分，可分为安全文明施工基本费和创建安全文明施工标准化工地增加费（以下简称“标化工地增加费”）。</w:t>
      </w:r>
    </w:p>
    <w:p>
      <w:pPr>
        <w:spacing w:line="360" w:lineRule="auto"/>
        <w:ind w:firstLine="440" w:firstLineChars="200"/>
        <w:rPr>
          <w:rFonts w:hint="eastAsia"/>
          <w:color w:val="auto"/>
          <w:szCs w:val="21"/>
        </w:rPr>
      </w:pPr>
      <w:r>
        <w:rPr>
          <w:rFonts w:hint="eastAsia"/>
          <w:color w:val="auto"/>
          <w:szCs w:val="21"/>
        </w:rPr>
        <w:t>（1）安全文明施工基本费根据《浙江省建设工程计价规则（2018 版）》规定，相应费用以“分部分项工程费和施工技术措施项目费”计价中的“人工费十机械费”之和为计算基数，本工程安全文明施工基本费按市区工程计取：本工程中，单独装饰工程最低取费费率</w:t>
      </w:r>
      <w:r>
        <w:rPr>
          <w:rFonts w:hint="eastAsia"/>
          <w:color w:val="auto"/>
          <w:szCs w:val="21"/>
          <w:lang w:val="en-US" w:eastAsia="zh-CN"/>
        </w:rPr>
        <w:t>为</w:t>
      </w:r>
      <w:r>
        <w:rPr>
          <w:rFonts w:hint="eastAsia"/>
          <w:color w:val="auto"/>
          <w:szCs w:val="21"/>
        </w:rPr>
        <w:t>5.14%；安装工程最低取费费率为 6.39%。</w:t>
      </w:r>
    </w:p>
    <w:p>
      <w:pPr>
        <w:spacing w:line="360" w:lineRule="auto"/>
        <w:ind w:firstLine="440" w:firstLineChars="200"/>
        <w:rPr>
          <w:rFonts w:hint="eastAsia"/>
          <w:color w:val="auto"/>
          <w:szCs w:val="21"/>
        </w:rPr>
      </w:pPr>
      <w:r>
        <w:rPr>
          <w:rFonts w:hint="eastAsia"/>
          <w:color w:val="auto"/>
          <w:szCs w:val="21"/>
          <w:lang w:val="en-US" w:eastAsia="zh-CN"/>
        </w:rPr>
        <w:t>六</w:t>
      </w:r>
      <w:r>
        <w:rPr>
          <w:rFonts w:hint="eastAsia"/>
          <w:color w:val="auto"/>
          <w:szCs w:val="21"/>
        </w:rPr>
        <w:t>、企业管理费用的取费计算基数和最低费率标准按照《浙江省建设工程计价规则（2018 版）》，企业管理费包含管理人员工资、办公费、差旅交通费、固定资产使用费、工具用具使用费、劳动保险费、检验试验费、夜间施工增加费、已完工程及设备保护费、工程定位复测费、工会经费、职工教育经费、财产保险费、财务费、税费及其他。</w:t>
      </w:r>
    </w:p>
    <w:p>
      <w:pPr>
        <w:spacing w:line="360" w:lineRule="auto"/>
        <w:ind w:firstLine="440" w:firstLineChars="200"/>
        <w:rPr>
          <w:rFonts w:hint="eastAsia"/>
          <w:color w:val="auto"/>
          <w:szCs w:val="21"/>
        </w:rPr>
      </w:pPr>
      <w:r>
        <w:rPr>
          <w:rFonts w:hint="eastAsia"/>
          <w:color w:val="auto"/>
          <w:szCs w:val="21"/>
        </w:rPr>
        <w:t>根据《杭建市发〔2018〕578 号》文，投标报价时，企业管理费中还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 20%的计算值，同时，投标人必须对企业管理费中所包含的施工企业的现场监控、现场临时宿舍取暖降温费用，在相应的清单明细表中（表 2-5）进行单独费用报价分析。企业管理费的取费基数为人工费+机械费，本工程中，单独装饰工程最低取费费率为 2.27%；安装工程最低取费费率为3.26%。</w:t>
      </w:r>
    </w:p>
    <w:p>
      <w:pPr>
        <w:spacing w:line="360" w:lineRule="auto"/>
        <w:ind w:firstLine="440" w:firstLineChars="200"/>
        <w:rPr>
          <w:rFonts w:hint="eastAsia"/>
          <w:color w:val="auto"/>
          <w:szCs w:val="21"/>
        </w:rPr>
      </w:pPr>
      <w:r>
        <w:rPr>
          <w:rFonts w:hint="eastAsia"/>
          <w:color w:val="auto"/>
          <w:szCs w:val="21"/>
          <w:lang w:val="en-US" w:eastAsia="zh-CN"/>
        </w:rPr>
        <w:t>七</w:t>
      </w:r>
      <w:r>
        <w:rPr>
          <w:rFonts w:hint="eastAsia"/>
          <w:color w:val="auto"/>
          <w:szCs w:val="21"/>
        </w:rPr>
        <w:t>、规费、税金的取费要求</w:t>
      </w:r>
    </w:p>
    <w:p>
      <w:pPr>
        <w:spacing w:line="360" w:lineRule="auto"/>
        <w:ind w:firstLine="440" w:firstLineChars="200"/>
        <w:rPr>
          <w:rFonts w:hint="eastAsia"/>
          <w:color w:val="auto"/>
          <w:szCs w:val="21"/>
        </w:rPr>
      </w:pPr>
      <w:r>
        <w:rPr>
          <w:rFonts w:hint="eastAsia"/>
          <w:color w:val="auto"/>
          <w:szCs w:val="21"/>
        </w:rPr>
        <w:t>规费由(1)社会保险费（含养老保险费、失业保险费、医疗保险费、生育保险费、工伤保险费）、(2)住房公积金组成。</w:t>
      </w:r>
    </w:p>
    <w:p>
      <w:pPr>
        <w:spacing w:line="360" w:lineRule="auto"/>
        <w:ind w:firstLine="440" w:firstLineChars="200"/>
        <w:rPr>
          <w:rFonts w:hint="eastAsia"/>
          <w:color w:val="auto"/>
          <w:szCs w:val="21"/>
        </w:rPr>
      </w:pPr>
      <w:r>
        <w:rPr>
          <w:rFonts w:hint="eastAsia"/>
          <w:color w:val="auto"/>
          <w:szCs w:val="21"/>
          <w:lang w:val="en-US" w:eastAsia="zh-CN"/>
        </w:rPr>
        <w:t>1、</w:t>
      </w:r>
      <w:r>
        <w:rPr>
          <w:rFonts w:hint="eastAsia"/>
          <w:color w:val="auto"/>
          <w:szCs w:val="21"/>
        </w:rPr>
        <w:t>根据《浙江省建设工程计价规则（2018 版）》规定，规费以“分部分项工程费和技术措施项目费”计价中的人工费+机械费为计算基数，根据浙建建〔2018〕61 号《关于颁发浙江省建设工程计价依据（2018 版）的通知》，在规费政策平稳过渡期内不得低于标准费率30%，即：本工程中，单独装饰工程最低取费费率为 8.38%；安装工程最低取费费率为 9.19%。</w:t>
      </w:r>
    </w:p>
    <w:p>
      <w:pPr>
        <w:spacing w:line="360" w:lineRule="auto"/>
        <w:ind w:firstLine="440" w:firstLineChars="200"/>
        <w:rPr>
          <w:rFonts w:hint="eastAsia"/>
          <w:color w:val="auto"/>
          <w:szCs w:val="21"/>
        </w:rPr>
      </w:pPr>
      <w:r>
        <w:rPr>
          <w:rFonts w:hint="eastAsia"/>
          <w:color w:val="auto"/>
          <w:szCs w:val="21"/>
        </w:rPr>
        <w:t>2、税金费率按照</w:t>
      </w:r>
      <w:r>
        <w:rPr>
          <w:rFonts w:hint="eastAsia"/>
          <w:color w:val="auto"/>
          <w:szCs w:val="21"/>
          <w:lang w:val="en-US" w:eastAsia="zh-CN"/>
        </w:rPr>
        <w:t>浙建发{2019}92号</w:t>
      </w:r>
      <w:r>
        <w:rPr>
          <w:rFonts w:hint="eastAsia"/>
          <w:color w:val="auto"/>
          <w:szCs w:val="21"/>
        </w:rPr>
        <w:t>《</w:t>
      </w:r>
      <w:r>
        <w:rPr>
          <w:rFonts w:hint="eastAsia"/>
          <w:color w:val="auto"/>
          <w:szCs w:val="21"/>
          <w:lang w:val="en-US" w:eastAsia="zh-CN"/>
        </w:rPr>
        <w:t>关于增值税调整后我省建设工程计价 依据</w:t>
      </w:r>
      <w:r>
        <w:rPr>
          <w:rFonts w:hint="eastAsia"/>
          <w:color w:val="auto"/>
          <w:szCs w:val="21"/>
        </w:rPr>
        <w:t xml:space="preserve">》文件规定计取，取费基数为税前工程造价。根据文件要求，本工程按一般计税法考虑，费率为 </w:t>
      </w:r>
      <w:r>
        <w:rPr>
          <w:rFonts w:hint="eastAsia"/>
          <w:color w:val="auto"/>
          <w:szCs w:val="21"/>
          <w:lang w:val="en-US" w:eastAsia="zh-CN"/>
        </w:rPr>
        <w:t>9</w:t>
      </w:r>
      <w:r>
        <w:rPr>
          <w:rFonts w:hint="eastAsia"/>
          <w:color w:val="auto"/>
          <w:szCs w:val="21"/>
        </w:rPr>
        <w:t>%。</w:t>
      </w:r>
    </w:p>
    <w:p>
      <w:pPr>
        <w:spacing w:line="360" w:lineRule="auto"/>
        <w:ind w:firstLine="440" w:firstLineChars="200"/>
        <w:rPr>
          <w:rFonts w:hint="eastAsia"/>
          <w:color w:val="auto"/>
          <w:szCs w:val="21"/>
        </w:rPr>
      </w:pPr>
      <w:r>
        <w:rPr>
          <w:rFonts w:hint="eastAsia"/>
          <w:color w:val="auto"/>
          <w:szCs w:val="21"/>
          <w:lang w:val="en-US" w:eastAsia="zh-CN"/>
        </w:rPr>
        <w:t>八</w:t>
      </w:r>
      <w:r>
        <w:rPr>
          <w:rFonts w:hint="eastAsia"/>
          <w:color w:val="auto"/>
          <w:szCs w:val="21"/>
        </w:rPr>
        <w:t>、招标人自行采购材料的名称、规格型号、数量，要求总承包人提供的服务内容：详见招标文件。</w:t>
      </w:r>
    </w:p>
    <w:p>
      <w:pPr>
        <w:spacing w:line="360" w:lineRule="auto"/>
        <w:ind w:firstLine="440" w:firstLineChars="200"/>
        <w:rPr>
          <w:rFonts w:hint="eastAsia"/>
          <w:color w:val="auto"/>
          <w:szCs w:val="21"/>
        </w:rPr>
      </w:pPr>
      <w:r>
        <w:rPr>
          <w:rFonts w:hint="eastAsia"/>
          <w:color w:val="auto"/>
          <w:szCs w:val="21"/>
          <w:lang w:val="en-US" w:eastAsia="zh-CN"/>
        </w:rPr>
        <w:t>九</w:t>
      </w:r>
      <w:r>
        <w:rPr>
          <w:rFonts w:hint="eastAsia"/>
          <w:color w:val="auto"/>
          <w:szCs w:val="21"/>
        </w:rPr>
        <w:t>、暂列金额的数量</w:t>
      </w:r>
    </w:p>
    <w:p>
      <w:pPr>
        <w:spacing w:line="360" w:lineRule="auto"/>
        <w:ind w:firstLine="440" w:firstLineChars="200"/>
        <w:rPr>
          <w:color w:val="auto"/>
          <w:szCs w:val="21"/>
        </w:rPr>
      </w:pPr>
      <w:r>
        <w:rPr>
          <w:rFonts w:hint="eastAsia"/>
          <w:color w:val="auto"/>
          <w:szCs w:val="21"/>
        </w:rPr>
        <w:t>1、无</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十、其他有关问题的说明</w:t>
      </w:r>
    </w:p>
    <w:p>
      <w:pPr>
        <w:keepNext w:val="0"/>
        <w:keepLines w:val="0"/>
        <w:pageBreakBefore w:val="0"/>
        <w:widowControl/>
        <w:kinsoku/>
        <w:wordWrap/>
        <w:overflowPunct/>
        <w:topLinePunct w:val="0"/>
        <w:autoSpaceDE/>
        <w:autoSpaceDN/>
        <w:bidi w:val="0"/>
        <w:adjustRightInd/>
        <w:snapToGrid/>
        <w:spacing w:after="0" w:line="360" w:lineRule="auto"/>
        <w:ind w:firstLine="211" w:firstLineChars="100"/>
        <w:textAlignment w:val="auto"/>
        <w:outlineLvl w:val="9"/>
        <w:rPr>
          <w:color w:val="auto"/>
          <w:sz w:val="21"/>
          <w:szCs w:val="21"/>
        </w:rPr>
      </w:pPr>
      <w:r>
        <w:rPr>
          <w:rFonts w:ascii="宋体" w:hAnsi="宋体" w:eastAsia="宋体" w:cs="宋体"/>
          <w:b/>
          <w:bCs/>
          <w:color w:val="auto"/>
          <w:sz w:val="21"/>
          <w:szCs w:val="21"/>
        </w:rPr>
        <w:t>（一）通用部分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Times New Roman" w:hAnsi="Times New Roman" w:eastAsia="Times New Roman" w:cs="Times New Roman"/>
          <w:color w:val="auto"/>
          <w:sz w:val="21"/>
          <w:szCs w:val="21"/>
        </w:rPr>
        <w:t>1</w:t>
      </w:r>
      <w:r>
        <w:rPr>
          <w:rFonts w:ascii="宋体" w:hAnsi="宋体" w:eastAsia="宋体" w:cs="宋体"/>
          <w:color w:val="auto"/>
          <w:sz w:val="21"/>
          <w:szCs w:val="21"/>
        </w:rPr>
        <w:t>、分部分项工程量清单只描述了完成一个规定计量单位范围内应完成的主要工作内容，但投标人填报的综合单价应是包含了这一计量单位项目范围内的所有工作内容所需的直接费、企业管理费、利润以及风险费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Times New Roman" w:hAnsi="Times New Roman" w:eastAsia="Times New Roman" w:cs="Times New Roman"/>
          <w:color w:val="auto"/>
          <w:sz w:val="21"/>
          <w:szCs w:val="21"/>
        </w:rPr>
        <w:t>2</w:t>
      </w:r>
      <w:r>
        <w:rPr>
          <w:rFonts w:ascii="宋体" w:hAnsi="宋体" w:eastAsia="宋体" w:cs="宋体"/>
          <w:color w:val="auto"/>
          <w:sz w:val="21"/>
          <w:szCs w:val="21"/>
        </w:rPr>
        <w:t>、投标人在确定工程量清单中的每一项综合单价时，均应结合招标文件、技术规范、设计施工图纸和现场勘察情况确定，不能以工程量清单描述不全作为要求调整合同价款的理由，其中：</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2.1 清单中涉及到有关标准图集的，投标综合单价应包含标准图集做法中所有工作内容；</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2.2 图纸未明确者，投标人应按清单</w:t>
      </w:r>
      <w:r>
        <w:rPr>
          <w:rFonts w:hint="eastAsia" w:ascii="宋体" w:hAnsi="宋体" w:eastAsia="宋体" w:cs="宋体"/>
          <w:color w:val="auto"/>
          <w:sz w:val="21"/>
          <w:szCs w:val="21"/>
          <w:lang w:val="en-US" w:eastAsia="zh-CN"/>
        </w:rPr>
        <w:t>描述结合企业自身能力的技术力量和管理水平合理</w:t>
      </w:r>
      <w:r>
        <w:rPr>
          <w:rFonts w:ascii="宋体" w:hAnsi="宋体" w:eastAsia="宋体" w:cs="宋体"/>
          <w:color w:val="auto"/>
          <w:sz w:val="21"/>
          <w:szCs w:val="21"/>
        </w:rPr>
        <w:t>报价；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lang w:eastAsia="zh-CN"/>
        </w:rPr>
      </w:pPr>
      <w:r>
        <w:rPr>
          <w:rFonts w:ascii="Times New Roman" w:hAnsi="Times New Roman" w:eastAsia="Times New Roman" w:cs="Times New Roman"/>
          <w:color w:val="auto"/>
          <w:sz w:val="21"/>
          <w:szCs w:val="21"/>
        </w:rPr>
        <w:t>3</w:t>
      </w:r>
      <w:r>
        <w:rPr>
          <w:rFonts w:ascii="宋体" w:hAnsi="宋体" w:eastAsia="宋体" w:cs="宋体"/>
          <w:color w:val="auto"/>
          <w:sz w:val="21"/>
          <w:szCs w:val="21"/>
        </w:rPr>
        <w:t>、本工程所需脚手架、垂直运输、大型机械、清洁、垃圾清运及其它技术措施，投标人根据图纸及现场实际情况，结合自身的施工方案，可在技术措施费中自行报</w:t>
      </w:r>
      <w:bookmarkStart w:id="25" w:name="page101"/>
      <w:bookmarkEnd w:id="25"/>
      <w:bookmarkStart w:id="26" w:name="page96"/>
      <w:bookmarkEnd w:id="26"/>
      <w:bookmarkStart w:id="27" w:name="page102"/>
      <w:bookmarkEnd w:id="27"/>
      <w:bookmarkStart w:id="28" w:name="page97"/>
      <w:bookmarkEnd w:id="28"/>
      <w:bookmarkStart w:id="29" w:name="page95"/>
      <w:bookmarkEnd w:id="29"/>
      <w:bookmarkStart w:id="30" w:name="page100"/>
      <w:bookmarkEnd w:id="30"/>
      <w:bookmarkStart w:id="31" w:name="page99"/>
      <w:bookmarkEnd w:id="31"/>
      <w:bookmarkStart w:id="32" w:name="page98"/>
      <w:bookmarkEnd w:id="32"/>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十一、工程量清单另附；</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lang w:val="en-US" w:eastAsia="zh-CN"/>
        </w:r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r>
        <w:rPr>
          <w:rFonts w:hint="eastAsia" w:ascii="宋体" w:hAnsi="宋体" w:eastAsia="宋体" w:cs="宋体"/>
          <w:b/>
          <w:bCs/>
          <w:color w:val="auto"/>
          <w:sz w:val="21"/>
          <w:szCs w:val="21"/>
          <w:lang w:val="en-US" w:eastAsia="zh-CN"/>
        </w:rPr>
        <w:t>十二、图纸另附；</w:t>
      </w:r>
    </w:p>
    <w:tbl>
      <w:tblPr>
        <w:tblStyle w:val="21"/>
        <w:tblW w:w="10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3830"/>
        <w:gridCol w:w="5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3" w:hRule="atLeast"/>
          <w:jc w:val="center"/>
        </w:trPr>
        <w:tc>
          <w:tcPr>
            <w:tcW w:w="102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部分主要材料设备推荐品牌表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材料名称</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灯具</w:t>
            </w:r>
          </w:p>
        </w:tc>
        <w:tc>
          <w:tcPr>
            <w:tcW w:w="5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佛山、雷士、菲利浦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配电箱元器件</w:t>
            </w:r>
          </w:p>
        </w:tc>
        <w:tc>
          <w:tcPr>
            <w:tcW w:w="5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28"/>
                <w:rFonts w:eastAsia="宋体"/>
                <w:lang w:val="en-US" w:eastAsia="zh-CN" w:bidi="ar"/>
              </w:rPr>
              <w:t>ABB</w:t>
            </w:r>
            <w:r>
              <w:rPr>
                <w:rFonts w:hint="eastAsia" w:ascii="宋体" w:hAnsi="宋体" w:eastAsia="宋体" w:cs="宋体"/>
                <w:i w:val="0"/>
                <w:color w:val="000000"/>
                <w:kern w:val="0"/>
                <w:sz w:val="22"/>
                <w:szCs w:val="22"/>
                <w:u w:val="none"/>
                <w:lang w:val="en-US" w:eastAsia="zh-CN" w:bidi="ar"/>
              </w:rPr>
              <w:t>、施耐德、西门子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电线、电缆</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元通、中策、万马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风机设备</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虞天、明新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水泵设备</w:t>
            </w:r>
          </w:p>
        </w:tc>
        <w:tc>
          <w:tcPr>
            <w:tcW w:w="5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凯泉、连成、东方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墙面、顶棚涂料</w:t>
            </w:r>
          </w:p>
        </w:tc>
        <w:tc>
          <w:tcPr>
            <w:tcW w:w="5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多乐士、立邦、华润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地面漆（防腐）</w:t>
            </w:r>
          </w:p>
        </w:tc>
        <w:tc>
          <w:tcPr>
            <w:tcW w:w="5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浙江金博、上海TS坦莎、志强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9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消防主机目前在用品牌为北京利达，请自行充分考虑兼容性</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FF0000"/>
          <w:sz w:val="21"/>
          <w:szCs w:val="21"/>
          <w:lang w:val="en-US" w:eastAsia="zh-CN"/>
        </w:rPr>
      </w:pPr>
    </w:p>
    <w:p>
      <w:pPr>
        <w:keepNext w:val="0"/>
        <w:keepLines w:val="0"/>
        <w:pageBreakBefore w:val="0"/>
        <w:widowControl/>
        <w:kinsoku/>
        <w:wordWrap/>
        <w:overflowPunct/>
        <w:topLinePunct w:val="0"/>
        <w:autoSpaceDE/>
        <w:autoSpaceDN/>
        <w:bidi w:val="0"/>
        <w:adjustRightInd/>
        <w:snapToGrid/>
        <w:spacing w:after="0" w:line="320" w:lineRule="exact"/>
        <w:textAlignment w:val="auto"/>
        <w:outlineLvl w:val="9"/>
        <w:rPr>
          <w:rFonts w:hint="eastAsia"/>
          <w:b/>
          <w:bCs/>
          <w:color w:val="auto"/>
          <w:sz w:val="20"/>
          <w:szCs w:val="20"/>
          <w:u w:val="single"/>
        </w:rPr>
      </w:pPr>
      <w:r>
        <w:rPr>
          <w:rFonts w:hint="eastAsia"/>
          <w:b/>
          <w:bCs/>
          <w:color w:val="auto"/>
          <w:sz w:val="20"/>
          <w:szCs w:val="20"/>
          <w:u w:val="single"/>
          <w:lang w:val="en-US" w:eastAsia="zh-CN"/>
        </w:rPr>
        <w:t>关于推荐品牌</w:t>
      </w:r>
      <w:r>
        <w:rPr>
          <w:rFonts w:hint="eastAsia"/>
          <w:b/>
          <w:bCs/>
          <w:color w:val="auto"/>
          <w:sz w:val="20"/>
          <w:szCs w:val="20"/>
          <w:u w:val="single"/>
        </w:rPr>
        <w:t>：</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lang w:val="en-US" w:eastAsia="zh-CN"/>
        </w:rPr>
        <w:t xml:space="preserve"> </w:t>
      </w:r>
      <w:r>
        <w:rPr>
          <w:rFonts w:hint="eastAsia"/>
          <w:b/>
          <w:bCs/>
          <w:color w:val="auto"/>
          <w:sz w:val="20"/>
          <w:szCs w:val="20"/>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rPr>
        <w:t>②招标文件中</w:t>
      </w:r>
      <w:r>
        <w:rPr>
          <w:b/>
          <w:bCs/>
          <w:color w:val="auto"/>
          <w:sz w:val="20"/>
          <w:szCs w:val="20"/>
          <w:u w:val="single"/>
        </w:rPr>
        <w:t>对材料的品牌、规格、型号没有</w:t>
      </w:r>
      <w:r>
        <w:rPr>
          <w:rFonts w:hint="eastAsia"/>
          <w:b/>
          <w:bCs/>
          <w:color w:val="auto"/>
          <w:sz w:val="20"/>
          <w:szCs w:val="20"/>
          <w:u w:val="single"/>
        </w:rPr>
        <w:t>具体</w:t>
      </w:r>
      <w:r>
        <w:rPr>
          <w:b/>
          <w:bCs/>
          <w:color w:val="auto"/>
          <w:sz w:val="20"/>
          <w:szCs w:val="20"/>
          <w:u w:val="single"/>
        </w:rPr>
        <w:t>规定的，由投标人按招标文件及施工图的要求</w:t>
      </w:r>
      <w:r>
        <w:rPr>
          <w:rFonts w:hint="eastAsia"/>
          <w:b/>
          <w:bCs/>
          <w:color w:val="auto"/>
          <w:sz w:val="20"/>
          <w:szCs w:val="20"/>
          <w:u w:val="single"/>
        </w:rPr>
        <w:t>按中高档</w:t>
      </w:r>
      <w:r>
        <w:rPr>
          <w:b/>
          <w:bCs/>
          <w:color w:val="auto"/>
          <w:sz w:val="20"/>
          <w:szCs w:val="20"/>
          <w:u w:val="single"/>
        </w:rPr>
        <w:t>进行投标报价</w:t>
      </w:r>
      <w:r>
        <w:rPr>
          <w:rFonts w:hint="eastAsia"/>
          <w:b/>
          <w:bCs/>
          <w:color w:val="auto"/>
          <w:sz w:val="20"/>
          <w:szCs w:val="20"/>
          <w:u w:val="single"/>
        </w:rPr>
        <w:t>，</w:t>
      </w:r>
      <w:r>
        <w:rPr>
          <w:b/>
          <w:bCs/>
          <w:color w:val="auto"/>
          <w:sz w:val="20"/>
          <w:szCs w:val="20"/>
          <w:u w:val="single"/>
        </w:rPr>
        <w:t>并在</w:t>
      </w:r>
      <w:r>
        <w:rPr>
          <w:rFonts w:hint="eastAsia"/>
          <w:b/>
          <w:bCs/>
          <w:color w:val="auto"/>
          <w:sz w:val="20"/>
          <w:szCs w:val="20"/>
          <w:u w:val="single"/>
        </w:rPr>
        <w:t>“</w:t>
      </w:r>
      <w:r>
        <w:rPr>
          <w:b/>
          <w:bCs/>
          <w:color w:val="auto"/>
          <w:sz w:val="20"/>
          <w:szCs w:val="20"/>
          <w:u w:val="single"/>
        </w:rPr>
        <w:t xml:space="preserve"> 主要材料品牌一览表</w:t>
      </w:r>
      <w:r>
        <w:rPr>
          <w:rFonts w:hint="eastAsia"/>
          <w:b/>
          <w:bCs/>
          <w:color w:val="auto"/>
          <w:sz w:val="20"/>
          <w:szCs w:val="20"/>
          <w:u w:val="single"/>
        </w:rPr>
        <w:t>“</w:t>
      </w:r>
      <w:r>
        <w:rPr>
          <w:b/>
          <w:bCs/>
          <w:color w:val="auto"/>
          <w:sz w:val="20"/>
          <w:szCs w:val="20"/>
          <w:u w:val="single"/>
        </w:rPr>
        <w:t>的</w:t>
      </w:r>
      <w:r>
        <w:rPr>
          <w:rFonts w:hint="eastAsia"/>
          <w:b/>
          <w:bCs/>
          <w:color w:val="auto"/>
          <w:sz w:val="20"/>
          <w:szCs w:val="20"/>
          <w:u w:val="single"/>
          <w:lang w:eastAsia="zh-CN"/>
        </w:rPr>
        <w:t>投标品牌</w:t>
      </w:r>
      <w:r>
        <w:rPr>
          <w:b/>
          <w:bCs/>
          <w:color w:val="auto"/>
          <w:sz w:val="20"/>
          <w:szCs w:val="20"/>
          <w:u w:val="single"/>
        </w:rPr>
        <w:t>一栏里注明所选材料</w:t>
      </w:r>
      <w:r>
        <w:rPr>
          <w:rFonts w:hint="eastAsia"/>
          <w:b/>
          <w:bCs/>
          <w:color w:val="auto"/>
          <w:sz w:val="20"/>
          <w:szCs w:val="20"/>
          <w:u w:val="single"/>
        </w:rPr>
        <w:t>设备</w:t>
      </w:r>
      <w:r>
        <w:rPr>
          <w:b/>
          <w:bCs/>
          <w:color w:val="auto"/>
          <w:sz w:val="20"/>
          <w:szCs w:val="20"/>
          <w:u w:val="single"/>
        </w:rPr>
        <w:t>的品牌、规格、型号，若投标人没有进行注明的，则招标人</w:t>
      </w:r>
      <w:r>
        <w:rPr>
          <w:rFonts w:hint="eastAsia"/>
          <w:b/>
          <w:bCs/>
          <w:color w:val="auto"/>
          <w:sz w:val="20"/>
          <w:szCs w:val="20"/>
          <w:u w:val="single"/>
        </w:rPr>
        <w:t>有权</w:t>
      </w:r>
      <w:r>
        <w:rPr>
          <w:b/>
          <w:bCs/>
          <w:color w:val="auto"/>
          <w:sz w:val="20"/>
          <w:szCs w:val="20"/>
          <w:u w:val="single"/>
        </w:rPr>
        <w:t>指定品牌，投标价格不调整。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rPr>
        <w:t>③发包人有权根据实际情况在发包人推荐的供应商（厂家）或品牌范围内进行调整，承包人须接受调整，并不得因此而要求调价。</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b/>
          <w:bCs/>
          <w:color w:val="auto"/>
          <w:sz w:val="20"/>
          <w:szCs w:val="20"/>
          <w:u w:val="single"/>
        </w:rPr>
      </w:pPr>
      <w:r>
        <w:rPr>
          <w:rFonts w:hint="eastAsia"/>
          <w:b/>
          <w:bCs/>
          <w:color w:val="auto"/>
          <w:sz w:val="20"/>
          <w:szCs w:val="20"/>
          <w:u w:val="single"/>
        </w:rPr>
        <w:t>④</w:t>
      </w:r>
      <w:r>
        <w:rPr>
          <w:b/>
          <w:bCs/>
          <w:color w:val="auto"/>
          <w:sz w:val="20"/>
          <w:szCs w:val="20"/>
          <w:u w:val="single"/>
        </w:rPr>
        <w:t>若投标人未明确品牌，招标人将在此表 “</w:t>
      </w:r>
      <w:r>
        <w:rPr>
          <w:rFonts w:hint="eastAsia"/>
          <w:b/>
          <w:bCs/>
          <w:color w:val="auto"/>
          <w:sz w:val="20"/>
          <w:szCs w:val="20"/>
          <w:u w:val="single"/>
        </w:rPr>
        <w:t>推荐</w:t>
      </w:r>
      <w:r>
        <w:rPr>
          <w:b/>
          <w:bCs/>
          <w:color w:val="auto"/>
          <w:sz w:val="20"/>
          <w:szCs w:val="20"/>
          <w:u w:val="single"/>
        </w:rPr>
        <w:t>品牌</w:t>
      </w:r>
      <w:r>
        <w:rPr>
          <w:rFonts w:hint="eastAsia"/>
          <w:b/>
          <w:bCs/>
          <w:color w:val="auto"/>
          <w:sz w:val="20"/>
          <w:szCs w:val="20"/>
          <w:u w:val="single"/>
        </w:rPr>
        <w:t>或厂家</w:t>
      </w:r>
      <w:r>
        <w:rPr>
          <w:b/>
          <w:bCs/>
          <w:color w:val="auto"/>
          <w:sz w:val="20"/>
          <w:szCs w:val="20"/>
          <w:u w:val="single"/>
        </w:rPr>
        <w:t>”中指定品牌</w:t>
      </w:r>
      <w:r>
        <w:rPr>
          <w:rFonts w:hint="eastAsia"/>
          <w:b/>
          <w:bCs/>
          <w:color w:val="auto"/>
          <w:sz w:val="20"/>
          <w:szCs w:val="20"/>
          <w:u w:val="single"/>
        </w:rPr>
        <w:t>及型号</w:t>
      </w:r>
      <w:r>
        <w:rPr>
          <w:b/>
          <w:bCs/>
          <w:color w:val="auto"/>
          <w:sz w:val="20"/>
          <w:szCs w:val="20"/>
          <w:u w:val="single"/>
        </w:rPr>
        <w:t>，投标报价不予调整。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rFonts w:hint="eastAsia"/>
          <w:b/>
          <w:bCs/>
          <w:color w:val="auto"/>
          <w:sz w:val="20"/>
          <w:szCs w:val="20"/>
          <w:u w:val="single"/>
        </w:rPr>
      </w:pPr>
      <w:r>
        <w:rPr>
          <w:rFonts w:hint="eastAsia"/>
          <w:b/>
          <w:bCs/>
          <w:color w:val="auto"/>
          <w:sz w:val="20"/>
          <w:szCs w:val="20"/>
          <w:u w:val="single"/>
        </w:rPr>
        <w:t>⑤投标时需在分部分项报价表中注明选用材料（设备）品牌，招标人对材料设备无推荐品牌要求的，投标人也应在分部分项工程量清单报价表和主要材料（设备）价格表中标明选择的品牌，未标明的，一旦中标，招标人有权根据需求指定任意品牌，且投标报价不予调整。</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rFonts w:hint="eastAsia"/>
          <w:b/>
          <w:bCs/>
          <w:color w:val="auto"/>
          <w:sz w:val="20"/>
          <w:szCs w:val="20"/>
          <w:u w:val="single"/>
        </w:rPr>
      </w:pPr>
      <w:r>
        <w:rPr>
          <w:rFonts w:hint="eastAsia"/>
          <w:b/>
          <w:bCs/>
          <w:color w:val="auto"/>
          <w:sz w:val="20"/>
          <w:szCs w:val="20"/>
          <w:u w:val="single"/>
        </w:rPr>
        <w:t>⑥如本表选型与设计说明及招标图有矛盾的，一律以本表为准；</w:t>
      </w:r>
    </w:p>
    <w:p>
      <w:pPr>
        <w:keepNext w:val="0"/>
        <w:keepLines w:val="0"/>
        <w:pageBreakBefore w:val="0"/>
        <w:widowControl/>
        <w:kinsoku/>
        <w:wordWrap/>
        <w:overflowPunct/>
        <w:topLinePunct w:val="0"/>
        <w:autoSpaceDE/>
        <w:autoSpaceDN/>
        <w:bidi w:val="0"/>
        <w:adjustRightInd/>
        <w:snapToGrid/>
        <w:spacing w:after="0" w:line="320" w:lineRule="exact"/>
        <w:ind w:firstLine="402" w:firstLineChars="200"/>
        <w:textAlignment w:val="auto"/>
        <w:outlineLvl w:val="9"/>
        <w:rPr>
          <w:rFonts w:ascii="宋体" w:hAnsi="宋体" w:eastAsia="宋体" w:cs="宋体"/>
          <w:b/>
          <w:bCs/>
          <w:color w:val="auto"/>
          <w:sz w:val="32"/>
          <w:szCs w:val="32"/>
        </w:rPr>
      </w:pPr>
      <w:r>
        <w:rPr>
          <w:rFonts w:hint="eastAsia"/>
          <w:b/>
          <w:bCs/>
          <w:color w:val="auto"/>
          <w:sz w:val="20"/>
          <w:szCs w:val="20"/>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w:t>
      </w:r>
      <w:r>
        <w:rPr>
          <w:rFonts w:hint="eastAsia"/>
          <w:b/>
          <w:bCs/>
          <w:color w:val="auto"/>
          <w:sz w:val="20"/>
          <w:szCs w:val="20"/>
          <w:u w:val="single"/>
          <w:lang w:val="en-US" w:eastAsia="zh-CN"/>
        </w:rPr>
        <w:t>认定技术参数不满足。</w:t>
      </w: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hint="eastAsia" w:eastAsia="宋体"/>
          <w:color w:val="auto"/>
          <w:sz w:val="20"/>
          <w:szCs w:val="20"/>
          <w:lang w:val="en-US" w:eastAsia="zh-CN"/>
        </w:rPr>
      </w:pPr>
      <w:r>
        <w:rPr>
          <w:rFonts w:ascii="宋体" w:hAnsi="宋体" w:eastAsia="宋体" w:cs="宋体"/>
          <w:b/>
          <w:bCs/>
          <w:color w:val="auto"/>
          <w:sz w:val="32"/>
          <w:szCs w:val="32"/>
        </w:rPr>
        <w:t>第五章</w:t>
      </w:r>
      <w:r>
        <w:rPr>
          <w:rFonts w:ascii="宋体" w:hAnsi="宋体" w:eastAsia="宋体" w:cs="宋体"/>
          <w:b/>
          <w:bCs/>
          <w:color w:val="auto"/>
          <w:sz w:val="32"/>
          <w:szCs w:val="32"/>
        </w:rPr>
        <w:tab/>
      </w:r>
      <w:r>
        <w:rPr>
          <w:rFonts w:ascii="宋体" w:hAnsi="宋体" w:eastAsia="宋体" w:cs="宋体"/>
          <w:b/>
          <w:bCs/>
          <w:color w:val="auto"/>
          <w:sz w:val="32"/>
          <w:szCs w:val="32"/>
        </w:rPr>
        <w:t>合同</w:t>
      </w:r>
      <w:r>
        <w:rPr>
          <w:rFonts w:hint="eastAsia" w:ascii="宋体" w:hAnsi="宋体" w:eastAsia="宋体" w:cs="宋体"/>
          <w:b/>
          <w:bCs/>
          <w:color w:val="auto"/>
          <w:sz w:val="32"/>
          <w:szCs w:val="32"/>
          <w:lang w:val="en-US" w:eastAsia="zh-CN"/>
        </w:rPr>
        <w:t>条款</w:t>
      </w:r>
    </w:p>
    <w:p>
      <w:pPr>
        <w:spacing w:after="0" w:line="254" w:lineRule="exact"/>
        <w:rPr>
          <w:color w:val="auto"/>
          <w:sz w:val="20"/>
          <w:szCs w:val="20"/>
        </w:rPr>
      </w:pPr>
    </w:p>
    <w:p>
      <w:pPr>
        <w:spacing w:after="0" w:line="20" w:lineRule="exact"/>
        <w:rPr>
          <w:color w:val="auto"/>
          <w:sz w:val="20"/>
          <w:szCs w:val="20"/>
        </w:rPr>
      </w:pPr>
    </w:p>
    <w:p>
      <w:pPr>
        <w:pStyle w:val="27"/>
        <w:pageBreakBefore w:val="0"/>
        <w:widowControl/>
        <w:kinsoku/>
        <w:wordWrap/>
        <w:overflowPunct/>
        <w:topLinePunct w:val="0"/>
        <w:bidi w:val="0"/>
        <w:spacing w:before="0" w:line="360" w:lineRule="auto"/>
        <w:ind w:firstLine="422" w:firstLineChars="200"/>
        <w:jc w:val="center"/>
        <w:textAlignment w:val="auto"/>
        <w:rPr>
          <w:rFonts w:hint="eastAsia" w:asciiTheme="minorEastAsia" w:hAnsiTheme="minorEastAsia" w:eastAsiaTheme="minorEastAsia" w:cstheme="minorEastAsia"/>
          <w:b/>
          <w:szCs w:val="21"/>
        </w:rPr>
      </w:pPr>
      <w:bookmarkStart w:id="33" w:name="page48"/>
      <w:bookmarkEnd w:id="33"/>
      <w:bookmarkStart w:id="34" w:name="_Toc296503025"/>
      <w:bookmarkStart w:id="35" w:name="_Toc296890982"/>
      <w:bookmarkStart w:id="36" w:name="_Toc351203480"/>
      <w:bookmarkStart w:id="37" w:name="_Toc163484941"/>
      <w:bookmarkStart w:id="38" w:name="_Toc237695004"/>
      <w:bookmarkStart w:id="39" w:name="_Toc237694779"/>
      <w:bookmarkStart w:id="40" w:name="_Toc163484939"/>
      <w:r>
        <w:rPr>
          <w:rFonts w:hint="eastAsia" w:asciiTheme="minorEastAsia" w:hAnsiTheme="minorEastAsia" w:eastAsiaTheme="minorEastAsia" w:cstheme="minorEastAsia"/>
          <w:color w:val="auto"/>
          <w:sz w:val="21"/>
          <w:szCs w:val="21"/>
        </w:rPr>
        <w:t>第一部分 合同协议书</w:t>
      </w:r>
      <w:bookmarkEnd w:id="34"/>
      <w:bookmarkEnd w:id="35"/>
      <w:bookmarkEnd w:id="36"/>
    </w:p>
    <w:p>
      <w:pPr>
        <w:keepNext w:val="0"/>
        <w:keepLines w:val="0"/>
        <w:pageBreakBefore w:val="0"/>
        <w:widowControl/>
        <w:kinsoku/>
        <w:wordWrap/>
        <w:overflowPunct/>
        <w:topLinePunct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lang w:eastAsia="zh-CN"/>
        </w:rPr>
      </w:pPr>
      <w:r>
        <w:rPr>
          <w:rFonts w:hint="eastAsia" w:asciiTheme="minorEastAsia" w:hAnsiTheme="minorEastAsia" w:eastAsiaTheme="minorEastAsia" w:cstheme="minorEastAsia"/>
          <w:b/>
          <w:szCs w:val="21"/>
        </w:rPr>
        <w:t>发包人（全称）：</w:t>
      </w:r>
      <w:r>
        <w:rPr>
          <w:rFonts w:hint="eastAsia" w:asciiTheme="minorEastAsia" w:hAnsiTheme="minorEastAsia" w:eastAsiaTheme="minorEastAsia" w:cstheme="minorEastAsia"/>
          <w:b/>
          <w:szCs w:val="21"/>
          <w:u w:val="single"/>
          <w:lang w:eastAsia="zh-CN"/>
        </w:rPr>
        <w:t>中国美术学院</w:t>
      </w:r>
    </w:p>
    <w:p>
      <w:pPr>
        <w:keepNext w:val="0"/>
        <w:keepLines w:val="0"/>
        <w:pageBreakBefore w:val="0"/>
        <w:widowControl/>
        <w:kinsoku/>
        <w:wordWrap/>
        <w:overflowPunct/>
        <w:topLinePunct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承包人（全称）：</w:t>
      </w:r>
      <w:r>
        <w:rPr>
          <w:rFonts w:hint="eastAsia" w:asciiTheme="minorEastAsia" w:hAnsiTheme="minorEastAsia" w:eastAsiaTheme="minorEastAsia" w:cstheme="minorEastAsia"/>
          <w:b/>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根据《中华人民共和国合同法》、《中华人民共和国建筑法》及有关法律规定，遵循平等、自愿、公平和诚实信用的原则，双方就</w:t>
      </w:r>
      <w:r>
        <w:rPr>
          <w:rFonts w:hint="eastAsia" w:asciiTheme="minorEastAsia" w:hAnsiTheme="minorEastAsia" w:cstheme="minorEastAsia"/>
          <w:b/>
          <w:szCs w:val="21"/>
          <w:u w:val="single"/>
          <w:lang w:eastAsia="zh-CN"/>
        </w:rPr>
        <w:t>校园建设和管理处象山20号楼地下车库改造项目</w:t>
      </w:r>
      <w:r>
        <w:rPr>
          <w:rFonts w:hint="eastAsia" w:asciiTheme="minorEastAsia" w:hAnsiTheme="minorEastAsia" w:eastAsiaTheme="minorEastAsia" w:cstheme="minorEastAsia"/>
          <w:szCs w:val="21"/>
        </w:rPr>
        <w:t>施工及有关事项协商一致，共同达成如下协议：</w:t>
      </w:r>
    </w:p>
    <w:p>
      <w:pPr>
        <w:keepNext w:val="0"/>
        <w:keepLines w:val="0"/>
        <w:pageBreakBefore w:val="0"/>
        <w:widowControl/>
        <w:kinsoku/>
        <w:wordWrap/>
        <w:overflowPunct/>
        <w:topLinePunct w:val="0"/>
        <w:autoSpaceDE/>
        <w:autoSpaceDN/>
        <w:bidi w:val="0"/>
        <w:spacing w:line="360" w:lineRule="auto"/>
        <w:textAlignment w:val="auto"/>
        <w:outlineLvl w:val="9"/>
        <w:rPr>
          <w:rFonts w:hint="eastAsia"/>
        </w:rPr>
      </w:pPr>
      <w:bookmarkStart w:id="41" w:name="_Toc351203481"/>
      <w:r>
        <w:rPr>
          <w:rFonts w:hint="eastAsia"/>
        </w:rPr>
        <w:t>一、工程概况</w:t>
      </w:r>
      <w:bookmarkEnd w:id="41"/>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Cs/>
          <w:szCs w:val="21"/>
        </w:rPr>
        <w:t>1.工程名称</w:t>
      </w:r>
      <w:r>
        <w:rPr>
          <w:rFonts w:hint="eastAsia" w:asciiTheme="minorEastAsia" w:hAnsiTheme="minorEastAsia" w:eastAsiaTheme="minorEastAsia" w:cstheme="minorEastAsia"/>
          <w:szCs w:val="21"/>
        </w:rPr>
        <w:t>：</w:t>
      </w:r>
      <w:r>
        <w:rPr>
          <w:rFonts w:hint="eastAsia" w:asciiTheme="minorEastAsia" w:hAnsiTheme="minorEastAsia" w:cstheme="minorEastAsia"/>
          <w:b/>
          <w:szCs w:val="21"/>
          <w:u w:val="single"/>
          <w:lang w:eastAsia="zh-CN"/>
        </w:rPr>
        <w:t>校园建设和管理处象山20号楼地下车库改造项目</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2.工程地点：</w:t>
      </w:r>
      <w:r>
        <w:rPr>
          <w:rFonts w:hint="eastAsia" w:asciiTheme="minorEastAsia" w:hAnsiTheme="minorEastAsia" w:eastAsiaTheme="minorEastAsia" w:cstheme="minorEastAsia"/>
          <w:b/>
          <w:szCs w:val="21"/>
          <w:u w:val="single"/>
        </w:rPr>
        <w:t>杭州市</w:t>
      </w:r>
      <w:r>
        <w:rPr>
          <w:rFonts w:hint="eastAsia" w:asciiTheme="minorEastAsia" w:hAnsiTheme="minorEastAsia" w:eastAsiaTheme="minorEastAsia" w:cstheme="minorEastAsia"/>
          <w:b/>
          <w:szCs w:val="21"/>
          <w:u w:val="single"/>
          <w:lang w:val="en-US" w:eastAsia="zh-CN"/>
        </w:rPr>
        <w:t>西湖区转塘（中国美术学院象山校区）</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3.工程立项批准文号：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4.资金来源：</w:t>
      </w:r>
      <w:r>
        <w:rPr>
          <w:rFonts w:hint="eastAsia" w:asciiTheme="minorEastAsia" w:hAnsiTheme="minorEastAsia" w:eastAsiaTheme="minorEastAsia" w:cstheme="minorEastAsia"/>
          <w:b/>
          <w:szCs w:val="21"/>
          <w:u w:val="single"/>
          <w:lang w:val="en-US" w:eastAsia="zh-CN"/>
        </w:rPr>
        <w:t>国有资金</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5.工程内容：</w:t>
      </w:r>
      <w:r>
        <w:rPr>
          <w:rFonts w:hint="eastAsia" w:asciiTheme="minorEastAsia" w:hAnsiTheme="minorEastAsia" w:eastAsiaTheme="minorEastAsia" w:cstheme="minorEastAsia"/>
          <w:b/>
          <w:szCs w:val="21"/>
          <w:u w:val="single"/>
        </w:rPr>
        <w:t>具体内容见采购文件、图纸和工程量清单</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群体工程应附《承包人承揽工程项目一览表》（附件1）。</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6.工程承包范围：</w:t>
      </w:r>
    </w:p>
    <w:p>
      <w:pPr>
        <w:keepNext w:val="0"/>
        <w:keepLines w:val="0"/>
        <w:pageBreakBefore w:val="0"/>
        <w:widowControl/>
        <w:kinsoku/>
        <w:wordWrap/>
        <w:overflowPunct/>
        <w:topLinePunct w:val="0"/>
        <w:autoSpaceDE/>
        <w:autoSpaceDN/>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szCs w:val="21"/>
          <w:u w:val="single"/>
        </w:rPr>
      </w:pPr>
      <w:r>
        <w:rPr>
          <w:rFonts w:hint="eastAsia" w:asciiTheme="minorEastAsia" w:hAnsiTheme="minorEastAsia" w:cstheme="minorEastAsia"/>
          <w:b/>
          <w:szCs w:val="21"/>
          <w:u w:val="single"/>
          <w:lang w:val="en-US" w:eastAsia="zh-CN"/>
        </w:rPr>
        <w:t>1.</w:t>
      </w:r>
      <w:r>
        <w:rPr>
          <w:rFonts w:hint="eastAsia" w:asciiTheme="minorEastAsia" w:hAnsiTheme="minorEastAsia" w:eastAsiaTheme="minorEastAsia" w:cstheme="minorEastAsia"/>
          <w:b/>
          <w:szCs w:val="21"/>
          <w:u w:val="single"/>
        </w:rPr>
        <w:t>包工、包料、包工期、包质量、包安全文明施工、包检测验收合格至交付使用等</w:t>
      </w:r>
      <w:r>
        <w:rPr>
          <w:rFonts w:hint="eastAsia" w:asciiTheme="minorEastAsia" w:hAnsiTheme="minorEastAsia" w:eastAsiaTheme="minorEastAsia" w:cstheme="minorEastAsia"/>
          <w:szCs w:val="21"/>
          <w:u w:val="single"/>
        </w:rPr>
        <w:t>。</w:t>
      </w:r>
    </w:p>
    <w:p>
      <w:pPr>
        <w:keepNext w:val="0"/>
        <w:keepLines w:val="0"/>
        <w:pageBreakBefore w:val="0"/>
        <w:widowControl/>
        <w:kinsoku/>
        <w:wordWrap/>
        <w:overflowPunct/>
        <w:topLinePunct w:val="0"/>
        <w:autoSpaceDE/>
        <w:autoSpaceDN/>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lang w:val="en-US" w:eastAsia="zh-CN"/>
        </w:rPr>
      </w:pPr>
      <w:r>
        <w:rPr>
          <w:rFonts w:hint="eastAsia" w:asciiTheme="minorEastAsia" w:hAnsiTheme="minorEastAsia" w:eastAsiaTheme="minorEastAsia" w:cstheme="minorEastAsia"/>
          <w:b/>
          <w:szCs w:val="21"/>
          <w:u w:val="single"/>
          <w:lang w:val="en-US" w:eastAsia="zh-CN"/>
        </w:rPr>
        <w:t>2.</w:t>
      </w:r>
      <w:r>
        <w:rPr>
          <w:rFonts w:hint="eastAsia" w:asciiTheme="minorEastAsia" w:hAnsiTheme="minorEastAsia" w:cstheme="minorEastAsia"/>
          <w:b/>
          <w:szCs w:val="21"/>
          <w:u w:val="single"/>
          <w:lang w:val="en-US" w:eastAsia="zh-CN"/>
        </w:rPr>
        <w:t>本</w:t>
      </w:r>
      <w:r>
        <w:rPr>
          <w:rFonts w:hint="eastAsia" w:asciiTheme="minorEastAsia" w:hAnsiTheme="minorEastAsia" w:eastAsiaTheme="minorEastAsia" w:cstheme="minorEastAsia"/>
          <w:b/>
          <w:szCs w:val="21"/>
          <w:u w:val="single"/>
          <w:lang w:eastAsia="zh-CN"/>
        </w:rPr>
        <w:t>项目</w:t>
      </w:r>
      <w:r>
        <w:rPr>
          <w:rFonts w:hint="eastAsia" w:asciiTheme="minorEastAsia" w:hAnsiTheme="minorEastAsia" w:eastAsiaTheme="minorEastAsia" w:cstheme="minorEastAsia"/>
          <w:b/>
          <w:szCs w:val="21"/>
          <w:u w:val="single"/>
        </w:rPr>
        <w:t>施工图范围内的所有内容，工程量清单。</w:t>
      </w:r>
    </w:p>
    <w:p>
      <w:pPr>
        <w:keepNext w:val="0"/>
        <w:keepLines w:val="0"/>
        <w:pageBreakBefore w:val="0"/>
        <w:widowControl/>
        <w:kinsoku/>
        <w:wordWrap/>
        <w:overflowPunct/>
        <w:topLinePunct w:val="0"/>
        <w:autoSpaceDE/>
        <w:autoSpaceDN/>
        <w:bidi w:val="0"/>
        <w:spacing w:line="360" w:lineRule="auto"/>
        <w:textAlignment w:val="auto"/>
        <w:outlineLvl w:val="9"/>
        <w:rPr>
          <w:rFonts w:hint="eastAsia"/>
        </w:rPr>
      </w:pPr>
      <w:bookmarkStart w:id="42" w:name="_Toc351203482"/>
      <w:r>
        <w:rPr>
          <w:rFonts w:hint="eastAsia"/>
        </w:rPr>
        <w:t>二、合同工期</w:t>
      </w:r>
      <w:bookmarkEnd w:id="42"/>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计划开工日期：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计划竣工日期：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工期总日历天数：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天。工期总日历天数与根据前述计划开竣工日期计算的工期天数不一致的，以工期总日历天数为准。</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3" w:name="_Toc351203483"/>
      <w:r>
        <w:rPr>
          <w:rFonts w:hint="eastAsia" w:asciiTheme="minorEastAsia" w:hAnsiTheme="minorEastAsia" w:eastAsiaTheme="minorEastAsia" w:cstheme="minorEastAsia"/>
          <w:b w:val="0"/>
          <w:sz w:val="21"/>
          <w:szCs w:val="21"/>
        </w:rPr>
        <w:t>三、质量标准</w:t>
      </w:r>
      <w:bookmarkEnd w:id="43"/>
    </w:p>
    <w:p>
      <w:pPr>
        <w:keepNext w:val="0"/>
        <w:keepLines w:val="0"/>
        <w:pageBreakBefore w:val="0"/>
        <w:widowControl/>
        <w:kinsoku/>
        <w:wordWrap/>
        <w:overflowPunct/>
        <w:topLinePunct w:val="0"/>
        <w:bidi w:val="0"/>
        <w:adjustRightInd w:val="0"/>
        <w:snapToGrid w:val="0"/>
        <w:spacing w:line="360" w:lineRule="auto"/>
        <w:ind w:left="156" w:leftChars="71"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工程质量符合</w:t>
      </w:r>
      <w:r>
        <w:rPr>
          <w:rFonts w:hint="eastAsia" w:asciiTheme="minorEastAsia" w:hAnsiTheme="minorEastAsia" w:eastAsiaTheme="minorEastAsia" w:cstheme="minorEastAsia"/>
          <w:b/>
          <w:szCs w:val="21"/>
          <w:u w:val="single"/>
        </w:rPr>
        <w:t xml:space="preserve">  国家规定的验收合格标准，一次性验收合格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标准。</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4" w:name="_Toc351203484"/>
      <w:r>
        <w:rPr>
          <w:rFonts w:hint="eastAsia" w:asciiTheme="minorEastAsia" w:hAnsiTheme="minorEastAsia" w:eastAsiaTheme="minorEastAsia" w:cstheme="minorEastAsia"/>
          <w:b w:val="0"/>
          <w:sz w:val="21"/>
          <w:szCs w:val="21"/>
        </w:rPr>
        <w:t>四、签约合同价与合同价格形式</w:t>
      </w:r>
      <w:bookmarkEnd w:id="44"/>
      <w:r>
        <w:rPr>
          <w:rFonts w:hint="eastAsia" w:asciiTheme="minorEastAsia" w:hAnsiTheme="minorEastAsia" w:eastAsiaTheme="minorEastAsia" w:cstheme="minorEastAsia"/>
          <w:b w:val="0"/>
          <w:sz w:val="21"/>
          <w:szCs w:val="21"/>
        </w:rPr>
        <w:tab/>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1.签约合同价为：</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（1）安全文明施工费：</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（2）材料和工程设备暂估价金额：</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（3）专业工程暂估价金额：</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（4）暂列金额：</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2.合同价格形式：</w:t>
      </w:r>
      <w:r>
        <w:rPr>
          <w:rFonts w:hint="eastAsia" w:asciiTheme="minorEastAsia" w:hAnsiTheme="minorEastAsia" w:eastAsiaTheme="minorEastAsia" w:cstheme="minorEastAsia"/>
          <w:b/>
          <w:szCs w:val="21"/>
          <w:u w:val="single"/>
        </w:rPr>
        <w:t>采用固定综合单价合同</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 w:val="0"/>
          <w:sz w:val="21"/>
          <w:szCs w:val="21"/>
        </w:rPr>
      </w:pPr>
      <w:bookmarkStart w:id="45" w:name="_Toc351203485"/>
      <w:r>
        <w:rPr>
          <w:rFonts w:hint="eastAsia" w:asciiTheme="minorEastAsia" w:hAnsiTheme="minorEastAsia" w:eastAsiaTheme="minorEastAsia" w:cstheme="minorEastAsia"/>
          <w:b w:val="0"/>
          <w:sz w:val="21"/>
          <w:szCs w:val="21"/>
        </w:rPr>
        <w:t>五、</w:t>
      </w:r>
      <w:bookmarkEnd w:id="45"/>
      <w:r>
        <w:rPr>
          <w:rFonts w:hint="eastAsia" w:asciiTheme="minorEastAsia" w:hAnsiTheme="minorEastAsia" w:eastAsiaTheme="minorEastAsia" w:cstheme="minorEastAsia"/>
          <w:b w:val="0"/>
          <w:sz w:val="21"/>
          <w:szCs w:val="21"/>
        </w:rPr>
        <w:t>项目经理</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承包人项目经理：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6" w:name="_Toc351203486"/>
      <w:r>
        <w:rPr>
          <w:rFonts w:hint="eastAsia" w:asciiTheme="minorEastAsia" w:hAnsiTheme="minorEastAsia" w:eastAsiaTheme="minorEastAsia" w:cstheme="minorEastAsia"/>
          <w:b w:val="0"/>
          <w:sz w:val="21"/>
          <w:szCs w:val="21"/>
        </w:rPr>
        <w:t>六、合同文件构成</w:t>
      </w:r>
      <w:bookmarkEnd w:id="46"/>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本协议书与下列文件一起构成合同文件：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1、成交通知书；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2、本合同专用条款；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3、询标纪要；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4、磋商文件及磋商补充文件；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5、响应文件及其附件（含已标价工程量清单）；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6、图纸；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7、本合同通用条款；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8、标准、规范及有关技术文件；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9、其他合同文件</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 w:val="0"/>
          <w:bCs w:val="0"/>
          <w:sz w:val="21"/>
          <w:szCs w:val="21"/>
        </w:rPr>
      </w:pPr>
      <w:bookmarkStart w:id="47" w:name="_Toc351203487"/>
      <w:r>
        <w:rPr>
          <w:rFonts w:hint="eastAsia" w:asciiTheme="minorEastAsia" w:hAnsiTheme="minorEastAsia" w:eastAsiaTheme="minorEastAsia" w:cstheme="minorEastAsia"/>
          <w:b w:val="0"/>
          <w:sz w:val="21"/>
          <w:szCs w:val="21"/>
        </w:rPr>
        <w:t>七、承诺</w:t>
      </w:r>
      <w:bookmarkEnd w:id="47"/>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1.发包人承诺按照法律规定履行项目审批手续、筹集工程建设资金并按照合同约定的期限和方式支付合同价款。</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3.发包人和承包人通过招投标形式签订合同的，双方理解并承诺不再就同一工程另行签订与合同实质性内容相背离的协议。</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 w:val="0"/>
          <w:sz w:val="21"/>
          <w:szCs w:val="21"/>
        </w:rPr>
      </w:pPr>
      <w:bookmarkStart w:id="48" w:name="_Toc351203488"/>
      <w:r>
        <w:rPr>
          <w:rFonts w:hint="eastAsia" w:asciiTheme="minorEastAsia" w:hAnsiTheme="minorEastAsia" w:eastAsiaTheme="minorEastAsia" w:cstheme="minorEastAsia"/>
          <w:b w:val="0"/>
          <w:sz w:val="21"/>
          <w:szCs w:val="21"/>
        </w:rPr>
        <w:t>八、词语含义</w:t>
      </w:r>
      <w:bookmarkEnd w:id="48"/>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本协议书中词语含义与第二部分通用合同条款中赋予的含义相同。</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49" w:name="_Toc351203489"/>
      <w:r>
        <w:rPr>
          <w:rFonts w:hint="eastAsia" w:asciiTheme="minorEastAsia" w:hAnsiTheme="minorEastAsia" w:eastAsiaTheme="minorEastAsia" w:cstheme="minorEastAsia"/>
          <w:b w:val="0"/>
          <w:sz w:val="21"/>
          <w:szCs w:val="21"/>
        </w:rPr>
        <w:t>九、签订时间</w:t>
      </w:r>
      <w:bookmarkEnd w:id="49"/>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本合同于</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日签订。</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50" w:name="_Toc351203490"/>
      <w:r>
        <w:rPr>
          <w:rFonts w:hint="eastAsia" w:asciiTheme="minorEastAsia" w:hAnsiTheme="minorEastAsia" w:eastAsiaTheme="minorEastAsia" w:cstheme="minorEastAsia"/>
          <w:b w:val="0"/>
          <w:sz w:val="21"/>
          <w:szCs w:val="21"/>
        </w:rPr>
        <w:t>十、签订地点</w:t>
      </w:r>
      <w:bookmarkEnd w:id="50"/>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本合同在</w:t>
      </w:r>
      <w:r>
        <w:rPr>
          <w:rFonts w:hint="eastAsia" w:asciiTheme="minorEastAsia" w:hAnsiTheme="minorEastAsia" w:eastAsiaTheme="minorEastAsia" w:cstheme="minorEastAsia"/>
          <w:bCs/>
          <w:szCs w:val="21"/>
          <w:u w:val="single"/>
        </w:rPr>
        <w:t xml:space="preserve">   杭州市  </w:t>
      </w:r>
      <w:r>
        <w:rPr>
          <w:rFonts w:hint="eastAsia" w:asciiTheme="minorEastAsia" w:hAnsiTheme="minorEastAsia" w:eastAsiaTheme="minorEastAsia" w:cstheme="minorEastAsia"/>
          <w:bCs/>
          <w:szCs w:val="21"/>
        </w:rPr>
        <w:t>签订。</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51" w:name="_Toc351203491"/>
      <w:r>
        <w:rPr>
          <w:rFonts w:hint="eastAsia" w:asciiTheme="minorEastAsia" w:hAnsiTheme="minorEastAsia" w:eastAsiaTheme="minorEastAsia" w:cstheme="minorEastAsia"/>
          <w:b w:val="0"/>
          <w:sz w:val="21"/>
          <w:szCs w:val="21"/>
        </w:rPr>
        <w:t>十一、补充协议</w:t>
      </w:r>
      <w:bookmarkEnd w:id="51"/>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合同未尽事宜，合同当事人另行签订补充协议，补充协议是合同的组成部分。</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52" w:name="_Toc351203492"/>
      <w:r>
        <w:rPr>
          <w:rFonts w:hint="eastAsia" w:asciiTheme="minorEastAsia" w:hAnsiTheme="minorEastAsia" w:eastAsiaTheme="minorEastAsia" w:cstheme="minorEastAsia"/>
          <w:b w:val="0"/>
          <w:sz w:val="21"/>
          <w:szCs w:val="21"/>
        </w:rPr>
        <w:t>十二、合同生效</w:t>
      </w:r>
      <w:bookmarkEnd w:id="52"/>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本合同自</w:t>
      </w:r>
      <w:r>
        <w:rPr>
          <w:rFonts w:hint="eastAsia" w:asciiTheme="minorEastAsia" w:hAnsiTheme="minorEastAsia" w:eastAsiaTheme="minorEastAsia" w:cstheme="minorEastAsia"/>
          <w:b/>
          <w:szCs w:val="21"/>
          <w:u w:val="single"/>
        </w:rPr>
        <w:t>双方签字盖章后且承包人提交足额的履约担保后</w:t>
      </w:r>
      <w:r>
        <w:rPr>
          <w:rFonts w:hint="eastAsia" w:asciiTheme="minorEastAsia" w:hAnsiTheme="minorEastAsia" w:eastAsiaTheme="minorEastAsia" w:cstheme="minorEastAsia"/>
          <w:bCs/>
          <w:szCs w:val="21"/>
        </w:rPr>
        <w:t>生效。</w:t>
      </w:r>
    </w:p>
    <w:p>
      <w:pPr>
        <w:keepNext w:val="0"/>
        <w:keepLines w:val="0"/>
        <w:pageBreakBefore w:val="0"/>
        <w:widowControl/>
        <w:kinsoku/>
        <w:wordWrap/>
        <w:overflowPunct/>
        <w:topLinePunct w:val="0"/>
        <w:bidi w:val="0"/>
        <w:spacing w:line="360" w:lineRule="auto"/>
        <w:textAlignment w:val="auto"/>
        <w:outlineLvl w:val="9"/>
        <w:rPr>
          <w:rFonts w:hint="eastAsia" w:asciiTheme="minorEastAsia" w:hAnsiTheme="minorEastAsia" w:eastAsiaTheme="minorEastAsia" w:cstheme="minorEastAsia"/>
          <w:bCs w:val="0"/>
          <w:sz w:val="21"/>
          <w:szCs w:val="21"/>
        </w:rPr>
      </w:pPr>
      <w:bookmarkStart w:id="53" w:name="_Toc351203493"/>
      <w:r>
        <w:rPr>
          <w:rFonts w:hint="eastAsia" w:asciiTheme="minorEastAsia" w:hAnsiTheme="minorEastAsia" w:eastAsiaTheme="minorEastAsia" w:cstheme="minorEastAsia"/>
          <w:b w:val="0"/>
          <w:sz w:val="21"/>
          <w:szCs w:val="21"/>
        </w:rPr>
        <w:t>十三、合同份数</w:t>
      </w:r>
      <w:bookmarkEnd w:id="53"/>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本合同一式</w:t>
      </w:r>
      <w:r>
        <w:rPr>
          <w:rFonts w:hint="eastAsia" w:asciiTheme="minorEastAsia" w:hAnsiTheme="minorEastAsia" w:cstheme="minorEastAsia"/>
          <w:bCs/>
          <w:szCs w:val="21"/>
          <w:u w:val="single"/>
          <w:lang w:val="en-US" w:eastAsia="zh-CN"/>
        </w:rPr>
        <w:t>柒</w:t>
      </w:r>
      <w:r>
        <w:rPr>
          <w:rFonts w:hint="eastAsia" w:asciiTheme="minorEastAsia" w:hAnsiTheme="minorEastAsia" w:eastAsiaTheme="minorEastAsia" w:cstheme="minorEastAsia"/>
          <w:bCs/>
          <w:szCs w:val="21"/>
        </w:rPr>
        <w:t>份，均具有同等法律效力，发包人执</w:t>
      </w:r>
      <w:r>
        <w:rPr>
          <w:rFonts w:hint="eastAsia" w:asciiTheme="minorEastAsia" w:hAnsiTheme="minorEastAsia" w:cstheme="minorEastAsia"/>
          <w:bCs/>
          <w:szCs w:val="21"/>
          <w:u w:val="single"/>
          <w:lang w:val="en-US" w:eastAsia="zh-CN"/>
        </w:rPr>
        <w:t>叁</w:t>
      </w:r>
      <w:r>
        <w:rPr>
          <w:rFonts w:hint="eastAsia" w:asciiTheme="minorEastAsia" w:hAnsiTheme="minorEastAsia" w:eastAsiaTheme="minorEastAsia" w:cstheme="minorEastAsia"/>
          <w:bCs/>
          <w:szCs w:val="21"/>
        </w:rPr>
        <w:t>份，承包人执</w:t>
      </w:r>
      <w:r>
        <w:rPr>
          <w:rFonts w:hint="eastAsia" w:asciiTheme="minorEastAsia" w:hAnsiTheme="minorEastAsia" w:cstheme="minorEastAsia"/>
          <w:bCs/>
          <w:szCs w:val="21"/>
          <w:u w:val="single"/>
          <w:lang w:val="en-US" w:eastAsia="zh-CN"/>
        </w:rPr>
        <w:t>叁</w:t>
      </w:r>
      <w:r>
        <w:rPr>
          <w:rFonts w:hint="eastAsia" w:asciiTheme="minorEastAsia" w:hAnsiTheme="minorEastAsia" w:eastAsiaTheme="minorEastAsia" w:cstheme="minorEastAsia"/>
          <w:bCs/>
          <w:szCs w:val="21"/>
        </w:rPr>
        <w:t>份</w:t>
      </w:r>
      <w:r>
        <w:rPr>
          <w:rFonts w:hint="eastAsia" w:asciiTheme="minorEastAsia" w:hAnsiTheme="minorEastAsia" w:cstheme="minorEastAsia"/>
          <w:bCs/>
          <w:szCs w:val="21"/>
          <w:lang w:eastAsia="zh-CN"/>
        </w:rPr>
        <w:t>，</w:t>
      </w:r>
      <w:r>
        <w:rPr>
          <w:rFonts w:hint="eastAsia" w:asciiTheme="minorEastAsia" w:hAnsiTheme="minorEastAsia" w:cstheme="minorEastAsia"/>
          <w:bCs/>
          <w:szCs w:val="21"/>
          <w:lang w:val="en-US" w:eastAsia="zh-CN"/>
        </w:rPr>
        <w:t>招标代理机构</w:t>
      </w:r>
      <w:r>
        <w:rPr>
          <w:rFonts w:hint="eastAsia" w:asciiTheme="minorEastAsia" w:hAnsiTheme="minorEastAsia" w:cstheme="minorEastAsia"/>
          <w:bCs/>
          <w:szCs w:val="21"/>
          <w:u w:val="single"/>
          <w:lang w:val="en-US" w:eastAsia="zh-CN"/>
        </w:rPr>
        <w:t>壹</w:t>
      </w:r>
      <w:r>
        <w:rPr>
          <w:rFonts w:hint="eastAsia" w:asciiTheme="minorEastAsia" w:hAnsiTheme="minorEastAsia" w:cstheme="minorEastAsia"/>
          <w:bCs/>
          <w:szCs w:val="21"/>
          <w:lang w:val="en-US" w:eastAsia="zh-CN"/>
        </w:rPr>
        <w:t>份</w:t>
      </w:r>
      <w:r>
        <w:rPr>
          <w:rFonts w:hint="eastAsia" w:asciiTheme="minorEastAsia" w:hAnsiTheme="minorEastAsia" w:eastAsiaTheme="minorEastAsia" w:cstheme="minorEastAsia"/>
          <w:bCs/>
          <w:szCs w:val="21"/>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发包人：  (公章)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承包人：  (公章)</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法定代表人或其委托代理人：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法定代表人或其委托代理人：</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（签字）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（签字）</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p>
    <w:p>
      <w:pPr>
        <w:keepNext w:val="0"/>
        <w:keepLines w:val="0"/>
        <w:pageBreakBefore w:val="0"/>
        <w:widowControl/>
        <w:tabs>
          <w:tab w:val="left" w:pos="4410"/>
        </w:tabs>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组织机构代码：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组织机构代码：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法定代表人：</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委托代理人：</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电  话：</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single"/>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采购代理机构：杭州好邦建筑工程咨询有限公司（公章）</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采购代理机构代表：</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（签字）</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地址：</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9"/>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电话：</w:t>
      </w:r>
    </w:p>
    <w:p>
      <w:pPr>
        <w:keepNext w:val="0"/>
        <w:keepLines w:val="0"/>
        <w:pageBreakBefore w:val="0"/>
        <w:widowControl/>
        <w:kinsoku/>
        <w:wordWrap/>
        <w:overflowPunct/>
        <w:topLinePunct w:val="0"/>
        <w:bidi w:val="0"/>
        <w:adjustRightInd w:val="0"/>
        <w:snapToGrid w:val="0"/>
        <w:spacing w:line="360" w:lineRule="auto"/>
        <w:ind w:firstLine="440" w:firstLineChars="20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u w:val="none"/>
        </w:rPr>
        <w:t>鉴证时间：    年   月   日</w:t>
      </w:r>
      <w:r>
        <w:rPr>
          <w:rFonts w:hint="eastAsia" w:asciiTheme="minorEastAsia" w:hAnsiTheme="minorEastAsia" w:eastAsiaTheme="minorEastAsia" w:cstheme="minorEastAsia"/>
          <w:szCs w:val="21"/>
          <w:u w:val="single"/>
        </w:rPr>
        <w:br w:type="page"/>
      </w:r>
      <w:bookmarkStart w:id="54" w:name="_Toc337558727"/>
      <w:r>
        <w:rPr>
          <w:rFonts w:hint="eastAsia" w:asciiTheme="minorEastAsia" w:hAnsiTheme="minorEastAsia" w:eastAsiaTheme="minorEastAsia" w:cstheme="minorEastAsia"/>
          <w:b/>
          <w:bCs/>
          <w:kern w:val="0"/>
          <w:sz w:val="21"/>
          <w:szCs w:val="21"/>
        </w:rPr>
        <w:t>第二部分 通用合同条款</w:t>
      </w:r>
    </w:p>
    <w:p>
      <w:pPr>
        <w:pageBreakBefore w:val="0"/>
        <w:widowControl/>
        <w:kinsoku/>
        <w:wordWrap/>
        <w:overflowPunct/>
        <w:topLinePunct w:val="0"/>
        <w:bidi w:val="0"/>
        <w:adjustRightInd w:val="0"/>
        <w:snapToGrid w:val="0"/>
        <w:spacing w:line="360" w:lineRule="auto"/>
        <w:ind w:firstLine="440" w:firstLineChars="20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略，见（GF—2017—0201）《建设工程施工合同》（示范文本）</w:t>
      </w:r>
    </w:p>
    <w:bookmarkEnd w:id="54"/>
    <w:p>
      <w:pPr>
        <w:keepNext w:val="0"/>
        <w:keepLines w:val="0"/>
        <w:pageBreakBefore w:val="0"/>
        <w:widowControl/>
        <w:kinsoku/>
        <w:wordWrap/>
        <w:overflowPunct/>
        <w:topLinePunct w:val="0"/>
        <w:bidi w:val="0"/>
        <w:adjustRightInd w:val="0"/>
        <w:snapToGrid w:val="0"/>
        <w:spacing w:line="360" w:lineRule="auto"/>
        <w:ind w:firstLine="422" w:firstLineChars="200"/>
        <w:jc w:val="center"/>
        <w:textAlignment w:val="auto"/>
        <w:outlineLvl w:val="9"/>
        <w:rPr>
          <w:rFonts w:hint="eastAsia" w:asciiTheme="minorEastAsia" w:hAnsiTheme="minorEastAsia" w:eastAsiaTheme="minorEastAsia" w:cstheme="minorEastAsia"/>
          <w:b/>
          <w:bCs/>
          <w:kern w:val="0"/>
          <w:sz w:val="21"/>
          <w:szCs w:val="21"/>
        </w:rPr>
      </w:pPr>
      <w:bookmarkStart w:id="55" w:name="_Toc351203632"/>
      <w:r>
        <w:rPr>
          <w:rFonts w:hint="eastAsia" w:asciiTheme="minorEastAsia" w:hAnsiTheme="minorEastAsia" w:eastAsiaTheme="minorEastAsia" w:cstheme="minorEastAsia"/>
          <w:b/>
          <w:bCs/>
          <w:kern w:val="0"/>
          <w:sz w:val="21"/>
          <w:szCs w:val="21"/>
        </w:rPr>
        <w:t>第三部分 专用合同条款</w:t>
      </w:r>
      <w:bookmarkEnd w:id="55"/>
    </w:p>
    <w:p>
      <w:pPr>
        <w:pStyle w:val="5"/>
        <w:pageBreakBefore w:val="0"/>
        <w:widowControl/>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 w:name="_Toc351203633"/>
      <w:r>
        <w:rPr>
          <w:rFonts w:hint="eastAsia" w:asciiTheme="minorEastAsia" w:hAnsiTheme="minorEastAsia" w:eastAsiaTheme="minorEastAsia" w:cstheme="minorEastAsia"/>
          <w:b w:val="0"/>
          <w:sz w:val="21"/>
          <w:szCs w:val="21"/>
        </w:rPr>
        <w:t>1</w:t>
      </w:r>
      <w:bookmarkStart w:id="57" w:name="_Toc296347155"/>
      <w:bookmarkStart w:id="58" w:name="_Toc296891196"/>
      <w:bookmarkStart w:id="59" w:name="_Toc297048342"/>
      <w:bookmarkStart w:id="60" w:name="_Toc297120456"/>
      <w:bookmarkStart w:id="61" w:name="_Toc296503156"/>
      <w:bookmarkStart w:id="62" w:name="_Toc292559361"/>
      <w:bookmarkStart w:id="63" w:name="_Toc296346657"/>
      <w:bookmarkStart w:id="64" w:name="_Toc296890984"/>
      <w:bookmarkStart w:id="65" w:name="_Toc296944495"/>
      <w:bookmarkStart w:id="66" w:name="_Toc292559866"/>
      <w:r>
        <w:rPr>
          <w:rFonts w:hint="eastAsia" w:asciiTheme="minorEastAsia" w:hAnsiTheme="minorEastAsia" w:eastAsiaTheme="minorEastAsia" w:cstheme="minorEastAsia"/>
          <w:b w:val="0"/>
          <w:sz w:val="21"/>
          <w:szCs w:val="21"/>
        </w:rPr>
        <w:t>. 一般约定</w:t>
      </w:r>
      <w:bookmarkEnd w:id="56"/>
    </w:p>
    <w:bookmarkEnd w:id="57"/>
    <w:bookmarkEnd w:id="58"/>
    <w:bookmarkEnd w:id="59"/>
    <w:bookmarkEnd w:id="60"/>
    <w:bookmarkEnd w:id="61"/>
    <w:bookmarkEnd w:id="62"/>
    <w:bookmarkEnd w:id="63"/>
    <w:bookmarkEnd w:id="64"/>
    <w:bookmarkEnd w:id="65"/>
    <w:bookmarkEnd w:id="66"/>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 词语定义</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1.1.1.10其他合同文件包括：</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 合同当事人及其他相关方</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1.1.2.4监理人：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资质类别和等级：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1.1.2.5 设计人：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资质类别和等级：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 工程和设备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1.1.3.7 作为施工现场组成部分的其他场所包括：</w:t>
      </w:r>
      <w:r>
        <w:rPr>
          <w:rFonts w:hint="eastAsia" w:asciiTheme="minorEastAsia" w:hAnsiTheme="minorEastAsia" w:eastAsiaTheme="minorEastAsia" w:cstheme="minorEastAsia"/>
          <w:szCs w:val="21"/>
          <w:u w:val="single"/>
        </w:rPr>
        <w:t xml:space="preserve"> /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1.1.3.9 永久占地包括：</w:t>
      </w:r>
      <w:r>
        <w:rPr>
          <w:rFonts w:hint="eastAsia" w:asciiTheme="minorEastAsia" w:hAnsiTheme="minorEastAsia" w:eastAsiaTheme="minorEastAsia" w:cstheme="minorEastAsia"/>
          <w:szCs w:val="21"/>
          <w:u w:val="single"/>
        </w:rPr>
        <w:t xml:space="preserve">       /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1.1.3.10 临时占地包括：</w:t>
      </w:r>
      <w:r>
        <w:rPr>
          <w:rFonts w:hint="eastAsia" w:asciiTheme="minorEastAsia" w:hAnsiTheme="minorEastAsia" w:eastAsiaTheme="minorEastAsia" w:cstheme="minorEastAsia"/>
          <w:szCs w:val="21"/>
          <w:u w:val="single"/>
        </w:rPr>
        <w:t xml:space="preserve">     /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1.3法律 </w:t>
      </w:r>
    </w:p>
    <w:p>
      <w:pPr>
        <w:pageBreakBefore w:val="0"/>
        <w:widowControl/>
        <w:kinsoku/>
        <w:wordWrap/>
        <w:overflowPunct/>
        <w:topLinePunct w:val="0"/>
        <w:autoSpaceDE w:val="0"/>
        <w:autoSpaceDN w:val="0"/>
        <w:bidi w:val="0"/>
        <w:adjustRightInd w:val="0"/>
        <w:snapToGrid w:val="0"/>
        <w:spacing w:line="360" w:lineRule="auto"/>
        <w:ind w:left="625" w:leftChars="284"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适用于合同的其他规范性文件：</w:t>
      </w:r>
      <w:r>
        <w:rPr>
          <w:rFonts w:hint="eastAsia" w:asciiTheme="minorEastAsia" w:hAnsiTheme="minorEastAsia" w:eastAsiaTheme="minorEastAsia" w:cstheme="minorEastAsia"/>
          <w:b/>
          <w:szCs w:val="21"/>
          <w:u w:val="single"/>
        </w:rPr>
        <w:t>《中华人民共和国建筑法》、《中华人民共和国合同法》、《中华人民共和国政府采购法》及国家、浙江省、杭州市现行的其它法律、行政法规、地方性法规</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 标准和规范</w:t>
      </w:r>
    </w:p>
    <w:p>
      <w:pPr>
        <w:pageBreakBefore w:val="0"/>
        <w:widowControl/>
        <w:kinsoku/>
        <w:wordWrap/>
        <w:overflowPunct/>
        <w:topLinePunct w:val="0"/>
        <w:bidi w:val="0"/>
        <w:adjustRightInd w:val="0"/>
        <w:snapToGrid w:val="0"/>
        <w:spacing w:line="360" w:lineRule="auto"/>
        <w:ind w:left="625" w:leftChars="284"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1.4.1适用于工程的标准规范包括：</w:t>
      </w:r>
      <w:r>
        <w:rPr>
          <w:rFonts w:hint="eastAsia" w:asciiTheme="minorEastAsia" w:hAnsiTheme="minorEastAsia" w:eastAsiaTheme="minorEastAsia" w:cstheme="minorEastAsia"/>
          <w:b/>
          <w:szCs w:val="21"/>
          <w:u w:val="single"/>
        </w:rPr>
        <w:t>按最新国家标准，地方规范执行。如遇设计或施工规范和标准对同一问题的处理出现矛盾的情况时，承包方应及时通知监理工程师，并提出解决办法，征得监理工程师的同意后实施</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1.4.2 发包人提供国外标准、规范的名称：</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发包人提供国外标准、规范的份数：</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发包人提供国外标准、规范的名称：</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1.4.3发包人对工程的技术标准和功能要求的特殊要求：</w:t>
      </w:r>
      <w:r>
        <w:rPr>
          <w:rFonts w:hint="eastAsia" w:asciiTheme="minorEastAsia" w:hAnsiTheme="minorEastAsia" w:eastAsiaTheme="minorEastAsia" w:cstheme="minorEastAsia"/>
          <w:b/>
          <w:szCs w:val="21"/>
          <w:u w:val="single"/>
        </w:rPr>
        <w:t>按磋商文件相关条款的约定</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 合同文件的优先顺序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合同文件组成及优先顺序为：</w:t>
      </w:r>
    </w:p>
    <w:p>
      <w:pPr>
        <w:pageBreakBefore w:val="0"/>
        <w:widowControl/>
        <w:kinsoku/>
        <w:wordWrap/>
        <w:overflowPunct/>
        <w:topLinePunct w:val="0"/>
        <w:autoSpaceDE w:val="0"/>
        <w:autoSpaceDN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 图纸和承包人文件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 图纸的提供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发包人向承包人提供图纸的期限：</w:t>
      </w:r>
      <w:r>
        <w:rPr>
          <w:rFonts w:hint="eastAsia" w:asciiTheme="minorEastAsia" w:hAnsiTheme="minorEastAsia" w:eastAsiaTheme="minorEastAsia" w:cstheme="minorEastAsia"/>
          <w:b/>
          <w:szCs w:val="21"/>
          <w:u w:val="single"/>
        </w:rPr>
        <w:t>合同签定后7天内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发包人向承包人提供图纸的数量：</w:t>
      </w:r>
      <w:r>
        <w:rPr>
          <w:rFonts w:hint="eastAsia" w:asciiTheme="minorEastAsia" w:hAnsiTheme="minorEastAsia" w:eastAsiaTheme="minorEastAsia" w:cstheme="minorEastAsia"/>
          <w:b/>
          <w:szCs w:val="21"/>
          <w:u w:val="single"/>
        </w:rPr>
        <w:t>提供施工图纸4套，如承包人额外需要提供施工图纸的，则额外增加的施工图纸的制作费由承包人承担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发包人向承包人提供图纸的内容：</w:t>
      </w:r>
      <w:r>
        <w:rPr>
          <w:rFonts w:hint="eastAsia" w:asciiTheme="minorEastAsia" w:hAnsiTheme="minorEastAsia" w:eastAsiaTheme="minorEastAsia" w:cstheme="minorEastAsia"/>
          <w:b/>
          <w:szCs w:val="21"/>
          <w:u w:val="single"/>
        </w:rPr>
        <w:t>不得向他人提供本工程的图纸或将图纸用于其他工程，否则发包人有权解除合同并有权向承包人进行索赔</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1.6.4 承包人文件</w:t>
      </w:r>
    </w:p>
    <w:p>
      <w:pPr>
        <w:pageBreakBefore w:val="0"/>
        <w:widowControl/>
        <w:kinsoku/>
        <w:wordWrap/>
        <w:overflowPunct/>
        <w:topLinePunct w:val="0"/>
        <w:bidi w:val="0"/>
        <w:adjustRightInd w:val="0"/>
        <w:snapToGrid w:val="0"/>
        <w:spacing w:line="360" w:lineRule="auto"/>
        <w:ind w:left="625" w:leftChars="284"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需要由承包人提供的文件，包括：</w:t>
      </w:r>
      <w:r>
        <w:rPr>
          <w:rFonts w:hint="eastAsia" w:asciiTheme="minorEastAsia" w:hAnsiTheme="minorEastAsia" w:eastAsiaTheme="minorEastAsia" w:cstheme="minorEastAsia"/>
          <w:b/>
          <w:szCs w:val="21"/>
          <w:u w:val="single"/>
        </w:rPr>
        <w:t>施工组织设计（施工方案）和进度计划</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承包人提供的文件的期限为：</w:t>
      </w:r>
      <w:r>
        <w:rPr>
          <w:rFonts w:hint="eastAsia" w:asciiTheme="minorEastAsia" w:hAnsiTheme="minorEastAsia" w:eastAsiaTheme="minorEastAsia" w:cstheme="minorEastAsia"/>
          <w:b/>
          <w:szCs w:val="21"/>
          <w:u w:val="single"/>
        </w:rPr>
        <w:t>合同签订后叁天提供</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承包人提供的文件的数量为：</w:t>
      </w:r>
      <w:r>
        <w:rPr>
          <w:rFonts w:hint="eastAsia" w:asciiTheme="minorEastAsia" w:hAnsiTheme="minorEastAsia" w:eastAsiaTheme="minorEastAsia" w:cstheme="minorEastAsia"/>
          <w:b/>
          <w:szCs w:val="21"/>
          <w:u w:val="single"/>
        </w:rPr>
        <w:t>叁套</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承包人提供的文件的形式为：</w:t>
      </w:r>
      <w:r>
        <w:rPr>
          <w:rFonts w:hint="eastAsia" w:asciiTheme="minorEastAsia" w:hAnsiTheme="minorEastAsia" w:eastAsiaTheme="minorEastAsia" w:cstheme="minorEastAsia"/>
          <w:b/>
          <w:szCs w:val="21"/>
          <w:u w:val="single"/>
        </w:rPr>
        <w:t>书面文件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发包人审批承包人文件的期限：</w:t>
      </w:r>
      <w:r>
        <w:rPr>
          <w:rFonts w:hint="eastAsia" w:asciiTheme="minorEastAsia" w:hAnsiTheme="minorEastAsia" w:eastAsiaTheme="minorEastAsia" w:cstheme="minorEastAsia"/>
          <w:b/>
          <w:szCs w:val="21"/>
          <w:u w:val="single"/>
        </w:rPr>
        <w:t>收到报告后柒天内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1.6.5 现场图纸准备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关于现场图纸准备的约定：</w:t>
      </w:r>
      <w:r>
        <w:rPr>
          <w:rFonts w:hint="eastAsia" w:asciiTheme="minorEastAsia" w:hAnsiTheme="minorEastAsia" w:eastAsiaTheme="minorEastAsia" w:cstheme="minorEastAsia"/>
          <w:b/>
          <w:szCs w:val="21"/>
          <w:u w:val="single"/>
        </w:rPr>
        <w:t>按通用合同条款第1.6.5条规定执行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 联络</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1.7.1发包人和承包人应当在</w:t>
      </w:r>
      <w:r>
        <w:rPr>
          <w:rFonts w:hint="eastAsia" w:asciiTheme="minorEastAsia" w:hAnsiTheme="minorEastAsia" w:eastAsiaTheme="minorEastAsia" w:cstheme="minorEastAsia"/>
          <w:szCs w:val="21"/>
          <w:u w:val="single"/>
        </w:rPr>
        <w:t>七</w:t>
      </w:r>
      <w:r>
        <w:rPr>
          <w:rFonts w:hint="eastAsia" w:asciiTheme="minorEastAsia" w:hAnsiTheme="minorEastAsia" w:eastAsiaTheme="minorEastAsia" w:cstheme="minorEastAsia"/>
          <w:kern w:val="0"/>
          <w:szCs w:val="21"/>
        </w:rPr>
        <w:t>天内将与合同有关的通知、批准、证明、证书、指示、指令、要求、请求、同意、意见、确定和决定等书面函件送达对方当事人。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1.7.2 发包人接收文件的地点：</w:t>
      </w:r>
      <w:r>
        <w:rPr>
          <w:rFonts w:hint="eastAsia" w:asciiTheme="minorEastAsia" w:hAnsiTheme="minorEastAsia" w:eastAsiaTheme="minorEastAsia" w:cstheme="minorEastAsia"/>
          <w:szCs w:val="21"/>
          <w:u w:val="single"/>
        </w:rPr>
        <w:t>施工现场</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发包人指定的接收人为：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承包人接收文件的地点：</w:t>
      </w:r>
      <w:r>
        <w:rPr>
          <w:rFonts w:hint="eastAsia" w:asciiTheme="minorEastAsia" w:hAnsiTheme="minorEastAsia" w:eastAsiaTheme="minorEastAsia" w:cstheme="minorEastAsia"/>
          <w:szCs w:val="21"/>
          <w:u w:val="single"/>
        </w:rPr>
        <w:t>施工现场</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承包人指定的接收人为：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监理人接收文件的地点：</w:t>
      </w:r>
      <w:r>
        <w:rPr>
          <w:rFonts w:hint="eastAsia" w:asciiTheme="minorEastAsia" w:hAnsiTheme="minorEastAsia" w:eastAsiaTheme="minorEastAsia" w:cstheme="minorEastAsia"/>
          <w:szCs w:val="21"/>
          <w:u w:val="single"/>
        </w:rPr>
        <w:t>施工现场</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监理人指定的接收人为：</w:t>
      </w:r>
      <w:r>
        <w:rPr>
          <w:rFonts w:hint="eastAsia" w:asciiTheme="minorEastAsia" w:hAnsiTheme="minorEastAsia" w:eastAsiaTheme="minorEastAsia" w:cstheme="minorEastAsia"/>
          <w:szCs w:val="21"/>
          <w:u w:val="single"/>
        </w:rPr>
        <w:t>总监</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1.10 交通运输</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67" w:name="_Toc303539100"/>
      <w:bookmarkStart w:id="68" w:name="_Toc312677986"/>
      <w:bookmarkStart w:id="69" w:name="_Toc300934943"/>
      <w:bookmarkStart w:id="70" w:name="_Toc304295521"/>
      <w:bookmarkStart w:id="71" w:name="_Toc318581155"/>
      <w:r>
        <w:rPr>
          <w:rFonts w:hint="eastAsia" w:asciiTheme="minorEastAsia" w:hAnsiTheme="minorEastAsia" w:eastAsiaTheme="minorEastAsia" w:cstheme="minorEastAsia"/>
          <w:szCs w:val="21"/>
        </w:rPr>
        <w:t>.10.1 出入现场的权利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关于出入现场的权利的约定：</w:t>
      </w:r>
      <w:r>
        <w:rPr>
          <w:rFonts w:hint="eastAsia" w:asciiTheme="minorEastAsia" w:hAnsiTheme="minorEastAsia" w:eastAsiaTheme="minorEastAsia" w:cstheme="minorEastAsia"/>
          <w:szCs w:val="21"/>
          <w:u w:val="single"/>
        </w:rPr>
        <w:t>按通用合同条款第1.10.1条规定执行</w:t>
      </w:r>
      <w:r>
        <w:rPr>
          <w:rFonts w:hint="eastAsia" w:asciiTheme="minorEastAsia" w:hAnsiTheme="minorEastAsia" w:eastAsiaTheme="minorEastAsia" w:cstheme="minorEastAsia"/>
          <w:szCs w:val="21"/>
        </w:rPr>
        <w:t>。</w:t>
      </w:r>
    </w:p>
    <w:bookmarkEnd w:id="67"/>
    <w:bookmarkEnd w:id="68"/>
    <w:bookmarkEnd w:id="69"/>
    <w:bookmarkEnd w:id="70"/>
    <w:bookmarkEnd w:id="71"/>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72" w:name="_Toc303539101"/>
      <w:bookmarkStart w:id="73" w:name="_Toc300934944"/>
      <w:bookmarkStart w:id="74" w:name="_Toc318581156"/>
      <w:bookmarkStart w:id="75" w:name="_Toc304295522"/>
      <w:bookmarkStart w:id="76" w:name="_Toc312677987"/>
      <w:r>
        <w:rPr>
          <w:rFonts w:hint="eastAsia" w:asciiTheme="minorEastAsia" w:hAnsiTheme="minorEastAsia" w:eastAsiaTheme="minorEastAsia" w:cstheme="minorEastAsia"/>
          <w:szCs w:val="21"/>
        </w:rPr>
        <w:t>.10.3 场内交通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关于场外交通和场内交通的边界的约定：</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关于发包人向承包人免费提供满足工程施工需要的场内道路和交通设施的约定：利用现有的场内道路和交通设施，如需新建，承包人自行建设，并承担费用。  </w:t>
      </w:r>
      <w:bookmarkEnd w:id="72"/>
      <w:bookmarkEnd w:id="73"/>
      <w:bookmarkEnd w:id="74"/>
      <w:bookmarkEnd w:id="75"/>
      <w:bookmarkEnd w:id="76"/>
      <w:bookmarkStart w:id="77" w:name="_Toc318581157"/>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1.10.4超大件和超重件的运输</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运输超大件或超重件所需的道路和桥梁临时加固改造费用和其他有关费用由</w:t>
      </w:r>
      <w:r>
        <w:rPr>
          <w:rFonts w:hint="eastAsia" w:asciiTheme="minorEastAsia" w:hAnsiTheme="minorEastAsia" w:eastAsiaTheme="minorEastAsia" w:cstheme="minorEastAsia"/>
          <w:b/>
          <w:szCs w:val="21"/>
          <w:u w:val="single"/>
        </w:rPr>
        <w:t>承包人</w:t>
      </w:r>
      <w:r>
        <w:rPr>
          <w:rFonts w:hint="eastAsia" w:asciiTheme="minorEastAsia" w:hAnsiTheme="minorEastAsia" w:eastAsiaTheme="minorEastAsia" w:cstheme="minorEastAsia"/>
          <w:szCs w:val="21"/>
        </w:rPr>
        <w:t>承担。</w:t>
      </w:r>
    </w:p>
    <w:bookmarkEnd w:id="77"/>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 知识产权</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b/>
          <w:szCs w:val="21"/>
          <w:u w:val="single"/>
        </w:rPr>
        <w:t>著作权属于发包人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关于发包人提供的上述文件的使用限制的要求：</w:t>
      </w:r>
      <w:r>
        <w:rPr>
          <w:rFonts w:hint="eastAsia" w:asciiTheme="minorEastAsia" w:hAnsiTheme="minorEastAsia" w:eastAsiaTheme="minorEastAsia" w:cstheme="minorEastAsia"/>
          <w:szCs w:val="21"/>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1.11.2 关于承包人为实施工程所编制文件的著作权的归属：</w:t>
      </w:r>
      <w:r>
        <w:rPr>
          <w:rFonts w:hint="eastAsia" w:asciiTheme="minorEastAsia" w:hAnsiTheme="minorEastAsia" w:eastAsiaTheme="minorEastAsia" w:cstheme="minorEastAsia"/>
          <w:szCs w:val="21"/>
          <w:u w:val="single"/>
        </w:rPr>
        <w:t>除署名权以外的著作权归发包人享有</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关于承包人提供的上述文件的使用限制的要求：</w:t>
      </w:r>
      <w:r>
        <w:rPr>
          <w:rFonts w:hint="eastAsia" w:asciiTheme="minorEastAsia" w:hAnsiTheme="minorEastAsia" w:eastAsiaTheme="minorEastAsia" w:cstheme="minorEastAsia"/>
          <w:szCs w:val="21"/>
          <w:u w:val="single"/>
        </w:rPr>
        <w:t>工程竣工验收后，经发包人事前书面同意，在不泄露发包人商业秘密或技术信息的情况下使用</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1.11.4 承包人在施工过程中所采用的专利、专有技术、技术秘密的使用费的承担方式：</w:t>
      </w:r>
      <w:r>
        <w:rPr>
          <w:rFonts w:hint="eastAsia" w:asciiTheme="minorEastAsia" w:hAnsiTheme="minorEastAsia" w:eastAsiaTheme="minorEastAsia" w:cstheme="minorEastAsia"/>
          <w:szCs w:val="21"/>
          <w:u w:val="single"/>
        </w:rPr>
        <w:t>承包人自行承担；（除发包人指明外）承包人在施工过程中所采用的专利、专有技术、技术秘密的使用费用均已包含在本合同价款内，发包人不再另行支付</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1.13工程量清单错误的修正</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出现工程量清单错误时，是否调整合同价格：</w:t>
      </w:r>
      <w:r>
        <w:rPr>
          <w:rFonts w:hint="eastAsia" w:asciiTheme="minorEastAsia" w:hAnsiTheme="minorEastAsia" w:eastAsiaTheme="minorEastAsia" w:cstheme="minorEastAsia"/>
          <w:szCs w:val="21"/>
          <w:u w:val="single"/>
        </w:rPr>
        <w:t>参照本合同专用条款12.1执行</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允许调整合同价格的工程量偏差范围：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autoSpaceDE/>
        <w:autoSpaceDN/>
        <w:bidi w:val="0"/>
        <w:spacing w:line="360" w:lineRule="auto"/>
        <w:textAlignment w:val="auto"/>
        <w:rPr>
          <w:rFonts w:hint="eastAsia"/>
        </w:rPr>
      </w:pPr>
      <w:bookmarkStart w:id="78" w:name="_Toc351203634"/>
      <w:r>
        <w:rPr>
          <w:rFonts w:hint="eastAsia"/>
        </w:rPr>
        <w:t>2</w:t>
      </w:r>
      <w:bookmarkStart w:id="79" w:name="_Toc296503157"/>
      <w:bookmarkStart w:id="80" w:name="_Toc296944496"/>
      <w:bookmarkStart w:id="81" w:name="_Toc292559867"/>
      <w:bookmarkStart w:id="82" w:name="_Toc296346658"/>
      <w:bookmarkStart w:id="83" w:name="_Toc296891197"/>
      <w:bookmarkStart w:id="84" w:name="_Toc292559362"/>
      <w:bookmarkStart w:id="85" w:name="_Toc296347156"/>
      <w:bookmarkStart w:id="86" w:name="_Toc296890985"/>
      <w:bookmarkStart w:id="87" w:name="_Toc297048343"/>
      <w:bookmarkStart w:id="88" w:name="_Toc297120457"/>
      <w:r>
        <w:rPr>
          <w:rFonts w:hint="eastAsia"/>
        </w:rPr>
        <w:t>. 发包人</w:t>
      </w:r>
      <w:bookmarkEnd w:id="78"/>
    </w:p>
    <w:bookmarkEnd w:id="79"/>
    <w:bookmarkEnd w:id="80"/>
    <w:bookmarkEnd w:id="81"/>
    <w:bookmarkEnd w:id="82"/>
    <w:bookmarkEnd w:id="83"/>
    <w:bookmarkEnd w:id="84"/>
    <w:bookmarkEnd w:id="85"/>
    <w:bookmarkEnd w:id="86"/>
    <w:bookmarkEnd w:id="87"/>
    <w:bookmarkEnd w:id="88"/>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发包人代表</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发包人代表：</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    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发包人对发包人代表的授权范围如下：</w:t>
      </w:r>
      <w:r>
        <w:rPr>
          <w:rFonts w:hint="eastAsia" w:asciiTheme="minorEastAsia" w:hAnsiTheme="minorEastAsia" w:eastAsiaTheme="minorEastAsia" w:cstheme="minorEastAsia"/>
          <w:b/>
          <w:bCs/>
          <w:szCs w:val="21"/>
          <w:u w:val="single"/>
        </w:rPr>
        <w:t>对质量、成本、安全、进度进行全面管理，涉及合同价格变更、安全事故、质量事故等重大事项的处理须经发包人领导班子签字同意。</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 施工现场、施工条件和基础资料的提供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2.4.1 提供施工现场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关于发包人移交施工现场的期限要求：</w:t>
      </w:r>
      <w:r>
        <w:rPr>
          <w:rFonts w:hint="eastAsia" w:asciiTheme="minorEastAsia" w:hAnsiTheme="minorEastAsia" w:eastAsiaTheme="minorEastAsia" w:cstheme="minorEastAsia"/>
          <w:b/>
          <w:bCs/>
          <w:szCs w:val="21"/>
          <w:u w:val="single"/>
        </w:rPr>
        <w:t>对质量、成本、安全、进度进行全面管理，涉及合同价格变更、安全事故、质量事故等重大事项的处理须经发包人领导班子签字同意。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2.4.2 提供施工条件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关于发包人应负责提供施工所需要的条件，包括：</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u w:val="single"/>
        </w:rPr>
        <w:t>除选用通用合同条款第2.4.2条规定外，开工前七天，由发包人协助承包人办理好施工所需证件、批件；开工前七天，完成水准点与坐标点双方在施工现场的校验；开工前七天，完成图纸会审和设计交底</w:t>
      </w:r>
      <w:r>
        <w:rPr>
          <w:rFonts w:hint="eastAsia" w:asciiTheme="minorEastAsia" w:hAnsiTheme="minorEastAsia" w:eastAsiaTheme="minorEastAsia" w:cstheme="minorEastAsia"/>
          <w:b/>
          <w:szCs w:val="21"/>
        </w:rPr>
        <w:t>。</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（2）施工所需的水、电、电讯线路接至施工场地的时间、地点和供应要求：</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①所需正常施工的电源、水源已由发包方在开工前安装至施工现场边缘。</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 xml:space="preserve">②施工用电：施工场内临时低压接电及线缆铺设费用要求承包人自理并包括在磋商响应总价内。 </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③施工用水：施工场内临时用水接水管铺设费用由承包人自理并包括在磋商响应总价内。</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④施工用水、用电费用由承包人承担，装表计量，费用包含在总价中，工程结算时扣除。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⑤用电与用水高峰期时供应不足由承包人自行设法解决，费用由承包人综合考虑在报价中，发包人不另支付相关费用。</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3）协调处理施工场地周围地下管线和邻近建筑物、构筑物（含文物保护建筑）、古树名木的保护工作：发包人在磋商前提供已知原有地下管线资料，承包人在施工前对地下管线提出保护方案，发包人等有关部门及时审核后，费用由承包人承担；发包人未提供且磋商文件未明确需承包人承担的保护工作，承包人需向发包人及时报告施工现场内须保护的新发现的地下管线、邻近建筑物、构筑物（含文物保护建筑）、古树名木。未知地下管线由承包人负责开挖样洞并及时报告工程监理单位及发包人，承包人提出保护方案，发包人等有关部门及时审核后，费用由发包人承担；邻近建筑物、构筑物（含文物保护建筑）、古树名木，承包人严格按照施工图及相关规范规定施工后还须另行保护措施的，由承包人提出保护方案，发包人等有关部门及时审核后，费用协商解决。因承包人施工不当造成的损失，其费用由承包人承担。</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 资金来源证明及支付担保</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发包人提供资金来源证明的期限要求：</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发包人是否提供支付担保：</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发包人提供支付担保的形式：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autoSpaceDN/>
        <w:bidi w:val="0"/>
        <w:spacing w:line="360" w:lineRule="auto"/>
        <w:textAlignment w:val="auto"/>
        <w:rPr>
          <w:rFonts w:hint="eastAsia" w:asciiTheme="minorEastAsia" w:hAnsiTheme="minorEastAsia" w:eastAsiaTheme="minorEastAsia" w:cstheme="minorEastAsia"/>
        </w:rPr>
      </w:pPr>
      <w:bookmarkStart w:id="89" w:name="_Toc351203635"/>
      <w:r>
        <w:rPr>
          <w:rFonts w:hint="eastAsia" w:asciiTheme="minorEastAsia" w:hAnsiTheme="minorEastAsia" w:eastAsiaTheme="minorEastAsia" w:cstheme="minorEastAsia"/>
        </w:rPr>
        <w:t>3</w:t>
      </w:r>
      <w:bookmarkStart w:id="90" w:name="_Toc292559363"/>
      <w:bookmarkStart w:id="91" w:name="_Toc296346659"/>
      <w:bookmarkStart w:id="92" w:name="_Toc296890986"/>
      <w:bookmarkStart w:id="93" w:name="_Toc297120458"/>
      <w:bookmarkStart w:id="94" w:name="_Toc297048344"/>
      <w:bookmarkStart w:id="95" w:name="_Toc296944497"/>
      <w:bookmarkStart w:id="96" w:name="_Toc296503158"/>
      <w:bookmarkStart w:id="97" w:name="_Toc296347157"/>
      <w:bookmarkStart w:id="98" w:name="_Toc292559868"/>
      <w:bookmarkStart w:id="99" w:name="_Toc296891198"/>
      <w:r>
        <w:rPr>
          <w:rFonts w:hint="eastAsia" w:asciiTheme="minorEastAsia" w:hAnsiTheme="minorEastAsia" w:eastAsiaTheme="minorEastAsia" w:cstheme="minorEastAsia"/>
        </w:rPr>
        <w:t>. 承包人</w:t>
      </w:r>
      <w:bookmarkEnd w:id="89"/>
    </w:p>
    <w:bookmarkEnd w:id="90"/>
    <w:bookmarkEnd w:id="91"/>
    <w:bookmarkEnd w:id="92"/>
    <w:bookmarkEnd w:id="93"/>
    <w:bookmarkEnd w:id="94"/>
    <w:bookmarkEnd w:id="95"/>
    <w:bookmarkEnd w:id="96"/>
    <w:bookmarkEnd w:id="97"/>
    <w:bookmarkEnd w:id="98"/>
    <w:bookmarkEnd w:id="99"/>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 承包人的一般义务</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（1）应提供计划、报表的名称及完成时间：</w:t>
      </w:r>
      <w:r>
        <w:rPr>
          <w:rFonts w:hint="eastAsia" w:asciiTheme="minorEastAsia" w:hAnsiTheme="minorEastAsia" w:eastAsiaTheme="minorEastAsia" w:cstheme="minorEastAsia"/>
          <w:szCs w:val="21"/>
          <w:u w:val="single"/>
        </w:rPr>
        <w:t>本工程供应商须制定充分、完整、详细的施工组织方案和计划，报监理、</w:t>
      </w:r>
      <w:r>
        <w:rPr>
          <w:rFonts w:hint="eastAsia" w:asciiTheme="minorEastAsia" w:hAnsiTheme="minorEastAsia" w:cstheme="minorEastAsia"/>
          <w:szCs w:val="21"/>
          <w:u w:val="single"/>
          <w:lang w:val="en-US" w:eastAsia="zh-CN"/>
        </w:rPr>
        <w:t>学院</w:t>
      </w:r>
      <w:r>
        <w:rPr>
          <w:rFonts w:hint="eastAsia" w:asciiTheme="minorEastAsia" w:hAnsiTheme="minorEastAsia" w:eastAsiaTheme="minorEastAsia" w:cstheme="minorEastAsia"/>
          <w:szCs w:val="21"/>
          <w:u w:val="single"/>
        </w:rPr>
        <w:t>相关职能部门审核后开工，并编制应急预案一套。每月25日向发包人、监理单位提交当月完成工程量、本月工程产值报表及下月工程进度计划和主要材料使用计划及计划完成产值，一式三份，如不按期提供的，发包人有权拒付工程款。每周一报告本周作业计划，上周实施情况一式二份。（当月已完合格工程量：指上月25日至当月24日的工程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（2）承担施工安全保卫工作及非夜间施工照明的责任和要求：</w:t>
      </w:r>
      <w:r>
        <w:rPr>
          <w:rFonts w:hint="eastAsia" w:asciiTheme="minorEastAsia" w:hAnsiTheme="minorEastAsia" w:eastAsiaTheme="minorEastAsia" w:cstheme="minorEastAsia"/>
          <w:szCs w:val="21"/>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承担各级政府管理部门所要求的一切责任以及引起的所有经济和法律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（3）需承包人办理的有关施工场地交通、环卫和施工噪音管理等手续：</w:t>
      </w:r>
      <w:r>
        <w:rPr>
          <w:rFonts w:hint="eastAsia" w:asciiTheme="minorEastAsia" w:hAnsiTheme="minorEastAsia" w:eastAsiaTheme="minorEastAsia" w:cstheme="minorEastAsia"/>
          <w:szCs w:val="21"/>
          <w:u w:val="single"/>
        </w:rPr>
        <w:t>遵照政府有关部门对施工场地交通、环卫和施工噪音的管理规定，按规定办理相关手续，费用由承包人负责，发包人给予配合。如承包人未及时办理有关手续而造成的罚款由承包人承担。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（4）完工工程成品保护的特殊要求及费用承担：</w:t>
      </w:r>
      <w:r>
        <w:rPr>
          <w:rFonts w:hint="eastAsia" w:asciiTheme="minorEastAsia" w:hAnsiTheme="minorEastAsia" w:eastAsiaTheme="minorEastAsia" w:cstheme="minorEastAsia"/>
          <w:szCs w:val="21"/>
          <w:u w:val="single"/>
        </w:rPr>
        <w:t>按发包人的要求进行保护，所有费用承包人已在磋商响应报价中包干。</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（5）施工现场清洁卫生的要求：</w:t>
      </w:r>
      <w:r>
        <w:rPr>
          <w:rFonts w:hint="eastAsia" w:asciiTheme="minorEastAsia" w:hAnsiTheme="minorEastAsia" w:eastAsiaTheme="minorEastAsia" w:cstheme="minorEastAsia"/>
          <w:szCs w:val="21"/>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必须在规定的期限内自行拆除清运完毕，达到监理和发包人认为合格的使用状态否则将不予结算。</w:t>
      </w:r>
    </w:p>
    <w:p>
      <w:pPr>
        <w:pStyle w:val="8"/>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（6）承包人提交的竣工资料的内容：</w:t>
      </w:r>
      <w:r>
        <w:rPr>
          <w:rFonts w:hint="eastAsia" w:asciiTheme="minorEastAsia" w:hAnsiTheme="minorEastAsia" w:eastAsiaTheme="minorEastAsia" w:cstheme="minorEastAsia"/>
          <w:b/>
          <w:bCs/>
          <w:sz w:val="21"/>
          <w:szCs w:val="21"/>
          <w:u w:val="single"/>
        </w:rPr>
        <w:t>向发包方提供竣工图（肆套）、竣工资料及竣工验收报告，并附光盘（含影像资料、图片等）</w:t>
      </w:r>
      <w:r>
        <w:rPr>
          <w:rFonts w:hint="eastAsia" w:asciiTheme="minorEastAsia" w:hAnsiTheme="minorEastAsia" w:eastAsiaTheme="minorEastAsia" w:cstheme="minorEastAsia"/>
          <w:sz w:val="21"/>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承包人需要提交的竣工资料套数：</w:t>
      </w:r>
      <w:r>
        <w:rPr>
          <w:rFonts w:hint="eastAsia" w:asciiTheme="minorEastAsia" w:hAnsiTheme="minorEastAsia" w:eastAsiaTheme="minorEastAsia" w:cstheme="minorEastAsia"/>
          <w:b/>
          <w:bCs/>
          <w:szCs w:val="21"/>
          <w:u w:val="single"/>
        </w:rPr>
        <w:t>满足工程所在地建设行政主管部门和城市建设档案管理机构有关施工资料的要求</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承包人提交的竣工资料的费用承担：</w:t>
      </w:r>
      <w:r>
        <w:rPr>
          <w:rFonts w:hint="eastAsia" w:asciiTheme="minorEastAsia" w:hAnsiTheme="minorEastAsia" w:eastAsiaTheme="minorEastAsia" w:cstheme="minorEastAsia"/>
          <w:b/>
          <w:bCs/>
          <w:szCs w:val="21"/>
          <w:u w:val="single"/>
        </w:rPr>
        <w:t>承包人承担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承包人提交的竣工资料移交时间：</w:t>
      </w:r>
      <w:r>
        <w:rPr>
          <w:rFonts w:hint="eastAsia" w:asciiTheme="minorEastAsia" w:hAnsiTheme="minorEastAsia" w:eastAsiaTheme="minorEastAsia" w:cstheme="minorEastAsia"/>
          <w:b/>
          <w:bCs/>
          <w:szCs w:val="21"/>
          <w:u w:val="single"/>
        </w:rPr>
        <w:t>竣工验收前十天</w:t>
      </w:r>
      <w:r>
        <w:rPr>
          <w:rFonts w:hint="eastAsia" w:asciiTheme="minorEastAsia" w:hAnsiTheme="minorEastAsia" w:eastAsiaTheme="minorEastAsia" w:cstheme="minorEastAsia"/>
          <w:b/>
          <w:bCs/>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承包人提交的竣工资料形式要求：</w:t>
      </w:r>
      <w:r>
        <w:rPr>
          <w:rFonts w:hint="eastAsia" w:asciiTheme="minorEastAsia" w:hAnsiTheme="minorEastAsia" w:eastAsiaTheme="minorEastAsia" w:cstheme="minorEastAsia"/>
          <w:b/>
          <w:bCs/>
          <w:szCs w:val="21"/>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每逾期一天，承包人应按照人民币贰仟元向发包人支付违约金，且发包人有权拒付工程款。</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（7）承包人应履行的其他义务：</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b、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c、承包人在施工中，有责任配合发包人或发包人委托的科研单位进行本工程有关的科研监测、测试和检测工作，并不得提出任何费用要求。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f、承包人的项目部、临时加工场地、项目参与人员的临时宿舍等临时设施的借地由承包人负责，并承担一切费用。因条件有限，发包人概不负责相关场地宿舍等。</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g、承包人有责任维护发包人形象，若由于承包人的安全、文明施工问题而造成发包人被他人索赔，发包人保留向承包人索赔的权利。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h、接受发包人委托，负责办理施工期间的掘路执照、临时占路证、交通施工许可证、管线监护卡、质监和安监的报监手续。</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I、作为一名有经验的承包人，对于图纸设计中不满足现行验收规范要求的部分及时提出合理化的建议，若未及时发现并提出不利于今后施工及验收的问题，应承担相应的责任。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 项目经理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3.2.1 </w:t>
      </w:r>
      <w:r>
        <w:rPr>
          <w:rFonts w:hint="eastAsia" w:asciiTheme="minorEastAsia" w:hAnsiTheme="minorEastAsia" w:eastAsiaTheme="minorEastAsia" w:cstheme="minorEastAsia"/>
          <w:szCs w:val="21"/>
        </w:rPr>
        <w:t>项目经理：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建造师执业资格等级：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建造师注册证书号：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建造师执业印章号：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安全生产考核合格证书号：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承包人对项目经理的授权范围如下：</w:t>
      </w:r>
      <w:r>
        <w:rPr>
          <w:rFonts w:hint="eastAsia" w:asciiTheme="minorEastAsia" w:hAnsiTheme="minorEastAsia" w:eastAsiaTheme="minorEastAsia" w:cstheme="minorEastAsia"/>
          <w:szCs w:val="21"/>
          <w:u w:val="single"/>
        </w:rPr>
        <w:t>授予项目经理在紧急情况下的临时处置权，但应受到以下四个方面的限制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（1）只有在涉及工程及工程有关的人身和财产安全的情况下项目经理才能行使该项权力；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（2）项目经理只有在同时无法联系到发包人代表或总监理工程师的情况下才能行使该项权力；</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3）项目经理行使该项权力所采取的措施必要合理得当，而不能随意采取不必要的措施，如遭遇大风天气影响室外作业安全的，项目经理可以采取必要的安全防护措施或暂停室外作业，但不能以此为由暂停室内工作；</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关于项目经理每月在施工现场的时间要求：</w:t>
      </w:r>
      <w:r>
        <w:rPr>
          <w:rFonts w:hint="eastAsia" w:asciiTheme="minorEastAsia" w:hAnsiTheme="minorEastAsia" w:eastAsiaTheme="minorEastAsia" w:cstheme="minorEastAsia"/>
          <w:szCs w:val="21"/>
          <w:u w:val="single"/>
        </w:rPr>
        <w:t>出勤率按照为每月25天，每日工作时间8小时考勤。重要施工工序或环节时项目经理、技术负责人等必须到场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承包人未提交劳动合同，以及没有为项目经理缴纳社会保险证明的违约责任：</w:t>
      </w:r>
      <w:r>
        <w:rPr>
          <w:rFonts w:hint="eastAsia" w:asciiTheme="minorEastAsia" w:hAnsiTheme="minorEastAsia" w:eastAsiaTheme="minorEastAsia" w:cstheme="minorEastAsia"/>
          <w:szCs w:val="21"/>
          <w:u w:val="single"/>
        </w:rPr>
        <w:t>由承包人承担违约责任</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kern w:val="0"/>
          <w:szCs w:val="21"/>
        </w:rPr>
        <w:t>项目经理未经批准，擅自离开施工现场的违约责任：</w:t>
      </w:r>
      <w:r>
        <w:rPr>
          <w:rFonts w:hint="eastAsia" w:asciiTheme="minorEastAsia" w:hAnsiTheme="minorEastAsia" w:eastAsiaTheme="minorEastAsia" w:cstheme="minorEastAsia"/>
          <w:szCs w:val="21"/>
          <w:u w:val="single"/>
        </w:rPr>
        <w:t>按不到位违约处理， 项目经理每月在施工现场的时间未达到要求的，每日应承担违约金 1000 元，并承担由此增加的费用和延误的工期</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3.2.3 承包人擅自更换项目经理的违约责任：</w:t>
      </w:r>
      <w:r>
        <w:rPr>
          <w:rFonts w:hint="eastAsia" w:asciiTheme="minorEastAsia" w:hAnsiTheme="minorEastAsia" w:eastAsiaTheme="minorEastAsia" w:cstheme="minorEastAsia"/>
          <w:b/>
          <w:szCs w:val="21"/>
          <w:u w:val="single"/>
        </w:rPr>
        <w:t>在施工期间不准更换，特殊情况要求更换的项目经理的，须经发包人书面同意，同时发包人有权从工程款中按以下标准处以违约金：更换项目经理，则处以违约金2万元人民币/次</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3.2.4 承包人无正当理由拒绝更换项目经理的违约责任：</w:t>
      </w:r>
      <w:r>
        <w:rPr>
          <w:rFonts w:hint="eastAsia" w:asciiTheme="minorEastAsia" w:hAnsiTheme="minorEastAsia" w:eastAsiaTheme="minorEastAsia" w:cstheme="minorEastAsia"/>
          <w:szCs w:val="21"/>
          <w:u w:val="single"/>
        </w:rPr>
        <w:t>承包人在接到发包人第二次更换项目经理的通知后28天内仍未更换的，发包人有权指示承包人暂停施工，承包人须支付违约金2万元，并承担由此增加的费用和延误的工期；在暂停施工后14天内仍未更换项目经理的，发包人有权解除合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 承包人人员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3.3.1 承包人提交项目管理机构及施工现场管理人员安排报告的期限：</w:t>
      </w:r>
      <w:r>
        <w:rPr>
          <w:rFonts w:hint="eastAsia" w:asciiTheme="minorEastAsia" w:hAnsiTheme="minorEastAsia" w:eastAsiaTheme="minorEastAsia" w:cstheme="minorEastAsia"/>
          <w:b/>
          <w:bCs/>
          <w:szCs w:val="21"/>
          <w:u w:val="single"/>
        </w:rPr>
        <w:t>合同签订前</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3.3.3 承包人无正当理由拒绝撤换主要施工管理人员的违约责任：</w:t>
      </w:r>
      <w:r>
        <w:rPr>
          <w:rFonts w:hint="eastAsia" w:asciiTheme="minorEastAsia" w:hAnsiTheme="minorEastAsia" w:eastAsiaTheme="minorEastAsia" w:cstheme="minorEastAsia"/>
          <w:b/>
          <w:szCs w:val="21"/>
          <w:u w:val="single"/>
        </w:rPr>
        <w:t>技术负责人、施工员，处以违约金1万元人民币/次/人；安全员、质检员、材料员，处以违约金伍仟元人民币/次/人</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3.3.4 承包人主要施工管理人员离开施工现场的批准要求：   </w:t>
      </w:r>
      <w:r>
        <w:rPr>
          <w:rFonts w:hint="eastAsia" w:asciiTheme="minorEastAsia" w:hAnsiTheme="minorEastAsia" w:eastAsiaTheme="minorEastAsia" w:cstheme="minorEastAsia"/>
          <w:b/>
          <w:bCs/>
          <w:szCs w:val="21"/>
          <w:u w:val="single"/>
        </w:rPr>
        <w:t>按通用合同条款第3.3.4条规定执行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3.3.5承包人擅自更换主要施工管理人员的违约责任：</w:t>
      </w:r>
      <w:r>
        <w:rPr>
          <w:rFonts w:hint="eastAsia" w:asciiTheme="minorEastAsia" w:hAnsiTheme="minorEastAsia" w:eastAsiaTheme="minorEastAsia" w:cstheme="minorEastAsia"/>
          <w:b/>
          <w:szCs w:val="21"/>
          <w:u w:val="single"/>
        </w:rPr>
        <w:t>若更换技术负责人、施工员，处以违约金1万元人民币/次/人；若更换安全员、质检员、材料员，处以违约金伍仟元人民币/次/人。除上述违约责任外，同时扣除履约担保中的项目班子到位保证金</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承包人主要施工管理人员擅自离开施工现场的违约责任：</w:t>
      </w:r>
      <w:r>
        <w:rPr>
          <w:rFonts w:hint="eastAsia" w:asciiTheme="minorEastAsia" w:hAnsiTheme="minorEastAsia" w:eastAsiaTheme="minorEastAsia" w:cstheme="minorEastAsia"/>
          <w:b/>
          <w:bCs/>
          <w:szCs w:val="21"/>
          <w:u w:val="single"/>
        </w:rPr>
        <w:t>发包人有权要求更换管理人员</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bookmarkStart w:id="100" w:name="_Toc303539102"/>
      <w:bookmarkStart w:id="101" w:name="_Toc297120459"/>
      <w:bookmarkStart w:id="102" w:name="_Toc296503159"/>
      <w:bookmarkStart w:id="103" w:name="_Toc312677988"/>
      <w:bookmarkStart w:id="104" w:name="_Toc297123492"/>
      <w:bookmarkStart w:id="105" w:name="_Toc292559364"/>
      <w:bookmarkStart w:id="106" w:name="_Toc304295523"/>
      <w:bookmarkStart w:id="107" w:name="_Toc292559869"/>
      <w:bookmarkStart w:id="108" w:name="_Toc296346660"/>
      <w:bookmarkStart w:id="109" w:name="_Toc296890987"/>
      <w:bookmarkStart w:id="110" w:name="_Toc296944498"/>
      <w:bookmarkStart w:id="111" w:name="_Toc300934945"/>
      <w:bookmarkStart w:id="112" w:name="_Toc296347158"/>
      <w:bookmarkStart w:id="113" w:name="_Toc297216151"/>
      <w:bookmarkStart w:id="114" w:name="_Toc297048345"/>
      <w:bookmarkStart w:id="115" w:name="_Toc296891199"/>
      <w:r>
        <w:rPr>
          <w:rFonts w:hint="eastAsia" w:asciiTheme="minorEastAsia" w:hAnsiTheme="minorEastAsia" w:eastAsiaTheme="minorEastAsia" w:cstheme="minorEastAsia"/>
          <w:szCs w:val="21"/>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bookmarkStart w:id="116" w:name="_Toc300934946"/>
      <w:bookmarkStart w:id="117" w:name="_Toc296944499"/>
      <w:bookmarkStart w:id="118" w:name="_Toc304295524"/>
      <w:bookmarkStart w:id="119" w:name="_Toc296503160"/>
      <w:bookmarkStart w:id="120" w:name="_Toc292559870"/>
      <w:bookmarkStart w:id="121" w:name="_Toc296347159"/>
      <w:bookmarkStart w:id="122" w:name="_Toc297048346"/>
      <w:bookmarkStart w:id="123" w:name="_Toc297123493"/>
      <w:bookmarkStart w:id="124" w:name="_Toc303539103"/>
      <w:bookmarkStart w:id="125" w:name="_Toc297216152"/>
      <w:bookmarkStart w:id="126" w:name="_Toc296891200"/>
      <w:bookmarkStart w:id="127" w:name="_Toc297120460"/>
      <w:bookmarkStart w:id="128" w:name="_Toc296346661"/>
      <w:bookmarkStart w:id="129" w:name="_Toc296890988"/>
      <w:bookmarkStart w:id="130" w:name="_Toc292559365"/>
      <w:bookmarkStart w:id="131" w:name="_Toc312677989"/>
      <w:bookmarkStart w:id="132" w:name="_Toc318581158"/>
      <w:r>
        <w:rPr>
          <w:rFonts w:hint="eastAsia" w:asciiTheme="minorEastAsia" w:hAnsiTheme="minorEastAsia" w:eastAsiaTheme="minorEastAsia" w:cstheme="minorEastAsia"/>
          <w:szCs w:val="21"/>
        </w:rPr>
        <w:t>.5.1 分包的一般约定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禁止分包的工程包括：</w:t>
      </w:r>
      <w:r>
        <w:rPr>
          <w:rFonts w:hint="eastAsia" w:asciiTheme="minorEastAsia" w:hAnsiTheme="minorEastAsia" w:eastAsiaTheme="minorEastAsia" w:cstheme="minorEastAsia"/>
          <w:b/>
          <w:bCs/>
          <w:szCs w:val="21"/>
          <w:u w:val="single"/>
        </w:rPr>
        <w:t>未经发包人同意一律不得分包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主体结构、关键性工作的范围：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3" w:name="_Toc303539104"/>
      <w:bookmarkStart w:id="134" w:name="_Toc297123494"/>
      <w:bookmarkStart w:id="135" w:name="_Toc297048347"/>
      <w:bookmarkStart w:id="136" w:name="_Toc296944500"/>
      <w:bookmarkStart w:id="137" w:name="_Toc296503161"/>
      <w:bookmarkStart w:id="138" w:name="_Toc296346662"/>
      <w:bookmarkStart w:id="139" w:name="_Toc296891201"/>
      <w:bookmarkStart w:id="140" w:name="_Toc300934947"/>
      <w:bookmarkStart w:id="141" w:name="_Toc304295525"/>
      <w:bookmarkStart w:id="142" w:name="_Toc297216153"/>
      <w:bookmarkStart w:id="143" w:name="_Toc297120461"/>
      <w:bookmarkStart w:id="144" w:name="_Toc296890989"/>
      <w:bookmarkStart w:id="145" w:name="_Toc296347160"/>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bookmarkStart w:id="146" w:name="_Toc312677990"/>
      <w:bookmarkStart w:id="147" w:name="_Toc318581159"/>
      <w:r>
        <w:rPr>
          <w:rFonts w:hint="eastAsia" w:asciiTheme="minorEastAsia" w:hAnsiTheme="minorEastAsia" w:eastAsiaTheme="minorEastAsia" w:cstheme="minorEastAsia"/>
          <w:szCs w:val="21"/>
        </w:rPr>
        <w:t>.5.2分包的确定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允许分包的专业工程包括：</w:t>
      </w:r>
      <w:r>
        <w:rPr>
          <w:rFonts w:hint="eastAsia" w:asciiTheme="minorEastAsia" w:hAnsiTheme="minorEastAsia" w:eastAsiaTheme="minorEastAsia" w:cstheme="minorEastAsia"/>
          <w:b/>
          <w:bCs/>
          <w:szCs w:val="21"/>
          <w:u w:val="single"/>
        </w:rPr>
        <w:t>不允许分包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其他关于分包的约定：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3.5.4 分包合同价款</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关于分包合同价款支付的约定：</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bookmarkEnd w:id="146"/>
    <w:bookmarkEnd w:id="14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3.6 工程照管与成品、半成品保护</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承包人负责照管工程及工程相关的材料、工程设备的起始时间：</w:t>
      </w:r>
      <w:r>
        <w:rPr>
          <w:rFonts w:hint="eastAsia" w:asciiTheme="minorEastAsia" w:hAnsiTheme="minorEastAsia" w:eastAsiaTheme="minorEastAsia" w:cstheme="minorEastAsia"/>
          <w:b/>
          <w:bCs/>
          <w:kern w:val="0"/>
          <w:szCs w:val="21"/>
          <w:u w:val="single"/>
        </w:rPr>
        <w:t>按通用合同条款第3.6条规定执行</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 履约担保</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承包人是否提供履约担保：</w:t>
      </w:r>
      <w:r>
        <w:rPr>
          <w:rFonts w:hint="eastAsia" w:asciiTheme="minorEastAsia" w:hAnsiTheme="minorEastAsia" w:eastAsiaTheme="minorEastAsia" w:cstheme="minorEastAsia"/>
          <w:szCs w:val="21"/>
          <w:u w:val="single"/>
        </w:rPr>
        <w:t xml:space="preserve">     是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承包人提供履约担保的形式、金额及期限的：</w:t>
      </w:r>
      <w:r>
        <w:rPr>
          <w:rFonts w:hint="eastAsia" w:asciiTheme="minorEastAsia" w:hAnsiTheme="minorEastAsia" w:eastAsiaTheme="minorEastAsia" w:cstheme="minorEastAsia"/>
          <w:szCs w:val="21"/>
          <w:u w:val="single"/>
        </w:rPr>
        <w:t>履约担保的形式：支票（同城）、汇票、电汇、经甲方认可的银行保函（省内国有或股份制商业银行一级支行以上分支机构出具的无条件支付的银行保函）。履约担保的金额：成交金额的</w:t>
      </w:r>
      <w:r>
        <w:rPr>
          <w:rFonts w:hint="eastAsia" w:asciiTheme="minorEastAsia" w:hAnsiTheme="minorEastAsia" w:cstheme="minorEastAsia"/>
          <w:szCs w:val="21"/>
          <w:u w:val="single"/>
          <w:lang w:val="en-US" w:eastAsia="zh-CN"/>
        </w:rPr>
        <w:t>2.</w:t>
      </w:r>
      <w:r>
        <w:rPr>
          <w:rFonts w:hint="eastAsia" w:asciiTheme="minorEastAsia" w:hAnsiTheme="minorEastAsia" w:eastAsiaTheme="minorEastAsia" w:cstheme="minorEastAsia"/>
          <w:szCs w:val="21"/>
          <w:u w:val="single"/>
        </w:rPr>
        <w:t>5%。</w:t>
      </w:r>
      <w:r>
        <w:rPr>
          <w:rFonts w:hint="eastAsia" w:asciiTheme="minorEastAsia" w:hAnsiTheme="minorEastAsia" w:eastAsiaTheme="minorEastAsia" w:cstheme="minorEastAsia"/>
          <w:b/>
          <w:szCs w:val="21"/>
          <w:u w:val="single"/>
        </w:rPr>
        <w:t>履约担保的最晚递交时间：合同签订后7日内。</w:t>
      </w:r>
      <w:r>
        <w:rPr>
          <w:rFonts w:hint="eastAsia" w:asciiTheme="minorEastAsia" w:hAnsiTheme="minorEastAsia" w:eastAsiaTheme="minorEastAsia" w:cstheme="minorEastAsia"/>
          <w:szCs w:val="21"/>
          <w:u w:val="single"/>
        </w:rPr>
        <w:t>履约担保有效期自履约担保交纳之日起至竣工验收合格后15日内有效。在此有效期截止日后14天内此履约担保（如有剩余）退还给承包人，履约担保不计息。合同履行期间如承包人出现违约情况，发包人予以处罚，承包人应在接到处罚通知后15天内补足履约保证金，否则发包人有权在停止支付工程进度款或从工程进度款中扣除</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a)质量保证金占履约保证金的40%，视发生质量事故的严重程度处罚。若验收不合格或未达到合同约定质量目标，则按磋商文件和合同中相关条款办理。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b)工期保证金占履约保证金的30%，工期以合同工期和经批准的顺延工期为准，若不能按期竣工，则按磋商文件和合同中相关条款办理。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c)项目经理及项目班子到位率保证金占履约保证金的20%。项目经理或项目班子若不能按要求到位，则按磋商文件和合同中相关条款办理。</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d)文明安全生产保证金占履约保证金的10%，发生重大人身安全事故，罚没全部保证金。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履约保证金的补足：发包人根据本合同约定行使处分履约保证金权利后应当及时书面通知承包人，承包人应当接到通知后5个工作日补足，以使整个合同期内的履约保证金始终维持在成交金额</w:t>
      </w:r>
      <w:r>
        <w:rPr>
          <w:rFonts w:hint="eastAsia" w:asciiTheme="minorEastAsia" w:hAnsiTheme="minorEastAsia" w:cstheme="minorEastAsia"/>
          <w:szCs w:val="21"/>
          <w:u w:val="single"/>
          <w:lang w:val="en-US" w:eastAsia="zh-CN"/>
        </w:rPr>
        <w:t>2.</w:t>
      </w:r>
      <w:r>
        <w:rPr>
          <w:rFonts w:hint="eastAsia" w:asciiTheme="minorEastAsia" w:hAnsiTheme="minorEastAsia" w:eastAsiaTheme="minorEastAsia" w:cstheme="minorEastAsia"/>
          <w:szCs w:val="21"/>
          <w:u w:val="single"/>
        </w:rPr>
        <w:t>5%的数额。逾期未能补足的，每日按应补而未补金额的万分之五支付逾期补交违约金。</w:t>
      </w:r>
    </w:p>
    <w:p>
      <w:pPr>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48" w:name="_Toc351203636"/>
      <w:r>
        <w:rPr>
          <w:rFonts w:hint="eastAsia" w:asciiTheme="minorEastAsia" w:hAnsiTheme="minorEastAsia" w:eastAsiaTheme="minorEastAsia" w:cstheme="minorEastAsia"/>
          <w:b w:val="0"/>
          <w:sz w:val="21"/>
          <w:szCs w:val="21"/>
        </w:rPr>
        <w:t>4</w:t>
      </w:r>
      <w:bookmarkStart w:id="149" w:name="_Toc292559366"/>
      <w:bookmarkStart w:id="150" w:name="_Toc296346663"/>
      <w:bookmarkStart w:id="151" w:name="_Toc296891202"/>
      <w:bookmarkStart w:id="152" w:name="_Toc296944501"/>
      <w:bookmarkStart w:id="153" w:name="_Toc297048348"/>
      <w:bookmarkStart w:id="154" w:name="_Toc296347161"/>
      <w:bookmarkStart w:id="155" w:name="_Toc297120462"/>
      <w:bookmarkStart w:id="156" w:name="_Toc267251413"/>
      <w:bookmarkStart w:id="157" w:name="_Toc296503162"/>
      <w:bookmarkStart w:id="158" w:name="_Toc292559871"/>
      <w:bookmarkStart w:id="159" w:name="_Toc296890990"/>
      <w:r>
        <w:rPr>
          <w:rFonts w:hint="eastAsia" w:asciiTheme="minorEastAsia" w:hAnsiTheme="minorEastAsia" w:eastAsiaTheme="minorEastAsia" w:cstheme="minorEastAsia"/>
          <w:b w:val="0"/>
          <w:sz w:val="21"/>
          <w:szCs w:val="21"/>
        </w:rPr>
        <w:t>. 监</w:t>
      </w:r>
      <w:bookmarkEnd w:id="149"/>
      <w:bookmarkEnd w:id="150"/>
      <w:bookmarkEnd w:id="151"/>
      <w:bookmarkEnd w:id="152"/>
      <w:bookmarkEnd w:id="153"/>
      <w:bookmarkEnd w:id="154"/>
      <w:bookmarkEnd w:id="155"/>
      <w:bookmarkEnd w:id="156"/>
      <w:bookmarkEnd w:id="157"/>
      <w:bookmarkEnd w:id="158"/>
      <w:bookmarkEnd w:id="159"/>
      <w:r>
        <w:rPr>
          <w:rFonts w:hint="eastAsia" w:asciiTheme="minorEastAsia" w:hAnsiTheme="minorEastAsia" w:eastAsiaTheme="minorEastAsia" w:cstheme="minorEastAsia"/>
          <w:b w:val="0"/>
          <w:sz w:val="21"/>
          <w:szCs w:val="21"/>
        </w:rPr>
        <w:t>理人</w:t>
      </w:r>
      <w:bookmarkEnd w:id="148"/>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4.1监理人的一般规定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关于监理人的监理内容：</w:t>
      </w:r>
      <w:r>
        <w:rPr>
          <w:rFonts w:hint="eastAsia" w:asciiTheme="minorEastAsia" w:hAnsiTheme="minorEastAsia" w:eastAsiaTheme="minorEastAsia" w:cstheme="minorEastAsia"/>
          <w:b/>
          <w:szCs w:val="21"/>
          <w:u w:val="single"/>
        </w:rPr>
        <w:t>现场全过程协调，负责质量、安全、进度监督，签证及技术服务</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关于监理人的监理权限：</w:t>
      </w:r>
      <w:r>
        <w:rPr>
          <w:rFonts w:hint="eastAsia" w:asciiTheme="minorEastAsia" w:hAnsiTheme="minorEastAsia" w:eastAsiaTheme="minorEastAsia" w:cstheme="minorEastAsia"/>
          <w:b/>
          <w:bCs/>
          <w:szCs w:val="21"/>
          <w:u w:val="single"/>
        </w:rPr>
        <w:t>按监理合同约定实行</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关于监理人在施工现场的办公场所、生活场所的提供和费用承担的约定：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 监理人员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总监理工程师：</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    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监理工程师执业资格证书号：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电子信箱：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关于监理人的其他约定：</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 商定或确定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160" w:name="_Toc267251418"/>
      <w:r>
        <w:rPr>
          <w:rFonts w:hint="eastAsia" w:asciiTheme="minorEastAsia" w:hAnsiTheme="minorEastAsia" w:eastAsiaTheme="minorEastAsia" w:cstheme="minorEastAsia"/>
          <w:szCs w:val="21"/>
        </w:rPr>
        <w:t>在发包人和承包人不能通过协商达成一致意见时，发包人授权监理人对以下事项进行确定：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61" w:name="_Toc351203637"/>
      <w:r>
        <w:rPr>
          <w:rFonts w:hint="eastAsia" w:asciiTheme="minorEastAsia" w:hAnsiTheme="minorEastAsia" w:eastAsiaTheme="minorEastAsia" w:cstheme="minorEastAsia"/>
          <w:b w:val="0"/>
          <w:sz w:val="21"/>
          <w:szCs w:val="21"/>
        </w:rPr>
        <w:t>5</w:t>
      </w:r>
      <w:bookmarkEnd w:id="160"/>
      <w:bookmarkStart w:id="162" w:name="_Toc297048349"/>
      <w:bookmarkStart w:id="163" w:name="_Toc292559367"/>
      <w:bookmarkStart w:id="164" w:name="_Toc296346664"/>
      <w:bookmarkStart w:id="165" w:name="_Toc297120463"/>
      <w:bookmarkStart w:id="166" w:name="_Toc296890991"/>
      <w:bookmarkStart w:id="167" w:name="_Toc296503163"/>
      <w:bookmarkStart w:id="168" w:name="_Toc296891203"/>
      <w:bookmarkStart w:id="169" w:name="_Toc296347162"/>
      <w:bookmarkStart w:id="170" w:name="_Toc296944502"/>
      <w:bookmarkStart w:id="171" w:name="_Toc292559872"/>
      <w:r>
        <w:rPr>
          <w:rFonts w:hint="eastAsia" w:asciiTheme="minorEastAsia" w:hAnsiTheme="minorEastAsia" w:eastAsiaTheme="minorEastAsia" w:cstheme="minorEastAsia"/>
          <w:b w:val="0"/>
          <w:sz w:val="21"/>
          <w:szCs w:val="21"/>
        </w:rPr>
        <w:t>. 工程质量</w:t>
      </w:r>
      <w:bookmarkEnd w:id="161"/>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5.1 质量要求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bookmarkStart w:id="172" w:name="_Toc312677997"/>
      <w:bookmarkStart w:id="173" w:name="_Toc318581164"/>
      <w:bookmarkStart w:id="174" w:name="_Toc297123496"/>
      <w:bookmarkStart w:id="175" w:name="_Toc303539106"/>
      <w:bookmarkStart w:id="176" w:name="_Toc300934949"/>
      <w:bookmarkStart w:id="177" w:name="_Toc304295527"/>
      <w:bookmarkStart w:id="178" w:name="_Toc297216155"/>
      <w:r>
        <w:rPr>
          <w:rFonts w:hint="eastAsia" w:asciiTheme="minorEastAsia" w:hAnsiTheme="minorEastAsia" w:eastAsiaTheme="minorEastAsia" w:cstheme="minorEastAsia"/>
          <w:szCs w:val="21"/>
        </w:rPr>
        <w:t>.1.1 特殊质量标准和要求：</w:t>
      </w:r>
      <w:r>
        <w:rPr>
          <w:rFonts w:hint="eastAsia" w:asciiTheme="minorEastAsia" w:hAnsiTheme="minorEastAsia" w:cstheme="minorEastAsia"/>
          <w:szCs w:val="21"/>
          <w:u w:val="single"/>
          <w:lang w:val="en-US" w:eastAsia="zh-CN"/>
        </w:rPr>
        <w:t>合格</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关于工程奖项的约定：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5.3 隐蔽工程检查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5.3.2承包人提前通知监理人隐蔽工程检查的期限的约定：</w:t>
      </w:r>
      <w:r>
        <w:rPr>
          <w:rFonts w:hint="eastAsia" w:asciiTheme="minorEastAsia" w:hAnsiTheme="minorEastAsia" w:eastAsiaTheme="minorEastAsia" w:cstheme="minorEastAsia"/>
          <w:szCs w:val="21"/>
          <w:u w:val="single"/>
        </w:rPr>
        <w:t>承包人应在共同检查前48小时书面通知监理人检查，通知中应载明隐蔽检查的内容、时间和地点，并应附有自检记录和必要的检查资料</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监理人不能按时进行检查时，应提前</w:t>
      </w:r>
      <w:r>
        <w:rPr>
          <w:rFonts w:hint="eastAsia" w:asciiTheme="minorEastAsia" w:hAnsiTheme="minorEastAsia" w:eastAsiaTheme="minorEastAsia" w:cstheme="minorEastAsia"/>
          <w:szCs w:val="21"/>
          <w:u w:val="single"/>
        </w:rPr>
        <w:t>24</w:t>
      </w:r>
      <w:r>
        <w:rPr>
          <w:rFonts w:hint="eastAsia" w:asciiTheme="minorEastAsia" w:hAnsiTheme="minorEastAsia" w:eastAsiaTheme="minorEastAsia" w:cstheme="minorEastAsia"/>
          <w:szCs w:val="21"/>
        </w:rPr>
        <w:t>小时提交书面延期要求。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关于延期最长不得超过：</w:t>
      </w:r>
      <w:r>
        <w:rPr>
          <w:rFonts w:hint="eastAsia" w:asciiTheme="minorEastAsia" w:hAnsiTheme="minorEastAsia" w:eastAsiaTheme="minorEastAsia" w:cstheme="minorEastAsia"/>
          <w:szCs w:val="21"/>
          <w:u w:val="single"/>
        </w:rPr>
        <w:t>48</w:t>
      </w:r>
      <w:r>
        <w:rPr>
          <w:rFonts w:hint="eastAsia" w:asciiTheme="minorEastAsia" w:hAnsiTheme="minorEastAsia" w:eastAsiaTheme="minorEastAsia" w:cstheme="minorEastAsia"/>
          <w:szCs w:val="21"/>
        </w:rPr>
        <w:t>小时。</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79" w:name="_Toc351203638"/>
      <w:r>
        <w:rPr>
          <w:rFonts w:hint="eastAsia" w:asciiTheme="minorEastAsia" w:hAnsiTheme="minorEastAsia" w:eastAsiaTheme="minorEastAsia" w:cstheme="minorEastAsia"/>
          <w:b w:val="0"/>
          <w:sz w:val="21"/>
          <w:szCs w:val="21"/>
        </w:rPr>
        <w:t>6. 安全文明施工与环境保护</w:t>
      </w:r>
      <w:bookmarkEnd w:id="179"/>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6.1安全文明施工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6.1.1 项目安全生产的达标目标及相应事项的约定：</w:t>
      </w:r>
      <w:r>
        <w:rPr>
          <w:rFonts w:hint="eastAsia" w:asciiTheme="minorEastAsia" w:hAnsiTheme="minorEastAsia" w:eastAsiaTheme="minorEastAsia" w:cstheme="minorEastAsia"/>
          <w:b/>
          <w:bCs/>
          <w:szCs w:val="21"/>
          <w:u w:val="single"/>
        </w:rPr>
        <w:t>按通用合同条款第6.1.1条规定执行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6.1.4 关于治安保卫的特别约定：</w:t>
      </w:r>
      <w:r>
        <w:rPr>
          <w:rFonts w:hint="eastAsia" w:asciiTheme="minorEastAsia" w:hAnsiTheme="minorEastAsia" w:eastAsiaTheme="minorEastAsia" w:cstheme="minorEastAsia"/>
          <w:b/>
          <w:bCs/>
          <w:szCs w:val="21"/>
          <w:u w:val="single"/>
        </w:rPr>
        <w:t>按通用合同条款第6.1.4条规定执行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关于编制施工场地治安管理计划的约定：</w:t>
      </w:r>
      <w:r>
        <w:rPr>
          <w:rFonts w:hint="eastAsia" w:asciiTheme="minorEastAsia" w:hAnsiTheme="minorEastAsia" w:eastAsiaTheme="minorEastAsia" w:cstheme="minorEastAsia"/>
          <w:b/>
          <w:bCs/>
          <w:szCs w:val="21"/>
          <w:u w:val="single"/>
        </w:rPr>
        <w:t>按通用合同条款第6.1.4条规定执行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6.1.5 文明施工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合同当事人对文明施工的要求：</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贰万元人民币的违约金。被上级主管部门通报批评，承包人按人民币贰万元/次向发包人支付违约金；被媒体曝光，视情节向发包人支付人民币贰至伍万元违约金。</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（2）承包人应对进度施工现场的施工人员进行安全文明施工教育，持证上岗，配备必要的劳动保护用具，保证工程的施工安全和人身安全。</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6.1.6 关于安全文明施工费支付比例和支付期限的约定：</w:t>
      </w:r>
      <w:r>
        <w:rPr>
          <w:rFonts w:hint="eastAsia" w:asciiTheme="minorEastAsia" w:hAnsiTheme="minorEastAsia" w:eastAsiaTheme="minorEastAsia" w:cstheme="minorEastAsia"/>
          <w:b/>
          <w:bCs/>
          <w:szCs w:val="21"/>
          <w:u w:val="single"/>
        </w:rPr>
        <w:t>按通用合同条款第6.1.6条规定执行</w:t>
      </w:r>
      <w:r>
        <w:rPr>
          <w:rFonts w:hint="eastAsia" w:asciiTheme="minorEastAsia" w:hAnsiTheme="minorEastAsia" w:eastAsiaTheme="minorEastAsia" w:cstheme="minorEastAsia"/>
          <w:szCs w:val="21"/>
        </w:rPr>
        <w:t>。</w:t>
      </w:r>
    </w:p>
    <w:bookmarkEnd w:id="172"/>
    <w:bookmarkEnd w:id="173"/>
    <w:bookmarkEnd w:id="174"/>
    <w:bookmarkEnd w:id="175"/>
    <w:bookmarkEnd w:id="176"/>
    <w:bookmarkEnd w:id="177"/>
    <w:bookmarkEnd w:id="178"/>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180" w:name="_Toc351203639"/>
      <w:r>
        <w:rPr>
          <w:rFonts w:hint="eastAsia" w:asciiTheme="minorEastAsia" w:hAnsiTheme="minorEastAsia" w:eastAsiaTheme="minorEastAsia" w:cstheme="minorEastAsia"/>
          <w:b w:val="0"/>
          <w:sz w:val="21"/>
          <w:szCs w:val="21"/>
        </w:rPr>
        <w:t>7. 工期和进度</w:t>
      </w:r>
      <w:bookmarkEnd w:id="180"/>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 施工组织设计</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7.1.1 合</w:t>
      </w:r>
      <w:r>
        <w:rPr>
          <w:rFonts w:hint="eastAsia" w:asciiTheme="minorEastAsia" w:hAnsiTheme="minorEastAsia" w:eastAsiaTheme="minorEastAsia" w:cstheme="minorEastAsia"/>
          <w:kern w:val="0"/>
          <w:szCs w:val="21"/>
        </w:rPr>
        <w:t>同当事人约定的施工组织设计应包括的其他内容：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 xml:space="preserve">7.1.2 </w:t>
      </w:r>
      <w:r>
        <w:rPr>
          <w:rFonts w:hint="eastAsia" w:asciiTheme="minorEastAsia" w:hAnsiTheme="minorEastAsia" w:eastAsiaTheme="minorEastAsia" w:cstheme="minorEastAsia"/>
          <w:kern w:val="0"/>
          <w:szCs w:val="21"/>
        </w:rPr>
        <w:t>施工组织设计的提交和修改</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承包人提交详细施工组织设计的期限的约定：</w:t>
      </w:r>
      <w:r>
        <w:rPr>
          <w:rFonts w:hint="eastAsia" w:asciiTheme="minorEastAsia" w:hAnsiTheme="minorEastAsia" w:eastAsiaTheme="minorEastAsia" w:cstheme="minorEastAsia"/>
          <w:b/>
          <w:bCs/>
          <w:szCs w:val="21"/>
          <w:u w:val="single"/>
        </w:rPr>
        <w:t>合同签订后叁天提供</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发包人和监理人在收到详细的施工组织设计后确认或提出修改意见的期限：</w:t>
      </w:r>
      <w:r>
        <w:rPr>
          <w:rFonts w:hint="eastAsia" w:asciiTheme="minorEastAsia" w:hAnsiTheme="minorEastAsia" w:eastAsiaTheme="minorEastAsia" w:cstheme="minorEastAsia"/>
          <w:b/>
          <w:bCs/>
          <w:szCs w:val="21"/>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181" w:name="_Toc297216173"/>
      <w:bookmarkStart w:id="182" w:name="_Toc304295541"/>
      <w:bookmarkStart w:id="183" w:name="_Toc303539123"/>
      <w:bookmarkStart w:id="184" w:name="_Toc297123514"/>
      <w:bookmarkStart w:id="185" w:name="_Toc300934966"/>
      <w:bookmarkStart w:id="186" w:name="_Toc312678005"/>
      <w:bookmarkStart w:id="187" w:name="_Toc312677479"/>
      <w:r>
        <w:rPr>
          <w:rFonts w:hint="eastAsia" w:asciiTheme="minorEastAsia" w:hAnsiTheme="minorEastAsia" w:eastAsiaTheme="minorEastAsia" w:cstheme="minorEastAsia"/>
          <w:szCs w:val="21"/>
        </w:rPr>
        <w:t>.2 施工进度计划</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7.2.2 施工进度计划的修订</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发包人和监理人在收到修订的施工进度计划后确认或提出修改意见的期限：</w:t>
      </w:r>
      <w:r>
        <w:rPr>
          <w:rFonts w:hint="eastAsia" w:asciiTheme="minorEastAsia" w:hAnsiTheme="minorEastAsia" w:eastAsiaTheme="minorEastAsia" w:cstheme="minorEastAsia"/>
          <w:b/>
          <w:bCs/>
          <w:szCs w:val="21"/>
          <w:u w:val="single"/>
        </w:rPr>
        <w:t>接到报告后7天内予以批复</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 开工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7.3.1 开工准备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关于承包人提交</w:t>
      </w:r>
      <w:r>
        <w:rPr>
          <w:rFonts w:hint="eastAsia" w:asciiTheme="minorEastAsia" w:hAnsiTheme="minorEastAsia" w:eastAsiaTheme="minorEastAsia" w:cstheme="minorEastAsia"/>
          <w:kern w:val="0"/>
          <w:szCs w:val="21"/>
        </w:rPr>
        <w:t>工程开工报审表的期限：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关于发包人应完成的其他开工准备工作及期限：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关于承包人应完成的其他开工准备工作及期限：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7.3.2开工通知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因发包人原因造成监理人未能在计划开工日期之日起</w:t>
      </w:r>
      <w:r>
        <w:rPr>
          <w:rFonts w:hint="eastAsia" w:asciiTheme="minorEastAsia" w:hAnsiTheme="minorEastAsia" w:eastAsiaTheme="minorEastAsia" w:cstheme="minorEastAsia"/>
          <w:szCs w:val="21"/>
          <w:u w:val="single"/>
        </w:rPr>
        <w:t xml:space="preserve"> 90 </w:t>
      </w:r>
      <w:r>
        <w:rPr>
          <w:rFonts w:hint="eastAsia" w:asciiTheme="minorEastAsia" w:hAnsiTheme="minorEastAsia" w:eastAsiaTheme="minorEastAsia" w:cstheme="minorEastAsia"/>
          <w:szCs w:val="21"/>
        </w:rPr>
        <w:t>天内发出开工通知的，承包人有权提出价格调整要求，或者解除合同。</w:t>
      </w:r>
    </w:p>
    <w:bookmarkEnd w:id="181"/>
    <w:bookmarkEnd w:id="182"/>
    <w:bookmarkEnd w:id="183"/>
    <w:bookmarkEnd w:id="184"/>
    <w:bookmarkEnd w:id="185"/>
    <w:bookmarkEnd w:id="186"/>
    <w:bookmarkEnd w:id="18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7.4 测量放线</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7.4.1发包人通过监理人向承包人提供测量基准点、基准线和水准点及其书面资料的期限：</w:t>
      </w:r>
      <w:r>
        <w:rPr>
          <w:rFonts w:hint="eastAsia" w:asciiTheme="minorEastAsia" w:hAnsiTheme="minorEastAsia" w:eastAsiaTheme="minorEastAsia" w:cstheme="minorEastAsia"/>
          <w:b/>
          <w:bCs/>
          <w:szCs w:val="21"/>
          <w:u w:val="single"/>
        </w:rPr>
        <w:t>开工前七天</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188" w:name="_Toc303539125"/>
      <w:bookmarkStart w:id="189" w:name="_Toc300934968"/>
      <w:bookmarkStart w:id="190" w:name="_Toc312677484"/>
      <w:bookmarkStart w:id="191" w:name="_Toc312678010"/>
      <w:bookmarkStart w:id="192" w:name="_Toc304295546"/>
      <w:bookmarkStart w:id="193" w:name="_Toc297123516"/>
      <w:bookmarkStart w:id="194" w:name="_Toc297216175"/>
      <w:r>
        <w:rPr>
          <w:rFonts w:hint="eastAsia" w:asciiTheme="minorEastAsia" w:hAnsiTheme="minorEastAsia" w:eastAsiaTheme="minorEastAsia" w:cstheme="minorEastAsia"/>
          <w:szCs w:val="21"/>
        </w:rPr>
        <w:t>.5 工期延误</w:t>
      </w:r>
    </w:p>
    <w:bookmarkEnd w:id="188"/>
    <w:bookmarkEnd w:id="189"/>
    <w:bookmarkEnd w:id="190"/>
    <w:bookmarkEnd w:id="191"/>
    <w:bookmarkEnd w:id="192"/>
    <w:bookmarkEnd w:id="193"/>
    <w:bookmarkEnd w:id="19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7.5.1 因发包人原因导致工期延误</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（7）因发包人原因导致工期延误的其他情形：</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（8）双方约定工期顺延的其他情况：</w:t>
      </w:r>
      <w:r>
        <w:rPr>
          <w:rFonts w:hint="eastAsia" w:asciiTheme="minorEastAsia" w:hAnsiTheme="minorEastAsia" w:eastAsiaTheme="minorEastAsia" w:cstheme="minorEastAsia"/>
          <w:szCs w:val="21"/>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Theme="minorEastAsia" w:hAnsiTheme="minorEastAsia" w:eastAsiaTheme="minorEastAsia" w:cstheme="minorEastAsia"/>
          <w:bCs/>
          <w:szCs w:val="21"/>
          <w:u w:val="single"/>
        </w:rPr>
        <w:t>因非承包人原因导致的工期延误，经工程师确认，工期相应顺延，但费用不予补偿。</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（9）工程延期的审批：</w:t>
      </w:r>
      <w:r>
        <w:rPr>
          <w:rFonts w:hint="eastAsia" w:asciiTheme="minorEastAsia" w:hAnsiTheme="minorEastAsia" w:eastAsiaTheme="minorEastAsia" w:cstheme="minorEastAsia"/>
          <w:szCs w:val="21"/>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195" w:name="_Toc312677486"/>
      <w:bookmarkStart w:id="196" w:name="_Toc312678012"/>
      <w:bookmarkStart w:id="197" w:name="_Toc318581169"/>
      <w:bookmarkStart w:id="198" w:name="_Toc297216177"/>
      <w:bookmarkStart w:id="199" w:name="_Toc303539127"/>
      <w:bookmarkStart w:id="200" w:name="_Toc304295548"/>
      <w:bookmarkStart w:id="201" w:name="_Toc300934970"/>
      <w:bookmarkStart w:id="202" w:name="_Toc297123518"/>
      <w:r>
        <w:rPr>
          <w:rFonts w:hint="eastAsia" w:asciiTheme="minorEastAsia" w:hAnsiTheme="minorEastAsia" w:eastAsiaTheme="minorEastAsia" w:cstheme="minorEastAsia"/>
          <w:szCs w:val="21"/>
        </w:rPr>
        <w:t>.5.2 因承包人原因导致工期延误</w:t>
      </w:r>
    </w:p>
    <w:bookmarkEnd w:id="195"/>
    <w:bookmarkEnd w:id="196"/>
    <w:bookmarkEnd w:id="19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因</w:t>
      </w:r>
      <w:bookmarkStart w:id="203" w:name="_Toc312677487"/>
      <w:bookmarkStart w:id="204" w:name="_Toc312678013"/>
      <w:bookmarkStart w:id="205" w:name="_Toc318581170"/>
      <w:r>
        <w:rPr>
          <w:rFonts w:hint="eastAsia" w:asciiTheme="minorEastAsia" w:hAnsiTheme="minorEastAsia" w:eastAsiaTheme="minorEastAsia" w:cstheme="minorEastAsia"/>
          <w:szCs w:val="21"/>
        </w:rPr>
        <w:t>承包人原因造成工期延误，逾期竣工违约金的计算方法为：</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①因承包人原因工程不能按合同约定工期竣工，每延误一天，承包人应按人民币贰仟元向发包人支付违约金。该违约金发包人有权在承包人的工期保证金中扣除，不足部分在工程结算价款中扣除。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②因承包人原因，承包人在施工过程中不能按施工总进度计划完成各项施工任务，实际施工进度比施工进度计划滞后超过60天（含60天）的，发包人有权解除合同，也有权仍选择由承包人继续履行合同，如发包人选择由承包人继续履行合同的，竣工工期每延误一天，承包人应按人民币贰仟元向发包人支付违约金。</w:t>
      </w:r>
      <w:bookmarkEnd w:id="198"/>
      <w:bookmarkEnd w:id="199"/>
      <w:bookmarkEnd w:id="200"/>
      <w:bookmarkEnd w:id="201"/>
      <w:bookmarkEnd w:id="202"/>
      <w:bookmarkEnd w:id="203"/>
      <w:bookmarkEnd w:id="204"/>
    </w:p>
    <w:bookmarkEnd w:id="20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因承包人原因造成工期延误，逾</w:t>
      </w:r>
      <w:bookmarkStart w:id="206" w:name="_Toc318581171"/>
      <w:bookmarkStart w:id="207" w:name="_Toc312678014"/>
      <w:r>
        <w:rPr>
          <w:rFonts w:hint="eastAsia" w:asciiTheme="minorEastAsia" w:hAnsiTheme="minorEastAsia" w:eastAsiaTheme="minorEastAsia" w:cstheme="minorEastAsia"/>
          <w:szCs w:val="21"/>
        </w:rPr>
        <w:t>期竣工违约金的上限：</w:t>
      </w:r>
      <w:r>
        <w:rPr>
          <w:rFonts w:hint="eastAsia" w:asciiTheme="minorEastAsia" w:hAnsiTheme="minorEastAsia" w:eastAsiaTheme="minorEastAsia" w:cstheme="minorEastAsia"/>
          <w:b/>
          <w:bCs/>
          <w:szCs w:val="21"/>
          <w:u w:val="single"/>
        </w:rPr>
        <w:t>累计最高不超过合同总价的百分之十</w:t>
      </w:r>
      <w:r>
        <w:rPr>
          <w:rFonts w:hint="eastAsia" w:asciiTheme="minorEastAsia" w:hAnsiTheme="minorEastAsia" w:eastAsiaTheme="minorEastAsia" w:cstheme="minorEastAsia"/>
          <w:szCs w:val="21"/>
        </w:rPr>
        <w:t>。</w:t>
      </w:r>
    </w:p>
    <w:bookmarkEnd w:id="206"/>
    <w:bookmarkEnd w:id="20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208" w:name="_Toc297123519"/>
      <w:bookmarkStart w:id="209" w:name="_Toc304295549"/>
      <w:bookmarkStart w:id="210" w:name="_Toc297216178"/>
      <w:bookmarkStart w:id="211" w:name="_Toc300934971"/>
      <w:bookmarkStart w:id="212" w:name="_Toc303539128"/>
      <w:bookmarkStart w:id="213" w:name="_Toc312678015"/>
      <w:r>
        <w:rPr>
          <w:rFonts w:hint="eastAsia" w:asciiTheme="minorEastAsia" w:hAnsiTheme="minorEastAsia" w:eastAsiaTheme="minorEastAsia" w:cstheme="minorEastAsia"/>
          <w:szCs w:val="21"/>
        </w:rPr>
        <w:t>.6 不</w:t>
      </w:r>
      <w:bookmarkEnd w:id="208"/>
      <w:bookmarkEnd w:id="209"/>
      <w:bookmarkEnd w:id="210"/>
      <w:bookmarkEnd w:id="211"/>
      <w:bookmarkEnd w:id="212"/>
      <w:bookmarkEnd w:id="213"/>
      <w:r>
        <w:rPr>
          <w:rFonts w:hint="eastAsia" w:asciiTheme="minorEastAsia" w:hAnsiTheme="minorEastAsia" w:eastAsiaTheme="minorEastAsia" w:cstheme="minorEastAsia"/>
          <w:szCs w:val="21"/>
        </w:rPr>
        <w:t>利物质条件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214" w:name="_Toc318581172"/>
      <w:bookmarkStart w:id="215" w:name="_Toc297123520"/>
      <w:bookmarkStart w:id="216" w:name="_Toc300934972"/>
      <w:bookmarkStart w:id="217" w:name="_Toc303539129"/>
      <w:bookmarkStart w:id="218" w:name="_Toc304295550"/>
      <w:bookmarkStart w:id="219" w:name="_Toc312678016"/>
      <w:bookmarkStart w:id="220" w:name="_Toc297216179"/>
      <w:r>
        <w:rPr>
          <w:rFonts w:hint="eastAsia" w:asciiTheme="minorEastAsia" w:hAnsiTheme="minorEastAsia" w:eastAsiaTheme="minorEastAsia" w:cstheme="minorEastAsia"/>
          <w:szCs w:val="21"/>
        </w:rPr>
        <w:t>不利物质条件的其他情形和有关约定：</w:t>
      </w:r>
      <w:r>
        <w:rPr>
          <w:rFonts w:hint="eastAsia" w:asciiTheme="minorEastAsia" w:hAnsiTheme="minorEastAsia" w:eastAsiaTheme="minorEastAsia" w:cstheme="minorEastAsia"/>
          <w:b/>
          <w:bCs/>
          <w:szCs w:val="21"/>
          <w:u w:val="single"/>
        </w:rPr>
        <w:t>按通用合同条款第7.6条规定执行</w:t>
      </w:r>
      <w:r>
        <w:rPr>
          <w:rFonts w:hint="eastAsia" w:asciiTheme="minorEastAsia" w:hAnsiTheme="minorEastAsia" w:eastAsiaTheme="minorEastAsia" w:cstheme="minorEastAsia"/>
          <w:szCs w:val="21"/>
        </w:rPr>
        <w:t>。</w:t>
      </w:r>
    </w:p>
    <w:bookmarkEnd w:id="214"/>
    <w:bookmarkEnd w:id="215"/>
    <w:bookmarkEnd w:id="216"/>
    <w:bookmarkEnd w:id="217"/>
    <w:bookmarkEnd w:id="218"/>
    <w:bookmarkEnd w:id="219"/>
    <w:bookmarkEnd w:id="220"/>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bookmarkStart w:id="221" w:name="_Toc297123521"/>
      <w:bookmarkStart w:id="222" w:name="_Toc303539130"/>
      <w:bookmarkStart w:id="223" w:name="_Toc297216180"/>
      <w:bookmarkStart w:id="224" w:name="_Toc312678017"/>
      <w:bookmarkStart w:id="225" w:name="_Toc300934973"/>
      <w:bookmarkStart w:id="226" w:name="_Toc304295551"/>
      <w:r>
        <w:rPr>
          <w:rFonts w:hint="eastAsia" w:asciiTheme="minorEastAsia" w:hAnsiTheme="minorEastAsia" w:eastAsiaTheme="minorEastAsia" w:cstheme="minorEastAsia"/>
          <w:szCs w:val="21"/>
        </w:rPr>
        <w:t>.7异常恶劣的气候条件</w:t>
      </w:r>
    </w:p>
    <w:bookmarkEnd w:id="221"/>
    <w:bookmarkEnd w:id="222"/>
    <w:bookmarkEnd w:id="223"/>
    <w:bookmarkEnd w:id="224"/>
    <w:bookmarkEnd w:id="225"/>
    <w:bookmarkEnd w:id="22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发包人和承包人同意以下情形视为异常恶劣的气候条件：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7.9 提前竣工的奖励</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7.9.2提前竣工的奖励：</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227" w:name="_Toc351203640"/>
      <w:r>
        <w:rPr>
          <w:rFonts w:hint="eastAsia" w:asciiTheme="minorEastAsia" w:hAnsiTheme="minorEastAsia" w:eastAsiaTheme="minorEastAsia" w:cstheme="minorEastAsia"/>
          <w:b w:val="0"/>
          <w:sz w:val="21"/>
          <w:szCs w:val="21"/>
        </w:rPr>
        <w:t>8. 材料与设备</w:t>
      </w:r>
      <w:bookmarkEnd w:id="227"/>
    </w:p>
    <w:bookmarkEnd w:id="162"/>
    <w:bookmarkEnd w:id="163"/>
    <w:bookmarkEnd w:id="164"/>
    <w:bookmarkEnd w:id="165"/>
    <w:bookmarkEnd w:id="166"/>
    <w:bookmarkEnd w:id="167"/>
    <w:bookmarkEnd w:id="168"/>
    <w:bookmarkEnd w:id="169"/>
    <w:bookmarkEnd w:id="170"/>
    <w:bookmarkEnd w:id="171"/>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bookmarkStart w:id="228" w:name="_Toc300934979"/>
      <w:bookmarkStart w:id="229" w:name="_Toc296347166"/>
      <w:bookmarkStart w:id="230" w:name="_Toc312678019"/>
      <w:bookmarkStart w:id="231" w:name="_Toc296890995"/>
      <w:bookmarkStart w:id="232" w:name="_Toc297120467"/>
      <w:bookmarkStart w:id="233" w:name="_Toc296944506"/>
      <w:bookmarkStart w:id="234" w:name="_Toc297216186"/>
      <w:bookmarkStart w:id="235" w:name="_Toc296891207"/>
      <w:bookmarkStart w:id="236" w:name="_Toc296503167"/>
      <w:bookmarkStart w:id="237" w:name="_Toc312677493"/>
      <w:bookmarkStart w:id="238" w:name="_Toc296346668"/>
      <w:bookmarkStart w:id="239" w:name="_Toc304295556"/>
      <w:bookmarkStart w:id="240" w:name="_Toc297048353"/>
      <w:bookmarkStart w:id="241" w:name="_Toc292559372"/>
      <w:bookmarkStart w:id="242" w:name="_Toc292559877"/>
      <w:bookmarkStart w:id="243" w:name="_Toc280868654"/>
      <w:bookmarkStart w:id="244" w:name="_Toc303539136"/>
      <w:bookmarkStart w:id="245" w:name="_Toc297123527"/>
      <w:bookmarkStart w:id="246" w:name="_Toc267251424"/>
      <w:bookmarkStart w:id="247" w:name="_Toc280868656"/>
      <w:bookmarkStart w:id="248" w:name="_Toc280868655"/>
      <w:r>
        <w:rPr>
          <w:rFonts w:hint="eastAsia" w:asciiTheme="minorEastAsia" w:hAnsiTheme="minorEastAsia" w:eastAsiaTheme="minorEastAsia" w:cstheme="minorEastAsia"/>
          <w:szCs w:val="21"/>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bookmarkStart w:id="249" w:name="_Toc292559373"/>
      <w:bookmarkStart w:id="250" w:name="_Toc292559878"/>
      <w:bookmarkStart w:id="251" w:name="_Toc297216187"/>
      <w:bookmarkStart w:id="252" w:name="_Toc296891208"/>
      <w:bookmarkStart w:id="253" w:name="_Toc304295557"/>
      <w:bookmarkStart w:id="254" w:name="_Toc296347167"/>
      <w:bookmarkStart w:id="255" w:name="_Toc312678020"/>
      <w:bookmarkStart w:id="256" w:name="_Toc297120468"/>
      <w:bookmarkStart w:id="257" w:name="_Toc296503168"/>
      <w:bookmarkStart w:id="258" w:name="_Toc312677494"/>
      <w:bookmarkStart w:id="259" w:name="_Toc296890996"/>
      <w:bookmarkStart w:id="260" w:name="_Toc303539137"/>
      <w:bookmarkStart w:id="261" w:name="_Toc297123528"/>
      <w:bookmarkStart w:id="262" w:name="_Toc296944507"/>
      <w:bookmarkStart w:id="263" w:name="_Toc318581173"/>
      <w:bookmarkStart w:id="264" w:name="_Toc296346669"/>
      <w:bookmarkStart w:id="265" w:name="_Toc300934980"/>
      <w:bookmarkStart w:id="266" w:name="_Toc297048354"/>
      <w:r>
        <w:rPr>
          <w:rFonts w:hint="eastAsia" w:asciiTheme="minorEastAsia" w:hAnsiTheme="minorEastAsia" w:eastAsiaTheme="minorEastAsia" w:cstheme="minorEastAsia"/>
          <w:szCs w:val="21"/>
        </w:rPr>
        <w:t>.4.1发包人供应的材料设备的保管费用的承担：</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（1）采购时已明确由发包人供应的材料设备保管费用、安装过程中的二次搬运和设备就位费、检验试验费由承包人磋商响应时报价包干；</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（2）因承包人原因发生材料丢失损坏，由承包人负责赔偿。</w:t>
      </w:r>
      <w:bookmarkEnd w:id="249"/>
      <w:bookmarkEnd w:id="250"/>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8.6 样品</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8.6.1</w:t>
      </w:r>
      <w:r>
        <w:rPr>
          <w:rFonts w:hint="eastAsia" w:asciiTheme="minorEastAsia" w:hAnsiTheme="minorEastAsia" w:cstheme="minorEastAsia"/>
          <w:kern w:val="0"/>
          <w:szCs w:val="21"/>
          <w:lang w:val="en-US" w:eastAsia="zh-CN"/>
        </w:rPr>
        <w:t xml:space="preserve"> </w:t>
      </w:r>
      <w:r>
        <w:rPr>
          <w:rFonts w:hint="eastAsia" w:asciiTheme="minorEastAsia" w:hAnsiTheme="minorEastAsia" w:eastAsiaTheme="minorEastAsia" w:cstheme="minorEastAsia"/>
          <w:kern w:val="0"/>
          <w:szCs w:val="21"/>
        </w:rPr>
        <w:t>样品的报送与封存</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需要承包人报送样品的材料或工程设备，样品的种类、名称、规格、数量要求：</w:t>
      </w:r>
      <w:r>
        <w:rPr>
          <w:rFonts w:hint="eastAsia" w:asciiTheme="minorEastAsia" w:hAnsiTheme="minorEastAsia" w:eastAsiaTheme="minorEastAsia" w:cstheme="minorEastAsia"/>
          <w:b/>
          <w:bCs/>
          <w:szCs w:val="21"/>
          <w:u w:val="single"/>
        </w:rPr>
        <w:t>按通用合同条款第8.6.1条规定执行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8.8 施工设备和临时设施</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8.8.1 承包人提供的施工设备和临时设施</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关于修建临时设施费用承担的约定：</w:t>
      </w:r>
      <w:r>
        <w:rPr>
          <w:rFonts w:hint="eastAsia" w:asciiTheme="minorEastAsia" w:hAnsiTheme="minorEastAsia" w:eastAsiaTheme="minorEastAsia" w:cstheme="minorEastAsia"/>
          <w:b/>
          <w:bCs/>
          <w:szCs w:val="21"/>
          <w:u w:val="single"/>
        </w:rPr>
        <w:t>按通用合同条款第8.8.1条规定执行</w:t>
      </w:r>
      <w:r>
        <w:rPr>
          <w:rFonts w:hint="eastAsia" w:asciiTheme="minorEastAsia" w:hAnsiTheme="minorEastAsia" w:eastAsiaTheme="minorEastAsia" w:cstheme="minorEastAsia"/>
          <w:szCs w:val="21"/>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267" w:name="_Toc351203641"/>
      <w:r>
        <w:rPr>
          <w:rFonts w:hint="eastAsia" w:asciiTheme="minorEastAsia" w:hAnsiTheme="minorEastAsia" w:eastAsiaTheme="minorEastAsia" w:cstheme="minorEastAsia"/>
          <w:b w:val="0"/>
          <w:sz w:val="21"/>
          <w:szCs w:val="21"/>
        </w:rPr>
        <w:t>9</w:t>
      </w:r>
      <w:bookmarkEnd w:id="246"/>
      <w:bookmarkEnd w:id="247"/>
      <w:bookmarkEnd w:id="248"/>
      <w:bookmarkStart w:id="268" w:name="_Toc300934982"/>
      <w:bookmarkStart w:id="269" w:name="_Toc303539139"/>
      <w:bookmarkStart w:id="270" w:name="_Toc304295559"/>
      <w:bookmarkStart w:id="271" w:name="_Toc297123533"/>
      <w:bookmarkStart w:id="272" w:name="_Toc297216192"/>
      <w:bookmarkStart w:id="273" w:name="_Toc312678021"/>
      <w:bookmarkStart w:id="274" w:name="_Toc312677495"/>
      <w:bookmarkStart w:id="275" w:name="_Toc296347172"/>
      <w:bookmarkStart w:id="276" w:name="_Toc292559378"/>
      <w:bookmarkStart w:id="277" w:name="_Toc296944512"/>
      <w:bookmarkStart w:id="278" w:name="_Toc296891001"/>
      <w:bookmarkStart w:id="279" w:name="_Toc297048359"/>
      <w:bookmarkStart w:id="280" w:name="_Toc267251428"/>
      <w:bookmarkStart w:id="281" w:name="_Toc267251427"/>
      <w:bookmarkStart w:id="282" w:name="_Toc296891213"/>
      <w:bookmarkStart w:id="283" w:name="_Toc296346674"/>
      <w:bookmarkStart w:id="284" w:name="_Toc296503173"/>
      <w:bookmarkStart w:id="285" w:name="_Toc292559883"/>
      <w:bookmarkStart w:id="286" w:name="_Toc297120473"/>
      <w:r>
        <w:rPr>
          <w:rFonts w:hint="eastAsia" w:asciiTheme="minorEastAsia" w:hAnsiTheme="minorEastAsia" w:eastAsiaTheme="minorEastAsia" w:cstheme="minorEastAsia"/>
          <w:b w:val="0"/>
          <w:sz w:val="21"/>
          <w:szCs w:val="21"/>
        </w:rPr>
        <w:t>. 试验与检验</w:t>
      </w:r>
      <w:bookmarkEnd w:id="267"/>
    </w:p>
    <w:bookmarkEnd w:id="268"/>
    <w:bookmarkEnd w:id="269"/>
    <w:bookmarkEnd w:id="270"/>
    <w:bookmarkEnd w:id="271"/>
    <w:bookmarkEnd w:id="272"/>
    <w:bookmarkEnd w:id="273"/>
    <w:bookmarkEnd w:id="27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bookmarkStart w:id="287" w:name="_Toc297216193"/>
      <w:bookmarkStart w:id="288" w:name="_Toc304295560"/>
      <w:bookmarkStart w:id="289" w:name="_Toc312677496"/>
      <w:bookmarkStart w:id="290" w:name="_Toc312678022"/>
      <w:bookmarkStart w:id="291" w:name="_Toc303539140"/>
      <w:bookmarkStart w:id="292" w:name="_Toc297123534"/>
      <w:bookmarkStart w:id="293" w:name="_Toc300934983"/>
      <w:r>
        <w:rPr>
          <w:rFonts w:hint="eastAsia" w:asciiTheme="minorEastAsia" w:hAnsiTheme="minorEastAsia" w:eastAsiaTheme="minorEastAsia" w:cstheme="minorEastAsia"/>
          <w:szCs w:val="21"/>
        </w:rPr>
        <w:t>.1试验设备与试验人员</w:t>
      </w:r>
    </w:p>
    <w:bookmarkEnd w:id="287"/>
    <w:bookmarkEnd w:id="288"/>
    <w:bookmarkEnd w:id="289"/>
    <w:bookmarkEnd w:id="290"/>
    <w:bookmarkEnd w:id="291"/>
    <w:bookmarkEnd w:id="292"/>
    <w:bookmarkEnd w:id="293"/>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bookmarkStart w:id="294" w:name="_Toc312678023"/>
      <w:bookmarkStart w:id="295" w:name="_Toc303539141"/>
      <w:bookmarkStart w:id="296" w:name="_Toc312677497"/>
      <w:bookmarkStart w:id="297" w:name="_Toc304295561"/>
      <w:bookmarkStart w:id="298" w:name="_Toc297216194"/>
      <w:bookmarkStart w:id="299" w:name="_Toc297123535"/>
      <w:bookmarkStart w:id="300" w:name="_Toc300934984"/>
      <w:bookmarkStart w:id="301" w:name="_Toc318581174"/>
      <w:r>
        <w:rPr>
          <w:rFonts w:hint="eastAsia" w:asciiTheme="minorEastAsia" w:hAnsiTheme="minorEastAsia" w:eastAsiaTheme="minorEastAsia" w:cstheme="minorEastAsia"/>
          <w:szCs w:val="21"/>
        </w:rPr>
        <w:t>.1.2 试验设备</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施工现场需要配置的试验场所：</w:t>
      </w:r>
      <w:bookmarkEnd w:id="294"/>
      <w:bookmarkEnd w:id="295"/>
      <w:bookmarkEnd w:id="296"/>
      <w:bookmarkEnd w:id="297"/>
      <w:bookmarkEnd w:id="298"/>
      <w:bookmarkEnd w:id="299"/>
      <w:bookmarkEnd w:id="300"/>
      <w:bookmarkStart w:id="302" w:name="_Toc312677498"/>
      <w:bookmarkStart w:id="303" w:name="_Toc297216195"/>
      <w:bookmarkStart w:id="304" w:name="_Toc300934985"/>
      <w:bookmarkStart w:id="305" w:name="_Toc304295562"/>
      <w:bookmarkStart w:id="306" w:name="_Toc303539142"/>
      <w:bookmarkStart w:id="307" w:name="_Toc297123536"/>
      <w:bookmarkStart w:id="308" w:name="_Toc312678024"/>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施工现场需要配备的试验设备：</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施工现场需要具备的其他试验条件：</w:t>
      </w:r>
      <w:r>
        <w:rPr>
          <w:rFonts w:hint="eastAsia" w:asciiTheme="minorEastAsia" w:hAnsiTheme="minorEastAsia" w:eastAsiaTheme="minorEastAsia" w:cstheme="minorEastAsia"/>
          <w:b/>
          <w:bCs/>
          <w:szCs w:val="21"/>
          <w:u w:val="single"/>
        </w:rPr>
        <w:t>所有试车费用承包人已在磋商响应报价中包干</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9.4 现场工艺试验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现场工艺试验的有关约定：</w:t>
      </w:r>
      <w:r>
        <w:rPr>
          <w:rFonts w:hint="eastAsia" w:asciiTheme="minorEastAsia" w:hAnsiTheme="minorEastAsia" w:eastAsiaTheme="minorEastAsia" w:cstheme="minorEastAsia"/>
          <w:b/>
          <w:bCs/>
          <w:szCs w:val="21"/>
          <w:u w:val="single"/>
        </w:rPr>
        <w:t>按通用合同条款第9.4条规定执行</w:t>
      </w:r>
      <w:r>
        <w:rPr>
          <w:rFonts w:hint="eastAsia" w:asciiTheme="minorEastAsia" w:hAnsiTheme="minorEastAsia" w:eastAsiaTheme="minorEastAsia" w:cstheme="minorEastAsia"/>
          <w:szCs w:val="21"/>
        </w:rPr>
        <w:t>。</w:t>
      </w:r>
    </w:p>
    <w:bookmarkEnd w:id="301"/>
    <w:bookmarkEnd w:id="302"/>
    <w:bookmarkEnd w:id="303"/>
    <w:bookmarkEnd w:id="304"/>
    <w:bookmarkEnd w:id="305"/>
    <w:bookmarkEnd w:id="306"/>
    <w:bookmarkEnd w:id="307"/>
    <w:bookmarkEnd w:id="308"/>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309" w:name="_Toc351203642"/>
      <w:r>
        <w:rPr>
          <w:rFonts w:hint="eastAsia" w:asciiTheme="minorEastAsia" w:hAnsiTheme="minorEastAsia" w:eastAsiaTheme="minorEastAsia" w:cstheme="minorEastAsia"/>
          <w:b w:val="0"/>
          <w:sz w:val="21"/>
          <w:szCs w:val="21"/>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2559903"/>
      <w:bookmarkStart w:id="311" w:name="_Toc297216199"/>
      <w:bookmarkStart w:id="312" w:name="_Toc304295566"/>
      <w:bookmarkStart w:id="313" w:name="_Toc297048379"/>
      <w:bookmarkStart w:id="314" w:name="_Toc296503193"/>
      <w:bookmarkStart w:id="315" w:name="_Toc296347192"/>
      <w:bookmarkStart w:id="316" w:name="_Toc300934989"/>
      <w:bookmarkStart w:id="317" w:name="_Toc292559398"/>
      <w:bookmarkStart w:id="318" w:name="_Toc296944532"/>
      <w:bookmarkStart w:id="319" w:name="_Toc296891233"/>
      <w:bookmarkStart w:id="320" w:name="_Toc303539146"/>
      <w:bookmarkStart w:id="321" w:name="_Toc297120493"/>
      <w:bookmarkStart w:id="322" w:name="_Toc296346694"/>
      <w:bookmarkStart w:id="323" w:name="_Toc297123540"/>
      <w:bookmarkStart w:id="324" w:name="_Toc296891021"/>
      <w:bookmarkStart w:id="325" w:name="_Toc312677499"/>
      <w:bookmarkStart w:id="326" w:name="_Toc312678025"/>
      <w:bookmarkStart w:id="327" w:name="_Toc267251437"/>
      <w:bookmarkStart w:id="328" w:name="_Toc267251433"/>
      <w:bookmarkStart w:id="329" w:name="_Toc267251441"/>
      <w:bookmarkStart w:id="330" w:name="_Toc267251440"/>
      <w:bookmarkStart w:id="331" w:name="_Toc267251439"/>
      <w:bookmarkStart w:id="332" w:name="_Toc267251435"/>
      <w:bookmarkStart w:id="333" w:name="_Toc267251442"/>
      <w:r>
        <w:rPr>
          <w:rFonts w:hint="eastAsia" w:asciiTheme="minorEastAsia" w:hAnsiTheme="minorEastAsia" w:eastAsiaTheme="minorEastAsia" w:cstheme="minorEastAsia"/>
          <w:b w:val="0"/>
          <w:sz w:val="21"/>
          <w:szCs w:val="21"/>
        </w:rPr>
        <w:t>0. 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334" w:name="_Toc297123541"/>
      <w:bookmarkStart w:id="335" w:name="_Toc300934990"/>
      <w:bookmarkStart w:id="336" w:name="_Toc296503194"/>
      <w:bookmarkStart w:id="337" w:name="_Toc296346695"/>
      <w:bookmarkStart w:id="338" w:name="_Toc292559399"/>
      <w:bookmarkStart w:id="339" w:name="_Toc303539147"/>
      <w:bookmarkStart w:id="340" w:name="_Toc297120494"/>
      <w:bookmarkStart w:id="341" w:name="_Toc296891022"/>
      <w:bookmarkStart w:id="342" w:name="_Toc296347193"/>
      <w:bookmarkStart w:id="343" w:name="_Toc297216200"/>
      <w:bookmarkStart w:id="344" w:name="_Toc312678026"/>
      <w:bookmarkStart w:id="345" w:name="_Toc297048380"/>
      <w:bookmarkStart w:id="346" w:name="_Toc292559904"/>
      <w:bookmarkStart w:id="347" w:name="_Toc296891234"/>
      <w:bookmarkStart w:id="348" w:name="_Toc312677500"/>
      <w:bookmarkStart w:id="349" w:name="_Toc304295567"/>
      <w:bookmarkStart w:id="350" w:name="_Toc296944533"/>
      <w:r>
        <w:rPr>
          <w:rFonts w:hint="eastAsia" w:asciiTheme="minorEastAsia" w:hAnsiTheme="minorEastAsia" w:eastAsiaTheme="minorEastAsia" w:cstheme="minorEastAsia"/>
          <w:szCs w:val="21"/>
        </w:rPr>
        <w:t>0.1变更的范围</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关于变更的范围的约定：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szCs w:val="21"/>
          <w:u w:val="single"/>
        </w:rPr>
        <w:t>（1）</w:t>
      </w:r>
      <w:r>
        <w:rPr>
          <w:rFonts w:hint="eastAsia" w:asciiTheme="minorEastAsia" w:hAnsiTheme="minorEastAsia" w:eastAsiaTheme="minorEastAsia" w:cstheme="minorEastAsia"/>
          <w:b/>
          <w:bCs/>
          <w:szCs w:val="21"/>
          <w:u w:val="single"/>
        </w:rPr>
        <w:t>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（2）施工中承包人不得对原工程设计进行变更。因承包人擅自变更设计发生的费用和由此导致发包人的直接损失，由承包人承担，延误的工期不予顺延。</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3）承包人在施工中提出的合理化建议涉及到对设计图纸或施工组织设计的更改及对材料、设备的换用，须经采购人同意。未经同意擅自更改或换用时，承包人承担由此发生的费用，并赔偿发包人的有关损失，延误的工期不予顺延。采购人同意采用承包人合理化建议，所发生的费用和获得的收益，发包人承包人另行约定分担或分享</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10.4 变更估价</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10.4.1 变更估价原则</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关于变更估价的约定: </w:t>
      </w:r>
      <w:r>
        <w:rPr>
          <w:rFonts w:hint="eastAsia" w:asciiTheme="minorEastAsia" w:hAnsiTheme="minorEastAsia" w:eastAsiaTheme="minorEastAsia" w:cstheme="minorEastAsia"/>
          <w:b/>
          <w:bCs/>
          <w:szCs w:val="21"/>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7216203"/>
      <w:bookmarkStart w:id="352" w:name="_Toc297120497"/>
      <w:bookmarkStart w:id="353" w:name="_Toc296346698"/>
      <w:bookmarkStart w:id="354" w:name="_Toc303539150"/>
      <w:bookmarkStart w:id="355" w:name="_Toc297048383"/>
      <w:bookmarkStart w:id="356" w:name="_Toc296891237"/>
      <w:bookmarkStart w:id="357" w:name="_Toc296503197"/>
      <w:bookmarkStart w:id="358" w:name="_Toc292559907"/>
      <w:bookmarkStart w:id="359" w:name="_Toc296891025"/>
      <w:bookmarkStart w:id="360" w:name="_Toc296347196"/>
      <w:bookmarkStart w:id="361" w:name="_Toc296944536"/>
      <w:bookmarkStart w:id="362" w:name="_Toc292559402"/>
      <w:bookmarkStart w:id="363" w:name="_Toc300934993"/>
      <w:bookmarkStart w:id="364" w:name="_Toc297123544"/>
      <w:bookmarkStart w:id="365" w:name="_Toc312678029"/>
      <w:bookmarkStart w:id="366" w:name="_Toc304295570"/>
      <w:bookmarkStart w:id="367" w:name="_Toc312677503"/>
      <w:r>
        <w:rPr>
          <w:rFonts w:hint="eastAsia" w:asciiTheme="minorEastAsia" w:hAnsiTheme="minorEastAsia" w:eastAsiaTheme="minorEastAsia" w:cstheme="minorEastAsia"/>
          <w:szCs w:val="21"/>
        </w:rPr>
        <w:t>0.5承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297123545"/>
      <w:bookmarkStart w:id="369" w:name="_Toc296347202"/>
      <w:bookmarkStart w:id="370" w:name="_Toc296891243"/>
      <w:bookmarkStart w:id="371" w:name="_Toc292559913"/>
      <w:bookmarkStart w:id="372" w:name="_Toc303539151"/>
      <w:bookmarkStart w:id="373" w:name="_Toc297120503"/>
      <w:bookmarkStart w:id="374" w:name="_Toc292559408"/>
      <w:bookmarkStart w:id="375" w:name="_Toc296891031"/>
      <w:bookmarkStart w:id="376" w:name="_Toc297216204"/>
      <w:bookmarkStart w:id="377" w:name="_Toc296503203"/>
      <w:bookmarkStart w:id="378" w:name="_Toc297048389"/>
      <w:bookmarkStart w:id="379" w:name="_Toc296944542"/>
      <w:bookmarkStart w:id="380" w:name="_Toc300934994"/>
      <w:bookmarkStart w:id="381" w:name="_Toc296346704"/>
      <w:r>
        <w:rPr>
          <w:rFonts w:hint="eastAsia" w:asciiTheme="minorEastAsia" w:hAnsiTheme="minorEastAsia" w:eastAsiaTheme="minorEastAsia" w:cstheme="minorEastAsia"/>
          <w:szCs w:val="21"/>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监理人审查承包人合理化建议的期限：</w:t>
      </w:r>
      <w:r>
        <w:rPr>
          <w:rFonts w:hint="eastAsia" w:asciiTheme="minorEastAsia" w:hAnsiTheme="minorEastAsia" w:eastAsiaTheme="minorEastAsia" w:cstheme="minorEastAsia"/>
          <w:b/>
          <w:bCs/>
          <w:szCs w:val="21"/>
          <w:u w:val="single"/>
        </w:rPr>
        <w:t>按通用合同条款第10.5条规定执行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发包人审批承包人合理化建议的期限：</w:t>
      </w:r>
      <w:r>
        <w:rPr>
          <w:rFonts w:hint="eastAsia" w:asciiTheme="minorEastAsia" w:hAnsiTheme="minorEastAsia" w:eastAsiaTheme="minorEastAsia" w:cstheme="minorEastAsia"/>
          <w:b/>
          <w:bCs/>
          <w:szCs w:val="21"/>
          <w:u w:val="single"/>
        </w:rPr>
        <w:t>按通用合同条款第10.5条规定执行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w:t>
      </w:r>
      <w:bookmarkStart w:id="382" w:name="_Toc292559914"/>
      <w:bookmarkStart w:id="383" w:name="_Toc312677504"/>
      <w:bookmarkStart w:id="384" w:name="_Toc297120504"/>
      <w:bookmarkStart w:id="385" w:name="_Toc297123546"/>
      <w:bookmarkStart w:id="386" w:name="_Toc304295571"/>
      <w:bookmarkStart w:id="387" w:name="_Toc297216205"/>
      <w:bookmarkStart w:id="388" w:name="_Toc312678030"/>
      <w:bookmarkStart w:id="389" w:name="_Toc296891244"/>
      <w:bookmarkStart w:id="390" w:name="_Toc292559409"/>
      <w:bookmarkStart w:id="391" w:name="_Toc296346705"/>
      <w:bookmarkStart w:id="392" w:name="_Toc296503204"/>
      <w:bookmarkStart w:id="393" w:name="_Toc303539152"/>
      <w:bookmarkStart w:id="394" w:name="_Toc297048390"/>
      <w:bookmarkStart w:id="395" w:name="_Toc296891032"/>
      <w:bookmarkStart w:id="396" w:name="_Toc296944543"/>
      <w:bookmarkStart w:id="397" w:name="_Toc296347203"/>
      <w:bookmarkStart w:id="398" w:name="_Toc318581175"/>
      <w:bookmarkStart w:id="399" w:name="_Toc300934995"/>
      <w:r>
        <w:rPr>
          <w:rFonts w:hint="eastAsia" w:asciiTheme="minorEastAsia" w:hAnsiTheme="minorEastAsia" w:eastAsiaTheme="minorEastAsia" w:cstheme="minorEastAsia"/>
          <w:szCs w:val="21"/>
        </w:rPr>
        <w:t>包人提出的合理化建议降低了合同价格或者提高了工程经济效益的奖励的方法和金额为：</w:t>
      </w:r>
      <w:r>
        <w:rPr>
          <w:rFonts w:hint="eastAsia" w:asciiTheme="minorEastAsia" w:hAnsiTheme="minorEastAsia" w:eastAsiaTheme="minorEastAsia" w:cstheme="minorEastAsia"/>
          <w:szCs w:val="21"/>
          <w:u w:val="single"/>
        </w:rPr>
        <w:t xml:space="preserve">   另行协商    </w:t>
      </w:r>
      <w:r>
        <w:rPr>
          <w:rFonts w:hint="eastAsia" w:asciiTheme="minorEastAsia" w:hAnsiTheme="minorEastAsia" w:eastAsiaTheme="minorEastAsia" w:cstheme="minorEastAsia"/>
          <w:szCs w:val="21"/>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400" w:name="_Toc300934997"/>
      <w:bookmarkStart w:id="401" w:name="_Toc296891239"/>
      <w:bookmarkStart w:id="402" w:name="_Toc304295574"/>
      <w:bookmarkStart w:id="403" w:name="_Toc296891027"/>
      <w:bookmarkStart w:id="404" w:name="_Toc297216207"/>
      <w:bookmarkStart w:id="405" w:name="_Toc296944538"/>
      <w:bookmarkStart w:id="406" w:name="_Toc312678033"/>
      <w:bookmarkStart w:id="407" w:name="_Toc297123548"/>
      <w:bookmarkStart w:id="408" w:name="_Toc297048385"/>
      <w:bookmarkStart w:id="409" w:name="_Toc292559404"/>
      <w:bookmarkStart w:id="410" w:name="_Toc292559909"/>
      <w:bookmarkStart w:id="411" w:name="_Toc296503199"/>
      <w:bookmarkStart w:id="412" w:name="_Toc312677507"/>
      <w:bookmarkStart w:id="413" w:name="_Toc303539154"/>
      <w:bookmarkStart w:id="414" w:name="_Toc296346700"/>
      <w:bookmarkStart w:id="415" w:name="_Toc297120499"/>
      <w:bookmarkStart w:id="416" w:name="_Toc296347198"/>
      <w:r>
        <w:rPr>
          <w:rFonts w:hint="eastAsia" w:asciiTheme="minorEastAsia" w:hAnsiTheme="minorEastAsia" w:eastAsiaTheme="minorEastAsia" w:cstheme="minorEastAsia"/>
          <w:szCs w:val="21"/>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Start w:id="417" w:name="_Toc312678035"/>
      <w:bookmarkStart w:id="418" w:name="_Toc312677509"/>
      <w:bookmarkStart w:id="419" w:name="_Toc318581177"/>
      <w:r>
        <w:rPr>
          <w:rFonts w:hint="eastAsia" w:asciiTheme="minorEastAsia" w:hAnsiTheme="minorEastAsia" w:eastAsiaTheme="minorEastAsia" w:cstheme="minorEastAsia"/>
          <w:szCs w:val="21"/>
        </w:rPr>
        <w:t>0.7.1 依法必须招标的暂估价项目</w:t>
      </w:r>
    </w:p>
    <w:bookmarkEnd w:id="417"/>
    <w:bookmarkEnd w:id="418"/>
    <w:bookmarkEnd w:id="419"/>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对于依法必须招标的暂估价项目的确认和批准采取第</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种方式确定。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10.7.2 不属于依法必须招标的暂估价项目</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对于不属于依法必须招标的暂估价项目的确认和批准采取第</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种方式确定。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第3种方式：</w:t>
      </w:r>
      <w:r>
        <w:rPr>
          <w:rFonts w:hint="eastAsia" w:asciiTheme="minorEastAsia" w:hAnsiTheme="minorEastAsia" w:eastAsiaTheme="minorEastAsia" w:cstheme="minorEastAsia"/>
          <w:kern w:val="0"/>
          <w:szCs w:val="21"/>
        </w:rPr>
        <w:t>承包人直接实施的暂估价项目</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承包人直接实施的暂估价项目的约定：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10.8 暂列金额</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合同当事人关于暂列金额使用的约定：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420" w:name="_Toc351203643"/>
      <w:r>
        <w:rPr>
          <w:rFonts w:hint="eastAsia" w:asciiTheme="minorEastAsia" w:hAnsiTheme="minorEastAsia" w:eastAsiaTheme="minorEastAsia" w:cstheme="minorEastAsia"/>
          <w:b w:val="0"/>
          <w:sz w:val="21"/>
          <w:szCs w:val="21"/>
        </w:rPr>
        <w:t>11. 价格调整</w:t>
      </w:r>
      <w:bookmarkEnd w:id="420"/>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bookmarkEnd w:id="327"/>
    <w:bookmarkEnd w:id="328"/>
    <w:bookmarkEnd w:id="329"/>
    <w:bookmarkEnd w:id="330"/>
    <w:bookmarkEnd w:id="331"/>
    <w:bookmarkEnd w:id="332"/>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421" w:name="_Toc296891033"/>
      <w:bookmarkStart w:id="422" w:name="_Toc297120505"/>
      <w:bookmarkStart w:id="423" w:name="_Toc296346706"/>
      <w:bookmarkStart w:id="424" w:name="_Toc292559410"/>
      <w:bookmarkStart w:id="425" w:name="_Toc296503205"/>
      <w:bookmarkStart w:id="426" w:name="_Toc296891245"/>
      <w:bookmarkStart w:id="427" w:name="_Toc297048391"/>
      <w:bookmarkStart w:id="428" w:name="_Toc296347204"/>
      <w:bookmarkStart w:id="429" w:name="_Toc296944544"/>
      <w:bookmarkStart w:id="430" w:name="_Toc292559915"/>
      <w:bookmarkStart w:id="431" w:name="_Toc351203644"/>
      <w:bookmarkStart w:id="432" w:name="_Toc300935002"/>
      <w:bookmarkStart w:id="433" w:name="_Toc312678040"/>
      <w:bookmarkStart w:id="434" w:name="_Toc303539159"/>
      <w:bookmarkStart w:id="435" w:name="_Toc304295579"/>
      <w:bookmarkStart w:id="436" w:name="_Toc297123552"/>
      <w:bookmarkStart w:id="437" w:name="_Toc297216211"/>
      <w:r>
        <w:rPr>
          <w:rFonts w:hint="eastAsia" w:asciiTheme="minorEastAsia" w:hAnsiTheme="minorEastAsia" w:eastAsiaTheme="minorEastAsia" w:cstheme="minorEastAsia"/>
          <w:b w:val="0"/>
          <w:sz w:val="21"/>
          <w:szCs w:val="21"/>
        </w:rPr>
        <w:t xml:space="preserve">12. </w:t>
      </w:r>
      <w:bookmarkEnd w:id="421"/>
      <w:bookmarkEnd w:id="422"/>
      <w:bookmarkEnd w:id="423"/>
      <w:bookmarkEnd w:id="424"/>
      <w:bookmarkEnd w:id="425"/>
      <w:bookmarkEnd w:id="426"/>
      <w:bookmarkEnd w:id="427"/>
      <w:bookmarkEnd w:id="428"/>
      <w:bookmarkEnd w:id="429"/>
      <w:bookmarkEnd w:id="430"/>
      <w:r>
        <w:rPr>
          <w:rFonts w:hint="eastAsia" w:asciiTheme="minorEastAsia" w:hAnsiTheme="minorEastAsia" w:eastAsiaTheme="minorEastAsia" w:cstheme="minorEastAsia"/>
          <w:b w:val="0"/>
          <w:sz w:val="21"/>
          <w:szCs w:val="21"/>
        </w:rPr>
        <w:t>合同价格、计量与支付</w:t>
      </w:r>
      <w:bookmarkEnd w:id="431"/>
    </w:p>
    <w:bookmarkEnd w:id="432"/>
    <w:bookmarkEnd w:id="433"/>
    <w:bookmarkEnd w:id="434"/>
    <w:bookmarkEnd w:id="435"/>
    <w:bookmarkEnd w:id="436"/>
    <w:bookmarkEnd w:id="43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438" w:name="_Toc292559916"/>
      <w:bookmarkStart w:id="439" w:name="_Toc267251461"/>
      <w:bookmarkStart w:id="440" w:name="_Toc292559411"/>
      <w:bookmarkStart w:id="441" w:name="_Toc296503206"/>
      <w:bookmarkStart w:id="442" w:name="_Toc296944545"/>
      <w:bookmarkStart w:id="443" w:name="_Toc296891246"/>
      <w:bookmarkStart w:id="444" w:name="_Toc296346707"/>
      <w:bookmarkStart w:id="445" w:name="_Toc296891034"/>
      <w:bookmarkStart w:id="446" w:name="_Toc296347205"/>
      <w:bookmarkStart w:id="447" w:name="_Toc297120506"/>
      <w:bookmarkStart w:id="448" w:name="_Toc297048392"/>
      <w:bookmarkStart w:id="449" w:name="_Toc303539160"/>
      <w:bookmarkStart w:id="450" w:name="_Toc297216212"/>
      <w:bookmarkStart w:id="451" w:name="_Toc304295580"/>
      <w:bookmarkStart w:id="452" w:name="_Toc297123553"/>
      <w:bookmarkStart w:id="453" w:name="_Toc300935003"/>
      <w:bookmarkStart w:id="454" w:name="_Toc312678041"/>
      <w:r>
        <w:rPr>
          <w:rFonts w:hint="eastAsia" w:asciiTheme="minorEastAsia" w:hAnsiTheme="minorEastAsia" w:eastAsiaTheme="minorEastAsia" w:cstheme="minorEastAsia"/>
          <w:szCs w:val="21"/>
        </w:rPr>
        <w:t>12.1 合</w:t>
      </w:r>
      <w:bookmarkEnd w:id="438"/>
      <w:bookmarkEnd w:id="439"/>
      <w:bookmarkEnd w:id="440"/>
      <w:r>
        <w:rPr>
          <w:rFonts w:hint="eastAsia" w:asciiTheme="minorEastAsia" w:hAnsiTheme="minorEastAsia" w:eastAsiaTheme="minorEastAsia" w:cstheme="minorEastAsia"/>
          <w:szCs w:val="21"/>
        </w:rPr>
        <w:t>同价</w:t>
      </w:r>
      <w:bookmarkEnd w:id="441"/>
      <w:bookmarkEnd w:id="442"/>
      <w:bookmarkEnd w:id="443"/>
      <w:bookmarkEnd w:id="444"/>
      <w:bookmarkEnd w:id="445"/>
      <w:bookmarkEnd w:id="446"/>
      <w:bookmarkEnd w:id="447"/>
      <w:bookmarkEnd w:id="448"/>
      <w:r>
        <w:rPr>
          <w:rFonts w:hint="eastAsia" w:asciiTheme="minorEastAsia" w:hAnsiTheme="minorEastAsia" w:eastAsiaTheme="minorEastAsia" w:cstheme="minorEastAsia"/>
          <w:szCs w:val="21"/>
        </w:rPr>
        <w:t>格形式</w:t>
      </w:r>
    </w:p>
    <w:bookmarkEnd w:id="449"/>
    <w:bookmarkEnd w:id="450"/>
    <w:bookmarkEnd w:id="451"/>
    <w:bookmarkEnd w:id="452"/>
    <w:bookmarkEnd w:id="453"/>
    <w:bookmarkEnd w:id="454"/>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1、本合同为</w:t>
      </w:r>
      <w:r>
        <w:rPr>
          <w:rFonts w:hint="eastAsia" w:asciiTheme="minorEastAsia" w:hAnsiTheme="minorEastAsia" w:eastAsiaTheme="minorEastAsia" w:cstheme="minorEastAsia"/>
          <w:b/>
          <w:szCs w:val="21"/>
          <w:u w:val="single"/>
        </w:rPr>
        <w:t>固定综合单价合同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综合单价包含的风险范围：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a、除不可抗力外的各种自然灾害；</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b、安全生产文明施工不当引起的责任；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c、所有磋商文件或工程量清单明示要求报价的内容而承包人未予报价的，将被认为包含在合同总价中，结算时合同价款不再增加；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d、工程要素（含人工、材料（设备）、机械台班）价格的涨跌风险；</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e、承包人对工程现场环境以及发包人提供的磋商文件、图纸等资料作出错误的推论、理解而导致的报价失误；</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f、磋商文件约定的工程量清单数量误差引起的综合单价成本差异（风险范围及范围外调整方法见本条款第2）条的规定）；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g、施工组织措施费和技术措施费在成交以后，在合同施工范围内，无论现场施工条件如何变化、设计如何变更、也无论工程量增减的幅度如何，均不再调整；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h、施工期间停水、停电引起的费用增加；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i、清单描述中有按图集或规范施工的，综合单价必须满足规范和图集要求，综合单价不作调整；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j、本工程垃圾外运费用一次性包干，包括所有垃圾清理、搬运、外运与消纳所产生的费用，施工过程及结算时不予增加。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k、所有磋商文件或工程量清单明示要求报价包干或费率包干（指规费、税金、意外伤害保险费、总承包服务费）的内容；</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l、除本条明确允许调整内容以外的其他风险因素；</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m、若同一工程中出现清单项目相同而报价或取费不一致者，按最低者执行。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风险费用的计算方法：</w:t>
      </w:r>
      <w:r>
        <w:rPr>
          <w:rFonts w:hint="eastAsia" w:asciiTheme="minorEastAsia" w:hAnsiTheme="minorEastAsia" w:eastAsiaTheme="minorEastAsia" w:cstheme="minorEastAsia"/>
          <w:b/>
          <w:szCs w:val="21"/>
          <w:u w:val="single"/>
        </w:rPr>
        <w:t>风险因素范围内的费用由承包人自行考虑计列，不再另行计列、调整</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风险范围以外合同价格的调整方法：</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由承包人按《建设工程工程量清单计价规范》（GB 50500-2013）、《房屋建筑与装饰工程工程量计算规范》（GB 50854-2013）、《通用安装工程工程量计算规范》（GB50856—2013）、《浙江省建设工程计价规则》（2018版）中规定的工程量计算规则计算，报发包人审定后按实调整。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1）综合单价确定方式：</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①合同中已有适用的综合单价的，按合同中已有的综合单价确定；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②合同中有类似工程项目单价的，可以参照合同中类似项目的单价计算确定；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2、总价合同。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总价包含的风险范围：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风险费用的计算方法：</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风险范围以外合同价格的调整方法：</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3、其他价格方式：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455" w:name="_Toc297216213"/>
      <w:bookmarkStart w:id="456" w:name="_Toc303539161"/>
      <w:bookmarkStart w:id="457" w:name="_Toc304295581"/>
      <w:bookmarkStart w:id="458" w:name="_Toc312678042"/>
      <w:bookmarkStart w:id="459" w:name="_Toc300935004"/>
      <w:bookmarkStart w:id="460" w:name="_Toc297123554"/>
      <w:bookmarkStart w:id="461" w:name="_Toc296346708"/>
      <w:bookmarkStart w:id="462" w:name="_Toc292559917"/>
      <w:bookmarkStart w:id="463" w:name="_Toc296944546"/>
      <w:bookmarkStart w:id="464" w:name="_Toc296347206"/>
      <w:bookmarkStart w:id="465" w:name="_Toc296891035"/>
      <w:bookmarkStart w:id="466" w:name="_Toc296891247"/>
      <w:bookmarkStart w:id="467" w:name="_Toc297048393"/>
      <w:bookmarkStart w:id="468" w:name="_Toc296503207"/>
      <w:bookmarkStart w:id="469" w:name="_Toc292559412"/>
      <w:bookmarkStart w:id="470" w:name="_Toc297120507"/>
      <w:r>
        <w:rPr>
          <w:rFonts w:hint="eastAsia" w:asciiTheme="minorEastAsia" w:hAnsiTheme="minorEastAsia" w:eastAsiaTheme="minorEastAsia" w:cstheme="minorEastAsia"/>
          <w:szCs w:val="21"/>
        </w:rPr>
        <w:t>12.2 预付款</w:t>
      </w:r>
    </w:p>
    <w:bookmarkEnd w:id="455"/>
    <w:bookmarkEnd w:id="456"/>
    <w:bookmarkEnd w:id="457"/>
    <w:bookmarkEnd w:id="458"/>
    <w:bookmarkEnd w:id="459"/>
    <w:bookmarkEnd w:id="460"/>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12.2.1 预付款的支付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预付款支付比例或金额：</w:t>
      </w:r>
      <w:r>
        <w:rPr>
          <w:rFonts w:hint="eastAsia" w:hAnsi="宋体"/>
          <w:b/>
          <w:bCs w:val="0"/>
          <w:color w:val="auto"/>
          <w:sz w:val="21"/>
          <w:szCs w:val="21"/>
          <w:u w:val="single"/>
          <w:lang w:val="en-US" w:eastAsia="zh-CN"/>
        </w:rPr>
        <w:t>合同金额30%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预付款支付期限：</w:t>
      </w:r>
      <w:r>
        <w:rPr>
          <w:rFonts w:hint="eastAsia" w:asciiTheme="minorEastAsia" w:hAnsiTheme="minorEastAsia" w:eastAsiaTheme="minorEastAsia" w:cstheme="minorEastAsia"/>
          <w:szCs w:val="21"/>
          <w:u w:val="single"/>
        </w:rPr>
        <w:t>合同签订、承包人递交履约保证金后，且承包人施工队伍主要管理人员、主要施工机械进场后发包人向承包人预付签约合同价的</w:t>
      </w:r>
      <w:r>
        <w:rPr>
          <w:rFonts w:hint="eastAsia" w:asciiTheme="minorEastAsia" w:hAnsiTheme="minorEastAsia" w:cstheme="minorEastAsia"/>
          <w:szCs w:val="21"/>
          <w:u w:val="single"/>
          <w:lang w:val="en-US" w:eastAsia="zh-CN"/>
        </w:rPr>
        <w:t>30</w:t>
      </w:r>
      <w:r>
        <w:rPr>
          <w:rFonts w:hint="eastAsia" w:asciiTheme="minorEastAsia" w:hAnsiTheme="minorEastAsia" w:eastAsiaTheme="minorEastAsia" w:cstheme="minorEastAsia"/>
          <w:szCs w:val="21"/>
          <w:u w:val="single"/>
        </w:rPr>
        <w:t>%的工程预付款（</w:t>
      </w:r>
      <w:r>
        <w:rPr>
          <w:rFonts w:hint="eastAsia" w:asciiTheme="minorEastAsia" w:hAnsiTheme="minorEastAsia" w:eastAsiaTheme="minorEastAsia" w:cstheme="minorEastAsia"/>
          <w:b/>
          <w:szCs w:val="21"/>
          <w:u w:val="single"/>
        </w:rPr>
        <w:t>不含暂列金</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预付款扣回的方式：</w:t>
      </w:r>
      <w:r>
        <w:rPr>
          <w:rFonts w:hint="eastAsia" w:asciiTheme="minorEastAsia" w:hAnsiTheme="minorEastAsia" w:cstheme="minorEastAsia"/>
          <w:b/>
          <w:bCs/>
          <w:szCs w:val="21"/>
          <w:u w:val="single"/>
          <w:lang w:val="en-US" w:eastAsia="zh-CN"/>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12.2.2 预付款担保</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承包人提交预付款担保的期限：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预付款担保的形式为：</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bookmarkEnd w:id="461"/>
    <w:bookmarkEnd w:id="462"/>
    <w:bookmarkEnd w:id="463"/>
    <w:bookmarkEnd w:id="464"/>
    <w:bookmarkEnd w:id="465"/>
    <w:bookmarkEnd w:id="466"/>
    <w:bookmarkEnd w:id="467"/>
    <w:bookmarkEnd w:id="468"/>
    <w:bookmarkEnd w:id="469"/>
    <w:bookmarkEnd w:id="470"/>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 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12.3.1 计量原则</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工程量计算规则：</w:t>
      </w:r>
      <w:r>
        <w:rPr>
          <w:rFonts w:hint="eastAsia" w:asciiTheme="minorEastAsia" w:hAnsiTheme="minorEastAsia" w:eastAsiaTheme="minorEastAsia" w:cstheme="minorEastAsia"/>
          <w:b/>
          <w:szCs w:val="21"/>
          <w:u w:val="single"/>
        </w:rPr>
        <w:t>按施工图纸及变更联系单按实际计算，并按《建设工程工程量清单计价规范》（GB 50500-2013）、《房屋建筑与装饰工程工程量计算规范》（GB 50854-2013）、《通用安装工程工程量计算规范》（GB50856—2013）、《浙江省建设工程计价规则》（2018版）</w:t>
      </w:r>
      <w:r>
        <w:rPr>
          <w:rFonts w:hint="eastAsia" w:asciiTheme="minorEastAsia" w:hAnsiTheme="minorEastAsia" w:eastAsiaTheme="minorEastAsia" w:cstheme="minorEastAsia"/>
          <w:b/>
          <w:bCs/>
          <w:szCs w:val="21"/>
          <w:u w:val="single"/>
        </w:rPr>
        <w:t>及浙江省、杭州市现行相关规定中规定的工程量计算规则计算</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12.3.2 计量周期</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关于计量周期的约定：</w:t>
      </w:r>
      <w:r>
        <w:rPr>
          <w:rFonts w:hint="eastAsia" w:asciiTheme="minorEastAsia" w:hAnsiTheme="minorEastAsia" w:eastAsiaTheme="minorEastAsia" w:cstheme="minorEastAsia"/>
          <w:b/>
          <w:bCs/>
          <w:szCs w:val="21"/>
          <w:u w:val="single"/>
        </w:rPr>
        <w:t>工程量的计量按月进行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12.3.3 单价合同的计量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关于单价合同计量的约定：</w:t>
      </w:r>
      <w:r>
        <w:rPr>
          <w:rFonts w:hint="eastAsia" w:asciiTheme="minorEastAsia" w:hAnsiTheme="minorEastAsia" w:eastAsiaTheme="minorEastAsia" w:cstheme="minorEastAsia"/>
          <w:b/>
          <w:bCs/>
          <w:szCs w:val="21"/>
          <w:u w:val="single"/>
        </w:rPr>
        <w:t>按通用合同条款规定执行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12.3.4 总价合同的计量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关于总价合同计量的约定：</w:t>
      </w:r>
      <w:r>
        <w:rPr>
          <w:rFonts w:hint="eastAsia" w:asciiTheme="minorEastAsia" w:hAnsiTheme="minorEastAsia" w:eastAsiaTheme="minorEastAsia" w:cstheme="minorEastAsia"/>
          <w:b/>
          <w:bCs/>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12.3.5总价合同采用支付分解表计量支付的，是否适用第</w:t>
      </w:r>
      <w:r>
        <w:rPr>
          <w:rFonts w:hint="eastAsia" w:asciiTheme="minorEastAsia" w:hAnsiTheme="minorEastAsia" w:eastAsiaTheme="minorEastAsia" w:cstheme="minorEastAsia"/>
          <w:kern w:val="0"/>
          <w:szCs w:val="21"/>
        </w:rPr>
        <w:t xml:space="preserve">12.3.4 </w:t>
      </w:r>
      <w:r>
        <w:rPr>
          <w:rFonts w:hint="eastAsia" w:asciiTheme="minorEastAsia" w:hAnsiTheme="minorEastAsia" w:eastAsiaTheme="minorEastAsia" w:cstheme="minorEastAsia"/>
          <w:szCs w:val="21"/>
        </w:rPr>
        <w:t>项</w:t>
      </w:r>
      <w:r>
        <w:rPr>
          <w:rFonts w:hint="eastAsia" w:asciiTheme="minorEastAsia" w:hAnsiTheme="minorEastAsia" w:eastAsiaTheme="minorEastAsia" w:cstheme="minorEastAsia"/>
          <w:kern w:val="0"/>
          <w:szCs w:val="21"/>
        </w:rPr>
        <w:t>〔总价合同的计量〕</w:t>
      </w:r>
      <w:r>
        <w:rPr>
          <w:rFonts w:hint="eastAsia" w:asciiTheme="minorEastAsia" w:hAnsiTheme="minorEastAsia" w:eastAsiaTheme="minorEastAsia" w:cstheme="minorEastAsia"/>
          <w:szCs w:val="21"/>
        </w:rPr>
        <w:t>约定进行计量：</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12.3.6 其他价格形式合同的计量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其他价格形式的计量方式和程序：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 工程进度款支付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471" w:name="_Toc296503211"/>
      <w:bookmarkStart w:id="472" w:name="_Toc296944550"/>
      <w:bookmarkStart w:id="473" w:name="_Toc292559416"/>
      <w:bookmarkStart w:id="474" w:name="_Toc297120511"/>
      <w:bookmarkStart w:id="475" w:name="_Toc292559921"/>
      <w:bookmarkStart w:id="476" w:name="_Toc296891039"/>
      <w:bookmarkStart w:id="477" w:name="_Toc296347210"/>
      <w:bookmarkStart w:id="478" w:name="_Toc297123556"/>
      <w:bookmarkStart w:id="479" w:name="_Toc296346712"/>
      <w:bookmarkStart w:id="480" w:name="_Toc296891251"/>
      <w:bookmarkStart w:id="481" w:name="_Toc297048397"/>
      <w:bookmarkStart w:id="482" w:name="_Toc297216215"/>
      <w:bookmarkStart w:id="483" w:name="_Toc300935006"/>
      <w:bookmarkStart w:id="484" w:name="_Toc303539163"/>
      <w:r>
        <w:rPr>
          <w:rFonts w:hint="eastAsia" w:asciiTheme="minorEastAsia" w:hAnsiTheme="minorEastAsia" w:eastAsiaTheme="minorEastAsia" w:cstheme="minorEastAsia"/>
          <w:szCs w:val="21"/>
        </w:rPr>
        <w:t>12.4.1 付款周期</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关于付款周期的约定：</w:t>
      </w:r>
    </w:p>
    <w:p>
      <w:pPr>
        <w:keepNext w:val="0"/>
        <w:keepLines w:val="0"/>
        <w:pageBreakBefore w:val="0"/>
        <w:widowControl/>
        <w:kinsoku/>
        <w:wordWrap/>
        <w:overflowPunct/>
        <w:topLinePunct w:val="0"/>
        <w:autoSpaceDE/>
        <w:autoSpaceDN/>
        <w:bidi w:val="0"/>
        <w:adjustRightInd/>
        <w:snapToGrid/>
        <w:spacing w:line="360" w:lineRule="auto"/>
        <w:ind w:left="396" w:leftChars="180" w:firstLine="0" w:firstLineChars="0"/>
        <w:jc w:val="left"/>
        <w:textAlignment w:val="auto"/>
        <w:outlineLvl w:val="9"/>
        <w:rPr>
          <w:rFonts w:hint="eastAsia" w:asciiTheme="minorEastAsia" w:hAnsiTheme="minorEastAsia" w:eastAsiaTheme="minorEastAsia" w:cstheme="minorEastAsia"/>
          <w:b/>
          <w:bCs/>
          <w:color w:val="auto"/>
          <w:sz w:val="21"/>
          <w:szCs w:val="21"/>
          <w:u w:val="single" w:color="auto"/>
          <w:lang w:val="en-US" w:eastAsia="zh-CN"/>
        </w:rPr>
      </w:pPr>
      <w:r>
        <w:rPr>
          <w:rFonts w:hint="eastAsia" w:asciiTheme="minorEastAsia" w:hAnsiTheme="minorEastAsia" w:eastAsiaTheme="minorEastAsia" w:cstheme="minorEastAsia"/>
          <w:b/>
          <w:color w:val="auto"/>
          <w:szCs w:val="21"/>
          <w:u w:val="single"/>
        </w:rPr>
        <w:t>（1）、工程进度款按每月进度报表由监理及发包人审定，</w:t>
      </w:r>
      <w:r>
        <w:rPr>
          <w:rFonts w:hint="eastAsia" w:asciiTheme="minorEastAsia" w:hAnsiTheme="minorEastAsia" w:eastAsiaTheme="minorEastAsia" w:cstheme="minorEastAsia"/>
          <w:b/>
          <w:bCs/>
          <w:color w:val="auto"/>
          <w:sz w:val="21"/>
          <w:szCs w:val="21"/>
          <w:u w:val="single" w:color="auto"/>
          <w:lang w:val="en-US" w:eastAsia="zh-CN"/>
        </w:rPr>
        <w:t>承包人实际完成合同工程量80%</w:t>
      </w:r>
      <w:r>
        <w:rPr>
          <w:rFonts w:hint="eastAsia" w:asciiTheme="minorEastAsia" w:hAnsiTheme="minorEastAsia" w:eastAsiaTheme="minorEastAsia" w:cstheme="minorEastAsia"/>
          <w:b/>
          <w:bCs/>
          <w:color w:val="auto"/>
          <w:sz w:val="21"/>
          <w:szCs w:val="21"/>
          <w:u w:val="single" w:color="auto"/>
        </w:rPr>
        <w:t>，</w:t>
      </w:r>
      <w:r>
        <w:rPr>
          <w:rFonts w:hint="eastAsia" w:asciiTheme="minorEastAsia" w:hAnsiTheme="minorEastAsia" w:eastAsiaTheme="minorEastAsia" w:cstheme="minorEastAsia"/>
          <w:b/>
          <w:bCs/>
          <w:color w:val="auto"/>
          <w:sz w:val="21"/>
          <w:szCs w:val="21"/>
          <w:u w:val="single" w:color="auto"/>
          <w:lang w:val="en-US" w:eastAsia="zh-CN"/>
        </w:rPr>
        <w:t>经发包人代表签字确认后，</w:t>
      </w:r>
      <w:r>
        <w:rPr>
          <w:rFonts w:hint="eastAsia" w:asciiTheme="minorEastAsia" w:hAnsiTheme="minorEastAsia" w:eastAsiaTheme="minorEastAsia" w:cstheme="minorEastAsia"/>
          <w:b/>
          <w:bCs/>
          <w:color w:val="auto"/>
          <w:sz w:val="21"/>
          <w:szCs w:val="21"/>
          <w:u w:val="single" w:color="auto"/>
        </w:rPr>
        <w:t>支付</w:t>
      </w:r>
      <w:r>
        <w:rPr>
          <w:rFonts w:hint="eastAsia" w:asciiTheme="minorEastAsia" w:hAnsiTheme="minorEastAsia" w:eastAsiaTheme="minorEastAsia" w:cstheme="minorEastAsia"/>
          <w:b/>
          <w:bCs/>
          <w:color w:val="auto"/>
          <w:sz w:val="21"/>
          <w:szCs w:val="21"/>
          <w:u w:val="single" w:color="auto"/>
          <w:lang w:val="en-US" w:eastAsia="zh-CN"/>
        </w:rPr>
        <w:t>合同总价</w:t>
      </w:r>
      <w:r>
        <w:rPr>
          <w:rFonts w:hint="eastAsia" w:asciiTheme="minorEastAsia" w:hAnsiTheme="minorEastAsia" w:eastAsiaTheme="minorEastAsia" w:cstheme="minorEastAsia"/>
          <w:b/>
          <w:bCs/>
          <w:color w:val="auto"/>
          <w:sz w:val="21"/>
          <w:szCs w:val="21"/>
          <w:u w:val="single" w:color="auto"/>
        </w:rPr>
        <w:t xml:space="preserve"> </w:t>
      </w:r>
      <w:r>
        <w:rPr>
          <w:rFonts w:hint="eastAsia" w:asciiTheme="minorEastAsia" w:hAnsiTheme="minorEastAsia" w:eastAsiaTheme="minorEastAsia" w:cstheme="minorEastAsia"/>
          <w:b/>
          <w:bCs/>
          <w:color w:val="auto"/>
          <w:sz w:val="21"/>
          <w:szCs w:val="21"/>
          <w:u w:val="single" w:color="auto"/>
          <w:lang w:val="en-US" w:eastAsia="zh-CN"/>
        </w:rPr>
        <w:t>40</w:t>
      </w:r>
      <w:r>
        <w:rPr>
          <w:rFonts w:hint="eastAsia" w:asciiTheme="minorEastAsia" w:hAnsiTheme="minorEastAsia" w:eastAsiaTheme="minorEastAsia" w:cstheme="minorEastAsia"/>
          <w:b/>
          <w:bCs/>
          <w:color w:val="auto"/>
          <w:sz w:val="21"/>
          <w:szCs w:val="21"/>
          <w:u w:val="single" w:color="auto"/>
        </w:rPr>
        <w:t>％</w:t>
      </w:r>
      <w:r>
        <w:rPr>
          <w:rFonts w:hint="eastAsia" w:asciiTheme="minorEastAsia" w:hAnsiTheme="minorEastAsia" w:cstheme="minorEastAsia"/>
          <w:b/>
          <w:bCs/>
          <w:color w:val="auto"/>
          <w:sz w:val="21"/>
          <w:szCs w:val="21"/>
          <w:u w:val="single" w:color="auto"/>
          <w:lang w:eastAsia="zh-CN"/>
        </w:rPr>
        <w:t>。</w:t>
      </w:r>
    </w:p>
    <w:p>
      <w:pPr>
        <w:keepNext w:val="0"/>
        <w:keepLines w:val="0"/>
        <w:pageBreakBefore w:val="0"/>
        <w:widowControl/>
        <w:kinsoku/>
        <w:wordWrap/>
        <w:overflowPunct/>
        <w:topLinePunct w:val="0"/>
        <w:autoSpaceDE/>
        <w:autoSpaceDN/>
        <w:bidi w:val="0"/>
        <w:adjustRightInd/>
        <w:snapToGrid/>
        <w:spacing w:line="360" w:lineRule="auto"/>
        <w:ind w:left="396" w:leftChars="180" w:firstLine="0" w:firstLineChars="0"/>
        <w:jc w:val="left"/>
        <w:textAlignment w:val="auto"/>
        <w:outlineLvl w:val="9"/>
        <w:rPr>
          <w:rFonts w:hint="eastAsia" w:asciiTheme="minorEastAsia" w:hAnsiTheme="minorEastAsia" w:eastAsiaTheme="minorEastAsia" w:cstheme="minorEastAsia"/>
          <w:b/>
          <w:bCs/>
          <w:color w:val="auto"/>
          <w:sz w:val="21"/>
          <w:szCs w:val="21"/>
          <w:u w:val="single" w:color="auto"/>
          <w:lang w:val="en-US" w:eastAsia="zh-CN"/>
        </w:rPr>
      </w:pP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eastAsiaTheme="minorEastAsia" w:cstheme="minorEastAsia"/>
          <w:b/>
          <w:bCs/>
          <w:color w:val="auto"/>
          <w:sz w:val="21"/>
          <w:szCs w:val="21"/>
          <w:u w:val="single" w:color="auto"/>
          <w:lang w:val="en-US" w:eastAsia="zh-CN"/>
        </w:rPr>
        <w:t>2</w:t>
      </w: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eastAsiaTheme="minorEastAsia" w:cstheme="minorEastAsia"/>
          <w:b/>
          <w:bCs/>
          <w:color w:val="auto"/>
          <w:sz w:val="21"/>
          <w:szCs w:val="21"/>
          <w:u w:val="single" w:color="auto"/>
          <w:lang w:val="en-US" w:eastAsia="zh-CN"/>
        </w:rPr>
        <w:t>本项目最终以财政审计为准，待验收合格、审计完毕支付至合同总价</w:t>
      </w:r>
      <w:r>
        <w:rPr>
          <w:rFonts w:hint="eastAsia" w:asciiTheme="minorEastAsia" w:hAnsiTheme="minorEastAsia" w:cstheme="minorEastAsia"/>
          <w:b/>
          <w:bCs/>
          <w:color w:val="auto"/>
          <w:sz w:val="21"/>
          <w:szCs w:val="21"/>
          <w:u w:val="single" w:color="auto"/>
          <w:lang w:val="en-US" w:eastAsia="zh-CN"/>
        </w:rPr>
        <w:t>97.5</w:t>
      </w:r>
      <w:r>
        <w:rPr>
          <w:rFonts w:hint="eastAsia" w:asciiTheme="minorEastAsia" w:hAnsiTheme="minorEastAsia" w:eastAsiaTheme="minorEastAsia" w:cstheme="minorEastAsia"/>
          <w:b/>
          <w:bCs/>
          <w:color w:val="auto"/>
          <w:sz w:val="21"/>
          <w:szCs w:val="21"/>
          <w:u w:val="single" w:color="auto"/>
          <w:lang w:val="en-US" w:eastAsia="zh-CN"/>
        </w:rPr>
        <w:t>%</w:t>
      </w: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eastAsiaTheme="minorEastAsia" w:cstheme="minorEastAsia"/>
          <w:b/>
          <w:bCs/>
          <w:color w:val="auto"/>
          <w:sz w:val="21"/>
          <w:szCs w:val="21"/>
          <w:u w:val="single" w:color="auto"/>
          <w:lang w:val="en-US" w:eastAsia="zh-CN"/>
        </w:rPr>
        <w:t>含预付款</w:t>
      </w:r>
      <w:r>
        <w:rPr>
          <w:rFonts w:hint="eastAsia" w:asciiTheme="minorEastAsia" w:hAnsiTheme="minorEastAsia" w:eastAsiaTheme="minorEastAsia" w:cstheme="minorEastAsia"/>
          <w:b/>
          <w:bCs/>
          <w:color w:val="auto"/>
          <w:sz w:val="21"/>
          <w:szCs w:val="21"/>
          <w:u w:val="single" w:color="auto"/>
          <w:lang w:eastAsia="zh-CN"/>
        </w:rPr>
        <w:t>）</w:t>
      </w:r>
      <w:r>
        <w:rPr>
          <w:rFonts w:hint="eastAsia" w:asciiTheme="minorEastAsia" w:hAnsiTheme="minorEastAsia" w:cstheme="minorEastAsia"/>
          <w:b/>
          <w:bCs/>
          <w:color w:val="auto"/>
          <w:sz w:val="21"/>
          <w:szCs w:val="21"/>
          <w:u w:val="single" w:color="auto"/>
          <w:lang w:val="en-US" w:eastAsia="zh-CN"/>
        </w:rPr>
        <w:t>剩余2.5%作为质量保证金</w:t>
      </w:r>
      <w:r>
        <w:rPr>
          <w:rFonts w:hint="eastAsia" w:asciiTheme="minorEastAsia" w:hAnsiTheme="minorEastAsia" w:eastAsiaTheme="minorEastAsia" w:cstheme="minorEastAsia"/>
          <w:b/>
          <w:bCs/>
          <w:color w:val="auto"/>
          <w:sz w:val="21"/>
          <w:szCs w:val="21"/>
          <w:u w:val="single" w:color="auto"/>
          <w:lang w:eastAsia="zh-CN"/>
        </w:rPr>
        <w:t>。</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（3）、新增和经认定变更新增的工程量，其工程款支付方式为工程结算审计时一次性支付；</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（4）、质保金在质保期满2年经验收无质量问题后扣除相应的违约金后60天内全部结清（不计利息）；</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（5）、上述工程进度款支付时，应即时扣除同一时段内发生的各项应扣款项如代付费用、违约处罚等；</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color w:val="auto"/>
          <w:szCs w:val="21"/>
          <w:u w:val="single"/>
        </w:rPr>
      </w:pPr>
      <w:r>
        <w:rPr>
          <w:rFonts w:hint="eastAsia" w:asciiTheme="minorEastAsia" w:hAnsiTheme="minorEastAsia" w:eastAsiaTheme="minorEastAsia" w:cstheme="minorEastAsia"/>
          <w:b/>
          <w:color w:val="auto"/>
          <w:szCs w:val="21"/>
          <w:u w:val="single"/>
        </w:rPr>
        <w:t>（6）、发包人审核的工程量仅作为进度款支付依据，不作为结算依据；</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u w:val="single"/>
        </w:rPr>
        <w:t>（7）、发包人拨付的工程款，必须汇入承包人指定的公司账户，户名：         ，开户银行：         ，账号：          ，不得以任何名义汇入其他账户或账号，不得以任何人名义代领，否则承包人不予认可，并由发包人承担违约责任及经济损失，承包人有权单方解除合同。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12.4.2 进度付款申请单的编制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关于进度付款申请单编制的约定：</w:t>
      </w:r>
      <w:r>
        <w:rPr>
          <w:rFonts w:hint="eastAsia" w:asciiTheme="minorEastAsia" w:hAnsiTheme="minorEastAsia" w:eastAsiaTheme="minorEastAsia" w:cstheme="minorEastAsia"/>
          <w:b/>
          <w:bCs/>
          <w:szCs w:val="21"/>
          <w:u w:val="single"/>
        </w:rPr>
        <w:t>按通用合同条款第12.4.2条规定执行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hint="eastAsia" w:asciiTheme="minorEastAsia" w:hAnsiTheme="minorEastAsia" w:eastAsiaTheme="minorEastAsia" w:cstheme="minorEastAsia"/>
          <w:szCs w:val="21"/>
        </w:rPr>
        <w:t>2.4.3 进度付款申请单的提交</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（1）单价合同进度付款申请单提交的约定：</w:t>
      </w:r>
      <w:r>
        <w:rPr>
          <w:rFonts w:hint="eastAsia" w:asciiTheme="minorEastAsia" w:hAnsiTheme="minorEastAsia" w:eastAsiaTheme="minorEastAsia" w:cstheme="minorEastAsia"/>
          <w:b/>
          <w:bCs/>
          <w:szCs w:val="21"/>
          <w:u w:val="single"/>
        </w:rPr>
        <w:t>按通用合同条款第12.4.3条第（1）项规定执行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（2）总价合同进度付款申请单提交的约定：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（3）其他价格形式合同进度付款申请单提交的约定：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12.4.4 进度款审核和支付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（1）监理人审查并报送发包人的期限：</w:t>
      </w:r>
      <w:r>
        <w:rPr>
          <w:rFonts w:hint="eastAsia" w:asciiTheme="minorEastAsia" w:hAnsiTheme="minorEastAsia" w:eastAsiaTheme="minorEastAsia" w:cstheme="minorEastAsia"/>
          <w:b/>
          <w:bCs/>
          <w:szCs w:val="21"/>
          <w:u w:val="single"/>
        </w:rPr>
        <w:t>7天内完成审查</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发包人完成审批并签发进度款支付证书的期限：</w:t>
      </w:r>
      <w:r>
        <w:rPr>
          <w:rFonts w:hint="eastAsia" w:asciiTheme="minorEastAsia" w:hAnsiTheme="minorEastAsia" w:eastAsiaTheme="minorEastAsia" w:cstheme="minorEastAsia"/>
          <w:b/>
          <w:bCs/>
          <w:szCs w:val="21"/>
          <w:u w:val="single"/>
        </w:rPr>
        <w:t>收到监理人报送的进度付款申请单及相关资料后7天内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（2）发包人支付进度款的期限：</w:t>
      </w:r>
      <w:r>
        <w:rPr>
          <w:rFonts w:hint="eastAsia" w:asciiTheme="minorEastAsia" w:hAnsiTheme="minorEastAsia" w:eastAsiaTheme="minorEastAsia" w:cstheme="minorEastAsia"/>
          <w:b/>
          <w:bCs/>
          <w:szCs w:val="21"/>
          <w:u w:val="single"/>
        </w:rPr>
        <w:t>在进度款支付证书或临时进度款支付证书签发后30天内完成支付</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发包人逾期支付进度款的违约金的计算方式：</w:t>
      </w:r>
      <w:r>
        <w:rPr>
          <w:rFonts w:hint="eastAsia" w:asciiTheme="minorEastAsia" w:hAnsiTheme="minorEastAsia" w:eastAsiaTheme="minorEastAsia" w:cstheme="minorEastAsia"/>
          <w:b/>
          <w:szCs w:val="21"/>
          <w:u w:val="single"/>
        </w:rPr>
        <w:t>承担违约责任，每延期一天按当期应付工程进度款金额的的万分之五向承包人支付违约金</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12.4.6 支付分解表的编制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2、总价合同支付分解表的编制与审批：</w:t>
      </w:r>
      <w:r>
        <w:rPr>
          <w:rFonts w:hint="eastAsia" w:asciiTheme="minorEastAsia" w:hAnsiTheme="minorEastAsia" w:eastAsiaTheme="minorEastAsia" w:cstheme="minorEastAsia"/>
          <w:b/>
          <w:bCs/>
          <w:szCs w:val="21"/>
          <w:u w:val="single"/>
        </w:rPr>
        <w:t>按通用合同条款第12.4.6条第2项规定执行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3、单价合同的总价项目支付分解表的编制与审批：</w:t>
      </w:r>
      <w:r>
        <w:rPr>
          <w:rFonts w:hint="eastAsia" w:asciiTheme="minorEastAsia" w:hAnsiTheme="minorEastAsia" w:eastAsiaTheme="minorEastAsia" w:cstheme="minorEastAsia"/>
          <w:b/>
          <w:bCs/>
          <w:szCs w:val="21"/>
          <w:u w:val="single"/>
        </w:rPr>
        <w:t>按通用合同条款第12.4.6条第3项规定执行</w:t>
      </w:r>
      <w:r>
        <w:rPr>
          <w:rFonts w:hint="eastAsia" w:asciiTheme="minorEastAsia" w:hAnsiTheme="minorEastAsia" w:eastAsiaTheme="minorEastAsia" w:cstheme="minorEastAsia"/>
          <w:szCs w:val="21"/>
        </w:rPr>
        <w:t>。</w:t>
      </w:r>
    </w:p>
    <w:bookmarkEnd w:id="333"/>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485" w:name="_Toc351203645"/>
      <w:bookmarkStart w:id="486" w:name="_Toc297120519"/>
      <w:bookmarkStart w:id="487" w:name="_Toc292559929"/>
      <w:bookmarkStart w:id="488" w:name="_Toc304295593"/>
      <w:bookmarkStart w:id="489" w:name="_Toc296503219"/>
      <w:bookmarkStart w:id="490" w:name="_Toc300935015"/>
      <w:bookmarkStart w:id="491" w:name="_Toc296347218"/>
      <w:bookmarkStart w:id="492" w:name="_Toc296891259"/>
      <w:bookmarkStart w:id="493" w:name="_Toc292559424"/>
      <w:bookmarkStart w:id="494" w:name="_Toc296944558"/>
      <w:bookmarkStart w:id="495" w:name="_Toc296891047"/>
      <w:bookmarkStart w:id="496" w:name="_Toc297048405"/>
      <w:bookmarkStart w:id="497" w:name="_Toc303539172"/>
      <w:bookmarkStart w:id="498" w:name="_Toc297123564"/>
      <w:bookmarkStart w:id="499" w:name="_Toc297216223"/>
      <w:bookmarkStart w:id="500" w:name="_Toc312678053"/>
      <w:bookmarkStart w:id="501" w:name="_Toc296346720"/>
      <w:r>
        <w:rPr>
          <w:rFonts w:hint="eastAsia" w:asciiTheme="minorEastAsia" w:hAnsiTheme="minorEastAsia" w:eastAsiaTheme="minorEastAsia" w:cstheme="minorEastAsia"/>
          <w:b w:val="0"/>
          <w:sz w:val="21"/>
          <w:szCs w:val="21"/>
        </w:rPr>
        <w:t>13. 验收和工程试车</w:t>
      </w:r>
      <w:bookmarkEnd w:id="485"/>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 分部分项工程验收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13.1.2监理人不能按时进行验收时，应提前</w:t>
      </w:r>
      <w:r>
        <w:rPr>
          <w:rFonts w:hint="eastAsia" w:asciiTheme="minorEastAsia" w:hAnsiTheme="minorEastAsia" w:eastAsiaTheme="minorEastAsia" w:cstheme="minorEastAsia"/>
          <w:szCs w:val="21"/>
          <w:u w:val="single"/>
        </w:rPr>
        <w:t>24</w:t>
      </w:r>
      <w:r>
        <w:rPr>
          <w:rFonts w:hint="eastAsia" w:asciiTheme="minorEastAsia" w:hAnsiTheme="minorEastAsia" w:eastAsiaTheme="minorEastAsia" w:cstheme="minorEastAsia"/>
          <w:szCs w:val="21"/>
        </w:rPr>
        <w:t>小时提交书面延期要求。</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关于延期最长不得超过：</w:t>
      </w:r>
      <w:r>
        <w:rPr>
          <w:rFonts w:hint="eastAsia" w:asciiTheme="minorEastAsia" w:hAnsiTheme="minorEastAsia" w:eastAsiaTheme="minorEastAsia" w:cstheme="minorEastAsia"/>
          <w:szCs w:val="21"/>
          <w:u w:val="single"/>
        </w:rPr>
        <w:t>48</w:t>
      </w:r>
      <w:r>
        <w:rPr>
          <w:rFonts w:hint="eastAsia" w:asciiTheme="minorEastAsia" w:hAnsiTheme="minorEastAsia" w:eastAsiaTheme="minorEastAsia" w:cstheme="minorEastAsia"/>
          <w:szCs w:val="21"/>
        </w:rPr>
        <w:t>小时。</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502" w:name="_Toc296944562"/>
      <w:bookmarkStart w:id="503" w:name="_Toc292559933"/>
      <w:bookmarkStart w:id="504" w:name="_Toc297123565"/>
      <w:bookmarkStart w:id="505" w:name="_Toc297216224"/>
      <w:bookmarkStart w:id="506" w:name="_Toc296891263"/>
      <w:bookmarkStart w:id="507" w:name="_Toc304295596"/>
      <w:bookmarkStart w:id="508" w:name="_Toc303539173"/>
      <w:bookmarkStart w:id="509" w:name="_Toc296503223"/>
      <w:bookmarkStart w:id="510" w:name="_Toc296891051"/>
      <w:bookmarkStart w:id="511" w:name="_Toc292559428"/>
      <w:bookmarkStart w:id="512" w:name="_Toc296347222"/>
      <w:bookmarkStart w:id="513" w:name="_Toc297048409"/>
      <w:bookmarkStart w:id="514" w:name="_Toc296346724"/>
      <w:bookmarkStart w:id="515" w:name="_Toc312678056"/>
      <w:bookmarkStart w:id="516" w:name="_Toc300935016"/>
      <w:bookmarkStart w:id="517" w:name="_Toc297120523"/>
      <w:bookmarkStart w:id="518" w:name="_Toc267251476"/>
      <w:bookmarkStart w:id="519" w:name="_Toc267251470"/>
      <w:bookmarkStart w:id="520" w:name="_Toc267251473"/>
      <w:bookmarkStart w:id="521" w:name="_Toc267251474"/>
      <w:bookmarkStart w:id="522" w:name="_Toc267251472"/>
      <w:bookmarkStart w:id="523" w:name="_Toc267251475"/>
      <w:bookmarkStart w:id="524" w:name="_Toc267251471"/>
      <w:r>
        <w:rPr>
          <w:rFonts w:hint="eastAsia" w:asciiTheme="minorEastAsia" w:hAnsiTheme="minorEastAsia" w:eastAsiaTheme="minorEastAsia" w:cstheme="minorEastAsia"/>
          <w:szCs w:val="21"/>
        </w:rPr>
        <w:t>13.2 竣工验收</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bookmarkStart w:id="525" w:name="_Toc280868704"/>
      <w:bookmarkStart w:id="526" w:name="_Toc280868705"/>
      <w:bookmarkStart w:id="527" w:name="_Toc280868706"/>
      <w:bookmarkStart w:id="528" w:name="_Toc280868707"/>
      <w:bookmarkStart w:id="529" w:name="_Toc280868708"/>
      <w:bookmarkStart w:id="530" w:name="_Toc280868709"/>
      <w:r>
        <w:rPr>
          <w:rFonts w:hint="eastAsia" w:asciiTheme="minorEastAsia" w:hAnsiTheme="minorEastAsia" w:eastAsiaTheme="minorEastAsia" w:cstheme="minorEastAsia"/>
          <w:szCs w:val="21"/>
        </w:rPr>
        <w:t>13.2.2竣工验收程序</w:t>
      </w:r>
    </w:p>
    <w:bookmarkEnd w:id="52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关于竣工验收程序的约定：</w:t>
      </w:r>
      <w:r>
        <w:rPr>
          <w:rFonts w:hint="eastAsia" w:asciiTheme="minorEastAsia" w:hAnsiTheme="minorEastAsia" w:eastAsiaTheme="minorEastAsia" w:cstheme="minorEastAsia"/>
          <w:b/>
          <w:bCs/>
          <w:szCs w:val="21"/>
          <w:u w:val="single"/>
        </w:rPr>
        <w:t>按通用合同条款第13.2.2条规定执行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发包人不按照本项约定组织竣工验收、颁发工程接收证书的违约金的计算方法：</w:t>
      </w:r>
      <w:r>
        <w:rPr>
          <w:rFonts w:hint="eastAsia" w:asciiTheme="minorEastAsia" w:hAnsiTheme="minorEastAsia" w:eastAsiaTheme="minorEastAsia" w:cstheme="minorEastAsia"/>
          <w:b/>
          <w:szCs w:val="21"/>
          <w:u w:val="single"/>
        </w:rPr>
        <w:t>承担违约责任，每延期一天按合同总价的千分之五向承包人支付违约金</w:t>
      </w:r>
      <w:r>
        <w:rPr>
          <w:rFonts w:hint="eastAsia" w:asciiTheme="minorEastAsia" w:hAnsiTheme="minorEastAsia" w:eastAsiaTheme="minorEastAsia" w:cstheme="minorEastAsia"/>
          <w:szCs w:val="21"/>
        </w:rPr>
        <w:t>。</w:t>
      </w:r>
    </w:p>
    <w:bookmarkEnd w:id="52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13.2.5移交、接收全部与部分工程</w:t>
      </w:r>
    </w:p>
    <w:bookmarkEnd w:id="527"/>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承包人向发包人移交工程的期限：</w:t>
      </w:r>
      <w:r>
        <w:rPr>
          <w:rFonts w:hint="eastAsia" w:asciiTheme="minorEastAsia" w:hAnsiTheme="minorEastAsia" w:eastAsiaTheme="minorEastAsia" w:cstheme="minorEastAsia"/>
          <w:b/>
          <w:bCs/>
          <w:szCs w:val="21"/>
          <w:u w:val="single"/>
        </w:rPr>
        <w:t>颁发工程接收证书后7天内完成工程的移交</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kern w:val="0"/>
          <w:szCs w:val="21"/>
        </w:rPr>
        <w:t>发包人未按本合同约定接收全部或部分工程的，违约金的计算方法为：</w:t>
      </w:r>
      <w:r>
        <w:rPr>
          <w:rFonts w:hint="eastAsia" w:asciiTheme="minorEastAsia" w:hAnsiTheme="minorEastAsia" w:eastAsiaTheme="minorEastAsia" w:cstheme="minorEastAsia"/>
          <w:b/>
          <w:szCs w:val="21"/>
          <w:u w:val="single"/>
        </w:rPr>
        <w:t>承担违约责任，每延期一天按合同总价的千分之五向承包人支付违约金</w:t>
      </w:r>
      <w:r>
        <w:rPr>
          <w:rFonts w:hint="eastAsia" w:asciiTheme="minorEastAsia" w:hAnsiTheme="minorEastAsia" w:eastAsiaTheme="minorEastAsia" w:cstheme="minorEastAsia"/>
          <w:szCs w:val="21"/>
        </w:rPr>
        <w:t>。</w:t>
      </w:r>
    </w:p>
    <w:bookmarkEnd w:id="528"/>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承包人未按时移交工程的，违约金的计算方法为：</w:t>
      </w:r>
      <w:r>
        <w:rPr>
          <w:rFonts w:hint="eastAsia" w:asciiTheme="minorEastAsia" w:hAnsiTheme="minorEastAsia" w:eastAsiaTheme="minorEastAsia" w:cstheme="minorEastAsia"/>
          <w:b/>
          <w:szCs w:val="21"/>
          <w:u w:val="single"/>
        </w:rPr>
        <w:t>承担违约责任，每延期一天按人民币贰仟元向发包人支付违约金</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13.3 工程试车</w:t>
      </w:r>
    </w:p>
    <w:bookmarkEnd w:id="529"/>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13.3.1 试车程序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工程试车内容：</w:t>
      </w:r>
      <w:r>
        <w:rPr>
          <w:rFonts w:hint="eastAsia" w:asciiTheme="minorEastAsia" w:hAnsiTheme="minorEastAsia" w:eastAsiaTheme="minorEastAsia" w:cstheme="minorEastAsia"/>
          <w:b/>
          <w:bCs/>
          <w:szCs w:val="21"/>
          <w:u w:val="single"/>
        </w:rPr>
        <w:t>试车内容应与承包人承包范围相一致，试车费用由承包人承担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（1）单机无负荷试车费用由</w:t>
      </w:r>
      <w:r>
        <w:rPr>
          <w:rFonts w:hint="eastAsia" w:asciiTheme="minorEastAsia" w:hAnsiTheme="minorEastAsia" w:eastAsiaTheme="minorEastAsia" w:cstheme="minorEastAsia"/>
          <w:b/>
          <w:bCs/>
          <w:szCs w:val="21"/>
          <w:u w:val="single"/>
        </w:rPr>
        <w:t>承包人</w:t>
      </w:r>
      <w:r>
        <w:rPr>
          <w:rFonts w:hint="eastAsia" w:asciiTheme="minorEastAsia" w:hAnsiTheme="minorEastAsia" w:eastAsiaTheme="minorEastAsia" w:cstheme="minorEastAsia"/>
          <w:kern w:val="0"/>
          <w:szCs w:val="21"/>
        </w:rPr>
        <w:t>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（2）无负荷联动试车费用由</w:t>
      </w:r>
      <w:r>
        <w:rPr>
          <w:rFonts w:hint="eastAsia" w:asciiTheme="minorEastAsia" w:hAnsiTheme="minorEastAsia" w:eastAsiaTheme="minorEastAsia" w:cstheme="minorEastAsia"/>
          <w:b/>
          <w:bCs/>
          <w:szCs w:val="21"/>
          <w:u w:val="single"/>
        </w:rPr>
        <w:t>承包人</w:t>
      </w:r>
      <w:r>
        <w:rPr>
          <w:rFonts w:hint="eastAsia" w:asciiTheme="minorEastAsia" w:hAnsiTheme="minorEastAsia" w:eastAsiaTheme="minorEastAsia" w:cstheme="minorEastAsia"/>
          <w:kern w:val="0"/>
          <w:szCs w:val="21"/>
        </w:rPr>
        <w:t>承担。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13.3.3 投料试车</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关于投料试车相关事项的约定：</w:t>
      </w:r>
      <w:r>
        <w:rPr>
          <w:rFonts w:hint="eastAsia" w:asciiTheme="minorEastAsia" w:hAnsiTheme="minorEastAsia" w:eastAsiaTheme="minorEastAsia" w:cstheme="minorEastAsia"/>
          <w:b/>
          <w:bCs/>
          <w:szCs w:val="21"/>
          <w:u w:val="single"/>
        </w:rPr>
        <w:t>按通用合同条款第13.3.3条规定执行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13.6 竣工退场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13.6.1 竣工退场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承包人完成竣工退场的期限：</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31" w:name="_Toc351203646"/>
      <w:r>
        <w:rPr>
          <w:rFonts w:hint="eastAsia" w:asciiTheme="minorEastAsia" w:hAnsiTheme="minorEastAsia" w:eastAsiaTheme="minorEastAsia" w:cstheme="minorEastAsia"/>
          <w:b w:val="0"/>
          <w:sz w:val="21"/>
          <w:szCs w:val="21"/>
        </w:rPr>
        <w:t>14. 竣工结算</w:t>
      </w:r>
      <w:bookmarkEnd w:id="531"/>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 竣工结算申请</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承包人提交竣工结算申请单的期限：</w:t>
      </w:r>
      <w:r>
        <w:rPr>
          <w:rFonts w:hint="eastAsia" w:asciiTheme="minorEastAsia" w:hAnsiTheme="minorEastAsia" w:eastAsiaTheme="minorEastAsia" w:cstheme="minorEastAsia"/>
          <w:b/>
          <w:bCs/>
          <w:szCs w:val="21"/>
          <w:u w:val="single"/>
        </w:rPr>
        <w:t>在工程竣工验收合格后28天内</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竣工结算申请单应包括的内容：</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（1）竣工结算合同价格；</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（2）发包人已支付承包人的款项；</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 xml:space="preserve">（3）应扣留的质量保证金等； </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
          <w:bCs/>
          <w:szCs w:val="21"/>
          <w:u w:val="single"/>
        </w:rPr>
        <w:t>（4）发包人应支付承包人的合同价款。</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14.2 竣工结算审核</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发包人审批竣工付款申请单的期限：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发包人完成竣工付款的期限：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关于竣工付款证书异议部分复核的方式和程序：</w:t>
      </w:r>
      <w:r>
        <w:rPr>
          <w:rFonts w:hint="eastAsia" w:asciiTheme="minorEastAsia" w:hAnsiTheme="minorEastAsia" w:eastAsiaTheme="minorEastAsia" w:cstheme="minorEastAsia"/>
          <w:b/>
          <w:bCs/>
          <w:szCs w:val="21"/>
          <w:u w:val="single"/>
        </w:rPr>
        <w:t>按通用合同条款第14.2条第（3）项规定执行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14.4 最终结清</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14.4.1 最终结清申请单</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承包人提交最终结清申请单的份数：</w:t>
      </w:r>
      <w:r>
        <w:rPr>
          <w:rFonts w:hint="eastAsia" w:asciiTheme="minorEastAsia" w:hAnsiTheme="minorEastAsia" w:eastAsiaTheme="minorEastAsia" w:cstheme="minorEastAsia"/>
          <w:b/>
          <w:bCs/>
          <w:szCs w:val="21"/>
          <w:u w:val="single"/>
        </w:rPr>
        <w:t>叁份</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承包人提交最终结算申请单的期限：</w:t>
      </w:r>
      <w:r>
        <w:rPr>
          <w:rFonts w:hint="eastAsia" w:asciiTheme="minorEastAsia" w:hAnsiTheme="minorEastAsia" w:eastAsiaTheme="minorEastAsia" w:cstheme="minorEastAsia"/>
          <w:b/>
          <w:bCs/>
          <w:szCs w:val="21"/>
          <w:u w:val="single"/>
        </w:rPr>
        <w:t>在缺陷责任期终止证书颁发后7天内</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14.4.2 最终结清证书和支付</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（1）发包人完成最终结清申请单的审批并颁发最终结清证书的期限：</w:t>
      </w:r>
      <w:r>
        <w:rPr>
          <w:rFonts w:hint="eastAsia" w:asciiTheme="minorEastAsia" w:hAnsiTheme="minorEastAsia" w:eastAsiaTheme="minorEastAsia" w:cstheme="minorEastAsia"/>
          <w:b/>
          <w:bCs/>
          <w:szCs w:val="21"/>
          <w:u w:val="single"/>
        </w:rPr>
        <w:t>在收到承包人提交的最终结清申请单后30天内完</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（2）发包人完成支付的期限：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bookmarkEnd w:id="518"/>
    <w:bookmarkEnd w:id="519"/>
    <w:bookmarkEnd w:id="520"/>
    <w:bookmarkEnd w:id="521"/>
    <w:bookmarkEnd w:id="522"/>
    <w:bookmarkEnd w:id="523"/>
    <w:bookmarkEnd w:id="524"/>
    <w:bookmarkEnd w:id="530"/>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32" w:name="_Toc351203647"/>
      <w:bookmarkStart w:id="533" w:name="_Toc267251483"/>
      <w:bookmarkStart w:id="534" w:name="_Toc267251484"/>
      <w:bookmarkStart w:id="535" w:name="_Toc267251482"/>
      <w:bookmarkStart w:id="536" w:name="_Toc267251485"/>
      <w:bookmarkStart w:id="537" w:name="_Toc267251488"/>
      <w:bookmarkStart w:id="538" w:name="_Toc267251490"/>
      <w:bookmarkStart w:id="539" w:name="_Toc267251486"/>
      <w:bookmarkStart w:id="540" w:name="_Toc267251489"/>
      <w:bookmarkStart w:id="541" w:name="_Toc267251503"/>
      <w:bookmarkStart w:id="542" w:name="_Toc267251493"/>
      <w:bookmarkStart w:id="543" w:name="_Toc267251501"/>
      <w:bookmarkStart w:id="544" w:name="_Toc267251491"/>
      <w:bookmarkStart w:id="545" w:name="_Toc267251494"/>
      <w:bookmarkStart w:id="546" w:name="_Toc267251492"/>
      <w:bookmarkStart w:id="547" w:name="_Toc267251495"/>
      <w:bookmarkStart w:id="548" w:name="_Toc267251496"/>
      <w:bookmarkStart w:id="549" w:name="_Toc267251497"/>
      <w:bookmarkStart w:id="550" w:name="_Toc267251498"/>
      <w:bookmarkStart w:id="551" w:name="_Toc267251502"/>
      <w:bookmarkStart w:id="552" w:name="_Toc267251499"/>
      <w:bookmarkStart w:id="553" w:name="_Toc267251506"/>
      <w:bookmarkStart w:id="554" w:name="_Toc267251504"/>
      <w:bookmarkStart w:id="555" w:name="_Toc267251507"/>
      <w:bookmarkStart w:id="556" w:name="_Toc267251508"/>
      <w:bookmarkStart w:id="557" w:name="_Toc267251514"/>
      <w:bookmarkStart w:id="558" w:name="_Toc267251509"/>
      <w:bookmarkStart w:id="559" w:name="_Toc267251511"/>
      <w:bookmarkStart w:id="560" w:name="_Toc267251513"/>
      <w:bookmarkStart w:id="561" w:name="_Toc267251515"/>
      <w:bookmarkStart w:id="562" w:name="_Toc267251510"/>
      <w:r>
        <w:rPr>
          <w:rFonts w:hint="eastAsia" w:asciiTheme="minorEastAsia" w:hAnsiTheme="minorEastAsia" w:eastAsiaTheme="minorEastAsia" w:cstheme="minorEastAsia"/>
          <w:b w:val="0"/>
          <w:sz w:val="21"/>
          <w:szCs w:val="21"/>
        </w:rPr>
        <w:t>15. 缺陷责任期与保修</w:t>
      </w:r>
      <w:bookmarkEnd w:id="532"/>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15.2缺陷责任期</w:t>
      </w:r>
      <w:bookmarkEnd w:id="533"/>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缺陷责任期的具体期限：</w:t>
      </w:r>
      <w:r>
        <w:rPr>
          <w:rFonts w:hint="eastAsia" w:asciiTheme="minorEastAsia" w:hAnsiTheme="minorEastAsia" w:eastAsiaTheme="minorEastAsia" w:cstheme="minorEastAsia"/>
          <w:szCs w:val="21"/>
          <w:u w:val="single"/>
        </w:rPr>
        <w:t>24个月，自工程竣工验收合格（指验收时发现的所有质量缺陷均整改完毕并经验收合格）之日起计算</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15.3 质量保证金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关于是否扣留质量保证金的约定：</w:t>
      </w:r>
      <w:r>
        <w:rPr>
          <w:rFonts w:hint="eastAsia" w:asciiTheme="minorEastAsia" w:hAnsiTheme="minorEastAsia" w:eastAsiaTheme="minorEastAsia" w:cstheme="minorEastAsia"/>
          <w:szCs w:val="21"/>
          <w:u w:val="single"/>
        </w:rPr>
        <w:t xml:space="preserve">   是  </w:t>
      </w:r>
      <w:r>
        <w:rPr>
          <w:rFonts w:hint="eastAsia" w:asciiTheme="minorEastAsia" w:hAnsiTheme="minorEastAsia" w:eastAsiaTheme="minorEastAsia" w:cstheme="minorEastAsia"/>
          <w:szCs w:val="21"/>
        </w:rPr>
        <w:t>。在工程项目竣工前，承包人按专用合同条款第3.7条提供履约担保的，发包人不得同时预留工程质量保证金。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15.3.1 承包人提供质量保证金的方式</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质量保证金采用以下第</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种方式：</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（1）质量保证金保函，保证金额为：</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 xml:space="preserve">； </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2.5</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%的工程款；</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（3）其他方式:</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15.3.2 质量保证金的扣留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质量保证金的扣留采取以下第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种方式：</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（1）在支付工程进度款时逐次扣留，在此情形下，质量保证金的计算基数不包括预付款的支付、扣回以及价格调整的金额；</w:t>
      </w:r>
    </w:p>
    <w:p>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（2）工程竣工结算时一次性扣留质量保证金；</w:t>
      </w:r>
    </w:p>
    <w:p>
      <w:pPr>
        <w:keepNext w:val="0"/>
        <w:keepLines w:val="0"/>
        <w:pageBreakBefore w:val="0"/>
        <w:widowControl/>
        <w:kinsoku/>
        <w:wordWrap/>
        <w:overflowPunct/>
        <w:topLinePunct w:val="0"/>
        <w:bidi w:val="0"/>
        <w:spacing w:line="360" w:lineRule="auto"/>
        <w:ind w:firstLine="440" w:firstLineChars="200"/>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（3）其他扣留方式:</w:t>
      </w:r>
      <w:r>
        <w:rPr>
          <w:rFonts w:hint="eastAsia" w:hAnsi="宋体"/>
          <w:b/>
          <w:bCs w:val="0"/>
          <w:color w:val="auto"/>
          <w:sz w:val="21"/>
          <w:szCs w:val="21"/>
          <w:u w:val="single"/>
          <w:lang w:val="en-US" w:eastAsia="zh-CN"/>
        </w:rPr>
        <w:t>工程结算审计后增加合同价的2.5%</w:t>
      </w:r>
      <w:r>
        <w:rPr>
          <w:rFonts w:hint="eastAsia" w:hAnsi="宋体"/>
          <w:b/>
          <w:bCs w:val="0"/>
          <w:color w:val="auto"/>
          <w:sz w:val="21"/>
          <w:szCs w:val="21"/>
          <w:u w:val="single"/>
        </w:rPr>
        <w:t>。</w:t>
      </w:r>
    </w:p>
    <w:p>
      <w:pPr>
        <w:keepNext w:val="0"/>
        <w:keepLines w:val="0"/>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关于质量保证金的补充约定</w:t>
      </w:r>
      <w:r>
        <w:rPr>
          <w:rFonts w:hint="eastAsia" w:asciiTheme="minorEastAsia" w:hAnsiTheme="minorEastAsia" w:eastAsiaTheme="minorEastAsia" w:cstheme="minorEastAsia"/>
          <w:b/>
          <w:kern w:val="0"/>
          <w:szCs w:val="21"/>
          <w:u w:val="single"/>
        </w:rPr>
        <w:t>：</w:t>
      </w:r>
      <w:r>
        <w:rPr>
          <w:rFonts w:hint="eastAsia" w:asciiTheme="minorEastAsia" w:hAnsiTheme="minorEastAsia" w:cstheme="minorEastAsia"/>
          <w:b/>
          <w:kern w:val="0"/>
          <w:szCs w:val="21"/>
          <w:u w:val="single"/>
          <w:lang w:val="en-US" w:eastAsia="zh-CN"/>
        </w:rPr>
        <w:t>结算金额2.5</w:t>
      </w:r>
      <w:r>
        <w:rPr>
          <w:rFonts w:hint="eastAsia" w:asciiTheme="minorEastAsia" w:hAnsiTheme="minorEastAsia" w:eastAsiaTheme="minorEastAsia" w:cstheme="minorEastAsia"/>
          <w:b/>
          <w:kern w:val="0"/>
          <w:szCs w:val="21"/>
          <w:u w:val="single"/>
        </w:rPr>
        <w:t>%作为工程质量保证金，质保金在质保期满经验收无质量问题后扣除相应的违约金</w:t>
      </w:r>
      <w:r>
        <w:rPr>
          <w:rFonts w:hint="eastAsia" w:asciiTheme="minorEastAsia" w:hAnsiTheme="minorEastAsia" w:cstheme="minorEastAsia"/>
          <w:b/>
          <w:kern w:val="0"/>
          <w:szCs w:val="21"/>
          <w:u w:val="single"/>
          <w:lang w:eastAsia="zh-CN"/>
        </w:rPr>
        <w:t>（</w:t>
      </w:r>
      <w:r>
        <w:rPr>
          <w:rFonts w:hint="eastAsia" w:asciiTheme="minorEastAsia" w:hAnsiTheme="minorEastAsia" w:cstheme="minorEastAsia"/>
          <w:b/>
          <w:kern w:val="0"/>
          <w:szCs w:val="21"/>
          <w:u w:val="single"/>
          <w:lang w:val="en-US" w:eastAsia="zh-CN"/>
        </w:rPr>
        <w:t>如有</w:t>
      </w:r>
      <w:r>
        <w:rPr>
          <w:rFonts w:hint="eastAsia" w:asciiTheme="minorEastAsia" w:hAnsiTheme="minorEastAsia" w:cstheme="minorEastAsia"/>
          <w:b/>
          <w:kern w:val="0"/>
          <w:szCs w:val="21"/>
          <w:u w:val="single"/>
          <w:lang w:eastAsia="zh-CN"/>
        </w:rPr>
        <w:t>）</w:t>
      </w:r>
      <w:r>
        <w:rPr>
          <w:rFonts w:hint="eastAsia" w:asciiTheme="minorEastAsia" w:hAnsiTheme="minorEastAsia" w:eastAsiaTheme="minorEastAsia" w:cstheme="minorEastAsia"/>
          <w:b/>
          <w:kern w:val="0"/>
          <w:szCs w:val="21"/>
          <w:u w:val="single"/>
        </w:rPr>
        <w:t>后60天内全部结清（不计利息）。</w:t>
      </w:r>
    </w:p>
    <w:bookmarkEnd w:id="534"/>
    <w:bookmarkEnd w:id="53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15.4保修</w:t>
      </w:r>
    </w:p>
    <w:bookmarkEnd w:id="536"/>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15.4.1 保修责任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工程保修期为：</w:t>
      </w:r>
      <w:r>
        <w:rPr>
          <w:rFonts w:hint="eastAsia" w:asciiTheme="minorEastAsia" w:hAnsiTheme="minorEastAsia" w:eastAsiaTheme="minorEastAsia" w:cstheme="minorEastAsia"/>
          <w:b/>
          <w:bCs/>
          <w:kern w:val="0"/>
          <w:szCs w:val="21"/>
          <w:u w:val="single"/>
        </w:rPr>
        <w:t>按工程质量保修书规定执行</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15.4.3 修复通知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承包人收到保修通知并到达工程现场的合理时间：</w:t>
      </w:r>
      <w:r>
        <w:rPr>
          <w:rFonts w:hint="eastAsia" w:asciiTheme="minorEastAsia" w:hAnsiTheme="minorEastAsia" w:eastAsiaTheme="minorEastAsia" w:cstheme="minorEastAsia"/>
          <w:kern w:val="0"/>
          <w:szCs w:val="21"/>
          <w:u w:val="single"/>
        </w:rPr>
        <w:t>3日内</w:t>
      </w:r>
      <w:r>
        <w:rPr>
          <w:rFonts w:hint="eastAsia" w:asciiTheme="minorEastAsia" w:hAnsiTheme="minorEastAsia" w:eastAsiaTheme="minorEastAsia" w:cstheme="minorEastAsia"/>
          <w:kern w:val="0"/>
          <w:szCs w:val="21"/>
        </w:rPr>
        <w:t>。</w:t>
      </w:r>
    </w:p>
    <w:bookmarkEnd w:id="537"/>
    <w:bookmarkEnd w:id="538"/>
    <w:bookmarkEnd w:id="539"/>
    <w:bookmarkEnd w:id="540"/>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3" w:name="_Toc351203648"/>
      <w:bookmarkStart w:id="564" w:name="_Toc280868717"/>
      <w:bookmarkStart w:id="565" w:name="_Toc280868718"/>
      <w:r>
        <w:rPr>
          <w:rFonts w:hint="eastAsia" w:asciiTheme="minorEastAsia" w:hAnsiTheme="minorEastAsia" w:eastAsiaTheme="minorEastAsia" w:cstheme="minorEastAsia"/>
          <w:b w:val="0"/>
          <w:sz w:val="21"/>
          <w:szCs w:val="21"/>
        </w:rPr>
        <w:t>16. 违约</w:t>
      </w:r>
      <w:bookmarkEnd w:id="563"/>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 发包人违约</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16.1.1发包人违约的情形</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发包人违约的其他情形：</w:t>
      </w:r>
      <w:r>
        <w:rPr>
          <w:rFonts w:hint="eastAsia" w:asciiTheme="minorEastAsia" w:hAnsiTheme="minorEastAsia" w:eastAsiaTheme="minorEastAsia" w:cstheme="minorEastAsia"/>
          <w:b/>
          <w:bCs/>
          <w:kern w:val="0"/>
          <w:szCs w:val="21"/>
          <w:u w:val="single"/>
        </w:rPr>
        <w:t>按通用合同条款第16.1.1条第（3）项规定执行</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16.1.2 发包人违约的责任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发包人违约责任的承担方式和计算方法：</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（1）因发包人原因未能在计划开工日期前7天内下达开工通知的违约责任：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（2）因发包人原因未能按合同约定支付合同价款的违约责任：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（3）发包人违反第10.1款〔变更的范围〕第（2）项约定，自行实施被取消的工作或转由他人实施的违约责任：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（5）因发包人违反合同约定造成暂停施工的违约责任：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（6）发包人无正当理由没有在约定期限内发出复工指示，导致承包人无法复工的违约责任：</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（7）其他：</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16.1.3 因发包人违约解除合同</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承包人按16.1.1项〔发包人违约的情形〕约定暂停施工满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天后发包人仍不纠正其违约行为并致使合同目的不能实现的，承包人有权解除合同。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16.2 承包人违约</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16.2.1 承包人违约的情形</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承包人违约的其他情形：</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16.2.2承包人违约的责任</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承包人违约责任的承担方式和计算方法：</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16.2.3 因承包人违约解除合同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关于承包人违约解除合同的特别约定：</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b/>
          <w:bCs/>
          <w:kern w:val="0"/>
          <w:szCs w:val="21"/>
          <w:u w:val="single"/>
        </w:rPr>
        <w:t>费用另行约定由发包人承担</w:t>
      </w:r>
      <w:r>
        <w:rPr>
          <w:rFonts w:hint="eastAsia" w:asciiTheme="minorEastAsia" w:hAnsiTheme="minorEastAsia" w:eastAsiaTheme="minorEastAsia" w:cstheme="minorEastAsia"/>
          <w:kern w:val="0"/>
          <w:szCs w:val="21"/>
        </w:rPr>
        <w:t>。</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6" w:name="_Toc351203649"/>
      <w:r>
        <w:rPr>
          <w:rFonts w:hint="eastAsia" w:asciiTheme="minorEastAsia" w:hAnsiTheme="minorEastAsia" w:eastAsiaTheme="minorEastAsia" w:cstheme="minorEastAsia"/>
          <w:b w:val="0"/>
          <w:sz w:val="21"/>
          <w:szCs w:val="21"/>
        </w:rPr>
        <w:t>17. 不可抗力</w:t>
      </w:r>
      <w:bookmarkEnd w:id="566"/>
      <w:r>
        <w:rPr>
          <w:rFonts w:hint="eastAsia" w:asciiTheme="minorEastAsia" w:hAnsiTheme="minorEastAsia" w:eastAsiaTheme="minorEastAsia" w:cstheme="minorEastAsia"/>
          <w:b w:val="0"/>
          <w:sz w:val="21"/>
          <w:szCs w:val="21"/>
        </w:rPr>
        <w:t xml:space="preserve"> </w:t>
      </w:r>
      <w:bookmarkEnd w:id="564"/>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17.1 不可抗力的确认</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szCs w:val="21"/>
        </w:rPr>
        <w:t xml:space="preserve">除通用合同条款约定的不可抗力事件之外，视为不可抗力的其他情形： </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17.4 因不可抗力解除合同</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合同解除后，发包人应在商定或确定发包人应支付款项后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天内完成款项的支付。</w:t>
      </w:r>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7" w:name="_Toc351203650"/>
      <w:r>
        <w:rPr>
          <w:rFonts w:hint="eastAsia" w:asciiTheme="minorEastAsia" w:hAnsiTheme="minorEastAsia" w:eastAsiaTheme="minorEastAsia" w:cstheme="minorEastAsia"/>
          <w:b w:val="0"/>
          <w:sz w:val="21"/>
          <w:szCs w:val="21"/>
        </w:rPr>
        <w:t>18. 保险</w:t>
      </w:r>
      <w:bookmarkEnd w:id="567"/>
    </w:p>
    <w:bookmarkEnd w:id="565"/>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18.1 工程保险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关于工程保险的特别约定：</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18.3 其他保险</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关于其他保险的约定：</w:t>
      </w:r>
      <w:r>
        <w:rPr>
          <w:rFonts w:hint="eastAsia" w:asciiTheme="minorEastAsia" w:hAnsiTheme="minorEastAsia" w:eastAsiaTheme="minorEastAsia" w:cstheme="minorEastAsia"/>
          <w:b/>
          <w:bCs/>
          <w:kern w:val="0"/>
          <w:szCs w:val="21"/>
          <w:u w:val="single"/>
        </w:rPr>
        <w:t>承包人投保建筑工</w:t>
      </w:r>
      <w:r>
        <w:rPr>
          <w:rFonts w:hint="eastAsia" w:asciiTheme="minorEastAsia" w:hAnsiTheme="minorEastAsia" w:eastAsiaTheme="minorEastAsia" w:cstheme="minorEastAsia"/>
          <w:b/>
          <w:kern w:val="0"/>
          <w:szCs w:val="21"/>
          <w:u w:val="single"/>
        </w:rPr>
        <w:t>人及管理人员意外伤害保险</w:t>
      </w:r>
      <w:r>
        <w:rPr>
          <w:rFonts w:hint="eastAsia" w:asciiTheme="minorEastAsia" w:hAnsiTheme="minorEastAsia" w:eastAsiaTheme="minorEastAsia" w:cstheme="minorEastAsia"/>
          <w:kern w:val="0"/>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承包人是否应为其施工设备等办理财产保险：</w:t>
      </w:r>
      <w:r>
        <w:rPr>
          <w:rFonts w:hint="eastAsia" w:asciiTheme="minorEastAsia" w:hAnsiTheme="minorEastAsia" w:eastAsiaTheme="minorEastAsia" w:cstheme="minorEastAsia"/>
          <w:szCs w:val="21"/>
          <w:u w:val="single"/>
        </w:rPr>
        <w:t>是</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18.7 通知义务</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关于变更保险合同时的通知义务的约定：</w:t>
      </w:r>
      <w:r>
        <w:rPr>
          <w:rFonts w:hint="eastAsia" w:asciiTheme="minorEastAsia" w:hAnsiTheme="minorEastAsia" w:eastAsiaTheme="minorEastAsia" w:cstheme="minorEastAsia"/>
          <w:b/>
          <w:bCs/>
          <w:szCs w:val="21"/>
          <w:u w:val="single"/>
        </w:rPr>
        <w:t>按通用合同条款第18.7条项规定执行</w:t>
      </w:r>
      <w:r>
        <w:rPr>
          <w:rFonts w:hint="eastAsia" w:asciiTheme="minorEastAsia" w:hAnsiTheme="minorEastAsia" w:eastAsiaTheme="minorEastAsia" w:cstheme="minorEastAsia"/>
          <w:szCs w:val="21"/>
        </w:rPr>
        <w:t>。</w:t>
      </w:r>
    </w:p>
    <w:bookmarkEnd w:id="541"/>
    <w:bookmarkEnd w:id="542"/>
    <w:bookmarkEnd w:id="543"/>
    <w:bookmarkEnd w:id="544"/>
    <w:bookmarkEnd w:id="545"/>
    <w:bookmarkEnd w:id="546"/>
    <w:bookmarkEnd w:id="547"/>
    <w:bookmarkEnd w:id="548"/>
    <w:bookmarkEnd w:id="549"/>
    <w:bookmarkEnd w:id="550"/>
    <w:bookmarkEnd w:id="551"/>
    <w:bookmarkEnd w:id="552"/>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bookmarkStart w:id="568" w:name="_Toc351203651"/>
      <w:r>
        <w:rPr>
          <w:rFonts w:hint="eastAsia" w:asciiTheme="minorEastAsia" w:hAnsiTheme="minorEastAsia" w:eastAsiaTheme="minorEastAsia" w:cstheme="minorEastAsia"/>
          <w:b w:val="0"/>
          <w:sz w:val="21"/>
          <w:szCs w:val="21"/>
        </w:rPr>
        <w:t>20. 争议解决</w:t>
      </w:r>
      <w:bookmarkEnd w:id="568"/>
    </w:p>
    <w:bookmarkEnd w:id="553"/>
    <w:bookmarkEnd w:id="554"/>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20.3 争</w:t>
      </w:r>
      <w:bookmarkEnd w:id="555"/>
      <w:r>
        <w:rPr>
          <w:rFonts w:hint="eastAsia" w:asciiTheme="minorEastAsia" w:hAnsiTheme="minorEastAsia" w:eastAsiaTheme="minorEastAsia" w:cstheme="minorEastAsia"/>
          <w:szCs w:val="21"/>
        </w:rPr>
        <w:t>议评审</w:t>
      </w:r>
    </w:p>
    <w:p>
      <w:pPr>
        <w:pageBreakBefore w:val="0"/>
        <w:widowControl/>
        <w:kinsoku/>
        <w:wordWrap/>
        <w:overflowPunct/>
        <w:topLinePunct w:val="0"/>
        <w:bidi w:val="0"/>
        <w:adjustRightInd w:val="0"/>
        <w:snapToGrid w:val="0"/>
        <w:spacing w:line="360" w:lineRule="auto"/>
        <w:ind w:left="156" w:leftChars="71"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合同当事人是否同意将工程争议提交争议评审小组决定：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20.3.1 争议评审小组的确定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争议评审小组成员的确定：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选定争议评审员的期限：</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争议评审小组成员的报酬承担方式：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其他事项的约定：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autoSpaceDE w:val="0"/>
        <w:autoSpaceDN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20.3.2 争议评审小组的决定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合同当事人关于本项的约定：</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adjustRightInd w:val="0"/>
        <w:snapToGrid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20.4仲裁或诉讼</w:t>
      </w:r>
      <w:bookmarkEnd w:id="556"/>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因合同及合同有关事项发生的争议，按下列第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种方式解决：</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（1）向</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仲裁委员会申请仲裁；</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（2）向</w:t>
      </w:r>
      <w:r>
        <w:rPr>
          <w:rFonts w:hint="eastAsia" w:asciiTheme="minorEastAsia" w:hAnsiTheme="minorEastAsia" w:eastAsiaTheme="minorEastAsia" w:cstheme="minorEastAsia"/>
          <w:b/>
          <w:bCs/>
          <w:szCs w:val="21"/>
          <w:u w:val="single"/>
        </w:rPr>
        <w:t>工程所在地</w:t>
      </w:r>
      <w:r>
        <w:rPr>
          <w:rFonts w:hint="eastAsia" w:asciiTheme="minorEastAsia" w:hAnsiTheme="minorEastAsia" w:eastAsiaTheme="minorEastAsia" w:cstheme="minorEastAsia"/>
          <w:szCs w:val="21"/>
        </w:rPr>
        <w:t>人民法院起诉。</w:t>
      </w:r>
      <w:bookmarkEnd w:id="557"/>
      <w:bookmarkEnd w:id="558"/>
      <w:bookmarkEnd w:id="559"/>
      <w:bookmarkEnd w:id="560"/>
      <w:bookmarkEnd w:id="561"/>
      <w:bookmarkEnd w:id="562"/>
    </w:p>
    <w:p>
      <w:pPr>
        <w:keepNext w:val="0"/>
        <w:keepLines w:val="0"/>
        <w:pageBreakBefore w:val="0"/>
        <w:widowControl/>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21.补充条款</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21.1工程质量要求的其他约定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bCs/>
          <w:szCs w:val="21"/>
        </w:rPr>
        <w:t>21.1.1</w:t>
      </w:r>
      <w:r>
        <w:rPr>
          <w:rFonts w:hint="eastAsia" w:asciiTheme="minorEastAsia" w:hAnsiTheme="minorEastAsia" w:eastAsiaTheme="minorEastAsia" w:cstheme="minorEastAsia"/>
          <w:b/>
          <w:szCs w:val="21"/>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bCs/>
          <w:szCs w:val="21"/>
        </w:rPr>
        <w:t>21.1.2</w:t>
      </w:r>
      <w:r>
        <w:rPr>
          <w:rFonts w:hint="eastAsia" w:asciiTheme="minorEastAsia" w:hAnsiTheme="minorEastAsia" w:eastAsiaTheme="minorEastAsia" w:cstheme="minorEastAsia"/>
          <w:b/>
          <w:szCs w:val="21"/>
          <w:u w:val="single"/>
        </w:rPr>
        <w:t>因工程施工交叉进行，承包人应积极配合，并无条件服从发包人或监理工程师的合理安排。</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21.2工期要求的其他约定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21.2.1承包人应详细踏勘、了解现场实际情况，在磋商中应充分考虑现场情况对施工工期的影响，该部分内容在施工工期中包干，成交后不予调整。</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21.2.2合同工期为进场施工开始至竣工验收时止，承包人必须做好配合协调工作，因协调配合不当引起的工期等所有损失均由承包人承担。</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21.3安全文明施工要求的其他约定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 xml:space="preserve">21.3.1承包人与发包人必须签定《安全生产责任协议书》和《文明施工责任协议书》（见附件），且必须按照浙江省及发包人安全生产、文明施工标准化工地要求，做好安全生产、文明施工。 </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安全生产、文明施工相关费用在工程实施过程中必须足额投入，否则发包人有权拒绝支付该项费用。</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安全生产、文明施工维护及宣传方案需征得发包人同意方可实施。</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21.4人员到位要求的其他约定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21.4.1承包人在响应文件中承诺的管理人员（项目经理、技术负责人、施工员、安全员、质检员、材料员）配备数量应满足本工程管理的需要和相应规范、文件要求。</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本项目采用指纹考勤，在响应文件中需对管理人员的出勤率作出承诺。若项目经理、技术负责人出勤率不足磋商响应承诺，处罚1000元人民币/天；施工员、安全员、质检员、材料员出勤率不足磋商响应承诺，处罚500元人民币/天/人（出勤率按照为每月25天，每日工作时间8小时考勤）。重要施工工序或环节时项目经理、技术负责人等必须到场，否则处罚5000元人民币/每次。</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21.5合同价款的其他约定</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21.5.1在工程通过竣工验收前，对已完成工程成品的保护工作由承包人负责，费用在磋商响应报价中包干。</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21.5.2本工程工期较紧，相应赶工措施费用包含在磋商响应报价中。</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21.5.3承包人所报的费用中必须包含危险作业意外伤害保险费用，否则视同承包人优惠。</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21.5.4施工组织措施费和技术措施费在成交以后，在合同施工范围内，无论现场施工条件如何变化、设计如何变更、也无论工程量增减的幅度如何，均不再调整；</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21.6其他方面的约定</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Theme="minorEastAsia" w:hAnsiTheme="minorEastAsia" w:eastAsiaTheme="minorEastAsia" w:cstheme="minorEastAsia"/>
          <w:b/>
          <w:bCs/>
          <w:szCs w:val="21"/>
          <w:u w:val="single"/>
        </w:rPr>
        <w:t>或社会上相关产品进行指定</w:t>
      </w:r>
      <w:r>
        <w:rPr>
          <w:rFonts w:hint="eastAsia" w:asciiTheme="minorEastAsia" w:hAnsiTheme="minorEastAsia" w:eastAsiaTheme="minorEastAsia" w:cstheme="minorEastAsia"/>
          <w:b/>
          <w:szCs w:val="21"/>
          <w:u w:val="single"/>
        </w:rPr>
        <w:t>，且价格不予调整。</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21.6.3承包人应充分响应杭州市委、市政府及当地政府关于工程运输车安全整治有关问题的相关意见，落实好工程安全运输责任制。</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szCs w:val="21"/>
          <w:u w:val="single"/>
        </w:rPr>
        <w:t>21.6.4</w:t>
      </w:r>
      <w:r>
        <w:rPr>
          <w:rFonts w:hint="eastAsia" w:asciiTheme="minorEastAsia" w:hAnsiTheme="minorEastAsia" w:eastAsiaTheme="minorEastAsia" w:cstheme="minorEastAsia"/>
          <w:b/>
          <w:kern w:val="0"/>
          <w:szCs w:val="21"/>
          <w:u w:val="single"/>
        </w:rPr>
        <w:t>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21.6.5</w:t>
      </w:r>
      <w:r>
        <w:rPr>
          <w:rFonts w:hint="eastAsia" w:asciiTheme="minorEastAsia" w:hAnsiTheme="minorEastAsia" w:eastAsiaTheme="minorEastAsia" w:cstheme="minorEastAsia"/>
          <w:b/>
          <w:kern w:val="0"/>
          <w:szCs w:val="21"/>
          <w:u w:val="single"/>
        </w:rPr>
        <w:t>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21.6.6承包人需加强维修服务意识，信守维修服务承诺书中的各项承诺，维修服务承诺书作为合同附件。</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21.6.7工程实施期间，承包人必须确保本工程项目进度款专款专用，发包人（或发包人委托的中介机构）随时有权到承包人处核查工程进度款使用情况，承包人须全力配合不得以任何理由拒绝。</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21.6.9承包人应在响应文件中列出所有承包人认为需提供的工日、材料（设备）、机械台班价格，若承包人未列出，在施工期间可由发包人根据响应文件及其它的合同文件确定价格。</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21.6.11如果承包人提供的工日、材料（设备）、机械台班价格及综合单价分析表和工料机分析表与综合单价有矛盾，结算时应以综合单价为准。</w:t>
      </w:r>
    </w:p>
    <w:p>
      <w:pPr>
        <w:pStyle w:val="8"/>
        <w:pageBreakBefore w:val="0"/>
        <w:widowControl/>
        <w:kinsoku/>
        <w:wordWrap/>
        <w:overflowPunct/>
        <w:topLinePunct w:val="0"/>
        <w:bidi w:val="0"/>
        <w:adjustRightInd w:val="0"/>
        <w:snapToGrid w:val="0"/>
        <w:spacing w:before="0" w:beforeLines="0" w:after="0" w:afterLines="0" w:line="360" w:lineRule="auto"/>
        <w:ind w:firstLine="422" w:firstLineChars="200"/>
        <w:jc w:val="both"/>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21.6.12承包人应服从发包人的协调组织安排，不得因交叉交错施工影响本工程总体进度。</w:t>
      </w:r>
    </w:p>
    <w:p>
      <w:pPr>
        <w:pageBreakBefore w:val="0"/>
        <w:widowControl/>
        <w:tabs>
          <w:tab w:val="left" w:pos="8080"/>
        </w:tabs>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21.6.15本合同所涉及的所有处罚违约金将以现金形式缴纳，月罚月交，如未按时递交违约金，本月工程款暂停支付。</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21.6.16本项目涉及到的检测、监测、质检费用由承包人在磋商响应报价中综合考虑。</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Theme="minorEastAsia" w:hAnsiTheme="minorEastAsia" w:eastAsiaTheme="minorEastAsia" w:cstheme="minorEastAsia"/>
          <w:szCs w:val="21"/>
          <w:u w:val="single"/>
        </w:rPr>
        <w:t>。</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sectPr>
          <w:footerReference r:id="rId8" w:type="first"/>
          <w:pgSz w:w="11906" w:h="16838"/>
          <w:pgMar w:top="1418" w:right="1555" w:bottom="1418" w:left="1531" w:header="567" w:footer="567" w:gutter="0"/>
          <w:cols w:space="720" w:num="1"/>
          <w:titlePg/>
          <w:docGrid w:type="lines" w:linePitch="312" w:charSpace="0"/>
        </w:sectPr>
      </w:pPr>
    </w:p>
    <w:p>
      <w:pPr>
        <w:pageBreakBefore w:val="0"/>
        <w:widowControl/>
        <w:kinsoku/>
        <w:wordWrap/>
        <w:overflowPunct/>
        <w:topLinePunct w:val="0"/>
        <w:bidi w:val="0"/>
        <w:spacing w:before="120" w:beforeLines="50" w:after="120" w:afterLines="50"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zh-CN"/>
        </w:rPr>
        <w:t>附件一：工程质量保修书格式</w:t>
      </w:r>
    </w:p>
    <w:p>
      <w:pPr>
        <w:pageBreakBefore w:val="0"/>
        <w:widowControl/>
        <w:kinsoku/>
        <w:wordWrap/>
        <w:overflowPunct/>
        <w:topLinePunct w:val="0"/>
        <w:bidi w:val="0"/>
        <w:spacing w:before="120" w:beforeLines="50" w:after="120" w:afterLines="50" w:line="360" w:lineRule="auto"/>
        <w:ind w:firstLine="440" w:firstLineChars="20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工程质量保修书</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发包人（全称）：</w:t>
      </w:r>
      <w:r>
        <w:rPr>
          <w:rFonts w:hint="eastAsia" w:asciiTheme="minorEastAsia" w:hAnsiTheme="minorEastAsia" w:eastAsiaTheme="minorEastAsia" w:cstheme="minorEastAsia"/>
          <w:b/>
          <w:szCs w:val="21"/>
          <w:u w:val="single"/>
          <w:lang w:eastAsia="zh-CN"/>
        </w:rPr>
        <w:t>中国美术学院</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承包人（全称）：</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发包人和承包人根据《中华人民共和国建筑法》和《建设工程质量管理条例》，经协商一致就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（工程全称）签订工程质量保修书。</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一、工程质量保修范围和内容</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承包人在质量保修期内，按照有关法律规定和合同约定，承担工程质量保修责任。</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Cs w:val="21"/>
          <w:u w:val="single"/>
        </w:rPr>
        <w:t>本合同承包范围内的全部工程内容</w:t>
      </w:r>
      <w:r>
        <w:rPr>
          <w:rFonts w:hint="eastAsia" w:asciiTheme="minorEastAsia" w:hAnsiTheme="minorEastAsia" w:eastAsiaTheme="minorEastAsia" w:cstheme="minorEastAsia"/>
          <w:szCs w:val="21"/>
        </w:rPr>
        <w:t>。</w:t>
      </w:r>
    </w:p>
    <w:p>
      <w:pPr>
        <w:pageBreakBefore w:val="0"/>
        <w:widowControl/>
        <w:kinsoku/>
        <w:wordWrap/>
        <w:overflowPunct/>
        <w:topLinePunct w:val="0"/>
        <w:bidi w:val="0"/>
        <w:spacing w:line="360" w:lineRule="auto"/>
        <w:ind w:firstLine="442"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　　</w:t>
      </w:r>
      <w:r>
        <w:rPr>
          <w:rFonts w:hint="eastAsia" w:asciiTheme="minorEastAsia" w:hAnsiTheme="minorEastAsia" w:eastAsiaTheme="minorEastAsia" w:cstheme="minorEastAsia"/>
          <w:szCs w:val="21"/>
        </w:rPr>
        <w:t>二、质量保修期</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质量保修期从工程实际竣工之日算起。</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双方根据《建设工程质量管理条例》及国家有关规定，结合具体工程情况约定质量保修期如下：</w:t>
      </w:r>
    </w:p>
    <w:p>
      <w:pPr>
        <w:pageBreakBefore w:val="0"/>
        <w:widowControl/>
        <w:numPr>
          <w:ilvl w:val="0"/>
          <w:numId w:val="0"/>
        </w:numPr>
        <w:kinsoku/>
        <w:wordWrap/>
        <w:overflowPunct/>
        <w:topLinePunct w:val="0"/>
        <w:bidi w:val="0"/>
        <w:spacing w:line="360" w:lineRule="auto"/>
        <w:ind w:left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1、</w:t>
      </w:r>
      <w:r>
        <w:rPr>
          <w:rFonts w:hint="eastAsia" w:asciiTheme="minorEastAsia" w:hAnsiTheme="minorEastAsia" w:eastAsiaTheme="minorEastAsia" w:cstheme="minorEastAsia"/>
          <w:b/>
          <w:szCs w:val="21"/>
        </w:rPr>
        <w:t>地基基础工程和主体结构工程为设计文件规定的该工程合理使用年限；</w:t>
      </w:r>
    </w:p>
    <w:p>
      <w:pPr>
        <w:pageBreakBefore w:val="0"/>
        <w:widowControl/>
        <w:numPr>
          <w:ilvl w:val="0"/>
          <w:numId w:val="0"/>
        </w:numPr>
        <w:kinsoku/>
        <w:wordWrap/>
        <w:overflowPunct/>
        <w:topLinePunct w:val="0"/>
        <w:bidi w:val="0"/>
        <w:spacing w:line="360" w:lineRule="auto"/>
        <w:ind w:left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2、</w:t>
      </w:r>
      <w:r>
        <w:rPr>
          <w:rFonts w:hint="eastAsia" w:asciiTheme="minorEastAsia" w:hAnsiTheme="minorEastAsia" w:eastAsiaTheme="minorEastAsia" w:cstheme="minorEastAsia"/>
          <w:b/>
          <w:szCs w:val="21"/>
        </w:rPr>
        <w:t>屋面防水工程、有防水要求的</w:t>
      </w:r>
      <w:r>
        <w:rPr>
          <w:rFonts w:hint="eastAsia" w:asciiTheme="minorEastAsia" w:hAnsiTheme="minorEastAsia" w:cstheme="minorEastAsia"/>
          <w:b/>
          <w:szCs w:val="21"/>
          <w:lang w:val="en-US" w:eastAsia="zh-CN"/>
        </w:rPr>
        <w:t>墙面、地面</w:t>
      </w:r>
      <w:r>
        <w:rPr>
          <w:rFonts w:hint="eastAsia" w:asciiTheme="minorEastAsia" w:hAnsiTheme="minorEastAsia" w:eastAsiaTheme="minorEastAsia" w:cstheme="minorEastAsia"/>
          <w:b/>
          <w:szCs w:val="21"/>
        </w:rPr>
        <w:t>的防渗漏为捌年；</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3</w:t>
      </w:r>
      <w:r>
        <w:rPr>
          <w:rFonts w:hint="eastAsia" w:asciiTheme="minorEastAsia" w:hAnsiTheme="minorEastAsia" w:eastAsiaTheme="minorEastAsia" w:cstheme="minorEastAsia"/>
          <w:b/>
          <w:szCs w:val="21"/>
        </w:rPr>
        <w:t>、装修工程为贰年；</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4</w:t>
      </w:r>
      <w:r>
        <w:rPr>
          <w:rFonts w:hint="eastAsia" w:asciiTheme="minorEastAsia" w:hAnsiTheme="minorEastAsia" w:eastAsiaTheme="minorEastAsia" w:cstheme="minorEastAsia"/>
          <w:b/>
          <w:szCs w:val="21"/>
        </w:rPr>
        <w:t>、电气管线、给排水管道、设备安装工程为贰年；</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5</w:t>
      </w:r>
      <w:r>
        <w:rPr>
          <w:rFonts w:hint="eastAsia" w:asciiTheme="minorEastAsia" w:hAnsiTheme="minorEastAsia" w:eastAsiaTheme="minorEastAsia" w:cstheme="minorEastAsia"/>
          <w:b/>
          <w:szCs w:val="21"/>
        </w:rPr>
        <w:t>、供热与供冷系统为贰个采暖期、供冷期；</w:t>
      </w:r>
    </w:p>
    <w:p>
      <w:pPr>
        <w:pageBreakBefore w:val="0"/>
        <w:widowControl/>
        <w:kinsoku/>
        <w:wordWrap/>
        <w:overflowPunct/>
        <w:topLinePunct w:val="0"/>
        <w:bidi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6</w:t>
      </w:r>
      <w:r>
        <w:rPr>
          <w:rFonts w:hint="eastAsia" w:asciiTheme="minorEastAsia" w:hAnsiTheme="minorEastAsia" w:eastAsiaTheme="minorEastAsia" w:cstheme="minorEastAsia"/>
          <w:b/>
          <w:szCs w:val="21"/>
        </w:rPr>
        <w:t>、其他约定：</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质量保修期自工程竣工验收合格之日起计算。</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三、缺陷责任期</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工程缺陷责任期为</w:t>
      </w:r>
      <w:r>
        <w:rPr>
          <w:rFonts w:hint="eastAsia" w:asciiTheme="minorEastAsia" w:hAnsiTheme="minorEastAsia" w:eastAsiaTheme="minorEastAsia" w:cstheme="minorEastAsia"/>
          <w:szCs w:val="21"/>
          <w:u w:val="single"/>
        </w:rPr>
        <w:t xml:space="preserve">  24 </w:t>
      </w:r>
      <w:r>
        <w:rPr>
          <w:rFonts w:hint="eastAsia" w:asciiTheme="minorEastAsia" w:hAnsiTheme="minorEastAsia" w:eastAsiaTheme="minorEastAsia" w:cstheme="minorEastAsia"/>
          <w:szCs w:val="21"/>
        </w:rPr>
        <w:t>个月，缺陷责任期自工程通过竣工验收之日起计算。单位工程先于全部工程进行验收，单位工程缺陷责任期自单位工程验收合格之日起算。</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缺陷责任期终止后，发包人应退还剩余的质量保证金。</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四、质量保修责任</w:t>
      </w:r>
    </w:p>
    <w:p>
      <w:pPr>
        <w:pageBreakBefore w:val="0"/>
        <w:widowControl/>
        <w:kinsoku/>
        <w:wordWrap/>
        <w:overflowPunct/>
        <w:topLinePunct w:val="0"/>
        <w:bidi w:val="0"/>
        <w:spacing w:line="360" w:lineRule="auto"/>
        <w:ind w:left="110" w:leftChars="50"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1．属于保修范围、内容的项目，承包人应当在接到保修通知之日起7天内派人保修。承包人不在约定期限内派人保修的，发包人可以委托他人修理。</w:t>
      </w:r>
    </w:p>
    <w:p>
      <w:pPr>
        <w:pageBreakBefore w:val="0"/>
        <w:widowControl/>
        <w:kinsoku/>
        <w:wordWrap/>
        <w:overflowPunct/>
        <w:topLinePunct w:val="0"/>
        <w:bidi w:val="0"/>
        <w:spacing w:line="360" w:lineRule="auto"/>
        <w:ind w:left="110" w:leftChars="50"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2．发生紧急事故需抢修的，承包人在接到事故通知后，应当立即到达事故现场抢修。</w:t>
      </w:r>
    </w:p>
    <w:p>
      <w:pPr>
        <w:pageBreakBefore w:val="0"/>
        <w:widowControl/>
        <w:kinsoku/>
        <w:wordWrap/>
        <w:overflowPunct/>
        <w:topLinePunct w:val="0"/>
        <w:bidi w:val="0"/>
        <w:spacing w:line="360" w:lineRule="auto"/>
        <w:ind w:left="110" w:leftChars="50"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idowControl/>
        <w:kinsoku/>
        <w:wordWrap/>
        <w:overflowPunct/>
        <w:topLinePunct w:val="0"/>
        <w:bidi w:val="0"/>
        <w:spacing w:line="360" w:lineRule="auto"/>
        <w:ind w:firstLine="44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4．质量保修完成后，由发包人组织验收。</w:t>
      </w:r>
    </w:p>
    <w:p>
      <w:pPr>
        <w:pageBreakBefore w:val="0"/>
        <w:widowControl/>
        <w:kinsoku/>
        <w:wordWrap/>
        <w:overflowPunct/>
        <w:topLinePunct w:val="0"/>
        <w:bidi w:val="0"/>
        <w:spacing w:line="360" w:lineRule="auto"/>
        <w:ind w:firstLine="440"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五、保修费用</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保修费用由造成质量缺陷的责任方承担。</w:t>
      </w:r>
    </w:p>
    <w:p>
      <w:pPr>
        <w:pageBreakBefore w:val="0"/>
        <w:widowControl/>
        <w:kinsoku/>
        <w:wordWrap/>
        <w:overflowPunct/>
        <w:topLinePunct w:val="0"/>
        <w:bidi w:val="0"/>
        <w:spacing w:line="360" w:lineRule="auto"/>
        <w:ind w:firstLine="442" w:firstLineChars="200"/>
        <w:jc w:val="both"/>
        <w:textAlignment w:val="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六</w:t>
      </w:r>
      <w:r>
        <w:rPr>
          <w:rFonts w:hint="eastAsia" w:asciiTheme="minorEastAsia" w:hAnsiTheme="minorEastAsia" w:eastAsiaTheme="minorEastAsia" w:cstheme="minorEastAsia"/>
          <w:szCs w:val="21"/>
        </w:rPr>
        <w:t>、双方约定的其他工程质量保修事项：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工程质量保修书由发包人、承包人在工程竣工验收前共同签署，作为施工合同附件，其有效期限至保修期满。</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承包人(公章)：</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法定代表人(签字)：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法定代表人(签字)：</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委托代理人(签字)：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委托代理人(签字)：</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账  号：</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br w:type="page"/>
      </w:r>
      <w:bookmarkEnd w:id="37"/>
      <w:bookmarkEnd w:id="38"/>
      <w:bookmarkEnd w:id="39"/>
      <w:bookmarkEnd w:id="40"/>
      <w:r>
        <w:rPr>
          <w:rFonts w:hint="eastAsia" w:asciiTheme="minorEastAsia" w:hAnsiTheme="minorEastAsia" w:eastAsiaTheme="minorEastAsia" w:cstheme="minorEastAsia"/>
          <w:szCs w:val="21"/>
        </w:rPr>
        <w:t>附件二：安全生产责任协议书</w:t>
      </w:r>
    </w:p>
    <w:p>
      <w:pPr>
        <w:pageBreakBefore w:val="0"/>
        <w:widowControl/>
        <w:kinsoku/>
        <w:wordWrap/>
        <w:overflowPunct/>
        <w:topLinePunct w:val="0"/>
        <w:bidi w:val="0"/>
        <w:snapToGrid w:val="0"/>
        <w:spacing w:line="360" w:lineRule="auto"/>
        <w:ind w:firstLine="442" w:firstLineChars="200"/>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安全生产责任协议书</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甲方（发包人）：</w:t>
      </w:r>
      <w:r>
        <w:rPr>
          <w:rFonts w:hint="eastAsia" w:asciiTheme="minorEastAsia" w:hAnsiTheme="minorEastAsia" w:eastAsiaTheme="minorEastAsia" w:cstheme="minorEastAsia"/>
          <w:b/>
          <w:szCs w:val="21"/>
          <w:lang w:eastAsia="zh-CN"/>
        </w:rPr>
        <w:t>中国美术学院</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乙方（承包人）：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工程项目名称：</w:t>
      </w:r>
      <w:r>
        <w:rPr>
          <w:rFonts w:hint="eastAsia" w:asciiTheme="minorEastAsia" w:hAnsiTheme="minorEastAsia" w:eastAsiaTheme="minorEastAsia" w:cstheme="minorEastAsia"/>
          <w:kern w:val="0"/>
          <w:szCs w:val="21"/>
        </w:rPr>
        <w:t xml:space="preserve">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为落实安全生产的管理要求，确保工程建设的顺利进行，按《浙江省建筑安全文明施工标准化工地管理办法》（浙建建[2005]41号)规定，甲乙双方共同协商，一致同意如下：</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二、发包人应积极组织和督促承包人开展安全达标活动，及时传达和部署上级的有关安全生产精神和要求，定期听取承包人的意见和要求。加强安全生产的指导和协调。</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责任违约的经济处理的约定：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依据国家和地方相关法律法规、政策、规定、制度以及本工程施工合同执行。</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九、承包人要按照“安全自查，隐患自改、责任自负”的原则加强对施工责任区的日常安全检查。及叫制上和处理各类违章违法行为。对查获的隐患要及时落实整改措施，消除隐患。</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十二、承包人须参加由发包人召集的每周一次的工程工作列会，对工程进度、工程质量、安全施工等情况向会议进行汇报，并接受发包人的安全检查。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十三、承包人不准将工程项目进行整体转包。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十六、承包人须为施工作业人员缴纳相关保险，并在合同签订之日起的 个工作日内将缴纳保险凭证复印件交发包人。</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十七、承包人必须严格按</w:t>
      </w:r>
      <w:r>
        <w:rPr>
          <w:rFonts w:hint="eastAsia" w:asciiTheme="minorEastAsia" w:hAnsiTheme="minorEastAsia" w:cstheme="minorEastAsia"/>
          <w:b/>
          <w:szCs w:val="21"/>
          <w:u w:val="single"/>
          <w:lang w:val="en-US" w:eastAsia="zh-CN"/>
        </w:rPr>
        <w:t>学院</w:t>
      </w:r>
      <w:r>
        <w:rPr>
          <w:rFonts w:hint="eastAsia" w:asciiTheme="minorEastAsia" w:hAnsiTheme="minorEastAsia" w:eastAsiaTheme="minorEastAsia" w:cstheme="minorEastAsia"/>
          <w:b/>
          <w:szCs w:val="21"/>
          <w:u w:val="single"/>
        </w:rPr>
        <w:t>管理规范要求进场施工：必须报</w:t>
      </w:r>
      <w:r>
        <w:rPr>
          <w:rFonts w:hint="eastAsia" w:asciiTheme="minorEastAsia" w:hAnsiTheme="minorEastAsia" w:cstheme="minorEastAsia"/>
          <w:b/>
          <w:szCs w:val="21"/>
          <w:u w:val="single"/>
          <w:lang w:val="en-US" w:eastAsia="zh-CN"/>
        </w:rPr>
        <w:t>学院</w:t>
      </w:r>
      <w:r>
        <w:rPr>
          <w:rFonts w:hint="eastAsia" w:asciiTheme="minorEastAsia" w:hAnsiTheme="minorEastAsia" w:eastAsiaTheme="minorEastAsia" w:cstheme="minorEastAsia"/>
          <w:b/>
          <w:szCs w:val="21"/>
          <w:u w:val="single"/>
        </w:rPr>
        <w:t>后勤处、安保处备案，并接受</w:t>
      </w:r>
      <w:r>
        <w:rPr>
          <w:rFonts w:hint="eastAsia" w:asciiTheme="minorEastAsia" w:hAnsiTheme="minorEastAsia" w:cstheme="minorEastAsia"/>
          <w:b/>
          <w:szCs w:val="21"/>
          <w:u w:val="single"/>
          <w:lang w:val="en-US" w:eastAsia="zh-CN"/>
        </w:rPr>
        <w:t>学院</w:t>
      </w:r>
      <w:r>
        <w:rPr>
          <w:rFonts w:hint="eastAsia" w:asciiTheme="minorEastAsia" w:hAnsiTheme="minorEastAsia" w:eastAsiaTheme="minorEastAsia" w:cstheme="minorEastAsia"/>
          <w:b/>
          <w:szCs w:val="21"/>
          <w:u w:val="single"/>
        </w:rPr>
        <w:t>安保处的安全教育；进场施工必须佩戴胸牌，统一着装；施工垃圾及时清运，垃圾密闭包装，不得裸露在外。</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十八、本协议中木涉及的有关条款，甲乙双方可根据需要协商补充修改。</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如遇有国家和本市的有关法规不符的，应按国家和本市的有关法规执行。</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十九、本协议作为甲乙双方工程承包合同的附件，在工程承包合同签约后生效，与工程承包合同具有同等法律效力。工程承包合同期满，本协议终上。</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或委托代理人：                                  或委托代理人：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                                  年    月    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sectPr>
          <w:footerReference r:id="rId9" w:type="default"/>
          <w:type w:val="nextColumn"/>
          <w:pgSz w:w="11906" w:h="16838"/>
          <w:pgMar w:top="1418" w:right="1588" w:bottom="1418" w:left="1588" w:header="567" w:footer="567" w:gutter="0"/>
          <w:cols w:space="720" w:num="1"/>
          <w:docGrid w:linePitch="312" w:charSpace="0"/>
        </w:sectPr>
      </w:pP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lang w:val="zh-CN"/>
        </w:rPr>
        <w:t>附件三 文明施工责任协议书格式</w:t>
      </w:r>
    </w:p>
    <w:p>
      <w:pPr>
        <w:pageBreakBefore w:val="0"/>
        <w:widowControl/>
        <w:kinsoku/>
        <w:wordWrap/>
        <w:overflowPunct/>
        <w:topLinePunct w:val="0"/>
        <w:bidi w:val="0"/>
        <w:snapToGrid w:val="0"/>
        <w:spacing w:line="360" w:lineRule="auto"/>
        <w:ind w:firstLine="442" w:firstLineChars="200"/>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文明施工责任协议书</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甲方（发包人）：</w:t>
      </w:r>
      <w:r>
        <w:rPr>
          <w:rFonts w:hint="eastAsia" w:asciiTheme="minorEastAsia" w:hAnsiTheme="minorEastAsia" w:eastAsiaTheme="minorEastAsia" w:cstheme="minorEastAsia"/>
          <w:b/>
          <w:szCs w:val="21"/>
          <w:lang w:eastAsia="zh-CN"/>
        </w:rPr>
        <w:t>中国美术学院</w:t>
      </w:r>
    </w:p>
    <w:p>
      <w:pPr>
        <w:pageBreakBefore w:val="0"/>
        <w:widowControl/>
        <w:kinsoku/>
        <w:wordWrap/>
        <w:overflowPunct/>
        <w:topLinePunct w:val="0"/>
        <w:bidi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乙方（承包人）：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工程项目名称：</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为认真做好工程建设施工区域内的文明施工，现经甲、乙双方协商同意，明确在文明施工和文明施工管理中的各自职责，并签订如下协议。</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三、乙方应遵守如下规定：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1、根据工程的特点，编制文明施工实施方案，在开工前5日内，将文明施工实施方案报甲方和市安全监督部门备案。</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2、乙方按有关规定专项包干使用文明施工费，不得挪作他用。</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3、工地应设置专职文明施工安全员，做到佩证上岗、动态管理，及时收集、记录、整理、管理台帐等技术资料。</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4、施工现场应按文明施工安全生产的要求，设置各项临时设施，并达到下列要求：</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（1）施工区域与非施工区域严格分隔。</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（2）施工区域内应设置能保证施工安全的夜间照明和警示标志，并采取安全防护措施。</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（3）各类材料、机具设备按工地总平面图的布置，在固定场地整齐堆放，不得侵占场内道路及安全防护等设施。</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（4）其他要求：</w:t>
      </w:r>
      <w:r>
        <w:rPr>
          <w:rFonts w:hint="eastAsia" w:asciiTheme="minorEastAsia" w:hAnsiTheme="minorEastAsia" w:eastAsiaTheme="minorEastAsia" w:cstheme="minorEastAsia"/>
          <w:b/>
          <w:szCs w:val="21"/>
        </w:rPr>
        <w:t>严格按</w:t>
      </w:r>
      <w:r>
        <w:rPr>
          <w:rFonts w:hint="eastAsia" w:asciiTheme="minorEastAsia" w:hAnsiTheme="minorEastAsia" w:cstheme="minorEastAsia"/>
          <w:b/>
          <w:szCs w:val="21"/>
          <w:lang w:val="en-US" w:eastAsia="zh-CN"/>
        </w:rPr>
        <w:t>学校</w:t>
      </w:r>
      <w:r>
        <w:rPr>
          <w:rFonts w:hint="eastAsia" w:asciiTheme="minorEastAsia" w:hAnsiTheme="minorEastAsia" w:eastAsiaTheme="minorEastAsia" w:cstheme="minorEastAsia"/>
          <w:b/>
          <w:szCs w:val="21"/>
        </w:rPr>
        <w:t>管理规范要求进场施工。</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5、工地民工宿舍应符合卫生要求和居住条件，地面应用砼硬化，照明电线敷设应符合规范，不得任意拉线接电。宿舍应保持整洁有序，不得男女混杂居住及居住与施工无关的人员。</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6、施工现场设有食堂的，应符合杭州市职工食堂管理的有关规定，并配备冷冻、冷藏设备，其位置应远离厕所、垃圾容器等污染源，炊事员应持有效健康证明及岗位培训合格证。</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施工现场应设置茶桶、保障茶水供应。</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7、建筑垃圾和其他散体物料装运应实行车辆密闭式运输，冲洗干净后出场，运输过程中严禁沿途抛、洒、滴、漏。</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8、乙方应当严格依照《中华人民共和国消防条例》的规定，在工地建立和执行防火管理制度，重点部位设置符合消防要求的消防设施，并保持完好的备用状态。　</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9、遵守建设地的现场管理要求。</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10、施工单位在施工中应遵守下列规定：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（1）完善技术和操作管理规程，确保防汛设施和地下管线通畅、安全。</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（2）采取各种有效措施，控制扬尘、噪声。</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（3）设置各种防护设施，防止施工中废弃物、杂物影响周围环境，伤害过往行人。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（4）随时清理建筑垃圾，控制工地污染。</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（5）控制夜间施工作业，确需夜间作业的，必须事先向环保部门申办《夜间施工许可证》。</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（6）运用其他有效方式，减少施工时对市容、绿化和环境的不良影响。</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（7）遵守交通管理规定，不得使用人力车、三轮车向场外运输建筑垃圾、废土、物料。</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11、施工人员在施工中应严格遵守下列规定:</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（1）施工中产生的各类垃圾应及时清运到市容环境卫生管理部门指定的地点，严禁随意倾倒在城市道路、河道、绿化带、空旷地带和居民生活垃圾容器内。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（2）施工中不得随意丢弃废物、旧料和其他杂物。</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（3）施工中应注意清理施工场地，做到随做随清。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12、乙方应确保工地出入口和道路的畅通、安全。施工中造成沿线单位、人员的出入口障碍和道路交通堵塞，应及时采取有效措施。</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13、施工中造成下水道和其他地下管线堵塞或损坏的，应立即疏浚或修复；对工地周围的单位及人员财产造成损失的，应承担经济赔偿责任。</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四、甲方对乙方开展创建文明土地的工作要经常性地给予指导，定期组织检查，对乙方存在的问题应及时通知乙方进行整改，并有权对乙方责任违约，按约定办法进行经济处理。</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五、因乙方违反文明施工管理要求，被地方政府有关部门查获而受到的经济处罚，以及由此而使甲方受到的经济损失，均由乙方承担。</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六、本协议作为甲乙双方工程合同的附件，在工程合同正式签约后有效，与工程合同具有同等法律效力。工程合同期满，本协议终止。</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pageBreakBefore w:val="0"/>
        <w:widowControl/>
        <w:kinsoku/>
        <w:wordWrap/>
        <w:overflowPunct/>
        <w:topLinePunct w:val="0"/>
        <w:bidi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或委托代理人：                                    或委托代理人：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                                年    月    日</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zh-CN"/>
        </w:rPr>
        <w:br w:type="page"/>
      </w:r>
      <w:r>
        <w:rPr>
          <w:rFonts w:hint="eastAsia" w:asciiTheme="minorEastAsia" w:hAnsiTheme="minorEastAsia" w:eastAsiaTheme="minorEastAsia" w:cstheme="minorEastAsia"/>
          <w:kern w:val="0"/>
          <w:szCs w:val="21"/>
          <w:lang w:val="zh-CN"/>
        </w:rPr>
        <w:t>附件四 建设工程廉洁协议书格式</w:t>
      </w:r>
    </w:p>
    <w:p>
      <w:pPr>
        <w:pageBreakBefore w:val="0"/>
        <w:widowControl/>
        <w:kinsoku/>
        <w:wordWrap/>
        <w:overflowPunct/>
        <w:topLinePunct w:val="0"/>
        <w:bidi w:val="0"/>
        <w:adjustRightInd w:val="0"/>
        <w:snapToGrid w:val="0"/>
        <w:spacing w:line="360" w:lineRule="auto"/>
        <w:ind w:firstLine="442" w:firstLineChars="20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建设工程廉洁协议书</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甲方（发包人）：</w:t>
      </w:r>
      <w:r>
        <w:rPr>
          <w:rFonts w:hint="eastAsia" w:asciiTheme="minorEastAsia" w:hAnsiTheme="minorEastAsia" w:eastAsiaTheme="minorEastAsia" w:cstheme="minorEastAsia"/>
          <w:b/>
          <w:szCs w:val="21"/>
          <w:lang w:eastAsia="zh-CN"/>
        </w:rPr>
        <w:t>中国美术学院</w:t>
      </w:r>
    </w:p>
    <w:p>
      <w:pPr>
        <w:pageBreakBefore w:val="0"/>
        <w:widowControl/>
        <w:kinsoku/>
        <w:wordWrap/>
        <w:overflowPunct/>
        <w:topLinePunct w:val="0"/>
        <w:bidi w:val="0"/>
        <w:adjustRightInd w:val="0"/>
        <w:snapToGrid w:val="0"/>
        <w:spacing w:line="360" w:lineRule="auto"/>
        <w:ind w:firstLine="442" w:firstLineChars="200"/>
        <w:jc w:val="both"/>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乙方（承包人）：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工程项目名称：</w:t>
      </w:r>
      <w:r>
        <w:rPr>
          <w:rFonts w:hint="eastAsia" w:asciiTheme="minorEastAsia" w:hAnsiTheme="minorEastAsia" w:eastAsiaTheme="minorEastAsia" w:cstheme="minorEastAsia"/>
          <w:kern w:val="0"/>
          <w:szCs w:val="21"/>
        </w:rPr>
        <w:t xml:space="preserve"> </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为了在工程建设中保持廉政自律的工作作风，防止各种不正当行为的发生，根据国家和省市有关建设工程承发包和廉政建设的各项规定，结合工程建设的特点，订立本协议如下：</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一、甲乙双方应当自觉遵守国家和市关于建设工程承发包工作规则以及有关廉政建设的各项规定。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二、甲方及其工作人员不得以任何形式向乙方索要和收受回扣等好处费。</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三、甲方工作人员应当保持与乙方的正常业务交往，不得接受乙方的现金、有价证券和贵重物品，不得在乙方报销任何应有个人支付的费用。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四、甲方工作人员不得参加可能对公正执行公务有影响的宴请和娱乐活动。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五、甲方工作人员不得要求接受乙方为其住房装修、婚丧嫁娶、家属和子女的工作安排以及出国等提供方便。</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六、甲方工作人员不得向乙方介绍家属或者亲友从事与甲方工程有关的材料设备供应、工程分包等经济活动。</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七、乙方应当通过正常途径开展相对业务工作，不得为获取某些不正当利益而向甲方工作人员赠送礼金、有价证券和贵重物品等。</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八、乙方不得为谋取私利擅自与甲方工作人员就工程承包、工程费用、材料设备供应、工程量变动、工程验收、工程质量问题处理等进行私下商谈或者达成默契。</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九、乙方不得以洽谈业务、签订经济合同为借口，邀请甲方工作人员外出旅游和进入高档娱乐性场所。</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十、乙方不得为甲方和个人购置或者提供通讯工具、家电、高档办公用品等物品。</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十三、严格执行中纪委下发的中纪发【2007】7号《中共中央纪委关于严格禁止利用职务上的便利谋取不正当利益的若干规定》。</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十四、本廉政协议作为工程承发包合同的附件，与工程承发包合同具有同等法律效力，经协议双方签署后立即生效。</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十五、本协议一式三份，甲、乙双方各执一份，送交见证部门一份。</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或委托代理人：                                    或委托代理人：</w:t>
      </w: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p>
    <w:p>
      <w:pPr>
        <w:pageBreakBefore w:val="0"/>
        <w:widowControl/>
        <w:kinsoku/>
        <w:wordWrap/>
        <w:overflowPunct/>
        <w:topLinePunct w:val="0"/>
        <w:bidi w:val="0"/>
        <w:adjustRightInd w:val="0"/>
        <w:snapToGrid w:val="0"/>
        <w:spacing w:line="360" w:lineRule="auto"/>
        <w:ind w:firstLine="440" w:firstLineChars="200"/>
        <w:jc w:val="both"/>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                                     年    月   日</w:t>
      </w:r>
    </w:p>
    <w:p>
      <w:pPr>
        <w:spacing w:after="0" w:line="1" w:lineRule="exact"/>
        <w:rPr>
          <w:color w:val="auto"/>
          <w:sz w:val="20"/>
          <w:szCs w:val="20"/>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rFonts w:ascii="宋体" w:hAnsi="宋体" w:eastAsia="宋体" w:cs="宋体"/>
          <w:b/>
          <w:bCs/>
          <w:color w:val="auto"/>
          <w:sz w:val="32"/>
          <w:szCs w:val="32"/>
        </w:rPr>
      </w:pPr>
    </w:p>
    <w:p>
      <w:pPr>
        <w:tabs>
          <w:tab w:val="left" w:pos="300"/>
        </w:tabs>
        <w:spacing w:after="0" w:line="366" w:lineRule="exact"/>
        <w:jc w:val="center"/>
        <w:rPr>
          <w:b/>
          <w:bCs/>
          <w:color w:val="auto"/>
          <w:sz w:val="32"/>
          <w:szCs w:val="32"/>
        </w:rPr>
      </w:pPr>
      <w:r>
        <w:rPr>
          <w:rFonts w:ascii="宋体" w:hAnsi="宋体" w:eastAsia="宋体" w:cs="宋体"/>
          <w:b/>
          <w:bCs/>
          <w:color w:val="auto"/>
          <w:sz w:val="32"/>
          <w:szCs w:val="32"/>
        </w:rPr>
        <w:t>第六章</w:t>
      </w:r>
      <w:r>
        <w:rPr>
          <w:rFonts w:ascii="宋体" w:hAnsi="宋体" w:eastAsia="宋体" w:cs="宋体"/>
          <w:b/>
          <w:bCs/>
          <w:color w:val="auto"/>
          <w:sz w:val="32"/>
          <w:szCs w:val="32"/>
        </w:rPr>
        <w:tab/>
      </w:r>
      <w:r>
        <w:rPr>
          <w:rFonts w:ascii="宋体" w:hAnsi="宋体" w:eastAsia="宋体" w:cs="宋体"/>
          <w:b/>
          <w:bCs/>
          <w:color w:val="auto"/>
          <w:sz w:val="32"/>
          <w:szCs w:val="32"/>
        </w:rPr>
        <w:t>响应文件格式</w:t>
      </w:r>
    </w:p>
    <w:p>
      <w:pPr>
        <w:spacing w:after="0" w:line="256" w:lineRule="exact"/>
        <w:rPr>
          <w:color w:val="auto"/>
          <w:sz w:val="20"/>
          <w:szCs w:val="20"/>
        </w:rPr>
      </w:pPr>
    </w:p>
    <w:p>
      <w:pPr>
        <w:spacing w:after="0" w:line="240" w:lineRule="exact"/>
        <w:ind w:right="-13"/>
        <w:jc w:val="center"/>
        <w:rPr>
          <w:color w:val="auto"/>
          <w:sz w:val="20"/>
          <w:szCs w:val="20"/>
        </w:rPr>
      </w:pPr>
      <w:r>
        <w:rPr>
          <w:rFonts w:ascii="宋体" w:hAnsi="宋体" w:eastAsia="宋体" w:cs="宋体"/>
          <w:color w:val="auto"/>
          <w:sz w:val="21"/>
          <w:szCs w:val="21"/>
        </w:rPr>
        <w:t>（未提供格式的由供应商自拟）</w:t>
      </w:r>
    </w:p>
    <w:p>
      <w:pPr>
        <w:tabs>
          <w:tab w:val="left" w:pos="300"/>
        </w:tabs>
        <w:spacing w:after="0" w:line="366" w:lineRule="exact"/>
        <w:jc w:val="center"/>
        <w:rPr>
          <w:rFonts w:ascii="宋体" w:hAnsi="宋体" w:eastAsia="宋体" w:cs="宋体"/>
          <w:b/>
          <w:bCs/>
          <w:color w:val="auto"/>
          <w:sz w:val="32"/>
          <w:szCs w:val="32"/>
        </w:rPr>
      </w:pPr>
    </w:p>
    <w:p>
      <w:pPr>
        <w:pStyle w:val="6"/>
      </w:pPr>
    </w:p>
    <w:p>
      <w:pPr>
        <w:spacing w:after="0" w:line="320" w:lineRule="exact"/>
        <w:ind w:left="360"/>
        <w:rPr>
          <w:color w:val="auto"/>
          <w:sz w:val="20"/>
          <w:szCs w:val="20"/>
        </w:rPr>
      </w:pPr>
      <w:r>
        <w:rPr>
          <w:rFonts w:hint="eastAsia" w:ascii="宋体" w:hAnsi="宋体" w:eastAsia="宋体" w:cs="宋体"/>
          <w:color w:val="auto"/>
          <w:sz w:val="28"/>
          <w:szCs w:val="28"/>
          <w:lang w:val="en-US" w:eastAsia="zh-CN"/>
        </w:rPr>
        <w:t>外包装</w:t>
      </w:r>
      <w:r>
        <w:rPr>
          <w:rFonts w:ascii="宋体" w:hAnsi="宋体" w:eastAsia="宋体" w:cs="宋体"/>
          <w:color w:val="auto"/>
          <w:sz w:val="28"/>
          <w:szCs w:val="28"/>
        </w:rPr>
        <w:t>封面</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1"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6" o:spid="_x0000_s1026" o:spt="20" style="position:absolute;left:0pt;margin-left:136.95pt;margin-top:0.05pt;height:0pt;width:287.1pt;z-index:-251656192;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7/qsrRAAAABQEAAA8AAAAAAAAAAQAgAAAAIgAAAGRycy9kb3du&#10;cmV2LnhtbFBLAQIUABQAAAAIAIdO4kAZJPtTlAEAAE4DAAAOAAAAAAAAAAEAIAAAACABAABkcnMv&#10;ZTJvRG9jLnhtbFBLBQYAAAAABgAGAFkBAAAmBQ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7" o:spid="_x0000_s1026" o:spt="20" style="position:absolute;left:0pt;margin-left:136.95pt;margin-top:0.05pt;height:0pt;width:287.1pt;z-index:-251656192;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e/6rK0QAAAAUBAAAPAAAAAAAAAAEAIAAAACIAAABkcnMv&#10;ZG93bnJldi54bWxQSwECFAAUAAAACACHTuJAySG0KJgBAABOAwAADgAAAAAAAAABACAAAAAgAQAA&#10;ZHJzL2Uyb0RvYy54bWxQSwUGAAAAAAYABgBZAQAAKgU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投 标 文 件</w:t>
      </w:r>
    </w:p>
    <w:p>
      <w:pPr>
        <w:spacing w:after="0" w:line="200" w:lineRule="exact"/>
        <w:rPr>
          <w:color w:val="auto"/>
          <w:sz w:val="20"/>
          <w:szCs w:val="20"/>
        </w:rPr>
      </w:pPr>
    </w:p>
    <w:p>
      <w:pPr>
        <w:spacing w:after="0" w:line="381"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w:t>
      </w:r>
      <w:r>
        <w:rPr>
          <w:rFonts w:hint="eastAsia" w:ascii="宋体" w:hAnsi="宋体" w:eastAsia="宋体" w:cs="宋体"/>
          <w:color w:val="auto"/>
          <w:sz w:val="72"/>
          <w:szCs w:val="72"/>
          <w:lang w:val="en-US" w:eastAsia="zh-CN"/>
        </w:rPr>
        <w:t>报价、</w:t>
      </w:r>
      <w:r>
        <w:rPr>
          <w:rFonts w:ascii="宋体" w:hAnsi="宋体" w:eastAsia="宋体" w:cs="宋体"/>
          <w:color w:val="auto"/>
          <w:sz w:val="72"/>
          <w:szCs w:val="72"/>
        </w:rPr>
        <w:t>商务技术文件）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tabs>
          <w:tab w:val="left" w:pos="5880"/>
        </w:tabs>
        <w:spacing w:after="0" w:line="320" w:lineRule="exact"/>
        <w:ind w:left="1140"/>
        <w:jc w:val="both"/>
        <w:rPr>
          <w:color w:val="auto"/>
          <w:sz w:val="20"/>
          <w:szCs w:val="20"/>
        </w:rPr>
      </w:pPr>
      <w:r>
        <w:rPr>
          <w:rFonts w:ascii="宋体" w:hAnsi="宋体" w:eastAsia="宋体" w:cs="宋体"/>
          <w:color w:val="auto"/>
          <w:sz w:val="28"/>
          <w:szCs w:val="28"/>
        </w:rPr>
        <w:t>供应商：</w:t>
      </w:r>
      <w:r>
        <w:rPr>
          <w:color w:val="auto"/>
          <w:sz w:val="20"/>
          <w:szCs w:val="20"/>
        </w:rPr>
        <w:tab/>
      </w:r>
      <w:r>
        <w:rPr>
          <w:rFonts w:ascii="宋体" w:hAnsi="宋体" w:eastAsia="宋体" w:cs="宋体"/>
          <w:color w:val="auto"/>
          <w:sz w:val="28"/>
          <w:szCs w:val="28"/>
        </w:rPr>
        <w:t>（盖单位公章）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3"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wps:spPr>
                      <wps:bodyPr/>
                    </wps:wsp>
                  </a:graphicData>
                </a:graphic>
              </wp:anchor>
            </w:drawing>
          </mc:Choice>
          <mc:Fallback>
            <w:pict>
              <v:line id="Shape 318" o:spid="_x0000_s1026" o:spt="20" style="position:absolute;left:0pt;margin-left:112.6pt;margin-top:0.05pt;height:0pt;width:182.05pt;z-index:-251656192;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ea+EdIAAAAFAQAADwAAAAAAAAABACAAAAAiAAAAZHJz&#10;L2Rvd25yZXYueG1sUEsBAhQAFAAAAAgAh07iQAmT6DqYAQAATg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5" w:lineRule="exact"/>
        <w:rPr>
          <w:color w:val="auto"/>
          <w:sz w:val="20"/>
          <w:szCs w:val="20"/>
        </w:rPr>
      </w:pPr>
    </w:p>
    <w:p>
      <w:pPr>
        <w:tabs>
          <w:tab w:val="left" w:pos="5460"/>
        </w:tabs>
        <w:spacing w:after="0" w:line="320" w:lineRule="exact"/>
        <w:ind w:left="1140"/>
        <w:rPr>
          <w:color w:val="auto"/>
          <w:sz w:val="20"/>
          <w:szCs w:val="20"/>
        </w:rPr>
      </w:pPr>
      <w:r>
        <w:rPr>
          <w:rFonts w:ascii="宋体" w:hAnsi="宋体" w:eastAsia="宋体" w:cs="宋体"/>
          <w:color w:val="auto"/>
          <w:sz w:val="28"/>
          <w:szCs w:val="28"/>
        </w:rPr>
        <w:t>响应文件签署人：</w:t>
      </w:r>
      <w:r>
        <w:rPr>
          <w:color w:val="auto"/>
          <w:sz w:val="20"/>
          <w:szCs w:val="20"/>
        </w:rPr>
        <w:tab/>
      </w:r>
      <w:r>
        <w:rPr>
          <w:rFonts w:ascii="宋体" w:hAnsi="宋体" w:eastAsia="宋体" w:cs="宋体"/>
          <w:color w:val="auto"/>
          <w:sz w:val="28"/>
          <w:szCs w:val="28"/>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4"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wps:spPr>
                      <wps:bodyPr/>
                    </wps:wsp>
                  </a:graphicData>
                </a:graphic>
              </wp:anchor>
            </w:drawing>
          </mc:Choice>
          <mc:Fallback>
            <w:pict>
              <v:line id="Shape 319" o:spid="_x0000_s1026" o:spt="20" style="position:absolute;left:0pt;margin-left:168.65pt;margin-top:0.05pt;height:0pt;width:105pt;z-index:-251656192;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my6mtAAAAAFAQAADwAAAAAAAAABACAAAAAiAAAAZHJzL2Rv&#10;d25yZXYueG1sUEsBAhQAFAAAAAgAh07iQB71F9KXAQAATgMAAA4AAAAAAAAAAQAgAAAAHwEAAGRy&#10;cy9lMm9Eb2MueG1sUEsFBgAAAAAGAAYAWQEAACg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4600"/>
          <w:tab w:val="left" w:pos="5300"/>
        </w:tabs>
        <w:spacing w:after="0" w:line="320" w:lineRule="exact"/>
        <w:ind w:left="3920"/>
        <w:rPr>
          <w:color w:val="auto"/>
          <w:sz w:val="20"/>
          <w:szCs w:val="20"/>
        </w:rPr>
      </w:pPr>
      <w:r>
        <w:rPr>
          <w:rFonts w:ascii="宋体" w:hAnsi="宋体" w:eastAsia="宋体" w:cs="宋体"/>
          <w:color w:val="auto"/>
          <w:sz w:val="28"/>
          <w:szCs w:val="28"/>
        </w:rPr>
        <w:t>年</w:t>
      </w:r>
      <w:r>
        <w:rPr>
          <w:rFonts w:ascii="宋体" w:hAnsi="宋体" w:eastAsia="宋体" w:cs="宋体"/>
          <w:color w:val="auto"/>
          <w:sz w:val="28"/>
          <w:szCs w:val="28"/>
        </w:rPr>
        <w:tab/>
      </w:r>
      <w:r>
        <w:rPr>
          <w:rFonts w:ascii="宋体" w:hAnsi="宋体" w:eastAsia="宋体" w:cs="宋体"/>
          <w:color w:val="auto"/>
          <w:sz w:val="28"/>
          <w:szCs w:val="28"/>
        </w:rPr>
        <w:t>月</w:t>
      </w:r>
      <w:r>
        <w:rPr>
          <w:rFonts w:ascii="宋体" w:hAnsi="宋体" w:eastAsia="宋体" w:cs="宋体"/>
          <w:color w:val="auto"/>
          <w:sz w:val="28"/>
          <w:szCs w:val="28"/>
        </w:rPr>
        <w:tab/>
      </w:r>
      <w:r>
        <w:rPr>
          <w:rFonts w:ascii="宋体" w:hAnsi="宋体" w:eastAsia="宋体" w:cs="宋体"/>
          <w:color w:val="auto"/>
          <w:sz w:val="28"/>
          <w:szCs w:val="28"/>
        </w:rPr>
        <w:t>日</w:t>
      </w: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tabs>
          <w:tab w:val="left" w:pos="300"/>
        </w:tabs>
        <w:spacing w:after="0" w:line="366" w:lineRule="exact"/>
        <w:jc w:val="center"/>
        <w:rPr>
          <w:rFonts w:ascii="宋体" w:hAnsi="宋体" w:eastAsia="宋体" w:cs="宋体"/>
          <w:b/>
          <w:bCs/>
          <w:color w:val="auto"/>
          <w:sz w:val="32"/>
          <w:szCs w:val="32"/>
        </w:rPr>
      </w:pPr>
    </w:p>
    <w:p>
      <w:pPr>
        <w:spacing w:after="0" w:line="168" w:lineRule="exact"/>
        <w:rPr>
          <w:color w:val="auto"/>
          <w:sz w:val="20"/>
          <w:szCs w:val="20"/>
        </w:rPr>
      </w:pPr>
    </w:p>
    <w:p>
      <w:pPr>
        <w:spacing w:after="0" w:line="320" w:lineRule="exact"/>
        <w:ind w:left="360"/>
        <w:rPr>
          <w:color w:val="auto"/>
          <w:sz w:val="20"/>
          <w:szCs w:val="20"/>
        </w:rPr>
      </w:pPr>
      <w:r>
        <w:rPr>
          <w:rFonts w:ascii="宋体" w:hAnsi="宋体" w:eastAsia="宋体" w:cs="宋体"/>
          <w:color w:val="auto"/>
          <w:sz w:val="28"/>
          <w:szCs w:val="28"/>
        </w:rPr>
        <w:t>报价文件封面</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5" name="Shape 215"/>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215"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v+qytEAAAAFAQAADwAAAAAAAAABACAAAAAiAAAAZHJz&#10;L2Rvd25yZXYueG1sUEsBAhQAFAAAAAgAh07iQChjqaOZAQAAUAMAAA4AAAAAAAAAAQAgAAAAIAEA&#10;AGRycy9lMm9Eb2MueG1sUEsFBgAAAAAGAAYAWQEAACs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6" name="Shape 2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216"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v+qytEAAAAFAQAADwAAAAAAAAABACAAAAAiAAAAZHJzL2Rv&#10;d25yZXYueG1sUEsBAhQAFAAAAAgAh07iQGDTK3SWAQAAUAMAAA4AAAAAAAAAAQAgAAAAIAEAAGRy&#10;cy9lMm9Eb2MueG1sUEsFBgAAAAAGAAYAWQEAACg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投 标 文 件</w:t>
      </w:r>
    </w:p>
    <w:p>
      <w:pPr>
        <w:spacing w:after="0" w:line="200" w:lineRule="exact"/>
        <w:rPr>
          <w:color w:val="auto"/>
          <w:sz w:val="20"/>
          <w:szCs w:val="20"/>
        </w:rPr>
      </w:pPr>
    </w:p>
    <w:p>
      <w:pPr>
        <w:spacing w:after="0" w:line="380"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（报价文件）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5880"/>
        </w:tabs>
        <w:spacing w:after="0" w:line="320" w:lineRule="exact"/>
        <w:ind w:left="1140"/>
        <w:jc w:val="both"/>
        <w:rPr>
          <w:color w:val="auto"/>
          <w:sz w:val="20"/>
          <w:szCs w:val="20"/>
        </w:rPr>
      </w:pPr>
      <w:r>
        <w:rPr>
          <w:rFonts w:ascii="宋体" w:hAnsi="宋体" w:eastAsia="宋体" w:cs="宋体"/>
          <w:color w:val="auto"/>
          <w:sz w:val="28"/>
          <w:szCs w:val="28"/>
        </w:rPr>
        <w:t>供应商：</w:t>
      </w:r>
      <w:r>
        <w:rPr>
          <w:color w:val="auto"/>
          <w:sz w:val="20"/>
          <w:szCs w:val="20"/>
        </w:rPr>
        <w:tab/>
      </w:r>
      <w:r>
        <w:rPr>
          <w:rFonts w:ascii="宋体" w:hAnsi="宋体" w:eastAsia="宋体" w:cs="宋体"/>
          <w:color w:val="auto"/>
          <w:sz w:val="28"/>
          <w:szCs w:val="28"/>
        </w:rPr>
        <w:t>（盖单位公章）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217" name="Shape 217"/>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wps:spPr>
                      <wps:bodyPr/>
                    </wps:wsp>
                  </a:graphicData>
                </a:graphic>
              </wp:anchor>
            </w:drawing>
          </mc:Choice>
          <mc:Fallback>
            <w:pict>
              <v:line id="Shape 217" o:spid="_x0000_s1026" o:spt="20" style="position:absolute;left:0pt;margin-left:112.6pt;margin-top:0.05pt;height:0pt;width:182.05pt;z-index:-251658240;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ea+EdIAAAAFAQAADwAAAAAAAAABACAAAAAiAAAAZHJz&#10;L2Rvd25yZXYueG1sUEsBAhQAFAAAAAgAh07iQOpl9ZaYAQAAUA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5" w:lineRule="exact"/>
        <w:rPr>
          <w:color w:val="auto"/>
          <w:sz w:val="20"/>
          <w:szCs w:val="20"/>
        </w:rPr>
      </w:pPr>
    </w:p>
    <w:p>
      <w:pPr>
        <w:tabs>
          <w:tab w:val="left" w:pos="5460"/>
        </w:tabs>
        <w:spacing w:after="0" w:line="320" w:lineRule="exact"/>
        <w:ind w:left="1140"/>
        <w:rPr>
          <w:color w:val="auto"/>
          <w:sz w:val="20"/>
          <w:szCs w:val="20"/>
        </w:rPr>
      </w:pPr>
      <w:r>
        <w:rPr>
          <w:rFonts w:ascii="宋体" w:hAnsi="宋体" w:eastAsia="宋体" w:cs="宋体"/>
          <w:color w:val="auto"/>
          <w:sz w:val="28"/>
          <w:szCs w:val="28"/>
        </w:rPr>
        <w:t>响应文件签署人：</w:t>
      </w:r>
      <w:r>
        <w:rPr>
          <w:color w:val="auto"/>
          <w:sz w:val="20"/>
          <w:szCs w:val="20"/>
        </w:rPr>
        <w:tab/>
      </w:r>
      <w:r>
        <w:rPr>
          <w:rFonts w:ascii="宋体" w:hAnsi="宋体" w:eastAsia="宋体" w:cs="宋体"/>
          <w:color w:val="auto"/>
          <w:sz w:val="28"/>
          <w:szCs w:val="28"/>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218" name="Shape 218"/>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5">
                          <a:solidFill>
                            <a:srgbClr val="000000"/>
                          </a:solidFill>
                          <a:miter lim="800000"/>
                        </a:ln>
                      </wps:spPr>
                      <wps:bodyPr/>
                    </wps:wsp>
                  </a:graphicData>
                </a:graphic>
              </wp:anchor>
            </w:drawing>
          </mc:Choice>
          <mc:Fallback>
            <w:pict>
              <v:line id="Shape 218" o:spid="_x0000_s1026" o:spt="20" style="position:absolute;left:0pt;margin-left:168.65pt;margin-top:0.05pt;height:0pt;width:105pt;z-index:-251658240;mso-width-relative:page;mso-height-relative:page;" fillcolor="#FFFFFF" filled="t" stroked="t"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UQSnjRAAAABQEAAA8AAAAAAAAAAQAgAAAAIgAAAGRycy9k&#10;b3ducmV2LnhtbFBLAQIUABQAAAAIAIdO4kDNXnIKlwEAAFADAAAOAAAAAAAAAAEAIAAAACABAABk&#10;cnMvZTJvRG9jLnhtbFBLBQYAAAAABgAGAFkBAAApBQAAAAA=&#10;">
                <v:fill on="t" focussize="0,0"/>
                <v:stroke weight="1.0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4600"/>
          <w:tab w:val="left" w:pos="5300"/>
        </w:tabs>
        <w:spacing w:after="0" w:line="320" w:lineRule="exact"/>
        <w:ind w:left="3920"/>
        <w:rPr>
          <w:color w:val="auto"/>
          <w:sz w:val="20"/>
          <w:szCs w:val="20"/>
        </w:rPr>
      </w:pPr>
      <w:r>
        <w:rPr>
          <w:rFonts w:ascii="宋体" w:hAnsi="宋体" w:eastAsia="宋体" w:cs="宋体"/>
          <w:color w:val="auto"/>
          <w:sz w:val="28"/>
          <w:szCs w:val="28"/>
        </w:rPr>
        <w:t>年</w:t>
      </w:r>
      <w:r>
        <w:rPr>
          <w:rFonts w:ascii="宋体" w:hAnsi="宋体" w:eastAsia="宋体" w:cs="宋体"/>
          <w:color w:val="auto"/>
          <w:sz w:val="28"/>
          <w:szCs w:val="28"/>
        </w:rPr>
        <w:tab/>
      </w:r>
      <w:r>
        <w:rPr>
          <w:rFonts w:ascii="宋体" w:hAnsi="宋体" w:eastAsia="宋体" w:cs="宋体"/>
          <w:color w:val="auto"/>
          <w:sz w:val="28"/>
          <w:szCs w:val="28"/>
        </w:rPr>
        <w:t>月</w:t>
      </w:r>
      <w:r>
        <w:rPr>
          <w:rFonts w:ascii="宋体" w:hAnsi="宋体" w:eastAsia="宋体" w:cs="宋体"/>
          <w:color w:val="auto"/>
          <w:sz w:val="28"/>
          <w:szCs w:val="28"/>
        </w:rPr>
        <w:tab/>
      </w:r>
      <w:r>
        <w:rPr>
          <w:rFonts w:ascii="宋体" w:hAnsi="宋体" w:eastAsia="宋体" w:cs="宋体"/>
          <w:color w:val="auto"/>
          <w:sz w:val="28"/>
          <w:szCs w:val="28"/>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219" name="Shape 219"/>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wps:spPr>
                      <wps:bodyPr/>
                    </wps:wsp>
                  </a:graphicData>
                </a:graphic>
              </wp:anchor>
            </w:drawing>
          </mc:Choice>
          <mc:Fallback>
            <w:pict>
              <v:line id="Shape 219" o:spid="_x0000_s1026" o:spt="20" style="position:absolute;left:0pt;margin-left:153.85pt;margin-top:0.05pt;height:0pt;width:42.15pt;z-index:-251658240;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YipdC0QAAAAUBAAAPAAAAAAAAAAEAIAAAACIAAABkcnMv&#10;ZG93bnJldi54bWxQSwECFAAUAAAACACHTuJA5GD/EZ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220" name="Shape 220"/>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wps:spPr>
                      <wps:bodyPr/>
                    </wps:wsp>
                  </a:graphicData>
                </a:graphic>
              </wp:anchor>
            </w:drawing>
          </mc:Choice>
          <mc:Fallback>
            <w:pict>
              <v:line id="Shape 220" o:spid="_x0000_s1026" o:spt="20" style="position:absolute;left:0pt;margin-left:209.9pt;margin-top:0.05pt;height:0pt;width:21.05pt;z-index:-251658240;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wvky0QAAAAUBAAAPAAAAAAAAAAEAIAAAACIAAABkcnMv&#10;ZG93bnJldi54bWxQSwECFAAUAAAACACHTuJAn8Zwcp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221" name="Shape 221"/>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wps:spPr>
                      <wps:bodyPr/>
                    </wps:wsp>
                  </a:graphicData>
                </a:graphic>
              </wp:anchor>
            </w:drawing>
          </mc:Choice>
          <mc:Fallback>
            <w:pict>
              <v:line id="Shape 221" o:spid="_x0000_s1026" o:spt="20" style="position:absolute;left:0pt;margin-left:244.95pt;margin-top:0.05pt;height:0pt;width:20.9pt;z-index:-251658240;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5K3fNIAAAAFAQAADwAAAAAAAAABACAAAAAiAAAAZHJz&#10;L2Rvd25yZXYueG1sUEsBAhQAFAAAAAgAh07iQJ42r3iYAQAATw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ind w:left="782"/>
        <w:textAlignment w:val="auto"/>
        <w:outlineLvl w:val="9"/>
        <w:rPr>
          <w:rFonts w:hint="eastAsia" w:eastAsia="宋体"/>
          <w:b/>
          <w:bCs/>
          <w:color w:val="auto"/>
          <w:sz w:val="30"/>
          <w:szCs w:val="30"/>
          <w:lang w:val="en-US" w:eastAsia="zh-CN"/>
        </w:rPr>
      </w:pPr>
      <w:bookmarkStart w:id="569" w:name="page49"/>
      <w:bookmarkEnd w:id="569"/>
      <w:r>
        <w:rPr>
          <w:rFonts w:hint="eastAsia" w:eastAsia="宋体"/>
          <w:b/>
          <w:bCs/>
          <w:color w:val="auto"/>
          <w:sz w:val="30"/>
          <w:szCs w:val="30"/>
          <w:lang w:val="en-US" w:eastAsia="zh-CN"/>
        </w:rPr>
        <w:t>报价文件</w:t>
      </w:r>
    </w:p>
    <w:p>
      <w:pPr>
        <w:spacing w:after="0" w:line="169" w:lineRule="exact"/>
        <w:rPr>
          <w:color w:val="auto"/>
          <w:sz w:val="20"/>
          <w:szCs w:val="20"/>
        </w:rPr>
      </w:pPr>
    </w:p>
    <w:p>
      <w:pPr>
        <w:spacing w:after="0" w:line="366" w:lineRule="exact"/>
        <w:ind w:right="6"/>
        <w:jc w:val="center"/>
        <w:rPr>
          <w:color w:val="auto"/>
          <w:sz w:val="28"/>
          <w:szCs w:val="28"/>
        </w:rPr>
      </w:pPr>
      <w:r>
        <w:rPr>
          <w:rFonts w:hint="eastAsia" w:ascii="宋体" w:hAnsi="宋体" w:eastAsia="宋体" w:cs="宋体"/>
          <w:b/>
          <w:bCs/>
          <w:color w:val="auto"/>
          <w:sz w:val="28"/>
          <w:szCs w:val="28"/>
          <w:lang w:val="en-US" w:eastAsia="zh-CN"/>
        </w:rPr>
        <w:t>一、</w:t>
      </w:r>
      <w:r>
        <w:rPr>
          <w:rFonts w:ascii="宋体" w:hAnsi="宋体" w:eastAsia="宋体" w:cs="宋体"/>
          <w:b/>
          <w:bCs/>
          <w:color w:val="auto"/>
          <w:sz w:val="28"/>
          <w:szCs w:val="28"/>
        </w:rPr>
        <w:t>报价函</w:t>
      </w:r>
    </w:p>
    <w:p>
      <w:pPr>
        <w:spacing w:after="0" w:line="25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（采购人单位名称）：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227330</wp:posOffset>
                </wp:positionH>
                <wp:positionV relativeFrom="paragraph">
                  <wp:posOffset>3810</wp:posOffset>
                </wp:positionV>
                <wp:extent cx="1133475" cy="0"/>
                <wp:effectExtent l="0" t="0" r="0" b="0"/>
                <wp:wrapNone/>
                <wp:docPr id="223" name="Shape 223"/>
                <wp:cNvGraphicFramePr/>
                <a:graphic xmlns:a="http://schemas.openxmlformats.org/drawingml/2006/main">
                  <a:graphicData uri="http://schemas.microsoft.com/office/word/2010/wordprocessingShape">
                    <wps:wsp>
                      <wps:cNvCnPr/>
                      <wps:spPr>
                        <a:xfrm>
                          <a:off x="0" y="0"/>
                          <a:ext cx="1133475" cy="4763"/>
                        </a:xfrm>
                        <a:prstGeom prst="line">
                          <a:avLst/>
                        </a:prstGeom>
                        <a:solidFill>
                          <a:srgbClr val="FFFFFF"/>
                        </a:solidFill>
                        <a:ln w="7619">
                          <a:solidFill>
                            <a:srgbClr val="000000"/>
                          </a:solidFill>
                          <a:miter lim="800000"/>
                        </a:ln>
                      </wps:spPr>
                      <wps:bodyPr/>
                    </wps:wsp>
                  </a:graphicData>
                </a:graphic>
              </wp:anchor>
            </w:drawing>
          </mc:Choice>
          <mc:Fallback>
            <w:pict>
              <v:line id="Shape 223" o:spid="_x0000_s1026" o:spt="20" style="position:absolute;left:0pt;margin-left:17.9pt;margin-top:0.3pt;height:0pt;width:89.25pt;z-index:-251658240;mso-width-relative:page;mso-height-relative:page;" fillcolor="#FFFFFF" filled="t" stroked="t" coordsize="21600,21600" o:allowincell="f" o:gfxdata="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vDPFadMAAAAEAQAADwAAAAAAAAABACAAAAAiAAAA&#10;ZHJzL2Rvd25yZXYueG1sUEsBAhQAFAAAAAgAh07iQDSUTUeaAQAATwMAAA4AAAAAAAAAAQAgAAAA&#10;IgEAAGRycy9lMm9Eb2MueG1sUEsFBgAAAAAGAAYAWQEAAC4FAAAAAA==&#10;">
                <v:fill on="t" focussize="0,0"/>
                <v:stroke weight="0.59992125984252pt" color="#000000" miterlimit="8" joinstyle="miter"/>
                <v:imagedata o:title=""/>
                <o:lock v:ext="edit" aspectratio="f"/>
              </v:line>
            </w:pict>
          </mc:Fallback>
        </mc:AlternateContent>
      </w:r>
    </w:p>
    <w:p>
      <w:pPr>
        <w:spacing w:after="0" w:line="148" w:lineRule="exact"/>
        <w:rPr>
          <w:color w:val="auto"/>
          <w:sz w:val="20"/>
          <w:szCs w:val="20"/>
        </w:rPr>
      </w:pPr>
    </w:p>
    <w:p>
      <w:pPr>
        <w:spacing w:after="0" w:line="240" w:lineRule="exact"/>
        <w:ind w:left="360"/>
        <w:rPr>
          <w:color w:val="auto"/>
          <w:sz w:val="20"/>
          <w:szCs w:val="20"/>
        </w:rPr>
      </w:pPr>
      <w:r>
        <w:rPr>
          <w:rFonts w:hint="eastAsia" w:ascii="宋体" w:hAnsi="宋体" w:eastAsia="宋体" w:cs="宋体"/>
          <w:color w:val="auto"/>
          <w:sz w:val="21"/>
          <w:szCs w:val="21"/>
          <w:u w:val="single" w:color="auto"/>
          <w:lang w:eastAsia="zh-CN"/>
        </w:rPr>
        <w:t>杭州好邦建筑工程咨询有限公司</w:t>
      </w:r>
      <w:r>
        <w:rPr>
          <w:rFonts w:ascii="宋体" w:hAnsi="宋体" w:eastAsia="宋体" w:cs="宋体"/>
          <w:color w:val="auto"/>
          <w:sz w:val="21"/>
          <w:szCs w:val="21"/>
        </w:rPr>
        <w:t>：</w:t>
      </w:r>
    </w:p>
    <w:p>
      <w:pPr>
        <w:spacing w:after="0" w:line="168" w:lineRule="exact"/>
        <w:rPr>
          <w:color w:val="auto"/>
          <w:sz w:val="20"/>
          <w:szCs w:val="20"/>
        </w:rPr>
      </w:pPr>
    </w:p>
    <w:p>
      <w:pPr>
        <w:tabs>
          <w:tab w:val="left" w:pos="7300"/>
        </w:tabs>
        <w:spacing w:after="0" w:line="240" w:lineRule="exact"/>
        <w:ind w:left="2560"/>
        <w:rPr>
          <w:color w:val="auto"/>
          <w:sz w:val="20"/>
          <w:szCs w:val="20"/>
        </w:rPr>
      </w:pPr>
      <w:r>
        <w:rPr>
          <w:rFonts w:ascii="宋体" w:hAnsi="宋体" w:eastAsia="宋体" w:cs="宋体"/>
          <w:color w:val="auto"/>
          <w:sz w:val="21"/>
          <w:szCs w:val="21"/>
        </w:rPr>
        <w:t>（供应商全称）参加贵方组织的</w:t>
      </w:r>
      <w:r>
        <w:rPr>
          <w:color w:val="auto"/>
          <w:sz w:val="20"/>
          <w:szCs w:val="20"/>
        </w:rPr>
        <w:tab/>
      </w:r>
      <w:r>
        <w:rPr>
          <w:rFonts w:ascii="宋体" w:hAnsi="宋体" w:eastAsia="宋体" w:cs="宋体"/>
          <w:color w:val="auto"/>
          <w:sz w:val="21"/>
          <w:szCs w:val="21"/>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488950</wp:posOffset>
                </wp:positionH>
                <wp:positionV relativeFrom="paragraph">
                  <wp:posOffset>0</wp:posOffset>
                </wp:positionV>
                <wp:extent cx="1132840" cy="0"/>
                <wp:effectExtent l="0" t="0" r="0" b="0"/>
                <wp:wrapNone/>
                <wp:docPr id="224" name="Shape 224"/>
                <wp:cNvGraphicFramePr/>
                <a:graphic xmlns:a="http://schemas.openxmlformats.org/drawingml/2006/main">
                  <a:graphicData uri="http://schemas.microsoft.com/office/word/2010/wordprocessingShape">
                    <wps:wsp>
                      <wps:cNvCnPr/>
                      <wps:spPr>
                        <a:xfrm>
                          <a:off x="0" y="0"/>
                          <a:ext cx="1132840" cy="4763"/>
                        </a:xfrm>
                        <a:prstGeom prst="line">
                          <a:avLst/>
                        </a:prstGeom>
                        <a:solidFill>
                          <a:srgbClr val="FFFFFF"/>
                        </a:solidFill>
                        <a:ln w="9143">
                          <a:solidFill>
                            <a:srgbClr val="000000"/>
                          </a:solidFill>
                          <a:miter lim="800000"/>
                        </a:ln>
                      </wps:spPr>
                      <wps:bodyPr/>
                    </wps:wsp>
                  </a:graphicData>
                </a:graphic>
              </wp:anchor>
            </w:drawing>
          </mc:Choice>
          <mc:Fallback>
            <w:pict>
              <v:line id="Shape 224" o:spid="_x0000_s1026" o:spt="20" style="position:absolute;left:0pt;margin-left:38.5pt;margin-top:0pt;height:0pt;width:89.2pt;z-index:-251658240;mso-width-relative:page;mso-height-relative:page;" fillcolor="#FFFFFF" filled="t" stroked="t" coordsize="21600,21600" o:allowincell="f" o:gfxdata="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kJuCDTAAAABAEAAA8AAAAAAAAAAQAgAAAAIgAAAGRy&#10;cy9kb3ducmV2LnhtbFBLAQIUABQAAAAIAIdO4kACpYz6mAEAAE8DAAAOAAAAAAAAAAEAIAAAACIB&#10;AABkcnMvZTJvRG9jLnhtbFBLBQYAAAAABgAGAFkBAAAs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3644265</wp:posOffset>
                </wp:positionH>
                <wp:positionV relativeFrom="paragraph">
                  <wp:posOffset>0</wp:posOffset>
                </wp:positionV>
                <wp:extent cx="1009650" cy="0"/>
                <wp:effectExtent l="0" t="0" r="0" b="0"/>
                <wp:wrapNone/>
                <wp:docPr id="225" name="Shape 225"/>
                <wp:cNvGraphicFramePr/>
                <a:graphic xmlns:a="http://schemas.openxmlformats.org/drawingml/2006/main">
                  <a:graphicData uri="http://schemas.microsoft.com/office/word/2010/wordprocessingShape">
                    <wps:wsp>
                      <wps:cNvCnPr/>
                      <wps:spPr>
                        <a:xfrm>
                          <a:off x="0" y="0"/>
                          <a:ext cx="1009650" cy="4763"/>
                        </a:xfrm>
                        <a:prstGeom prst="line">
                          <a:avLst/>
                        </a:prstGeom>
                        <a:solidFill>
                          <a:srgbClr val="FFFFFF"/>
                        </a:solidFill>
                        <a:ln w="9143">
                          <a:solidFill>
                            <a:srgbClr val="000000"/>
                          </a:solidFill>
                          <a:miter lim="800000"/>
                        </a:ln>
                      </wps:spPr>
                      <wps:bodyPr/>
                    </wps:wsp>
                  </a:graphicData>
                </a:graphic>
              </wp:anchor>
            </w:drawing>
          </mc:Choice>
          <mc:Fallback>
            <w:pict>
              <v:line id="Shape 225" o:spid="_x0000_s1026" o:spt="20" style="position:absolute;left:0pt;margin-left:286.95pt;margin-top:0pt;height:0pt;width:79.5pt;z-index:-251658240;mso-width-relative:page;mso-height-relative:page;" fillcolor="#FFFFFF" filled="t" stroked="t" coordsize="21600,21600" o:allowincell="f" o:gfxdata="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fIqpfTAAAABQEAAA8AAAAAAAAAAQAgAAAAIgAAAGRy&#10;cy9kb3ducmV2LnhtbFBLAQIUABQAAAAIAIdO4kA3DvCHmAEAAE8DAAAOAAAAAAAAAAEAIAAAACIB&#10;AABkcnMvZTJvRG9jLnhtbFBLBQYAAAAABgAGAFkBAAAsBQAAAAA=&#10;">
                <v:fill on="t" focussize="0,0"/>
                <v:stroke weight="0.71992125984252pt" color="#000000" miterlimit="8" joinstyle="miter"/>
                <v:imagedata o:title=""/>
                <o:lock v:ext="edit" aspectratio="f"/>
              </v:line>
            </w:pict>
          </mc:Fallback>
        </mc:AlternateContent>
      </w:r>
    </w:p>
    <w:p>
      <w:pPr>
        <w:spacing w:after="0" w:line="148" w:lineRule="exact"/>
        <w:rPr>
          <w:color w:val="auto"/>
          <w:sz w:val="20"/>
          <w:szCs w:val="20"/>
        </w:rPr>
      </w:pPr>
    </w:p>
    <w:p>
      <w:pPr>
        <w:tabs>
          <w:tab w:val="left" w:pos="5420"/>
          <w:tab w:val="left" w:pos="7820"/>
        </w:tabs>
        <w:spacing w:after="0" w:line="240" w:lineRule="exact"/>
        <w:ind w:left="360"/>
        <w:rPr>
          <w:color w:val="auto"/>
          <w:sz w:val="20"/>
          <w:szCs w:val="20"/>
        </w:rPr>
      </w:pPr>
      <w:r>
        <w:rPr>
          <w:rFonts w:ascii="宋体" w:hAnsi="宋体" w:eastAsia="宋体" w:cs="宋体"/>
          <w:color w:val="auto"/>
          <w:sz w:val="21"/>
          <w:szCs w:val="21"/>
        </w:rPr>
        <w:t>（项目编号）磋商的有关活动，并对</w:t>
      </w:r>
      <w:r>
        <w:rPr>
          <w:color w:val="auto"/>
          <w:sz w:val="20"/>
          <w:szCs w:val="20"/>
        </w:rPr>
        <w:tab/>
      </w:r>
      <w:r>
        <w:rPr>
          <w:rFonts w:ascii="宋体" w:hAnsi="宋体" w:eastAsia="宋体" w:cs="宋体"/>
          <w:color w:val="auto"/>
          <w:sz w:val="21"/>
          <w:szCs w:val="21"/>
        </w:rPr>
        <w:t>（项目名称）的</w:t>
      </w:r>
      <w:r>
        <w:rPr>
          <w:color w:val="auto"/>
          <w:sz w:val="20"/>
          <w:szCs w:val="20"/>
        </w:rPr>
        <w:tab/>
      </w:r>
      <w:r>
        <w:rPr>
          <w:rFonts w:ascii="宋体" w:hAnsi="宋体" w:eastAsia="宋体" w:cs="宋体"/>
          <w:color w:val="auto"/>
          <w:sz w:val="20"/>
          <w:szCs w:val="20"/>
        </w:rPr>
        <w:t>（标项内</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2339975</wp:posOffset>
                </wp:positionH>
                <wp:positionV relativeFrom="paragraph">
                  <wp:posOffset>0</wp:posOffset>
                </wp:positionV>
                <wp:extent cx="1130935" cy="0"/>
                <wp:effectExtent l="0" t="0" r="0" b="0"/>
                <wp:wrapNone/>
                <wp:docPr id="226" name="Shape 226"/>
                <wp:cNvGraphicFramePr/>
                <a:graphic xmlns:a="http://schemas.openxmlformats.org/drawingml/2006/main">
                  <a:graphicData uri="http://schemas.microsoft.com/office/word/2010/wordprocessingShape">
                    <wps:wsp>
                      <wps:cNvCnPr/>
                      <wps:spPr>
                        <a:xfrm>
                          <a:off x="0" y="0"/>
                          <a:ext cx="1130935" cy="4763"/>
                        </a:xfrm>
                        <a:prstGeom prst="line">
                          <a:avLst/>
                        </a:prstGeom>
                        <a:solidFill>
                          <a:srgbClr val="FFFFFF"/>
                        </a:solidFill>
                        <a:ln w="9144">
                          <a:solidFill>
                            <a:srgbClr val="000000"/>
                          </a:solidFill>
                          <a:miter lim="800000"/>
                        </a:ln>
                      </wps:spPr>
                      <wps:bodyPr/>
                    </wps:wsp>
                  </a:graphicData>
                </a:graphic>
              </wp:anchor>
            </w:drawing>
          </mc:Choice>
          <mc:Fallback>
            <w:pict>
              <v:line id="Shape 226" o:spid="_x0000_s1026" o:spt="20" style="position:absolute;left:0pt;margin-left:184.25pt;margin-top:0pt;height:0pt;width:89.05pt;z-index:-251658240;mso-width-relative:page;mso-height-relative:page;" fillcolor="#FFFFFF" filled="t" stroked="t" coordsize="21600,21600" o:allowincell="f" o:gfxdata="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cJIVc0wAAAAUBAAAPAAAAAAAAAAEAIAAAACIAAABk&#10;cnMvZG93bnJldi54bWxQSwECFAAUAAAACACHTuJAqwEqIZkBAABPAwAADgAAAAAAAAABACAAAAAi&#10;AQAAZHJzL2Uyb0RvYy54bWxQSwUGAAAAAAYABgBZAQAALQ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4385310</wp:posOffset>
                </wp:positionH>
                <wp:positionV relativeFrom="paragraph">
                  <wp:posOffset>0</wp:posOffset>
                </wp:positionV>
                <wp:extent cx="597535" cy="0"/>
                <wp:effectExtent l="0" t="0" r="0" b="0"/>
                <wp:wrapNone/>
                <wp:docPr id="227" name="Shape 227"/>
                <wp:cNvGraphicFramePr/>
                <a:graphic xmlns:a="http://schemas.openxmlformats.org/drawingml/2006/main">
                  <a:graphicData uri="http://schemas.microsoft.com/office/word/2010/wordprocessingShape">
                    <wps:wsp>
                      <wps:cNvCnPr/>
                      <wps:spPr>
                        <a:xfrm>
                          <a:off x="0" y="0"/>
                          <a:ext cx="597535" cy="4763"/>
                        </a:xfrm>
                        <a:prstGeom prst="line">
                          <a:avLst/>
                        </a:prstGeom>
                        <a:solidFill>
                          <a:srgbClr val="FFFFFF"/>
                        </a:solidFill>
                        <a:ln w="9144">
                          <a:solidFill>
                            <a:srgbClr val="000000"/>
                          </a:solidFill>
                          <a:miter lim="800000"/>
                        </a:ln>
                      </wps:spPr>
                      <wps:bodyPr/>
                    </wps:wsp>
                  </a:graphicData>
                </a:graphic>
              </wp:anchor>
            </w:drawing>
          </mc:Choice>
          <mc:Fallback>
            <w:pict>
              <v:line id="Shape 227" o:spid="_x0000_s1026" o:spt="20" style="position:absolute;left:0pt;margin-left:345.3pt;margin-top:0pt;height:0pt;width:47.05pt;z-index:-251658240;mso-width-relative:page;mso-height-relative:page;" fillcolor="#FFFFFF" filled="t" stroked="t" coordsize="21600,21600" o:allowincell="f" o:gfxdata="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RnQE9IAAAAFAQAADwAAAAAAAAABACAAAAAiAAAAZHJz&#10;L2Rvd25yZXYueG1sUEsBAhQAFAAAAAgAh07iQG33sEKYAQAATgMAAA4AAAAAAAAAAQAgAAAAIQEA&#10;AGRycy9lMm9Eb2MueG1sUEsFBgAAAAAGAAYAWQEAACsFAAAAAA==&#10;">
                <v:fill on="t" focussize="0,0"/>
                <v:stroke weight="0.72pt" color="#000000" miterlimit="8" joinstyle="miter"/>
                <v:imagedata o:title=""/>
                <o:lock v:ext="edit" aspectratio="f"/>
              </v:line>
            </w:pict>
          </mc:Fallback>
        </mc:AlternateContent>
      </w:r>
    </w:p>
    <w:p>
      <w:pPr>
        <w:spacing w:after="0" w:line="14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容）进行磋商。为此我方：</w:t>
      </w:r>
    </w:p>
    <w:p>
      <w:pPr>
        <w:spacing w:after="0" w:line="172"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、承诺在供应商须知规定的投标截止日起遵守本响应文件中的承诺，且在投标有效期</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满之前均具有约束力。</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、承诺已经具备《中华人民共和国政府采购法》中规定的参加政府采购活动的供应商</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应当具备的条件及采购人规定的特定条件。</w:t>
      </w:r>
    </w:p>
    <w:p>
      <w:pPr>
        <w:spacing w:after="0" w:line="184" w:lineRule="exact"/>
        <w:rPr>
          <w:color w:val="auto"/>
          <w:sz w:val="20"/>
          <w:szCs w:val="20"/>
        </w:rPr>
      </w:pPr>
    </w:p>
    <w:p>
      <w:pPr>
        <w:spacing w:after="0" w:line="243" w:lineRule="exact"/>
        <w:ind w:left="780"/>
        <w:rPr>
          <w:color w:val="auto"/>
          <w:sz w:val="20"/>
          <w:szCs w:val="20"/>
        </w:rPr>
      </w:pPr>
      <w:r>
        <w:rPr>
          <w:rFonts w:ascii="Arial" w:hAnsi="Arial" w:eastAsia="Arial" w:cs="Arial"/>
          <w:color w:val="auto"/>
          <w:sz w:val="20"/>
          <w:szCs w:val="20"/>
        </w:rPr>
        <w:t>3</w:t>
      </w:r>
      <w:r>
        <w:rPr>
          <w:rFonts w:ascii="宋体" w:hAnsi="宋体" w:eastAsia="宋体" w:cs="宋体"/>
          <w:color w:val="auto"/>
          <w:sz w:val="20"/>
          <w:szCs w:val="20"/>
        </w:rPr>
        <w:t>、</w:t>
      </w:r>
      <w:r>
        <w:rPr>
          <w:rFonts w:ascii="宋体" w:hAnsi="宋体" w:eastAsia="宋体" w:cs="宋体"/>
          <w:color w:val="auto"/>
          <w:sz w:val="21"/>
          <w:szCs w:val="21"/>
        </w:rPr>
        <w:t>已详细审核全部竞争性磋商文件，包括竞争性磋商文件补充（如果有）、参考资料及</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有关附件，确认无误。</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4</w:t>
      </w:r>
      <w:r>
        <w:rPr>
          <w:rFonts w:ascii="宋体" w:hAnsi="宋体" w:eastAsia="宋体" w:cs="宋体"/>
          <w:color w:val="auto"/>
          <w:sz w:val="21"/>
          <w:szCs w:val="21"/>
        </w:rPr>
        <w:t>、提供供应商须知规定的全部响应文件，包括响应文件</w:t>
      </w:r>
      <w:r>
        <w:rPr>
          <w:rFonts w:ascii="宋体" w:hAnsi="宋体" w:eastAsia="宋体" w:cs="宋体"/>
          <w:color w:val="auto"/>
          <w:sz w:val="21"/>
          <w:szCs w:val="21"/>
          <w:u w:val="single" w:color="auto"/>
        </w:rPr>
        <w:t>正本</w:t>
      </w:r>
      <w:r>
        <w:rPr>
          <w:rFonts w:ascii="Arial" w:hAnsi="Arial" w:eastAsia="Arial" w:cs="Arial"/>
          <w:color w:val="auto"/>
          <w:sz w:val="21"/>
          <w:szCs w:val="21"/>
        </w:rPr>
        <w:t xml:space="preserve"> </w:t>
      </w:r>
      <w:r>
        <w:rPr>
          <w:rFonts w:ascii="Arial" w:hAnsi="Arial" w:eastAsia="Arial" w:cs="Arial"/>
          <w:color w:val="auto"/>
          <w:sz w:val="21"/>
          <w:szCs w:val="21"/>
          <w:u w:val="single" w:color="auto"/>
        </w:rPr>
        <w:t>1</w:t>
      </w:r>
      <w:r>
        <w:rPr>
          <w:rFonts w:ascii="Arial" w:hAnsi="Arial" w:eastAsia="Arial" w:cs="Arial"/>
          <w:color w:val="auto"/>
          <w:sz w:val="21"/>
          <w:szCs w:val="21"/>
        </w:rPr>
        <w:t xml:space="preserve"> </w:t>
      </w:r>
      <w:r>
        <w:rPr>
          <w:rFonts w:ascii="宋体" w:hAnsi="宋体" w:eastAsia="宋体" w:cs="宋体"/>
          <w:color w:val="auto"/>
          <w:sz w:val="21"/>
          <w:szCs w:val="21"/>
          <w:u w:val="single" w:color="auto"/>
        </w:rPr>
        <w:t>份，副本</w:t>
      </w:r>
      <w:r>
        <w:rPr>
          <w:rFonts w:ascii="Arial" w:hAnsi="Arial" w:eastAsia="Arial" w:cs="Arial"/>
          <w:color w:val="auto"/>
          <w:sz w:val="21"/>
          <w:szCs w:val="21"/>
        </w:rPr>
        <w:t xml:space="preserve"> </w:t>
      </w:r>
      <w:r>
        <w:rPr>
          <w:rFonts w:hint="eastAsia" w:ascii="Arial" w:hAnsi="Arial" w:eastAsia="宋体" w:cs="Arial"/>
          <w:color w:val="auto"/>
          <w:sz w:val="21"/>
          <w:szCs w:val="21"/>
          <w:u w:val="single" w:color="auto"/>
          <w:lang w:val="en-US" w:eastAsia="zh-CN"/>
        </w:rPr>
        <w:t>4</w:t>
      </w:r>
      <w:r>
        <w:rPr>
          <w:rFonts w:ascii="Arial" w:hAnsi="Arial" w:eastAsia="Arial" w:cs="Arial"/>
          <w:color w:val="auto"/>
          <w:sz w:val="21"/>
          <w:szCs w:val="21"/>
        </w:rPr>
        <w:t xml:space="preserve"> </w:t>
      </w:r>
      <w:r>
        <w:rPr>
          <w:rFonts w:ascii="宋体" w:hAnsi="宋体" w:eastAsia="宋体" w:cs="宋体"/>
          <w:color w:val="auto"/>
          <w:sz w:val="21"/>
          <w:szCs w:val="21"/>
          <w:u w:val="single" w:color="auto"/>
        </w:rPr>
        <w:t>份</w:t>
      </w:r>
      <w:r>
        <w:rPr>
          <w:rFonts w:ascii="宋体" w:hAnsi="宋体" w:eastAsia="宋体" w:cs="宋体"/>
          <w:color w:val="auto"/>
          <w:sz w:val="21"/>
          <w:szCs w:val="21"/>
        </w:rPr>
        <w:t>。</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5</w:t>
      </w:r>
      <w:r>
        <w:rPr>
          <w:rFonts w:ascii="宋体" w:hAnsi="宋体" w:eastAsia="宋体" w:cs="宋体"/>
          <w:color w:val="auto"/>
          <w:sz w:val="21"/>
          <w:szCs w:val="21"/>
        </w:rPr>
        <w:t>、投标报价详见《初次报价一览表》。</w:t>
      </w:r>
    </w:p>
    <w:p>
      <w:pPr>
        <w:spacing w:after="0" w:line="154"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6</w:t>
      </w:r>
      <w:r>
        <w:rPr>
          <w:rFonts w:ascii="宋体" w:hAnsi="宋体" w:eastAsia="宋体" w:cs="宋体"/>
          <w:color w:val="auto"/>
          <w:sz w:val="21"/>
          <w:szCs w:val="21"/>
        </w:rPr>
        <w:t>、保证遵守竞争性磋商文件中的其他有关规定。</w:t>
      </w:r>
    </w:p>
    <w:p>
      <w:pPr>
        <w:spacing w:after="0" w:line="156"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7</w:t>
      </w:r>
      <w:r>
        <w:rPr>
          <w:rFonts w:ascii="宋体" w:hAnsi="宋体" w:eastAsia="宋体" w:cs="宋体"/>
          <w:color w:val="auto"/>
          <w:sz w:val="21"/>
          <w:szCs w:val="21"/>
        </w:rPr>
        <w:t>、完全理解不一定接受最低价中标。</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8</w:t>
      </w:r>
      <w:r>
        <w:rPr>
          <w:rFonts w:ascii="宋体" w:hAnsi="宋体" w:eastAsia="宋体" w:cs="宋体"/>
          <w:color w:val="auto"/>
          <w:sz w:val="21"/>
          <w:szCs w:val="21"/>
        </w:rPr>
        <w:t>、愿意向贵方提供任何与该项目投标有关的数据、情况和技术资料。若贵方需要，愿</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意提供我方做出的一切承诺的证明材料。</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9</w:t>
      </w:r>
      <w:r>
        <w:rPr>
          <w:rFonts w:ascii="宋体" w:hAnsi="宋体" w:eastAsia="宋体" w:cs="宋体"/>
          <w:color w:val="auto"/>
          <w:sz w:val="21"/>
          <w:szCs w:val="21"/>
        </w:rPr>
        <w:t>、保证忠实地执行双方所签订的合同，并承担合同规定的责任和义务。</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10</w:t>
      </w:r>
      <w:r>
        <w:rPr>
          <w:rFonts w:ascii="宋体" w:hAnsi="宋体" w:eastAsia="宋体" w:cs="宋体"/>
          <w:color w:val="auto"/>
          <w:sz w:val="21"/>
          <w:szCs w:val="21"/>
        </w:rPr>
        <w:t>、将严格遵守《中华人民共和国政府采购法》第七十七条规定，供应商有下列情形</w:t>
      </w:r>
    </w:p>
    <w:p>
      <w:pPr>
        <w:spacing w:after="0" w:line="156"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之一的，处以采购金额</w:t>
      </w:r>
      <w:r>
        <w:rPr>
          <w:rFonts w:ascii="Arial" w:hAnsi="Arial" w:eastAsia="Arial" w:cs="Arial"/>
          <w:color w:val="auto"/>
          <w:sz w:val="21"/>
          <w:szCs w:val="21"/>
        </w:rPr>
        <w:t xml:space="preserve"> 5‰</w:t>
      </w:r>
      <w:r>
        <w:rPr>
          <w:rFonts w:ascii="宋体" w:hAnsi="宋体" w:eastAsia="宋体" w:cs="宋体"/>
          <w:color w:val="auto"/>
          <w:sz w:val="21"/>
          <w:szCs w:val="21"/>
        </w:rPr>
        <w:t>以上</w:t>
      </w:r>
      <w:r>
        <w:rPr>
          <w:rFonts w:ascii="Arial" w:hAnsi="Arial" w:eastAsia="Arial" w:cs="Arial"/>
          <w:color w:val="auto"/>
          <w:sz w:val="21"/>
          <w:szCs w:val="21"/>
        </w:rPr>
        <w:t xml:space="preserve"> 10‰</w:t>
      </w:r>
      <w:r>
        <w:rPr>
          <w:rFonts w:ascii="宋体" w:hAnsi="宋体" w:eastAsia="宋体" w:cs="宋体"/>
          <w:color w:val="auto"/>
          <w:sz w:val="21"/>
          <w:szCs w:val="21"/>
        </w:rPr>
        <w:t>以下的罚款，列入不良行为记录名单，在一至三年内</w:t>
      </w:r>
    </w:p>
    <w:p>
      <w:pPr>
        <w:spacing w:after="0" w:line="164" w:lineRule="exact"/>
        <w:rPr>
          <w:color w:val="auto"/>
          <w:sz w:val="20"/>
          <w:szCs w:val="20"/>
        </w:rPr>
      </w:pPr>
    </w:p>
    <w:p>
      <w:pPr>
        <w:spacing w:after="0" w:line="229" w:lineRule="exact"/>
        <w:ind w:left="360"/>
        <w:rPr>
          <w:color w:val="auto"/>
          <w:sz w:val="21"/>
          <w:szCs w:val="21"/>
        </w:rPr>
      </w:pPr>
      <w:r>
        <w:rPr>
          <w:rFonts w:ascii="宋体" w:hAnsi="宋体" w:eastAsia="宋体" w:cs="宋体"/>
          <w:color w:val="auto"/>
          <w:sz w:val="21"/>
          <w:szCs w:val="21"/>
        </w:rPr>
        <w:t>禁止参加政府采购活动；有违法所得的，并处没收违法所得；情节严重的，由工商行政管理</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机关吊销营业执照；构成犯罪的，依法追究刑事责任：</w:t>
      </w:r>
    </w:p>
    <w:p>
      <w:pPr>
        <w:spacing w:after="0" w:line="169"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a</w:t>
      </w:r>
      <w:r>
        <w:rPr>
          <w:rFonts w:ascii="宋体" w:hAnsi="宋体" w:eastAsia="宋体" w:cs="宋体"/>
          <w:color w:val="auto"/>
          <w:sz w:val="21"/>
          <w:szCs w:val="21"/>
        </w:rPr>
        <w:t>）提供虚假材料谋取中标、成交的；</w:t>
      </w:r>
    </w:p>
    <w:p>
      <w:pPr>
        <w:spacing w:after="0" w:line="156"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b</w:t>
      </w:r>
      <w:r>
        <w:rPr>
          <w:rFonts w:ascii="宋体" w:hAnsi="宋体" w:eastAsia="宋体" w:cs="宋体"/>
          <w:color w:val="auto"/>
          <w:sz w:val="21"/>
          <w:szCs w:val="21"/>
        </w:rPr>
        <w:t>）采取不正当手段诋毁、排挤其他供应商的；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c</w:t>
      </w:r>
      <w:r>
        <w:rPr>
          <w:rFonts w:ascii="宋体" w:hAnsi="宋体" w:eastAsia="宋体" w:cs="宋体"/>
          <w:color w:val="auto"/>
          <w:sz w:val="21"/>
          <w:szCs w:val="21"/>
        </w:rPr>
        <w:t>）与采购人、其它供应商或者采购代理机构恶意串通的；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d</w:t>
      </w:r>
      <w:r>
        <w:rPr>
          <w:rFonts w:ascii="宋体" w:hAnsi="宋体" w:eastAsia="宋体" w:cs="宋体"/>
          <w:color w:val="auto"/>
          <w:sz w:val="21"/>
          <w:szCs w:val="21"/>
        </w:rPr>
        <w:t>）向采购人、采购代理机构行贿或者提供其他不正当利益的；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e</w:t>
      </w:r>
      <w:r>
        <w:rPr>
          <w:rFonts w:ascii="宋体" w:hAnsi="宋体" w:eastAsia="宋体" w:cs="宋体"/>
          <w:color w:val="auto"/>
          <w:sz w:val="21"/>
          <w:szCs w:val="21"/>
        </w:rPr>
        <w:t>）在招标采购过程中与采购人进行协商谈判的；</w:t>
      </w:r>
    </w:p>
    <w:p>
      <w:pPr>
        <w:spacing w:after="0" w:line="153"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f</w:t>
      </w:r>
      <w:r>
        <w:rPr>
          <w:rFonts w:ascii="宋体" w:hAnsi="宋体" w:eastAsia="宋体" w:cs="宋体"/>
          <w:color w:val="auto"/>
          <w:sz w:val="21"/>
          <w:szCs w:val="21"/>
        </w:rPr>
        <w:t>）拒绝有关部门监督检查或提供虚假情况的。</w:t>
      </w:r>
    </w:p>
    <w:p>
      <w:pPr>
        <w:spacing w:after="0" w:line="156" w:lineRule="exact"/>
        <w:rPr>
          <w:color w:val="auto"/>
          <w:sz w:val="20"/>
          <w:szCs w:val="20"/>
        </w:rPr>
      </w:pPr>
    </w:p>
    <w:p>
      <w:pPr>
        <w:spacing w:after="0" w:line="255" w:lineRule="exact"/>
        <w:ind w:left="780"/>
        <w:rPr>
          <w:color w:val="auto"/>
          <w:sz w:val="20"/>
          <w:szCs w:val="20"/>
        </w:rPr>
      </w:pPr>
      <w:r>
        <w:rPr>
          <w:rFonts w:ascii="宋体" w:hAnsi="宋体" w:eastAsia="宋体" w:cs="宋体"/>
          <w:color w:val="auto"/>
          <w:sz w:val="21"/>
          <w:szCs w:val="21"/>
        </w:rPr>
        <w:t>供应商有前款第</w:t>
      </w:r>
      <w:r>
        <w:rPr>
          <w:rFonts w:ascii="Arial" w:hAnsi="Arial" w:eastAsia="Arial" w:cs="Arial"/>
          <w:color w:val="auto"/>
          <w:sz w:val="21"/>
          <w:szCs w:val="21"/>
        </w:rPr>
        <w:t xml:space="preserve"> a</w:t>
      </w:r>
      <w:r>
        <w:rPr>
          <w:rFonts w:ascii="宋体" w:hAnsi="宋体" w:eastAsia="宋体" w:cs="宋体"/>
          <w:color w:val="auto"/>
          <w:sz w:val="21"/>
          <w:szCs w:val="21"/>
        </w:rPr>
        <w:t>）至</w:t>
      </w:r>
      <w:r>
        <w:rPr>
          <w:rFonts w:ascii="Arial" w:hAnsi="Arial" w:eastAsia="Arial" w:cs="Arial"/>
          <w:color w:val="auto"/>
          <w:sz w:val="21"/>
          <w:szCs w:val="21"/>
        </w:rPr>
        <w:t xml:space="preserve"> f</w:t>
      </w:r>
      <w:r>
        <w:rPr>
          <w:rFonts w:ascii="宋体" w:hAnsi="宋体" w:eastAsia="宋体" w:cs="宋体"/>
          <w:color w:val="auto"/>
          <w:sz w:val="21"/>
          <w:szCs w:val="21"/>
        </w:rPr>
        <w:t>）项情形之一的，中标、成交无效。</w:t>
      </w:r>
    </w:p>
    <w:p>
      <w:pPr>
        <w:spacing w:after="0" w:line="154" w:lineRule="exact"/>
        <w:rPr>
          <w:color w:val="auto"/>
          <w:sz w:val="20"/>
          <w:szCs w:val="20"/>
        </w:rPr>
      </w:pPr>
    </w:p>
    <w:p>
      <w:pPr>
        <w:spacing w:after="0" w:line="255" w:lineRule="exact"/>
        <w:ind w:left="780"/>
        <w:rPr>
          <w:color w:val="auto"/>
          <w:sz w:val="20"/>
          <w:szCs w:val="20"/>
        </w:rPr>
      </w:pPr>
      <w:r>
        <w:rPr>
          <w:rFonts w:ascii="Arial" w:hAnsi="Arial" w:eastAsia="Arial" w:cs="Arial"/>
          <w:color w:val="auto"/>
          <w:sz w:val="21"/>
          <w:szCs w:val="21"/>
        </w:rPr>
        <w:t>11</w:t>
      </w:r>
      <w:r>
        <w:rPr>
          <w:rFonts w:ascii="宋体" w:hAnsi="宋体" w:eastAsia="宋体" w:cs="宋体"/>
          <w:color w:val="auto"/>
          <w:sz w:val="21"/>
          <w:szCs w:val="21"/>
        </w:rPr>
        <w:t>、本响应文件的有效期为自投标截止时间起</w:t>
      </w:r>
      <w:r>
        <w:rPr>
          <w:rFonts w:ascii="Arial" w:hAnsi="Arial" w:eastAsia="Arial" w:cs="Arial"/>
          <w:color w:val="auto"/>
          <w:sz w:val="21"/>
          <w:szCs w:val="21"/>
        </w:rPr>
        <w:t xml:space="preserve"> 120 </w:t>
      </w:r>
      <w:r>
        <w:rPr>
          <w:rFonts w:ascii="宋体" w:hAnsi="宋体" w:eastAsia="宋体" w:cs="宋体"/>
          <w:color w:val="auto"/>
          <w:sz w:val="21"/>
          <w:szCs w:val="21"/>
        </w:rPr>
        <w:t>天。</w:t>
      </w:r>
    </w:p>
    <w:p>
      <w:pPr>
        <w:spacing w:after="0" w:line="200" w:lineRule="exact"/>
        <w:rPr>
          <w:color w:val="auto"/>
          <w:sz w:val="20"/>
          <w:szCs w:val="20"/>
        </w:rPr>
      </w:pPr>
    </w:p>
    <w:p>
      <w:pPr>
        <w:spacing w:after="0" w:line="315" w:lineRule="exact"/>
        <w:rPr>
          <w:color w:val="auto"/>
          <w:sz w:val="20"/>
          <w:szCs w:val="20"/>
        </w:rPr>
      </w:pPr>
    </w:p>
    <w:p>
      <w:pPr>
        <w:spacing w:after="0" w:line="240" w:lineRule="exact"/>
        <w:ind w:left="840"/>
        <w:rPr>
          <w:rFonts w:ascii="宋体" w:hAnsi="宋体" w:eastAsia="宋体" w:cs="宋体"/>
          <w:color w:val="auto"/>
          <w:sz w:val="21"/>
          <w:szCs w:val="21"/>
        </w:rPr>
      </w:pPr>
    </w:p>
    <w:p>
      <w:pPr>
        <w:spacing w:after="0" w:line="240" w:lineRule="exact"/>
        <w:ind w:left="840"/>
        <w:rPr>
          <w:rFonts w:ascii="宋体" w:hAnsi="宋体" w:eastAsia="宋体" w:cs="宋体"/>
          <w:color w:val="auto"/>
          <w:sz w:val="21"/>
          <w:szCs w:val="21"/>
        </w:rPr>
      </w:pPr>
    </w:p>
    <w:p>
      <w:pPr>
        <w:spacing w:after="0" w:line="240" w:lineRule="exact"/>
        <w:ind w:left="840"/>
        <w:rPr>
          <w:rFonts w:ascii="宋体" w:hAnsi="宋体" w:eastAsia="宋体" w:cs="宋体"/>
          <w:color w:val="auto"/>
          <w:sz w:val="21"/>
          <w:szCs w:val="21"/>
        </w:rPr>
      </w:pPr>
    </w:p>
    <w:p>
      <w:pPr>
        <w:spacing w:after="0" w:line="240" w:lineRule="exact"/>
        <w:ind w:left="840"/>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供应商全称（盖单位公章）：</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bookmarkStart w:id="570" w:name="page50"/>
      <w:bookmarkEnd w:id="570"/>
      <w:r>
        <w:rPr>
          <w:rFonts w:ascii="宋体" w:hAnsi="宋体" w:eastAsia="宋体" w:cs="宋体"/>
          <w:color w:val="auto"/>
          <w:sz w:val="21"/>
          <w:szCs w:val="21"/>
        </w:rPr>
        <w:t>响应文件签署人（签字或盖章）：</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日期：</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单位地址：</w:t>
      </w:r>
    </w:p>
    <w:p>
      <w:pPr>
        <w:keepNext w:val="0"/>
        <w:keepLines w:val="0"/>
        <w:pageBreakBefore w:val="0"/>
        <w:widowControl/>
        <w:tabs>
          <w:tab w:val="left" w:pos="2700"/>
          <w:tab w:val="left" w:pos="4380"/>
        </w:tabs>
        <w:kinsoku/>
        <w:wordWrap/>
        <w:overflowPunct/>
        <w:topLinePunct w:val="0"/>
        <w:autoSpaceDE/>
        <w:autoSpaceDN/>
        <w:bidi w:val="0"/>
        <w:adjustRightInd/>
        <w:snapToGrid/>
        <w:spacing w:after="0" w:line="360" w:lineRule="auto"/>
        <w:ind w:left="840"/>
        <w:textAlignment w:val="auto"/>
        <w:outlineLvl w:val="9"/>
        <w:rPr>
          <w:color w:val="auto"/>
          <w:sz w:val="20"/>
          <w:szCs w:val="20"/>
        </w:rPr>
      </w:pPr>
      <w:r>
        <w:rPr>
          <w:rFonts w:ascii="宋体" w:hAnsi="宋体" w:eastAsia="宋体" w:cs="宋体"/>
          <w:color w:val="auto"/>
          <w:sz w:val="21"/>
          <w:szCs w:val="21"/>
        </w:rPr>
        <w:t>邮编：</w:t>
      </w:r>
      <w:r>
        <w:rPr>
          <w:color w:val="auto"/>
          <w:sz w:val="20"/>
          <w:szCs w:val="20"/>
        </w:rPr>
        <w:tab/>
      </w:r>
      <w:r>
        <w:rPr>
          <w:rFonts w:ascii="宋体" w:hAnsi="宋体" w:eastAsia="宋体" w:cs="宋体"/>
          <w:color w:val="auto"/>
          <w:sz w:val="21"/>
          <w:szCs w:val="21"/>
        </w:rPr>
        <w:t>电话：</w:t>
      </w:r>
      <w:r>
        <w:rPr>
          <w:color w:val="auto"/>
          <w:sz w:val="20"/>
          <w:szCs w:val="20"/>
        </w:rPr>
        <w:tab/>
      </w:r>
      <w:r>
        <w:rPr>
          <w:rFonts w:ascii="宋体" w:hAnsi="宋体" w:eastAsia="宋体" w:cs="宋体"/>
          <w:color w:val="auto"/>
          <w:sz w:val="21"/>
          <w:szCs w:val="21"/>
        </w:rPr>
        <w:t>传真：</w:t>
      </w:r>
    </w:p>
    <w:p>
      <w:pPr>
        <w:keepNext w:val="0"/>
        <w:keepLines w:val="0"/>
        <w:pageBreakBefore w:val="0"/>
        <w:widowControl/>
        <w:kinsoku/>
        <w:wordWrap/>
        <w:overflowPunct/>
        <w:topLinePunct w:val="0"/>
        <w:autoSpaceDE/>
        <w:autoSpaceDN/>
        <w:bidi w:val="0"/>
        <w:adjustRightInd/>
        <w:snapToGrid/>
        <w:spacing w:after="0" w:line="360" w:lineRule="auto"/>
        <w:ind w:left="840"/>
        <w:textAlignment w:val="auto"/>
        <w:outlineLvl w:val="9"/>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366" w:lineRule="exact"/>
        <w:ind w:right="6"/>
        <w:jc w:val="center"/>
        <w:rPr>
          <w:color w:val="auto"/>
          <w:sz w:val="28"/>
          <w:szCs w:val="28"/>
        </w:rPr>
      </w:pPr>
      <w:bookmarkStart w:id="571" w:name="page51"/>
      <w:bookmarkEnd w:id="571"/>
      <w:r>
        <w:rPr>
          <w:rFonts w:hint="eastAsia" w:ascii="宋体" w:hAnsi="宋体" w:eastAsia="宋体" w:cs="宋体"/>
          <w:b/>
          <w:bCs/>
          <w:color w:val="auto"/>
          <w:sz w:val="28"/>
          <w:szCs w:val="28"/>
          <w:lang w:val="en-US" w:eastAsia="zh-CN"/>
        </w:rPr>
        <w:t>二、</w:t>
      </w:r>
      <w:r>
        <w:rPr>
          <w:rFonts w:ascii="宋体" w:hAnsi="宋体" w:eastAsia="宋体" w:cs="宋体"/>
          <w:b/>
          <w:bCs/>
          <w:color w:val="auto"/>
          <w:sz w:val="28"/>
          <w:szCs w:val="28"/>
        </w:rPr>
        <w:t>初次报价一览表</w:t>
      </w:r>
    </w:p>
    <w:p>
      <w:pPr>
        <w:spacing w:after="0" w:line="252" w:lineRule="exact"/>
        <w:rPr>
          <w:color w:val="auto"/>
          <w:sz w:val="20"/>
          <w:szCs w:val="20"/>
        </w:rPr>
      </w:pPr>
    </w:p>
    <w:tbl>
      <w:tblPr>
        <w:tblStyle w:val="21"/>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Layout w:type="fixed"/>
          <w:tblCellMar>
            <w:top w:w="0" w:type="dxa"/>
            <w:left w:w="0" w:type="dxa"/>
            <w:bottom w:w="0" w:type="dxa"/>
            <w:right w:w="0" w:type="dxa"/>
          </w:tblCellMar>
        </w:tblPrEx>
        <w:trPr>
          <w:trHeight w:val="240" w:hRule="atLeast"/>
        </w:trPr>
        <w:tc>
          <w:tcPr>
            <w:tcW w:w="1480" w:type="dxa"/>
            <w:vAlign w:val="bottom"/>
          </w:tcPr>
          <w:p>
            <w:pPr>
              <w:keepNext w:val="0"/>
              <w:keepLines w:val="0"/>
              <w:pageBreakBefore w:val="0"/>
              <w:widowControl/>
              <w:kinsoku/>
              <w:wordWrap/>
              <w:overflowPunct/>
              <w:topLinePunct w:val="0"/>
              <w:autoSpaceDE/>
              <w:autoSpaceDN/>
              <w:bidi w:val="0"/>
              <w:adjustRightInd/>
              <w:snapToGrid/>
              <w:spacing w:after="0" w:line="360" w:lineRule="auto"/>
              <w:ind w:left="320"/>
              <w:textAlignment w:val="auto"/>
              <w:outlineLvl w:val="9"/>
              <w:rPr>
                <w:color w:val="auto"/>
                <w:sz w:val="20"/>
                <w:szCs w:val="20"/>
              </w:rPr>
            </w:pPr>
            <w:r>
              <w:rPr>
                <w:rFonts w:ascii="宋体" w:hAnsi="宋体" w:eastAsia="宋体" w:cs="宋体"/>
                <w:color w:val="auto"/>
                <w:sz w:val="21"/>
                <w:szCs w:val="21"/>
              </w:rPr>
              <w:t>项目名称：</w:t>
            </w:r>
          </w:p>
        </w:tc>
        <w:tc>
          <w:tcPr>
            <w:tcW w:w="52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54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70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80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c>
          <w:tcPr>
            <w:tcW w:w="146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tc>
      </w:tr>
      <w:tr>
        <w:tblPrEx>
          <w:tblLayout w:type="fixed"/>
          <w:tblCellMar>
            <w:top w:w="0" w:type="dxa"/>
            <w:left w:w="0" w:type="dxa"/>
            <w:bottom w:w="0" w:type="dxa"/>
            <w:right w:w="0" w:type="dxa"/>
          </w:tblCellMar>
        </w:tblPrEx>
        <w:trPr>
          <w:trHeight w:val="388" w:hRule="atLeast"/>
        </w:trPr>
        <w:tc>
          <w:tcPr>
            <w:tcW w:w="1480" w:type="dxa"/>
            <w:vAlign w:val="bottom"/>
          </w:tcPr>
          <w:p>
            <w:pPr>
              <w:keepNext w:val="0"/>
              <w:keepLines w:val="0"/>
              <w:pageBreakBefore w:val="0"/>
              <w:widowControl/>
              <w:kinsoku/>
              <w:wordWrap/>
              <w:overflowPunct/>
              <w:topLinePunct w:val="0"/>
              <w:autoSpaceDE/>
              <w:autoSpaceDN/>
              <w:bidi w:val="0"/>
              <w:adjustRightInd/>
              <w:snapToGrid/>
              <w:spacing w:after="0" w:line="360" w:lineRule="auto"/>
              <w:ind w:left="320"/>
              <w:textAlignment w:val="auto"/>
              <w:outlineLvl w:val="9"/>
              <w:rPr>
                <w:color w:val="auto"/>
                <w:sz w:val="20"/>
                <w:szCs w:val="20"/>
              </w:rPr>
            </w:pPr>
            <w:r>
              <w:rPr>
                <w:rFonts w:ascii="宋体" w:hAnsi="宋体" w:eastAsia="宋体" w:cs="宋体"/>
                <w:color w:val="auto"/>
                <w:sz w:val="21"/>
                <w:szCs w:val="21"/>
              </w:rPr>
              <w:t>项目编号：</w:t>
            </w:r>
          </w:p>
        </w:tc>
        <w:tc>
          <w:tcPr>
            <w:tcW w:w="52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54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700" w:type="dxa"/>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3260" w:type="dxa"/>
            <w:gridSpan w:val="2"/>
            <w:vAlign w:val="bottom"/>
          </w:tcPr>
          <w:p>
            <w:pPr>
              <w:keepNext w:val="0"/>
              <w:keepLines w:val="0"/>
              <w:pageBreakBefore w:val="0"/>
              <w:widowControl/>
              <w:kinsoku/>
              <w:wordWrap/>
              <w:overflowPunct/>
              <w:topLinePunct w:val="0"/>
              <w:autoSpaceDE/>
              <w:autoSpaceDN/>
              <w:bidi w:val="0"/>
              <w:adjustRightInd/>
              <w:snapToGrid/>
              <w:spacing w:after="0" w:line="360" w:lineRule="auto"/>
              <w:ind w:left="500"/>
              <w:textAlignment w:val="auto"/>
              <w:outlineLvl w:val="9"/>
              <w:rPr>
                <w:color w:val="auto"/>
                <w:sz w:val="20"/>
                <w:szCs w:val="20"/>
              </w:rPr>
            </w:pPr>
            <w:r>
              <w:rPr>
                <w:rFonts w:ascii="宋体" w:hAnsi="宋体" w:eastAsia="宋体" w:cs="宋体"/>
                <w:color w:val="auto"/>
                <w:sz w:val="21"/>
                <w:szCs w:val="21"/>
              </w:rPr>
              <w:t>（价格单位：元人民币）</w:t>
            </w:r>
          </w:p>
        </w:tc>
      </w:tr>
      <w:tr>
        <w:tblPrEx>
          <w:tblLayout w:type="fixed"/>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52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2000" w:type="dxa"/>
            <w:gridSpan w:val="2"/>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170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180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3"/>
                <w:szCs w:val="13"/>
              </w:rPr>
            </w:pPr>
          </w:p>
        </w:tc>
      </w:tr>
      <w:tr>
        <w:tblPrEx>
          <w:tblLayout w:type="fixed"/>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580"/>
              <w:textAlignment w:val="auto"/>
              <w:outlineLvl w:val="9"/>
              <w:rPr>
                <w:color w:val="auto"/>
                <w:sz w:val="20"/>
                <w:szCs w:val="20"/>
              </w:rPr>
            </w:pPr>
            <w:r>
              <w:rPr>
                <w:rFonts w:ascii="宋体" w:hAnsi="宋体" w:eastAsia="宋体" w:cs="宋体"/>
                <w:color w:val="auto"/>
                <w:sz w:val="21"/>
                <w:szCs w:val="21"/>
              </w:rPr>
              <w:t>项目名称</w:t>
            </w:r>
          </w:p>
        </w:tc>
        <w:tc>
          <w:tcPr>
            <w:tcW w:w="52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2000" w:type="dxa"/>
            <w:gridSpan w:val="2"/>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240"/>
              <w:textAlignment w:val="auto"/>
              <w:outlineLvl w:val="9"/>
              <w:rPr>
                <w:color w:val="auto"/>
                <w:sz w:val="20"/>
                <w:szCs w:val="20"/>
              </w:rPr>
            </w:pPr>
            <w:r>
              <w:rPr>
                <w:rFonts w:ascii="宋体" w:hAnsi="宋体" w:eastAsia="宋体" w:cs="宋体"/>
                <w:color w:val="auto"/>
                <w:sz w:val="21"/>
                <w:szCs w:val="21"/>
              </w:rPr>
              <w:t>投标报价（元）</w:t>
            </w:r>
          </w:p>
        </w:tc>
        <w:tc>
          <w:tcPr>
            <w:tcW w:w="170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100"/>
              <w:textAlignment w:val="auto"/>
              <w:outlineLvl w:val="9"/>
              <w:rPr>
                <w:color w:val="auto"/>
                <w:sz w:val="20"/>
                <w:szCs w:val="20"/>
              </w:rPr>
            </w:pPr>
            <w:r>
              <w:rPr>
                <w:rFonts w:ascii="宋体" w:hAnsi="宋体" w:eastAsia="宋体" w:cs="宋体"/>
                <w:color w:val="auto"/>
                <w:sz w:val="21"/>
                <w:szCs w:val="21"/>
              </w:rPr>
              <w:t>工期（天）</w:t>
            </w:r>
          </w:p>
        </w:tc>
        <w:tc>
          <w:tcPr>
            <w:tcW w:w="180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460"/>
              <w:textAlignment w:val="auto"/>
              <w:outlineLvl w:val="9"/>
              <w:rPr>
                <w:color w:val="auto"/>
                <w:sz w:val="20"/>
                <w:szCs w:val="20"/>
              </w:rPr>
            </w:pPr>
            <w:r>
              <w:rPr>
                <w:rFonts w:ascii="宋体" w:hAnsi="宋体" w:eastAsia="宋体" w:cs="宋体"/>
                <w:color w:val="auto"/>
                <w:sz w:val="21"/>
                <w:szCs w:val="21"/>
              </w:rPr>
              <w:t>项目经理</w:t>
            </w:r>
          </w:p>
        </w:tc>
        <w:tc>
          <w:tcPr>
            <w:tcW w:w="1460" w:type="dxa"/>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ind w:left="300"/>
              <w:textAlignment w:val="auto"/>
              <w:outlineLvl w:val="9"/>
              <w:rPr>
                <w:color w:val="auto"/>
                <w:sz w:val="20"/>
                <w:szCs w:val="20"/>
              </w:rPr>
            </w:pPr>
            <w:r>
              <w:rPr>
                <w:rFonts w:ascii="宋体" w:hAnsi="宋体" w:eastAsia="宋体" w:cs="宋体"/>
                <w:color w:val="auto"/>
                <w:sz w:val="21"/>
                <w:szCs w:val="21"/>
              </w:rPr>
              <w:t>质量标准</w:t>
            </w:r>
          </w:p>
        </w:tc>
      </w:tr>
      <w:tr>
        <w:tblPrEx>
          <w:tblLayout w:type="fixed"/>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52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54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7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8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c>
          <w:tcPr>
            <w:tcW w:w="146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10"/>
                <w:szCs w:val="10"/>
              </w:rPr>
            </w:pPr>
          </w:p>
        </w:tc>
      </w:tr>
      <w:tr>
        <w:tblPrEx>
          <w:tblLayout w:type="fixed"/>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52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46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54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7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8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c>
          <w:tcPr>
            <w:tcW w:w="146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4"/>
                <w:szCs w:val="24"/>
              </w:rPr>
            </w:pPr>
          </w:p>
        </w:tc>
      </w:tr>
    </w:tbl>
    <w:p>
      <w:pPr>
        <w:keepNext w:val="0"/>
        <w:keepLines w:val="0"/>
        <w:pageBreakBefore w:val="0"/>
        <w:widowControl/>
        <w:kinsoku/>
        <w:wordWrap/>
        <w:overflowPunct/>
        <w:topLinePunct w:val="0"/>
        <w:autoSpaceDE/>
        <w:autoSpaceDN/>
        <w:bidi w:val="0"/>
        <w:adjustRightInd/>
        <w:snapToGrid/>
        <w:spacing w:after="0" w:line="360" w:lineRule="auto"/>
        <w:ind w:left="46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460"/>
        <w:textAlignment w:val="auto"/>
        <w:outlineLvl w:val="9"/>
        <w:rPr>
          <w:color w:val="auto"/>
          <w:sz w:val="20"/>
          <w:szCs w:val="20"/>
        </w:rPr>
      </w:pPr>
      <w:r>
        <w:rPr>
          <w:rFonts w:ascii="宋体" w:hAnsi="宋体" w:eastAsia="宋体" w:cs="宋体"/>
          <w:color w:val="auto"/>
          <w:sz w:val="21"/>
          <w:szCs w:val="21"/>
        </w:rPr>
        <w:t>注：大写金额与小写金额不一致时，以大写金额为准。</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供应商全称（盖单位公章）：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响应文件签署人（签字或盖章）：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日期：</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401" w:left="1440" w:header="567" w:footer="567" w:gutter="0"/>
          <w:pgBorders>
            <w:top w:val="none" w:sz="0" w:space="0"/>
            <w:left w:val="none" w:sz="0" w:space="0"/>
            <w:bottom w:val="none" w:sz="0" w:space="0"/>
            <w:right w:val="none" w:sz="0" w:space="0"/>
          </w:pgBorders>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color w:val="auto"/>
          <w:sz w:val="28"/>
          <w:szCs w:val="28"/>
        </w:rPr>
      </w:pPr>
      <w:bookmarkStart w:id="572" w:name="page52"/>
      <w:bookmarkEnd w:id="572"/>
      <w:r>
        <w:rPr>
          <w:rFonts w:hint="eastAsia" w:ascii="宋体" w:hAnsi="宋体" w:eastAsia="宋体" w:cs="宋体"/>
          <w:b/>
          <w:bCs/>
          <w:color w:val="auto"/>
          <w:sz w:val="28"/>
          <w:szCs w:val="28"/>
          <w:lang w:val="en-US" w:eastAsia="zh-CN"/>
        </w:rPr>
        <w:t>三</w:t>
      </w:r>
      <w:r>
        <w:rPr>
          <w:rFonts w:ascii="宋体" w:hAnsi="宋体" w:eastAsia="宋体" w:cs="宋体"/>
          <w:b/>
          <w:bCs/>
          <w:color w:val="auto"/>
          <w:sz w:val="28"/>
          <w:szCs w:val="28"/>
        </w:rPr>
        <w:t>、</w:t>
      </w:r>
      <w:r>
        <w:rPr>
          <w:rFonts w:hint="eastAsia" w:hAnsi="宋体"/>
          <w:b/>
          <w:sz w:val="28"/>
          <w:szCs w:val="28"/>
        </w:rPr>
        <w:t>已标价工程量清单报价</w:t>
      </w:r>
      <w:r>
        <w:rPr>
          <w:rFonts w:hAnsi="宋体"/>
          <w:b/>
          <w:sz w:val="28"/>
          <w:szCs w:val="28"/>
        </w:rPr>
        <w:t>表格式</w:t>
      </w:r>
    </w:p>
    <w:p>
      <w:pPr>
        <w:spacing w:after="0" w:line="150" w:lineRule="exact"/>
        <w:rPr>
          <w:color w:val="auto"/>
          <w:sz w:val="20"/>
          <w:szCs w:val="20"/>
        </w:rPr>
      </w:pPr>
    </w:p>
    <w:p>
      <w:pPr>
        <w:spacing w:after="0" w:line="240" w:lineRule="exact"/>
        <w:ind w:left="4160"/>
        <w:rPr>
          <w:rFonts w:ascii="宋体" w:hAnsi="宋体" w:eastAsia="宋体" w:cs="宋体"/>
          <w:b/>
          <w:bCs/>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（具体请按照《浙江省建设工程计价规则》（201</w:t>
      </w:r>
      <w:r>
        <w:rPr>
          <w:rFonts w:hint="eastAsia" w:asciiTheme="minorEastAsia" w:hAnsi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sz w:val="28"/>
          <w:szCs w:val="28"/>
        </w:rPr>
        <w:t>版）投标报价格式编制）</w:t>
      </w:r>
    </w:p>
    <w:p>
      <w:pPr>
        <w:spacing w:after="0" w:line="200" w:lineRule="exact"/>
        <w:rPr>
          <w:color w:val="auto"/>
          <w:sz w:val="20"/>
          <w:szCs w:val="20"/>
        </w:rPr>
      </w:pPr>
    </w:p>
    <w:p>
      <w:pPr>
        <w:spacing w:after="0" w:line="296" w:lineRule="exact"/>
        <w:rPr>
          <w:color w:val="auto"/>
          <w:sz w:val="20"/>
          <w:szCs w:val="20"/>
        </w:rPr>
      </w:pPr>
    </w:p>
    <w:p>
      <w:pPr>
        <w:spacing w:after="0" w:line="366" w:lineRule="exact"/>
        <w:jc w:val="center"/>
        <w:rPr>
          <w:rFonts w:hint="eastAsia" w:ascii="宋体" w:hAnsi="宋体" w:eastAsia="宋体" w:cs="宋体"/>
          <w:b/>
          <w:bCs/>
          <w:color w:val="auto"/>
          <w:sz w:val="28"/>
          <w:szCs w:val="28"/>
        </w:rPr>
      </w:pPr>
      <w:bookmarkStart w:id="573" w:name="page73"/>
      <w:bookmarkEnd w:id="573"/>
    </w:p>
    <w:p>
      <w:pPr>
        <w:spacing w:after="0" w:line="366" w:lineRule="exact"/>
        <w:jc w:val="center"/>
        <w:rPr>
          <w:rFonts w:hint="eastAsia"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rPr>
      </w:pPr>
    </w:p>
    <w:p>
      <w:pPr>
        <w:spacing w:after="0" w:line="366" w:lineRule="exact"/>
        <w:jc w:val="center"/>
        <w:rPr>
          <w:rFonts w:hint="eastAsia"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四、中小企业（小型、微型）、监狱企业、残疾人福利性单位声明函及其相关的充分的证明材料</w:t>
      </w:r>
    </w:p>
    <w:p>
      <w:pPr>
        <w:spacing w:after="0" w:line="169" w:lineRule="exact"/>
        <w:rPr>
          <w:color w:val="auto"/>
          <w:sz w:val="20"/>
          <w:szCs w:val="20"/>
        </w:rPr>
      </w:pPr>
    </w:p>
    <w:p>
      <w:pPr>
        <w:spacing w:after="0" w:line="366"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w:t>
      </w:r>
    </w:p>
    <w:p>
      <w:pPr>
        <w:spacing w:after="0" w:line="259" w:lineRule="exact"/>
        <w:rPr>
          <w:color w:val="auto"/>
          <w:sz w:val="24"/>
          <w:szCs w:val="24"/>
        </w:rPr>
      </w:pPr>
    </w:p>
    <w:p>
      <w:pPr>
        <w:spacing w:after="0" w:line="366"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4"/>
          <w:szCs w:val="24"/>
        </w:rPr>
        <w:t>（非小微企业不用提供）</w:t>
      </w:r>
    </w:p>
    <w:p>
      <w:pPr>
        <w:spacing w:after="0" w:line="288" w:lineRule="exact"/>
        <w:rPr>
          <w:color w:val="auto"/>
          <w:sz w:val="20"/>
          <w:szCs w:val="20"/>
        </w:rPr>
      </w:pPr>
    </w:p>
    <w:p>
      <w:pPr>
        <w:spacing w:after="0" w:line="342" w:lineRule="exact"/>
        <w:ind w:left="360" w:right="306" w:firstLine="420"/>
        <w:jc w:val="both"/>
        <w:rPr>
          <w:color w:val="auto"/>
          <w:sz w:val="20"/>
          <w:szCs w:val="20"/>
        </w:rPr>
      </w:pPr>
      <w:r>
        <w:rPr>
          <w:rFonts w:ascii="宋体" w:hAnsi="宋体" w:eastAsia="宋体" w:cs="宋体"/>
          <w:color w:val="auto"/>
          <w:sz w:val="21"/>
          <w:szCs w:val="21"/>
        </w:rPr>
        <w:t>本企业郑重声明，根据《政府采购促进中小企业发展暂行办法》（财库[2011]181 号）的规定，本企业为（填写行业）（请填写：小型、微型）企业。即，本企业同时满足以下条件：</w:t>
      </w:r>
    </w:p>
    <w:p>
      <w:pPr>
        <w:spacing w:after="0" w:line="203" w:lineRule="exact"/>
        <w:rPr>
          <w:color w:val="auto"/>
          <w:sz w:val="20"/>
          <w:szCs w:val="20"/>
        </w:rPr>
      </w:pPr>
    </w:p>
    <w:p>
      <w:pPr>
        <w:spacing w:after="0" w:line="341" w:lineRule="exact"/>
        <w:ind w:left="360" w:right="346" w:firstLine="420"/>
        <w:jc w:val="both"/>
        <w:rPr>
          <w:color w:val="auto"/>
          <w:sz w:val="20"/>
          <w:szCs w:val="20"/>
        </w:rPr>
      </w:pPr>
      <w:r>
        <w:rPr>
          <w:rFonts w:ascii="宋体" w:hAnsi="宋体" w:eastAsia="宋体" w:cs="宋体"/>
          <w:color w:val="auto"/>
          <w:sz w:val="21"/>
          <w:szCs w:val="21"/>
        </w:rPr>
        <w:t>1.根据《工业和信息化部、国家统计局、国家发展和改革委员会、财政部关于印发中小企业划型标准规定的通知》（工信部联企业[2011]300 号）规定的划分标准，本企业为______（请填写：小型、微型）企业。</w:t>
      </w:r>
    </w:p>
    <w:p>
      <w:pPr>
        <w:spacing w:after="0" w:line="203" w:lineRule="exact"/>
        <w:rPr>
          <w:color w:val="auto"/>
          <w:sz w:val="20"/>
          <w:szCs w:val="20"/>
        </w:rPr>
      </w:pPr>
    </w:p>
    <w:p>
      <w:pPr>
        <w:spacing w:after="0" w:line="359" w:lineRule="exact"/>
        <w:ind w:left="360" w:right="266" w:firstLine="420"/>
        <w:jc w:val="both"/>
        <w:rPr>
          <w:color w:val="auto"/>
          <w:sz w:val="20"/>
          <w:szCs w:val="20"/>
        </w:rPr>
      </w:pPr>
      <w:r>
        <w:rPr>
          <w:rFonts w:ascii="宋体" w:hAnsi="宋体" w:eastAsia="宋体" w:cs="宋体"/>
          <w:color w:val="auto"/>
          <w:sz w:val="21"/>
          <w:szCs w:val="21"/>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after="0" w:line="169"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本企业对上述声明的真实性负责。如有虚假，将依法承担相应责任。</w:t>
      </w:r>
    </w:p>
    <w:p>
      <w:pPr>
        <w:spacing w:after="0" w:line="200" w:lineRule="exact"/>
        <w:rPr>
          <w:color w:val="auto"/>
          <w:sz w:val="20"/>
          <w:szCs w:val="20"/>
        </w:rPr>
      </w:pPr>
    </w:p>
    <w:p>
      <w:pPr>
        <w:spacing w:after="0" w:line="379"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供应商全称（盖章）：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日期：年月日</w:t>
      </w:r>
    </w:p>
    <w:p>
      <w:pPr>
        <w:spacing w:after="0" w:line="200" w:lineRule="exact"/>
        <w:rPr>
          <w:color w:val="auto"/>
          <w:sz w:val="20"/>
          <w:szCs w:val="20"/>
        </w:rPr>
      </w:pPr>
    </w:p>
    <w:p>
      <w:pPr>
        <w:spacing w:after="0" w:line="376"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说明：</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1）投标人为小型、微型企业的提供此函。</w:t>
      </w:r>
    </w:p>
    <w:p>
      <w:pPr>
        <w:spacing w:after="0" w:line="200" w:lineRule="exact"/>
        <w:rPr>
          <w:color w:val="auto"/>
          <w:sz w:val="20"/>
          <w:szCs w:val="20"/>
        </w:rPr>
      </w:pPr>
    </w:p>
    <w:p>
      <w:pPr>
        <w:spacing w:after="0" w:line="308" w:lineRule="exact"/>
        <w:ind w:left="360" w:right="346"/>
        <w:jc w:val="both"/>
        <w:rPr>
          <w:color w:val="auto"/>
          <w:sz w:val="20"/>
          <w:szCs w:val="20"/>
        </w:rPr>
      </w:pPr>
      <w:r>
        <w:rPr>
          <w:rFonts w:ascii="宋体" w:hAnsi="宋体" w:eastAsia="宋体" w:cs="宋体"/>
          <w:color w:val="auto"/>
          <w:sz w:val="21"/>
          <w:szCs w:val="21"/>
        </w:rPr>
        <w:t>2）所投标项内的产品如由多个企业制造的，在填写企业类型时，按产品生产企业中规模最大的企业类型填写。</w:t>
      </w:r>
    </w:p>
    <w:p>
      <w:pPr>
        <w:spacing w:after="0" w:line="202" w:lineRule="exact"/>
        <w:rPr>
          <w:color w:val="auto"/>
          <w:sz w:val="20"/>
          <w:szCs w:val="20"/>
        </w:rPr>
      </w:pPr>
    </w:p>
    <w:p>
      <w:pPr>
        <w:spacing w:after="0" w:line="308" w:lineRule="exact"/>
        <w:ind w:left="360" w:right="346"/>
        <w:jc w:val="both"/>
        <w:rPr>
          <w:color w:val="auto"/>
          <w:sz w:val="20"/>
          <w:szCs w:val="20"/>
        </w:rPr>
      </w:pPr>
      <w:r>
        <w:rPr>
          <w:rFonts w:ascii="宋体" w:hAnsi="宋体" w:eastAsia="宋体" w:cs="宋体"/>
          <w:color w:val="auto"/>
          <w:sz w:val="21"/>
          <w:szCs w:val="21"/>
        </w:rPr>
        <w:t>3）代理商投标，提供投标人及产品制造商出具的《中小企业声明函》及其相关的充分的证明材料。</w:t>
      </w:r>
    </w:p>
    <w:p>
      <w:pPr>
        <w:spacing w:after="0" w:line="204" w:lineRule="exact"/>
        <w:rPr>
          <w:color w:val="auto"/>
          <w:sz w:val="20"/>
          <w:szCs w:val="20"/>
        </w:rPr>
      </w:pPr>
    </w:p>
    <w:p>
      <w:pPr>
        <w:spacing w:after="0" w:line="308" w:lineRule="exact"/>
        <w:ind w:left="360" w:right="346"/>
        <w:jc w:val="both"/>
        <w:rPr>
          <w:color w:val="auto"/>
          <w:sz w:val="20"/>
          <w:szCs w:val="20"/>
        </w:rPr>
      </w:pPr>
      <w:r>
        <w:rPr>
          <w:rFonts w:ascii="宋体" w:hAnsi="宋体" w:eastAsia="宋体" w:cs="宋体"/>
          <w:color w:val="auto"/>
          <w:sz w:val="21"/>
          <w:szCs w:val="21"/>
        </w:rPr>
        <w:t>4）投标产品制造商投标，提供投标人出具的《中小企业声明函》及其相关的充分的证明材料。</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5）为浙江省政府采购网正式入库供应商的证明材料。</w:t>
      </w:r>
    </w:p>
    <w:p>
      <w:pPr>
        <w:spacing w:after="0" w:line="200" w:lineRule="exact"/>
        <w:rPr>
          <w:color w:val="auto"/>
          <w:sz w:val="20"/>
          <w:szCs w:val="20"/>
        </w:rPr>
      </w:pPr>
    </w:p>
    <w:p>
      <w:pPr>
        <w:spacing w:after="0" w:line="369" w:lineRule="exact"/>
        <w:ind w:left="360" w:right="346"/>
        <w:jc w:val="both"/>
        <w:rPr>
          <w:color w:val="auto"/>
          <w:sz w:val="20"/>
          <w:szCs w:val="20"/>
        </w:rPr>
      </w:pPr>
      <w:r>
        <w:rPr>
          <w:rFonts w:ascii="宋体" w:hAnsi="宋体" w:eastAsia="宋体" w:cs="宋体"/>
          <w:color w:val="auto"/>
          <w:sz w:val="21"/>
          <w:szCs w:val="21"/>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或者提供县级以上人民政府中小企业局、经信委（局）等主管部门出具的小、微企业认定文件代替。</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1" w:lineRule="exact"/>
        <w:rPr>
          <w:color w:val="auto"/>
          <w:sz w:val="20"/>
          <w:szCs w:val="20"/>
        </w:rPr>
      </w:pPr>
      <w:bookmarkStart w:id="574" w:name="page74"/>
      <w:bookmarkEnd w:id="574"/>
    </w:p>
    <w:p>
      <w:pPr>
        <w:spacing w:after="0" w:line="366" w:lineRule="exact"/>
        <w:ind w:right="-13"/>
        <w:jc w:val="center"/>
        <w:rPr>
          <w:color w:val="auto"/>
          <w:sz w:val="24"/>
          <w:szCs w:val="24"/>
        </w:rPr>
      </w:pPr>
      <w:r>
        <w:rPr>
          <w:rFonts w:ascii="宋体" w:hAnsi="宋体" w:eastAsia="宋体" w:cs="宋体"/>
          <w:b/>
          <w:bCs/>
          <w:color w:val="auto"/>
          <w:sz w:val="24"/>
          <w:szCs w:val="24"/>
        </w:rPr>
        <w:t>监狱企业声明函</w:t>
      </w:r>
    </w:p>
    <w:p>
      <w:pPr>
        <w:spacing w:after="0" w:line="256" w:lineRule="exact"/>
        <w:rPr>
          <w:color w:val="auto"/>
          <w:sz w:val="20"/>
          <w:szCs w:val="20"/>
        </w:rPr>
      </w:pPr>
    </w:p>
    <w:p>
      <w:pPr>
        <w:spacing w:after="0" w:line="240" w:lineRule="exact"/>
        <w:ind w:right="-13"/>
        <w:jc w:val="center"/>
        <w:rPr>
          <w:color w:val="auto"/>
          <w:sz w:val="20"/>
          <w:szCs w:val="20"/>
        </w:rPr>
      </w:pPr>
      <w:r>
        <w:rPr>
          <w:rFonts w:ascii="宋体" w:hAnsi="宋体" w:eastAsia="宋体" w:cs="宋体"/>
          <w:b/>
          <w:bCs/>
          <w:color w:val="auto"/>
          <w:sz w:val="21"/>
          <w:szCs w:val="21"/>
          <w:u w:val="single" w:color="auto"/>
        </w:rPr>
        <w:t>【不属于监狱企业的无需填写、递交】</w:t>
      </w:r>
    </w:p>
    <w:p>
      <w:pPr>
        <w:spacing w:after="0" w:line="200" w:lineRule="exact"/>
        <w:rPr>
          <w:color w:val="auto"/>
          <w:sz w:val="20"/>
          <w:szCs w:val="20"/>
        </w:rPr>
      </w:pPr>
    </w:p>
    <w:p>
      <w:pPr>
        <w:spacing w:after="0" w:line="333" w:lineRule="exact"/>
        <w:rPr>
          <w:color w:val="auto"/>
          <w:sz w:val="20"/>
          <w:szCs w:val="20"/>
        </w:rPr>
      </w:pPr>
    </w:p>
    <w:p>
      <w:pPr>
        <w:spacing w:after="0" w:line="240" w:lineRule="exact"/>
        <w:ind w:right="6"/>
        <w:jc w:val="center"/>
        <w:rPr>
          <w:color w:val="auto"/>
          <w:sz w:val="20"/>
          <w:szCs w:val="20"/>
        </w:rPr>
      </w:pPr>
      <w:r>
        <w:rPr>
          <w:rFonts w:ascii="宋体" w:hAnsi="宋体" w:eastAsia="宋体" w:cs="宋体"/>
          <w:color w:val="auto"/>
          <w:sz w:val="21"/>
          <w:szCs w:val="21"/>
        </w:rPr>
        <w:t>本企业郑重声明，根据《关于政府采购支持监狱企业发展有关问题的通知》（财库</w:t>
      </w:r>
    </w:p>
    <w:p>
      <w:pPr>
        <w:spacing w:after="0" w:line="168" w:lineRule="exact"/>
        <w:rPr>
          <w:color w:val="auto"/>
          <w:sz w:val="20"/>
          <w:szCs w:val="20"/>
        </w:rPr>
      </w:pPr>
    </w:p>
    <w:tbl>
      <w:tblPr>
        <w:tblStyle w:val="21"/>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Layout w:type="fixed"/>
        </w:tblPrEx>
        <w:trPr>
          <w:trHeight w:val="240" w:hRule="atLeast"/>
        </w:trPr>
        <w:tc>
          <w:tcPr>
            <w:tcW w:w="6000" w:type="dxa"/>
            <w:gridSpan w:val="5"/>
            <w:vAlign w:val="bottom"/>
          </w:tcPr>
          <w:p>
            <w:pPr>
              <w:spacing w:after="0" w:line="240" w:lineRule="exact"/>
              <w:rPr>
                <w:color w:val="auto"/>
                <w:sz w:val="20"/>
                <w:szCs w:val="20"/>
              </w:rPr>
            </w:pPr>
            <w:r>
              <w:rPr>
                <w:rFonts w:ascii="宋体" w:hAnsi="宋体" w:eastAsia="宋体" w:cs="宋体"/>
                <w:color w:val="auto"/>
                <w:sz w:val="21"/>
                <w:szCs w:val="21"/>
              </w:rPr>
              <w:t>[2014]68 号）的规定，本企业为监狱企业。</w:t>
            </w:r>
          </w:p>
        </w:tc>
        <w:tc>
          <w:tcPr>
            <w:tcW w:w="100" w:type="dxa"/>
            <w:vAlign w:val="bottom"/>
          </w:tcPr>
          <w:p>
            <w:pPr>
              <w:spacing w:after="0"/>
              <w:rPr>
                <w:color w:val="auto"/>
                <w:sz w:val="20"/>
                <w:szCs w:val="20"/>
              </w:rPr>
            </w:pPr>
          </w:p>
        </w:tc>
        <w:tc>
          <w:tcPr>
            <w:tcW w:w="222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20" w:hRule="atLeast"/>
        </w:trPr>
        <w:tc>
          <w:tcPr>
            <w:tcW w:w="3000" w:type="dxa"/>
            <w:vAlign w:val="bottom"/>
          </w:tcPr>
          <w:p>
            <w:pPr>
              <w:spacing w:after="0" w:line="20" w:lineRule="exact"/>
              <w:rPr>
                <w:color w:val="auto"/>
                <w:sz w:val="1"/>
                <w:szCs w:val="1"/>
              </w:rPr>
            </w:pPr>
          </w:p>
        </w:tc>
        <w:tc>
          <w:tcPr>
            <w:tcW w:w="780" w:type="dxa"/>
            <w:shd w:val="clear" w:color="auto" w:fill="000000"/>
            <w:vAlign w:val="bottom"/>
          </w:tcPr>
          <w:p>
            <w:pPr>
              <w:spacing w:after="0" w:line="20" w:lineRule="exact"/>
              <w:rPr>
                <w:color w:val="auto"/>
                <w:sz w:val="1"/>
                <w:szCs w:val="1"/>
              </w:rPr>
            </w:pPr>
          </w:p>
        </w:tc>
        <w:tc>
          <w:tcPr>
            <w:tcW w:w="1060" w:type="dxa"/>
            <w:tcBorders>
              <w:left w:val="single" w:color="auto" w:sz="8" w:space="0"/>
            </w:tcBorders>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2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6000" w:type="dxa"/>
            <w:gridSpan w:val="5"/>
            <w:vAlign w:val="bottom"/>
          </w:tcPr>
          <w:p>
            <w:pPr>
              <w:spacing w:after="0" w:line="240" w:lineRule="exact"/>
              <w:ind w:left="420"/>
              <w:rPr>
                <w:color w:val="auto"/>
                <w:sz w:val="20"/>
                <w:szCs w:val="20"/>
              </w:rPr>
            </w:pPr>
            <w:r>
              <w:rPr>
                <w:rFonts w:ascii="宋体" w:hAnsi="宋体" w:eastAsia="宋体" w:cs="宋体"/>
                <w:color w:val="auto"/>
                <w:sz w:val="21"/>
                <w:szCs w:val="21"/>
              </w:rPr>
              <w:t>根据上述标准，我企业属于监狱企业的理由为：</w:t>
            </w:r>
          </w:p>
        </w:tc>
        <w:tc>
          <w:tcPr>
            <w:tcW w:w="100" w:type="dxa"/>
            <w:vAlign w:val="bottom"/>
          </w:tcPr>
          <w:p>
            <w:pPr>
              <w:spacing w:after="0"/>
              <w:rPr>
                <w:color w:val="auto"/>
                <w:sz w:val="24"/>
                <w:szCs w:val="24"/>
              </w:rPr>
            </w:pPr>
          </w:p>
        </w:tc>
        <w:tc>
          <w:tcPr>
            <w:tcW w:w="2220" w:type="dxa"/>
            <w:vAlign w:val="bottom"/>
          </w:tcPr>
          <w:p>
            <w:pPr>
              <w:spacing w:after="0" w:line="240" w:lineRule="exact"/>
              <w:rPr>
                <w:color w:val="auto"/>
                <w:sz w:val="20"/>
                <w:szCs w:val="20"/>
              </w:rPr>
            </w:pPr>
            <w:r>
              <w:rPr>
                <w:rFonts w:ascii="宋体" w:hAnsi="宋体" w:eastAsia="宋体" w:cs="宋体"/>
                <w:color w:val="auto"/>
                <w:sz w:val="21"/>
                <w:szCs w:val="21"/>
              </w:rPr>
              <w:t>。</w:t>
            </w:r>
          </w:p>
        </w:tc>
      </w:tr>
      <w:tr>
        <w:tblPrEx>
          <w:tblLayout w:type="fixed"/>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after="0" w:line="20" w:lineRule="exact"/>
              <w:rPr>
                <w:color w:val="auto"/>
                <w:sz w:val="1"/>
                <w:szCs w:val="1"/>
              </w:rPr>
            </w:pPr>
          </w:p>
        </w:tc>
        <w:tc>
          <w:tcPr>
            <w:tcW w:w="780" w:type="dxa"/>
            <w:shd w:val="clear" w:color="auto" w:fill="000000"/>
            <w:vAlign w:val="bottom"/>
          </w:tcPr>
          <w:p>
            <w:pPr>
              <w:spacing w:after="0" w:line="20" w:lineRule="exact"/>
              <w:rPr>
                <w:color w:val="auto"/>
                <w:sz w:val="1"/>
                <w:szCs w:val="1"/>
              </w:rPr>
            </w:pPr>
          </w:p>
        </w:tc>
        <w:tc>
          <w:tcPr>
            <w:tcW w:w="1060" w:type="dxa"/>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22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88" w:hRule="atLeast"/>
        </w:trPr>
        <w:tc>
          <w:tcPr>
            <w:tcW w:w="3000" w:type="dxa"/>
            <w:vAlign w:val="bottom"/>
          </w:tcPr>
          <w:p>
            <w:pPr>
              <w:spacing w:after="0" w:line="240" w:lineRule="exact"/>
              <w:ind w:left="420"/>
              <w:rPr>
                <w:color w:val="auto"/>
                <w:sz w:val="20"/>
                <w:szCs w:val="20"/>
              </w:rPr>
            </w:pPr>
            <w:r>
              <w:rPr>
                <w:rFonts w:ascii="宋体" w:hAnsi="宋体" w:eastAsia="宋体" w:cs="宋体"/>
                <w:color w:val="auto"/>
                <w:sz w:val="21"/>
                <w:szCs w:val="21"/>
              </w:rPr>
              <w:t>本企业为参加（项目名称：</w:t>
            </w:r>
          </w:p>
        </w:tc>
        <w:tc>
          <w:tcPr>
            <w:tcW w:w="780" w:type="dxa"/>
            <w:tcBorders>
              <w:bottom w:val="single" w:color="auto" w:sz="8" w:space="0"/>
            </w:tcBorders>
            <w:vAlign w:val="bottom"/>
          </w:tcPr>
          <w:p>
            <w:pPr>
              <w:spacing w:after="0"/>
              <w:rPr>
                <w:color w:val="auto"/>
                <w:sz w:val="24"/>
                <w:szCs w:val="24"/>
              </w:rPr>
            </w:pPr>
          </w:p>
        </w:tc>
        <w:tc>
          <w:tcPr>
            <w:tcW w:w="1380" w:type="dxa"/>
            <w:gridSpan w:val="2"/>
            <w:vAlign w:val="bottom"/>
          </w:tcPr>
          <w:p>
            <w:pPr>
              <w:spacing w:after="0" w:line="240" w:lineRule="exact"/>
              <w:rPr>
                <w:color w:val="auto"/>
                <w:sz w:val="20"/>
                <w:szCs w:val="20"/>
              </w:rPr>
            </w:pPr>
            <w:r>
              <w:rPr>
                <w:rFonts w:ascii="宋体" w:hAnsi="宋体" w:eastAsia="宋体" w:cs="宋体"/>
                <w:color w:val="auto"/>
                <w:w w:val="92"/>
                <w:sz w:val="21"/>
                <w:szCs w:val="21"/>
              </w:rPr>
              <w:t>）（项目编号：</w:t>
            </w:r>
          </w:p>
        </w:tc>
        <w:tc>
          <w:tcPr>
            <w:tcW w:w="840" w:type="dxa"/>
            <w:tcBorders>
              <w:bottom w:val="single" w:color="auto" w:sz="8" w:space="0"/>
            </w:tcBorders>
            <w:vAlign w:val="bottom"/>
          </w:tcPr>
          <w:p>
            <w:pPr>
              <w:spacing w:after="0"/>
              <w:rPr>
                <w:color w:val="auto"/>
                <w:sz w:val="24"/>
                <w:szCs w:val="24"/>
              </w:rPr>
            </w:pPr>
          </w:p>
        </w:tc>
        <w:tc>
          <w:tcPr>
            <w:tcW w:w="2320" w:type="dxa"/>
            <w:gridSpan w:val="2"/>
            <w:vAlign w:val="bottom"/>
          </w:tcPr>
          <w:p>
            <w:pPr>
              <w:spacing w:after="0" w:line="240" w:lineRule="exact"/>
              <w:rPr>
                <w:color w:val="auto"/>
                <w:sz w:val="20"/>
                <w:szCs w:val="20"/>
              </w:rPr>
            </w:pPr>
            <w:r>
              <w:rPr>
                <w:rFonts w:ascii="宋体" w:hAnsi="宋体" w:eastAsia="宋体" w:cs="宋体"/>
                <w:color w:val="auto"/>
                <w:w w:val="99"/>
                <w:sz w:val="21"/>
                <w:szCs w:val="21"/>
              </w:rPr>
              <w:t>）采购活动提供本企业的</w:t>
            </w:r>
          </w:p>
        </w:tc>
      </w:tr>
      <w:tr>
        <w:tblPrEx>
          <w:tblLayout w:type="fixed"/>
          <w:tblCellMar>
            <w:top w:w="0" w:type="dxa"/>
            <w:left w:w="0" w:type="dxa"/>
            <w:bottom w:w="0" w:type="dxa"/>
            <w:right w:w="0" w:type="dxa"/>
          </w:tblCellMar>
        </w:tblPrEx>
        <w:trPr>
          <w:trHeight w:val="388" w:hRule="atLeast"/>
        </w:trPr>
        <w:tc>
          <w:tcPr>
            <w:tcW w:w="3000" w:type="dxa"/>
            <w:vAlign w:val="bottom"/>
          </w:tcPr>
          <w:p>
            <w:pPr>
              <w:spacing w:after="0" w:line="240" w:lineRule="exact"/>
              <w:rPr>
                <w:color w:val="auto"/>
                <w:sz w:val="20"/>
                <w:szCs w:val="20"/>
              </w:rPr>
            </w:pPr>
            <w:r>
              <w:rPr>
                <w:rFonts w:ascii="宋体" w:hAnsi="宋体" w:eastAsia="宋体" w:cs="宋体"/>
                <w:color w:val="auto"/>
                <w:sz w:val="21"/>
                <w:szCs w:val="21"/>
              </w:rPr>
              <w:t>产品。</w:t>
            </w:r>
          </w:p>
        </w:tc>
        <w:tc>
          <w:tcPr>
            <w:tcW w:w="7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20" w:type="dxa"/>
            <w:vAlign w:val="bottom"/>
          </w:tcPr>
          <w:p>
            <w:pPr>
              <w:spacing w:after="0"/>
              <w:rPr>
                <w:color w:val="auto"/>
                <w:sz w:val="24"/>
                <w:szCs w:val="24"/>
              </w:rPr>
            </w:pPr>
          </w:p>
        </w:tc>
      </w:tr>
    </w:tbl>
    <w:p>
      <w:pPr>
        <w:spacing w:after="0" w:line="17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本企业对上述声明的真实性负责。如有虚假，将依法承担相应责任。</w:t>
      </w:r>
    </w:p>
    <w:p>
      <w:pPr>
        <w:spacing w:after="0" w:line="200" w:lineRule="exact"/>
        <w:rPr>
          <w:color w:val="auto"/>
          <w:sz w:val="20"/>
          <w:szCs w:val="20"/>
        </w:rPr>
      </w:pPr>
    </w:p>
    <w:p>
      <w:pPr>
        <w:spacing w:after="0" w:line="37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供应商全称（盖章）：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日期：年月日</w:t>
      </w:r>
    </w:p>
    <w:p>
      <w:pPr>
        <w:spacing w:after="0" w:line="200"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right="346" w:firstLine="42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360" w:right="346" w:firstLine="420"/>
        <w:textAlignment w:val="auto"/>
        <w:outlineLvl w:val="9"/>
        <w:rPr>
          <w:color w:val="auto"/>
          <w:sz w:val="20"/>
          <w:szCs w:val="20"/>
        </w:rPr>
      </w:pPr>
      <w:r>
        <w:rPr>
          <w:rFonts w:ascii="宋体" w:hAnsi="宋体" w:eastAsia="宋体" w:cs="宋体"/>
          <w:color w:val="auto"/>
          <w:sz w:val="21"/>
          <w:szCs w:val="21"/>
        </w:rPr>
        <w:t>监狱企业参加政府采购活动时，应当提供由省级以上监狱管理局、戒毒管理局（含新疆生产建设兵团）出具的属于监狱企业的证明文件。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adjustRightInd/>
        <w:snapToGrid/>
        <w:spacing w:after="0" w:line="360" w:lineRule="auto"/>
        <w:ind w:left="360" w:right="266" w:firstLine="210" w:firstLineChars="100"/>
        <w:jc w:val="both"/>
        <w:textAlignment w:val="auto"/>
        <w:outlineLvl w:val="9"/>
        <w:rPr>
          <w:color w:val="auto"/>
          <w:sz w:val="20"/>
          <w:szCs w:val="20"/>
        </w:rPr>
      </w:pPr>
      <w:r>
        <w:rPr>
          <w:rFonts w:ascii="宋体" w:hAnsi="宋体" w:eastAsia="宋体" w:cs="宋体"/>
          <w:color w:val="auto"/>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366" w:lineRule="exact"/>
        <w:ind w:right="-13"/>
        <w:jc w:val="center"/>
        <w:rPr>
          <w:rFonts w:ascii="宋体" w:hAnsi="宋体" w:eastAsia="宋体" w:cs="宋体"/>
          <w:b/>
          <w:bCs/>
          <w:color w:val="auto"/>
          <w:sz w:val="24"/>
          <w:szCs w:val="24"/>
        </w:rPr>
      </w:pPr>
      <w:r>
        <w:rPr>
          <w:rFonts w:ascii="宋体" w:hAnsi="宋体" w:eastAsia="宋体" w:cs="宋体"/>
          <w:b/>
          <w:bCs/>
          <w:color w:val="auto"/>
          <w:sz w:val="24"/>
          <w:szCs w:val="24"/>
        </w:rPr>
        <w:t>残疾人福利性单位声明函</w:t>
      </w:r>
    </w:p>
    <w:p>
      <w:pPr>
        <w:spacing w:after="0" w:line="203" w:lineRule="exact"/>
        <w:rPr>
          <w:color w:val="auto"/>
          <w:sz w:val="20"/>
          <w:szCs w:val="20"/>
        </w:rPr>
      </w:pPr>
    </w:p>
    <w:p>
      <w:pPr>
        <w:spacing w:after="0" w:line="240" w:lineRule="exact"/>
        <w:ind w:right="-413"/>
        <w:jc w:val="center"/>
        <w:rPr>
          <w:color w:val="auto"/>
          <w:sz w:val="20"/>
          <w:szCs w:val="20"/>
        </w:rPr>
      </w:pPr>
      <w:r>
        <w:rPr>
          <w:rFonts w:ascii="宋体" w:hAnsi="宋体" w:eastAsia="宋体" w:cs="宋体"/>
          <w:color w:val="auto"/>
          <w:sz w:val="21"/>
          <w:szCs w:val="21"/>
        </w:rPr>
        <w:t>【不属于残疾人福利性单位的无需填写、递交】</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366" w:firstLine="420" w:firstLineChars="200"/>
        <w:textAlignment w:val="auto"/>
        <w:outlineLvl w:val="9"/>
        <w:rPr>
          <w:color w:val="auto"/>
          <w:sz w:val="20"/>
          <w:szCs w:val="20"/>
        </w:rPr>
      </w:pPr>
      <w:r>
        <w:rPr>
          <w:rFonts w:ascii="宋体" w:hAnsi="宋体" w:eastAsia="宋体" w:cs="宋体"/>
          <w:color w:val="auto"/>
          <w:sz w:val="21"/>
          <w:szCs w:val="21"/>
        </w:rPr>
        <w:t>本单位郑重声明，根据《财政部 民政部 中国残疾人联合会关于促进残疾人就业政府采购政策的通知》（财库〔</w:t>
      </w:r>
      <w:r>
        <w:rPr>
          <w:rFonts w:ascii="Arial" w:hAnsi="Arial" w:eastAsia="Arial" w:cs="Arial"/>
          <w:color w:val="auto"/>
          <w:sz w:val="21"/>
          <w:szCs w:val="21"/>
        </w:rPr>
        <w:t>2017</w:t>
      </w:r>
      <w:r>
        <w:rPr>
          <w:rFonts w:ascii="宋体" w:hAnsi="宋体" w:eastAsia="宋体" w:cs="宋体"/>
          <w:color w:val="auto"/>
          <w:sz w:val="21"/>
          <w:szCs w:val="21"/>
        </w:rPr>
        <w:t>〕</w:t>
      </w:r>
      <w:r>
        <w:rPr>
          <w:rFonts w:ascii="Arial" w:hAnsi="Arial" w:eastAsia="Arial" w:cs="Arial"/>
          <w:color w:val="auto"/>
          <w:sz w:val="21"/>
          <w:szCs w:val="21"/>
        </w:rPr>
        <w:t xml:space="preserve">141 </w:t>
      </w:r>
      <w:r>
        <w:rPr>
          <w:rFonts w:ascii="宋体" w:hAnsi="宋体" w:eastAsia="宋体" w:cs="宋体"/>
          <w:color w:val="auto"/>
          <w:sz w:val="21"/>
          <w:szCs w:val="21"/>
        </w:rPr>
        <w:t>号）的规定，本单位为符合条件的残疾人福利性单位，且本单位参加 （采购人名称）</w:t>
      </w:r>
      <w:r>
        <w:rPr>
          <w:rFonts w:ascii="宋体" w:hAnsi="宋体" w:eastAsia="宋体" w:cs="宋体"/>
          <w:color w:val="auto"/>
          <w:sz w:val="21"/>
          <w:szCs w:val="21"/>
        </w:rPr>
        <w:tab/>
      </w:r>
      <w:r>
        <w:rPr>
          <w:rFonts w:ascii="宋体" w:hAnsi="宋体" w:eastAsia="宋体" w:cs="宋体"/>
          <w:color w:val="auto"/>
          <w:sz w:val="21"/>
          <w:szCs w:val="21"/>
        </w:rPr>
        <w:t>单位的</w:t>
      </w:r>
      <w:r>
        <w:rPr>
          <w:color w:val="auto"/>
          <w:sz w:val="20"/>
          <w:szCs w:val="20"/>
        </w:rPr>
        <w:tab/>
      </w:r>
      <w:r>
        <w:rPr>
          <w:rFonts w:ascii="宋体" w:hAnsi="宋体" w:eastAsia="宋体" w:cs="宋体"/>
          <w:color w:val="auto"/>
          <w:sz w:val="21"/>
          <w:szCs w:val="21"/>
        </w:rPr>
        <w:t>（项目名称）</w:t>
      </w:r>
      <w:r>
        <w:rPr>
          <w:color w:val="auto"/>
          <w:sz w:val="20"/>
          <w:szCs w:val="20"/>
        </w:rPr>
        <w:tab/>
      </w:r>
      <w:r>
        <w:rPr>
          <w:rFonts w:ascii="宋体" w:hAnsi="宋体" w:eastAsia="宋体" w:cs="宋体"/>
          <w:color w:val="auto"/>
          <w:sz w:val="21"/>
          <w:szCs w:val="21"/>
        </w:rPr>
        <w:t>项目采购活动提供本单位制造的货物（由本单位承担工程</w:t>
      </w:r>
      <w:r>
        <w:rPr>
          <w:rFonts w:ascii="Arial" w:hAnsi="Arial" w:eastAsia="Arial" w:cs="Arial"/>
          <w:color w:val="auto"/>
          <w:sz w:val="21"/>
          <w:szCs w:val="21"/>
        </w:rPr>
        <w:t>/</w:t>
      </w:r>
      <w:r>
        <w:rPr>
          <w:rFonts w:ascii="宋体" w:hAnsi="宋体" w:eastAsia="宋体" w:cs="宋体"/>
          <w:color w:val="auto"/>
          <w:sz w:val="21"/>
          <w:szCs w:val="21"/>
        </w:rPr>
        <w:t>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本单位对上述声明的真实性负责。如有虚假，将依法承担相应责任。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供应商名称（盖章）：</w:t>
      </w:r>
    </w:p>
    <w:p>
      <w:pPr>
        <w:spacing w:after="0" w:line="79" w:lineRule="exact"/>
        <w:rPr>
          <w:color w:val="auto"/>
          <w:sz w:val="20"/>
          <w:szCs w:val="20"/>
        </w:rPr>
      </w:pPr>
    </w:p>
    <w:p>
      <w:pPr>
        <w:tabs>
          <w:tab w:val="left" w:pos="1700"/>
          <w:tab w:val="left" w:pos="2120"/>
          <w:tab w:val="left" w:pos="2540"/>
        </w:tabs>
        <w:spacing w:after="0" w:line="240" w:lineRule="exact"/>
        <w:ind w:left="780"/>
        <w:rPr>
          <w:color w:val="auto"/>
          <w:sz w:val="20"/>
          <w:szCs w:val="20"/>
        </w:rPr>
      </w:pPr>
      <w:r>
        <w:rPr>
          <w:rFonts w:ascii="宋体" w:hAnsi="宋体" w:eastAsia="宋体" w:cs="宋体"/>
          <w:color w:val="auto"/>
          <w:sz w:val="21"/>
          <w:szCs w:val="21"/>
        </w:rPr>
        <w:t>日期：</w:t>
      </w:r>
      <w:r>
        <w:rPr>
          <w:rFonts w:ascii="宋体" w:hAnsi="宋体" w:eastAsia="宋体" w:cs="宋体"/>
          <w:color w:val="auto"/>
          <w:sz w:val="21"/>
          <w:szCs w:val="21"/>
        </w:rPr>
        <w:tab/>
      </w:r>
      <w:r>
        <w:rPr>
          <w:rFonts w:ascii="宋体" w:hAnsi="宋体" w:eastAsia="宋体" w:cs="宋体"/>
          <w:color w:val="auto"/>
          <w:sz w:val="21"/>
          <w:szCs w:val="21"/>
        </w:rPr>
        <w:t>年</w:t>
      </w:r>
      <w:r>
        <w:rPr>
          <w:rFonts w:ascii="宋体" w:hAnsi="宋体" w:eastAsia="宋体" w:cs="宋体"/>
          <w:color w:val="auto"/>
          <w:sz w:val="21"/>
          <w:szCs w:val="21"/>
        </w:rPr>
        <w:tab/>
      </w:r>
      <w:r>
        <w:rPr>
          <w:rFonts w:ascii="宋体" w:hAnsi="宋体" w:eastAsia="宋体" w:cs="宋体"/>
          <w:color w:val="auto"/>
          <w:sz w:val="21"/>
          <w:szCs w:val="21"/>
        </w:rPr>
        <w:t>月</w:t>
      </w:r>
      <w:r>
        <w:rPr>
          <w:rFonts w:ascii="宋体" w:hAnsi="宋体" w:eastAsia="宋体" w:cs="宋体"/>
          <w:color w:val="auto"/>
          <w:sz w:val="21"/>
          <w:szCs w:val="21"/>
        </w:rPr>
        <w:tab/>
      </w:r>
      <w:r>
        <w:rPr>
          <w:rFonts w:ascii="宋体" w:hAnsi="宋体" w:eastAsia="宋体" w:cs="宋体"/>
          <w:color w:val="auto"/>
          <w:sz w:val="21"/>
          <w:szCs w:val="21"/>
        </w:rPr>
        <w:t>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ind w:left="360"/>
        <w:rPr>
          <w:color w:val="auto"/>
          <w:sz w:val="20"/>
          <w:szCs w:val="20"/>
        </w:rPr>
      </w:pPr>
      <w:bookmarkStart w:id="575" w:name="page75"/>
      <w:bookmarkEnd w:id="575"/>
      <w:r>
        <w:rPr>
          <w:rFonts w:ascii="宋体" w:hAnsi="宋体" w:eastAsia="宋体" w:cs="宋体"/>
          <w:color w:val="auto"/>
          <w:sz w:val="28"/>
          <w:szCs w:val="28"/>
        </w:rPr>
        <w:t>商务技术文件封面</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6"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6"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e/6rK0QAAAAUBAAAPAAAAAAAAAAEAIAAAACIAAABkcnMvZG93&#10;bnJldi54bWxQSwECFAAUAAAACACHTuJAYUxrJZUBAABQAwAADgAAAAAAAAABACAAAAAgAQAAZHJz&#10;L2Uyb0RvYy54bWxQSwUGAAAAAAYABgBZAQAAJwU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line="320" w:lineRule="exact"/>
        <w:ind w:left="1340"/>
        <w:rPr>
          <w:color w:val="auto"/>
          <w:sz w:val="20"/>
          <w:szCs w:val="20"/>
        </w:rPr>
      </w:pPr>
      <w:r>
        <w:rPr>
          <w:rFonts w:ascii="宋体" w:hAnsi="宋体" w:eastAsia="宋体" w:cs="宋体"/>
          <w:color w:val="auto"/>
          <w:sz w:val="28"/>
          <w:szCs w:val="28"/>
        </w:rPr>
        <w:t>项目编号：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7"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wps:spPr>
                      <wps:bodyPr/>
                    </wps:wsp>
                  </a:graphicData>
                </a:graphic>
              </wp:anchor>
            </w:drawing>
          </mc:Choice>
          <mc:Fallback>
            <w:pict>
              <v:line id="Shape 317" o:spid="_x0000_s1026" o:spt="20" style="position:absolute;left:0pt;margin-left:136.95pt;margin-top:0.05pt;height:0pt;width:287.1pt;z-index:-25165824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e/6rK0QAAAAUBAAAPAAAAAAAAAAEAIAAAACIAAABkcnMv&#10;ZG93bnJldi54bWxQSwECFAAUAAAACACHTuJAZt7F3pgBAABQAwAADgAAAAAAAAABACAAAAAgAQAA&#10;ZHJzL2Uyb0RvYy54bWxQSwUGAAAAAAYABgBZAQAAKgU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投 标 文 件</w:t>
      </w:r>
    </w:p>
    <w:p>
      <w:pPr>
        <w:spacing w:after="0" w:line="200" w:lineRule="exact"/>
        <w:rPr>
          <w:color w:val="auto"/>
          <w:sz w:val="20"/>
          <w:szCs w:val="20"/>
        </w:rPr>
      </w:pPr>
    </w:p>
    <w:p>
      <w:pPr>
        <w:spacing w:after="0" w:line="381" w:lineRule="exact"/>
        <w:rPr>
          <w:color w:val="auto"/>
          <w:sz w:val="20"/>
          <w:szCs w:val="20"/>
        </w:rPr>
      </w:pPr>
    </w:p>
    <w:p>
      <w:pPr>
        <w:spacing w:after="0" w:line="822" w:lineRule="exact"/>
        <w:ind w:right="-33"/>
        <w:jc w:val="center"/>
        <w:rPr>
          <w:color w:val="auto"/>
          <w:sz w:val="20"/>
          <w:szCs w:val="20"/>
        </w:rPr>
      </w:pPr>
      <w:r>
        <w:rPr>
          <w:rFonts w:ascii="宋体" w:hAnsi="宋体" w:eastAsia="宋体" w:cs="宋体"/>
          <w:color w:val="auto"/>
          <w:sz w:val="72"/>
          <w:szCs w:val="72"/>
        </w:rPr>
        <w:t>（商务技术文件）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tabs>
          <w:tab w:val="left" w:pos="5880"/>
        </w:tabs>
        <w:spacing w:after="0" w:line="320" w:lineRule="exact"/>
        <w:ind w:left="1140"/>
        <w:jc w:val="both"/>
        <w:rPr>
          <w:color w:val="auto"/>
          <w:sz w:val="20"/>
          <w:szCs w:val="20"/>
        </w:rPr>
      </w:pPr>
      <w:r>
        <w:rPr>
          <w:rFonts w:ascii="宋体" w:hAnsi="宋体" w:eastAsia="宋体" w:cs="宋体"/>
          <w:color w:val="auto"/>
          <w:sz w:val="28"/>
          <w:szCs w:val="28"/>
        </w:rPr>
        <w:t>供应商：</w:t>
      </w:r>
      <w:r>
        <w:rPr>
          <w:color w:val="auto"/>
          <w:sz w:val="20"/>
          <w:szCs w:val="20"/>
        </w:rPr>
        <w:tab/>
      </w:r>
      <w:r>
        <w:rPr>
          <w:rFonts w:ascii="宋体" w:hAnsi="宋体" w:eastAsia="宋体" w:cs="宋体"/>
          <w:color w:val="auto"/>
          <w:sz w:val="28"/>
          <w:szCs w:val="28"/>
        </w:rPr>
        <w:t>（盖单位公章）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318"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wps:spPr>
                      <wps:bodyPr/>
                    </wps:wsp>
                  </a:graphicData>
                </a:graphic>
              </wp:anchor>
            </w:drawing>
          </mc:Choice>
          <mc:Fallback>
            <w:pict>
              <v:line id="Shape 318" o:spid="_x0000_s1026" o:spt="20" style="position:absolute;left:0pt;margin-left:112.6pt;margin-top:0.05pt;height:0pt;width:182.05pt;z-index:-251658240;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ea+EdIAAAAFAQAADwAAAAAAAAABACAAAAAiAAAAZHJz&#10;L2Rvd25yZXYueG1sUEsBAhQAFAAAAAgAh07iQAGH3/iYAQAAUA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5" w:lineRule="exact"/>
        <w:rPr>
          <w:color w:val="auto"/>
          <w:sz w:val="20"/>
          <w:szCs w:val="20"/>
        </w:rPr>
      </w:pPr>
    </w:p>
    <w:p>
      <w:pPr>
        <w:tabs>
          <w:tab w:val="left" w:pos="5460"/>
        </w:tabs>
        <w:spacing w:after="0" w:line="320" w:lineRule="exact"/>
        <w:ind w:left="1140"/>
        <w:rPr>
          <w:color w:val="auto"/>
          <w:sz w:val="20"/>
          <w:szCs w:val="20"/>
        </w:rPr>
      </w:pPr>
      <w:r>
        <w:rPr>
          <w:rFonts w:ascii="宋体" w:hAnsi="宋体" w:eastAsia="宋体" w:cs="宋体"/>
          <w:color w:val="auto"/>
          <w:sz w:val="28"/>
          <w:szCs w:val="28"/>
        </w:rPr>
        <w:t>响应文件签署人：</w:t>
      </w:r>
      <w:r>
        <w:rPr>
          <w:color w:val="auto"/>
          <w:sz w:val="20"/>
          <w:szCs w:val="20"/>
        </w:rPr>
        <w:tab/>
      </w:r>
      <w:r>
        <w:rPr>
          <w:rFonts w:ascii="宋体" w:hAnsi="宋体" w:eastAsia="宋体" w:cs="宋体"/>
          <w:color w:val="auto"/>
          <w:sz w:val="28"/>
          <w:szCs w:val="28"/>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319"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wps:spPr>
                      <wps:bodyPr/>
                    </wps:wsp>
                  </a:graphicData>
                </a:graphic>
              </wp:anchor>
            </w:drawing>
          </mc:Choice>
          <mc:Fallback>
            <w:pict>
              <v:line id="Shape 319" o:spid="_x0000_s1026" o:spt="20" style="position:absolute;left:0pt;margin-left:168.65pt;margin-top:0.05pt;height:0pt;width:105pt;z-index:-251658240;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5suprQAAAABQEAAA8AAAAAAAAAAQAgAAAAIgAAAGRycy9k&#10;b3ducmV2LnhtbFBLAQIUABQAAAAIAIdO4kAuX3NKmAEAAFADAAAOAAAAAAAAAAEAIAAAAB8BAABk&#10;cnMvZTJvRG9jLnhtbFBLBQYAAAAABgAGAFkBAAApBQ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4600"/>
          <w:tab w:val="left" w:pos="5300"/>
        </w:tabs>
        <w:spacing w:after="0" w:line="320" w:lineRule="exact"/>
        <w:ind w:left="3920"/>
        <w:rPr>
          <w:color w:val="auto"/>
          <w:sz w:val="20"/>
          <w:szCs w:val="20"/>
        </w:rPr>
      </w:pPr>
      <w:r>
        <w:rPr>
          <w:rFonts w:ascii="宋体" w:hAnsi="宋体" w:eastAsia="宋体" w:cs="宋体"/>
          <w:color w:val="auto"/>
          <w:sz w:val="28"/>
          <w:szCs w:val="28"/>
        </w:rPr>
        <w:t>年</w:t>
      </w:r>
      <w:r>
        <w:rPr>
          <w:rFonts w:ascii="宋体" w:hAnsi="宋体" w:eastAsia="宋体" w:cs="宋体"/>
          <w:color w:val="auto"/>
          <w:sz w:val="28"/>
          <w:szCs w:val="28"/>
        </w:rPr>
        <w:tab/>
      </w:r>
      <w:r>
        <w:rPr>
          <w:rFonts w:ascii="宋体" w:hAnsi="宋体" w:eastAsia="宋体" w:cs="宋体"/>
          <w:color w:val="auto"/>
          <w:sz w:val="28"/>
          <w:szCs w:val="28"/>
        </w:rPr>
        <w:t>月</w:t>
      </w:r>
      <w:r>
        <w:rPr>
          <w:rFonts w:ascii="宋体" w:hAnsi="宋体" w:eastAsia="宋体" w:cs="宋体"/>
          <w:color w:val="auto"/>
          <w:sz w:val="28"/>
          <w:szCs w:val="28"/>
        </w:rPr>
        <w:tab/>
      </w:r>
      <w:r>
        <w:rPr>
          <w:rFonts w:ascii="宋体" w:hAnsi="宋体" w:eastAsia="宋体" w:cs="宋体"/>
          <w:color w:val="auto"/>
          <w:sz w:val="28"/>
          <w:szCs w:val="28"/>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320" name="Shape 320"/>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wps:spPr>
                      <wps:bodyPr/>
                    </wps:wsp>
                  </a:graphicData>
                </a:graphic>
              </wp:anchor>
            </w:drawing>
          </mc:Choice>
          <mc:Fallback>
            <w:pict>
              <v:line id="Shape 320" o:spid="_x0000_s1026" o:spt="20" style="position:absolute;left:0pt;margin-left:153.85pt;margin-top:0.05pt;height:0pt;width:42.15pt;z-index:-251658240;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YipdC0QAAAAUBAAAPAAAAAAAAAAEAIAAAACIAAABkcnMv&#10;ZG93bnJldi54bWxQSwECFAAUAAAACACHTuJAuJctQp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321" name="Shape 321"/>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wps:spPr>
                      <wps:bodyPr/>
                    </wps:wsp>
                  </a:graphicData>
                </a:graphic>
              </wp:anchor>
            </w:drawing>
          </mc:Choice>
          <mc:Fallback>
            <w:pict>
              <v:line id="Shape 321" o:spid="_x0000_s1026" o:spt="20" style="position:absolute;left:0pt;margin-left:209.9pt;margin-top:0.05pt;height:0pt;width:21.05pt;z-index:-251658240;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pwvky0QAAAAUBAAAPAAAAAAAAAAEAIAAAACIAAABkcnMv&#10;ZG93bnJldi54bWxQSwECFAAUAAAACACHTuJA8Z8xlpgBAABPAwAADgAAAAAAAAABACAAAAAgAQAA&#10;ZHJzL2Uyb0RvYy54bWxQSwUGAAAAAAYABgBZAQAAKgUAAAAA&#10;">
                <v:fill on="t" focussize="0,0"/>
                <v:stroke weight="1.0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322" name="Shape 322"/>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wps:spPr>
                      <wps:bodyPr/>
                    </wps:wsp>
                  </a:graphicData>
                </a:graphic>
              </wp:anchor>
            </w:drawing>
          </mc:Choice>
          <mc:Fallback>
            <w:pict>
              <v:line id="Shape 322" o:spid="_x0000_s1026" o:spt="20" style="position:absolute;left:0pt;margin-left:244.95pt;margin-top:0.05pt;height:0pt;width:20.9pt;z-index:-251658240;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5K3fNIAAAAFAQAADwAAAAAAAAABACAAAAAiAAAAZHJz&#10;L2Rvd25yZXYueG1sUEsBAhQAFAAAAAgAh07iQE6rUmmYAQAATwMAAA4AAAAAAAAAAQAgAAAAIQEA&#10;AGRycy9lMm9Eb2MueG1sUEsFBgAAAAAGAAYAWQEAACsFAAAAAA==&#10;">
                <v:fill on="t" focussize="0,0"/>
                <v:stroke weight="1.0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jc w:val="center"/>
        <w:rPr>
          <w:rFonts w:hint="eastAsia"/>
          <w:b/>
          <w:bCs/>
          <w:sz w:val="28"/>
          <w:szCs w:val="28"/>
          <w:lang w:val="en-US" w:eastAsia="zh-CN"/>
        </w:rPr>
      </w:pPr>
      <w:r>
        <w:rPr>
          <w:rFonts w:hint="eastAsia"/>
          <w:b/>
          <w:bCs/>
          <w:sz w:val="28"/>
          <w:szCs w:val="28"/>
          <w:lang w:val="en-US" w:eastAsia="zh-CN"/>
        </w:rPr>
        <w:t>索   引</w:t>
      </w:r>
    </w:p>
    <w:p>
      <w:pPr>
        <w:jc w:val="center"/>
        <w:rPr>
          <w:rFonts w:hint="eastAsia"/>
          <w:b/>
          <w:bCs/>
          <w:sz w:val="28"/>
          <w:szCs w:val="28"/>
          <w:lang w:val="en-US" w:eastAsia="zh-CN"/>
        </w:rPr>
      </w:pPr>
    </w:p>
    <w:p>
      <w:pPr>
        <w:jc w:val="center"/>
        <w:rPr>
          <w:b/>
          <w:bCs/>
          <w:sz w:val="28"/>
          <w:szCs w:val="28"/>
        </w:rPr>
      </w:pPr>
      <w:r>
        <w:rPr>
          <w:rFonts w:hint="eastAsia"/>
          <w:b/>
          <w:bCs/>
          <w:sz w:val="28"/>
          <w:szCs w:val="28"/>
          <w:lang w:val="en-US" w:eastAsia="zh-CN"/>
        </w:rPr>
        <w:t>（请磋商响应供应商自行在评分表基础上自拟）</w:t>
      </w:r>
    </w:p>
    <w:p>
      <w:pPr>
        <w:spacing w:after="0" w:line="251" w:lineRule="exact"/>
        <w:rPr>
          <w:color w:val="auto"/>
          <w:sz w:val="20"/>
          <w:szCs w:val="20"/>
        </w:rPr>
      </w:pPr>
    </w:p>
    <w:p>
      <w:pPr>
        <w:spacing w:after="0" w:line="366" w:lineRule="exact"/>
        <w:jc w:val="left"/>
        <w:rPr>
          <w:rFonts w:hint="eastAsia" w:ascii="宋体" w:hAnsi="宋体" w:eastAsia="宋体" w:cs="宋体"/>
          <w:b/>
          <w:bCs/>
          <w:color w:val="auto"/>
          <w:sz w:val="28"/>
          <w:szCs w:val="28"/>
          <w:lang w:val="en-US" w:eastAsia="zh-CN"/>
        </w:rPr>
      </w:pPr>
      <w:bookmarkStart w:id="576" w:name="page76"/>
      <w:bookmarkEnd w:id="576"/>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rPr>
          <w:rFonts w:hint="eastAsia"/>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p>
    <w:p>
      <w:pPr>
        <w:spacing w:after="0" w:line="366" w:lineRule="exact"/>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商务文件</w:t>
      </w:r>
    </w:p>
    <w:p>
      <w:pPr>
        <w:spacing w:after="0" w:line="366"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法定代表人资格证明书</w:t>
      </w:r>
    </w:p>
    <w:p>
      <w:pPr>
        <w:pStyle w:val="8"/>
        <w:adjustRightInd w:val="0"/>
        <w:spacing w:line="360" w:lineRule="auto"/>
        <w:ind w:firstLine="480" w:firstLineChars="229"/>
        <w:rPr>
          <w:rFonts w:hAnsi="宋体" w:cs="Arial"/>
          <w:sz w:val="21"/>
          <w:szCs w:val="21"/>
          <w:u w:val="single"/>
        </w:rPr>
      </w:pPr>
      <w:r>
        <w:rPr>
          <w:rFonts w:hAnsi="宋体" w:cs="Arial"/>
          <w:sz w:val="21"/>
          <w:szCs w:val="21"/>
          <w:u w:val="single"/>
        </w:rPr>
        <w:t>（采购人单位名称）：</w:t>
      </w:r>
      <w:r>
        <w:rPr>
          <w:rFonts w:hint="eastAsia" w:hAnsi="宋体" w:cs="Arial"/>
          <w:sz w:val="21"/>
          <w:szCs w:val="21"/>
          <w:u w:val="single"/>
        </w:rPr>
        <w:t xml:space="preserve">         </w:t>
      </w:r>
    </w:p>
    <w:p>
      <w:pPr>
        <w:pStyle w:val="8"/>
        <w:adjustRightInd w:val="0"/>
        <w:spacing w:line="360" w:lineRule="auto"/>
        <w:ind w:firstLine="482"/>
        <w:rPr>
          <w:rFonts w:hAnsi="宋体" w:cs="Arial"/>
          <w:sz w:val="21"/>
          <w:szCs w:val="21"/>
        </w:rPr>
      </w:pPr>
      <w:r>
        <w:rPr>
          <w:rFonts w:hint="eastAsia" w:hAnsi="宋体" w:cs="Arial"/>
          <w:sz w:val="21"/>
          <w:szCs w:val="21"/>
          <w:u w:val="single"/>
          <w:lang w:eastAsia="zh-CN"/>
        </w:rPr>
        <w:t>杭州好邦建筑工程咨询有限公司</w:t>
      </w:r>
      <w:r>
        <w:rPr>
          <w:rFonts w:hAnsi="宋体" w:cs="Arial"/>
          <w:sz w:val="21"/>
          <w:szCs w:val="21"/>
          <w:u w:val="single"/>
        </w:rPr>
        <w:t>：</w:t>
      </w:r>
    </w:p>
    <w:p>
      <w:pPr>
        <w:pStyle w:val="7"/>
        <w:adjustRightInd w:val="0"/>
        <w:spacing w:line="360" w:lineRule="auto"/>
        <w:ind w:firstLine="420" w:firstLineChars="200"/>
        <w:rPr>
          <w:rFonts w:ascii="宋体" w:hAnsi="宋体" w:eastAsia="宋体" w:cs="Arial"/>
          <w:snapToGrid w:val="0"/>
          <w:sz w:val="21"/>
          <w:szCs w:val="21"/>
        </w:rPr>
      </w:pPr>
      <w:r>
        <w:rPr>
          <w:rFonts w:ascii="宋体" w:hAnsi="宋体" w:eastAsia="宋体" w:cs="Arial"/>
          <w:snapToGrid w:val="0"/>
          <w:sz w:val="21"/>
          <w:szCs w:val="21"/>
          <w:u w:val="single"/>
        </w:rPr>
        <w:t xml:space="preserve">     （姓名）    </w:t>
      </w:r>
      <w:r>
        <w:rPr>
          <w:rFonts w:ascii="宋体" w:hAnsi="宋体" w:eastAsia="宋体" w:cs="Arial"/>
          <w:snapToGrid w:val="0"/>
          <w:sz w:val="21"/>
          <w:szCs w:val="21"/>
        </w:rPr>
        <w:t>系</w:t>
      </w:r>
      <w:r>
        <w:rPr>
          <w:rFonts w:ascii="宋体" w:hAnsi="宋体" w:eastAsia="宋体" w:cs="Arial"/>
          <w:snapToGrid w:val="0"/>
          <w:sz w:val="21"/>
          <w:szCs w:val="21"/>
          <w:u w:val="single"/>
        </w:rPr>
        <w:t xml:space="preserve">  （单位名称）  </w:t>
      </w:r>
      <w:r>
        <w:rPr>
          <w:rFonts w:ascii="宋体" w:hAnsi="宋体" w:eastAsia="宋体" w:cs="Arial"/>
          <w:snapToGrid w:val="0"/>
          <w:sz w:val="21"/>
          <w:szCs w:val="21"/>
        </w:rPr>
        <w:t>的法定代表人，</w:t>
      </w: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u w:val="single"/>
        </w:rPr>
        <w:t>（</w:t>
      </w:r>
      <w:r>
        <w:rPr>
          <w:rFonts w:ascii="宋体" w:hAnsi="宋体" w:eastAsia="宋体" w:cs="Arial"/>
          <w:snapToGrid w:val="0"/>
          <w:sz w:val="21"/>
          <w:szCs w:val="21"/>
          <w:u w:val="single"/>
        </w:rPr>
        <w:t>身份证号</w:t>
      </w:r>
      <w:r>
        <w:rPr>
          <w:rFonts w:hint="eastAsia" w:ascii="宋体" w:hAnsi="宋体" w:eastAsia="宋体" w:cs="Arial"/>
          <w:snapToGrid w:val="0"/>
          <w:sz w:val="21"/>
          <w:szCs w:val="21"/>
          <w:u w:val="single"/>
        </w:rPr>
        <w:t>）</w:t>
      </w:r>
      <w:r>
        <w:rPr>
          <w:rFonts w:ascii="宋体" w:hAnsi="宋体" w:eastAsia="宋体" w:cs="Arial"/>
          <w:snapToGrid w:val="0"/>
          <w:sz w:val="21"/>
          <w:szCs w:val="21"/>
          <w:u w:val="single"/>
        </w:rPr>
        <w:t xml:space="preserve">     </w:t>
      </w:r>
      <w:r>
        <w:rPr>
          <w:rFonts w:ascii="宋体" w:hAnsi="宋体" w:eastAsia="宋体" w:cs="Arial"/>
          <w:snapToGrid w:val="0"/>
          <w:sz w:val="21"/>
          <w:szCs w:val="21"/>
        </w:rPr>
        <w:t>。</w:t>
      </w:r>
    </w:p>
    <w:p>
      <w:pPr>
        <w:pStyle w:val="7"/>
        <w:adjustRightInd w:val="0"/>
        <w:spacing w:line="360" w:lineRule="auto"/>
        <w:ind w:firstLine="420" w:firstLineChars="200"/>
        <w:rPr>
          <w:rFonts w:ascii="宋体" w:hAnsi="宋体" w:eastAsia="宋体" w:cs="Arial"/>
          <w:snapToGrid w:val="0"/>
          <w:sz w:val="21"/>
          <w:szCs w:val="21"/>
        </w:rPr>
      </w:pPr>
      <w:r>
        <w:rPr>
          <w:rFonts w:ascii="宋体" w:hAnsi="宋体" w:eastAsia="宋体" w:cs="Arial"/>
          <w:snapToGrid w:val="0"/>
          <w:sz w:val="21"/>
          <w:szCs w:val="21"/>
        </w:rPr>
        <w:t>特此证明。</w:t>
      </w:r>
    </w:p>
    <w:p>
      <w:pPr>
        <w:pStyle w:val="7"/>
        <w:adjustRightInd w:val="0"/>
        <w:spacing w:line="360" w:lineRule="auto"/>
        <w:ind w:firstLine="420" w:firstLineChars="200"/>
        <w:rPr>
          <w:rFonts w:ascii="宋体" w:hAnsi="宋体" w:eastAsia="宋体" w:cs="Arial"/>
          <w:snapToGrid w:val="0"/>
          <w:sz w:val="21"/>
          <w:szCs w:val="21"/>
        </w:rPr>
      </w:pPr>
      <w:r>
        <w:rPr>
          <w:rFonts w:ascii="宋体" w:hAnsi="宋体" w:eastAsia="宋体" w:cs="Arial"/>
          <w:snapToGrid w:val="0"/>
          <w:sz w:val="21"/>
          <w:szCs w:val="21"/>
        </w:rPr>
        <w:t>投标人：（盖单位公章）</w:t>
      </w:r>
    </w:p>
    <w:p>
      <w:pPr>
        <w:adjustRightInd w:val="0"/>
        <w:snapToGrid w:val="0"/>
        <w:spacing w:line="360" w:lineRule="auto"/>
        <w:ind w:firstLine="420" w:firstLineChars="200"/>
        <w:rPr>
          <w:rFonts w:ascii="宋体" w:hAnsi="宋体" w:cs="Arial"/>
          <w:snapToGrid w:val="0"/>
          <w:kern w:val="0"/>
          <w:sz w:val="21"/>
          <w:szCs w:val="21"/>
        </w:rPr>
      </w:pPr>
      <w:r>
        <w:rPr>
          <w:rFonts w:ascii="宋体" w:hAnsi="宋体" w:cs="Arial"/>
          <w:snapToGrid w:val="0"/>
          <w:kern w:val="0"/>
          <w:sz w:val="21"/>
          <w:szCs w:val="21"/>
        </w:rPr>
        <w:t>日期：</w:t>
      </w:r>
      <w:r>
        <w:rPr>
          <w:rFonts w:ascii="宋体" w:hAnsi="宋体" w:cs="Arial"/>
          <w:snapToGrid w:val="0"/>
          <w:kern w:val="0"/>
          <w:sz w:val="21"/>
          <w:szCs w:val="21"/>
          <w:u w:val="single"/>
        </w:rPr>
        <w:t xml:space="preserve">      </w:t>
      </w:r>
      <w:r>
        <w:rPr>
          <w:rFonts w:ascii="宋体" w:hAnsi="宋体" w:cs="Arial"/>
          <w:snapToGrid w:val="0"/>
          <w:kern w:val="0"/>
          <w:sz w:val="21"/>
          <w:szCs w:val="21"/>
        </w:rPr>
        <w:t>年</w:t>
      </w:r>
      <w:r>
        <w:rPr>
          <w:rFonts w:ascii="宋体" w:hAnsi="宋体" w:cs="Arial"/>
          <w:snapToGrid w:val="0"/>
          <w:kern w:val="0"/>
          <w:sz w:val="21"/>
          <w:szCs w:val="21"/>
          <w:u w:val="single"/>
        </w:rPr>
        <w:t xml:space="preserve">    </w:t>
      </w:r>
      <w:r>
        <w:rPr>
          <w:rFonts w:ascii="宋体" w:hAnsi="宋体" w:cs="Arial"/>
          <w:snapToGrid w:val="0"/>
          <w:kern w:val="0"/>
          <w:sz w:val="21"/>
          <w:szCs w:val="21"/>
        </w:rPr>
        <w:t>月</w:t>
      </w:r>
      <w:r>
        <w:rPr>
          <w:rFonts w:ascii="宋体" w:hAnsi="宋体" w:cs="Arial"/>
          <w:snapToGrid w:val="0"/>
          <w:kern w:val="0"/>
          <w:sz w:val="21"/>
          <w:szCs w:val="21"/>
          <w:u w:val="single"/>
        </w:rPr>
        <w:t xml:space="preserve">     </w:t>
      </w:r>
      <w:r>
        <w:rPr>
          <w:rFonts w:ascii="宋体" w:hAnsi="宋体" w:cs="Arial"/>
          <w:snapToGrid w:val="0"/>
          <w:kern w:val="0"/>
          <w:sz w:val="21"/>
          <w:szCs w:val="21"/>
        </w:rPr>
        <w:t>日</w:t>
      </w:r>
    </w:p>
    <w:p>
      <w:pPr>
        <w:adjustRightInd w:val="0"/>
        <w:snapToGrid w:val="0"/>
        <w:spacing w:line="360" w:lineRule="auto"/>
        <w:ind w:firstLine="420" w:firstLineChars="200"/>
        <w:rPr>
          <w:rFonts w:ascii="宋体" w:hAnsi="宋体" w:cs="Arial"/>
          <w:snapToGrid w:val="0"/>
          <w:kern w:val="0"/>
          <w:sz w:val="21"/>
          <w:szCs w:val="21"/>
        </w:rPr>
      </w:pPr>
      <w:r>
        <w:rPr>
          <w:rFonts w:ascii="宋体" w:hAnsi="宋体" w:cs="Arial"/>
          <w:snapToGrid w:val="0"/>
          <w:kern w:val="0"/>
          <w:sz w:val="21"/>
          <w:szCs w:val="21"/>
        </w:rPr>
        <w:t>附：</w:t>
      </w:r>
    </w:p>
    <w:p>
      <w:pPr>
        <w:adjustRightInd w:val="0"/>
        <w:snapToGrid w:val="0"/>
        <w:spacing w:line="360" w:lineRule="auto"/>
        <w:ind w:firstLine="420" w:firstLineChars="200"/>
        <w:rPr>
          <w:rFonts w:ascii="宋体" w:hAnsi="宋体" w:cs="Arial"/>
          <w:snapToGrid w:val="0"/>
          <w:kern w:val="0"/>
          <w:sz w:val="21"/>
          <w:szCs w:val="21"/>
        </w:rPr>
      </w:pPr>
      <w:r>
        <w:rPr>
          <w:rFonts w:ascii="宋体" w:hAnsi="宋体" w:cs="Arial"/>
          <w:snapToGrid w:val="0"/>
          <w:kern w:val="0"/>
          <w:sz w:val="21"/>
          <w:szCs w:val="21"/>
        </w:rPr>
        <w:t>法定代表人联系方式及身份证复印件</w:t>
      </w:r>
    </w:p>
    <w:p>
      <w:pPr>
        <w:adjustRightInd w:val="0"/>
        <w:snapToGrid w:val="0"/>
        <w:spacing w:line="360" w:lineRule="auto"/>
        <w:ind w:firstLine="422" w:firstLineChars="200"/>
        <w:rPr>
          <w:rFonts w:ascii="Arial" w:hAnsi="宋体" w:cs="Arial"/>
          <w:b/>
          <w:bCs/>
          <w:sz w:val="21"/>
          <w:szCs w:val="21"/>
        </w:rPr>
      </w:pPr>
      <w:r>
        <w:rPr>
          <w:rFonts w:ascii="宋体" w:hAnsi="宋体" w:cs="Arial"/>
          <w:b/>
          <w:snapToGrid w:val="0"/>
          <w:kern w:val="0"/>
          <w:sz w:val="21"/>
          <w:szCs w:val="21"/>
        </w:rPr>
        <w:t>注：法定代表人直接签署投标文件并参加投标的，在投标文件中出具此资格证明书及身份证复印件。</w:t>
      </w:r>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法定代表人授权委托书</w:t>
      </w:r>
    </w:p>
    <w:p>
      <w:pPr>
        <w:pStyle w:val="8"/>
        <w:adjustRightInd w:val="0"/>
        <w:spacing w:line="360" w:lineRule="auto"/>
        <w:ind w:firstLine="420" w:firstLineChars="200"/>
        <w:rPr>
          <w:rFonts w:ascii="Arial" w:hAnsi="Arial" w:cs="Arial"/>
          <w:sz w:val="21"/>
          <w:szCs w:val="21"/>
          <w:u w:val="single"/>
        </w:rPr>
      </w:pPr>
      <w:r>
        <w:rPr>
          <w:rFonts w:ascii="Arial" w:hAnsi="宋体" w:cs="Arial"/>
          <w:sz w:val="21"/>
          <w:szCs w:val="21"/>
          <w:u w:val="single"/>
        </w:rPr>
        <w:t>（采购人单位名称）：</w:t>
      </w:r>
    </w:p>
    <w:p>
      <w:pPr>
        <w:pStyle w:val="8"/>
        <w:adjustRightInd w:val="0"/>
        <w:spacing w:line="360" w:lineRule="auto"/>
        <w:ind w:firstLine="420" w:firstLineChars="200"/>
        <w:rPr>
          <w:rFonts w:ascii="Arial" w:hAnsi="Arial" w:cs="Arial"/>
          <w:sz w:val="21"/>
          <w:szCs w:val="21"/>
          <w:u w:val="single"/>
        </w:rPr>
      </w:pPr>
      <w:r>
        <w:rPr>
          <w:rFonts w:hint="eastAsia" w:ascii="Arial" w:hAnsi="宋体" w:cs="Arial"/>
          <w:sz w:val="21"/>
          <w:szCs w:val="21"/>
          <w:u w:val="single"/>
          <w:lang w:eastAsia="zh-CN"/>
        </w:rPr>
        <w:t>杭州好邦建筑工程咨询有限公司</w:t>
      </w:r>
      <w:r>
        <w:rPr>
          <w:rFonts w:ascii="Arial" w:hAnsi="宋体" w:cs="Arial"/>
          <w:sz w:val="21"/>
          <w:szCs w:val="21"/>
          <w:u w:val="single"/>
        </w:rPr>
        <w:t>：</w:t>
      </w:r>
    </w:p>
    <w:p>
      <w:pPr>
        <w:pStyle w:val="8"/>
        <w:spacing w:line="360" w:lineRule="auto"/>
        <w:ind w:firstLine="420" w:firstLineChars="200"/>
        <w:rPr>
          <w:rFonts w:ascii="Arial" w:hAnsi="Arial" w:cs="Arial"/>
          <w:sz w:val="21"/>
          <w:szCs w:val="21"/>
        </w:rPr>
      </w:pPr>
      <w:r>
        <w:rPr>
          <w:rFonts w:ascii="Arial" w:hAnsi="宋体" w:cs="Arial"/>
          <w:sz w:val="21"/>
          <w:szCs w:val="21"/>
        </w:rPr>
        <w:t>我以</w:t>
      </w:r>
      <w:r>
        <w:rPr>
          <w:rFonts w:ascii="Arial" w:hAnsi="Arial" w:cs="Arial"/>
          <w:sz w:val="21"/>
          <w:szCs w:val="21"/>
          <w:u w:val="single"/>
        </w:rPr>
        <w:t xml:space="preserve">        </w:t>
      </w:r>
      <w:r>
        <w:rPr>
          <w:rFonts w:ascii="Arial" w:hAnsi="宋体" w:cs="Arial"/>
          <w:sz w:val="21"/>
          <w:szCs w:val="21"/>
          <w:u w:val="single"/>
        </w:rPr>
        <w:t>（投标人全称）</w:t>
      </w:r>
      <w:r>
        <w:rPr>
          <w:rFonts w:ascii="Arial" w:hAnsi="Arial" w:cs="Arial"/>
          <w:sz w:val="21"/>
          <w:szCs w:val="21"/>
          <w:u w:val="single"/>
        </w:rPr>
        <w:t xml:space="preserve">    </w:t>
      </w:r>
      <w:r>
        <w:rPr>
          <w:rFonts w:ascii="Arial" w:hAnsi="宋体" w:cs="Arial"/>
          <w:sz w:val="21"/>
          <w:szCs w:val="21"/>
        </w:rPr>
        <w:t>法定代表人的身份授权</w:t>
      </w:r>
      <w:r>
        <w:rPr>
          <w:rFonts w:ascii="Arial" w:hAnsi="宋体" w:cs="Arial"/>
          <w:sz w:val="21"/>
          <w:szCs w:val="21"/>
          <w:u w:val="single"/>
        </w:rPr>
        <w:t>（全权代表姓名）</w:t>
      </w:r>
      <w:r>
        <w:rPr>
          <w:rFonts w:ascii="Arial" w:hAnsi="宋体" w:cs="Arial"/>
          <w:sz w:val="21"/>
          <w:szCs w:val="21"/>
        </w:rPr>
        <w:t>、</w:t>
      </w:r>
      <w:r>
        <w:rPr>
          <w:rFonts w:ascii="Arial" w:hAnsi="Arial" w:cs="Arial"/>
          <w:sz w:val="21"/>
          <w:szCs w:val="21"/>
          <w:u w:val="single"/>
        </w:rPr>
        <w:t xml:space="preserve">  </w:t>
      </w:r>
      <w:r>
        <w:rPr>
          <w:rFonts w:hint="eastAsia" w:ascii="Arial" w:hAnsi="Arial" w:cs="Arial"/>
          <w:sz w:val="21"/>
          <w:szCs w:val="21"/>
          <w:u w:val="single"/>
        </w:rPr>
        <w:t>（</w:t>
      </w:r>
      <w:r>
        <w:rPr>
          <w:rFonts w:ascii="Arial" w:hAnsi="宋体" w:cs="Arial"/>
          <w:sz w:val="21"/>
          <w:szCs w:val="21"/>
          <w:u w:val="single"/>
        </w:rPr>
        <w:t>身份证号</w:t>
      </w:r>
      <w:r>
        <w:rPr>
          <w:rFonts w:ascii="Arial" w:hAnsi="Arial" w:cs="Arial"/>
          <w:sz w:val="21"/>
          <w:szCs w:val="21"/>
          <w:u w:val="single"/>
        </w:rPr>
        <w:tab/>
      </w:r>
      <w:r>
        <w:rPr>
          <w:rFonts w:ascii="Arial" w:hAnsi="Arial" w:cs="Arial"/>
          <w:sz w:val="21"/>
          <w:szCs w:val="21"/>
          <w:u w:val="single"/>
        </w:rPr>
        <w:tab/>
      </w:r>
      <w:r>
        <w:rPr>
          <w:rFonts w:hint="eastAsia" w:ascii="Arial" w:hAnsi="Arial" w:cs="Arial"/>
          <w:sz w:val="21"/>
          <w:szCs w:val="21"/>
          <w:u w:val="single"/>
        </w:rPr>
        <w:t>）</w:t>
      </w:r>
      <w:r>
        <w:rPr>
          <w:rFonts w:ascii="Arial" w:hAnsi="Arial" w:cs="Arial"/>
          <w:sz w:val="21"/>
          <w:szCs w:val="21"/>
          <w:u w:val="single"/>
        </w:rPr>
        <w:t xml:space="preserve">   </w:t>
      </w:r>
      <w:r>
        <w:rPr>
          <w:rFonts w:ascii="Arial" w:hAnsi="宋体" w:cs="Arial"/>
          <w:sz w:val="21"/>
          <w:szCs w:val="21"/>
        </w:rPr>
        <w:t>，为我单位的全权代表，参加贵处组织的</w:t>
      </w:r>
      <w:r>
        <w:rPr>
          <w:rFonts w:hint="eastAsia" w:ascii="Arial" w:hAnsi="宋体" w:cs="Arial"/>
          <w:sz w:val="21"/>
          <w:szCs w:val="21"/>
          <w:u w:val="single"/>
        </w:rPr>
        <w:t xml:space="preserve">  </w:t>
      </w:r>
      <w:r>
        <w:rPr>
          <w:rFonts w:ascii="Arial" w:hAnsi="宋体" w:cs="Arial"/>
          <w:sz w:val="21"/>
          <w:szCs w:val="21"/>
          <w:u w:val="single"/>
        </w:rPr>
        <w:t>（项目名称）</w:t>
      </w:r>
      <w:r>
        <w:rPr>
          <w:rFonts w:hint="eastAsia" w:ascii="Arial" w:hAnsi="宋体" w:cs="Arial"/>
          <w:sz w:val="21"/>
          <w:szCs w:val="21"/>
          <w:u w:val="single"/>
        </w:rPr>
        <w:t xml:space="preserve"> </w:t>
      </w:r>
      <w:r>
        <w:rPr>
          <w:rFonts w:ascii="Arial" w:hAnsi="宋体" w:cs="Arial"/>
          <w:sz w:val="21"/>
          <w:szCs w:val="21"/>
        </w:rPr>
        <w:t>（</w:t>
      </w:r>
      <w:r>
        <w:rPr>
          <w:rFonts w:ascii="Arial" w:hAnsi="宋体" w:cs="Arial"/>
          <w:sz w:val="21"/>
          <w:szCs w:val="21"/>
          <w:u w:val="single"/>
        </w:rPr>
        <w:t>招标项目编号</w:t>
      </w:r>
      <w:r>
        <w:rPr>
          <w:rFonts w:ascii="Arial" w:hAnsi="宋体" w:cs="Arial"/>
          <w:sz w:val="21"/>
          <w:szCs w:val="21"/>
        </w:rPr>
        <w:t>）</w:t>
      </w:r>
      <w:r>
        <w:rPr>
          <w:rFonts w:hint="eastAsia" w:ascii="Arial" w:hAnsi="宋体" w:cs="Arial"/>
          <w:sz w:val="21"/>
          <w:szCs w:val="21"/>
          <w:u w:val="single"/>
        </w:rPr>
        <w:t xml:space="preserve">  （标项内容）</w:t>
      </w:r>
      <w:r>
        <w:rPr>
          <w:rFonts w:ascii="Arial" w:hAnsi="宋体" w:cs="Arial"/>
          <w:sz w:val="21"/>
          <w:szCs w:val="21"/>
        </w:rPr>
        <w:t>的招标，签署本项目相关投标文件并全权处理投标活动中的一切事宜。我单位承认全权代表</w:t>
      </w:r>
      <w:r>
        <w:rPr>
          <w:rFonts w:hint="eastAsia" w:ascii="Arial" w:hAnsi="宋体" w:cs="Arial"/>
          <w:sz w:val="21"/>
          <w:szCs w:val="21"/>
        </w:rPr>
        <w:t>做</w:t>
      </w:r>
      <w:r>
        <w:rPr>
          <w:rFonts w:ascii="Arial" w:hAnsi="宋体" w:cs="Arial"/>
          <w:sz w:val="21"/>
          <w:szCs w:val="21"/>
        </w:rPr>
        <w:t>出的与本项目招投标活动有关的全部行为。</w:t>
      </w:r>
    </w:p>
    <w:p>
      <w:pPr>
        <w:pStyle w:val="8"/>
        <w:spacing w:line="360" w:lineRule="auto"/>
        <w:ind w:firstLine="420" w:firstLineChars="200"/>
        <w:rPr>
          <w:rFonts w:ascii="Arial" w:hAnsi="Arial" w:cs="Arial"/>
          <w:sz w:val="21"/>
          <w:szCs w:val="21"/>
        </w:rPr>
      </w:pPr>
      <w:r>
        <w:rPr>
          <w:rFonts w:ascii="Arial" w:hAnsi="宋体" w:cs="Arial"/>
          <w:sz w:val="21"/>
          <w:szCs w:val="21"/>
        </w:rPr>
        <w:t>投标人全称（盖单位公章）：</w:t>
      </w:r>
    </w:p>
    <w:p>
      <w:pPr>
        <w:pStyle w:val="8"/>
        <w:spacing w:line="360" w:lineRule="auto"/>
        <w:ind w:firstLine="420" w:firstLineChars="200"/>
        <w:rPr>
          <w:rFonts w:ascii="Arial" w:hAnsi="Arial" w:cs="Arial"/>
          <w:sz w:val="21"/>
          <w:szCs w:val="21"/>
        </w:rPr>
      </w:pPr>
      <w:r>
        <w:rPr>
          <w:rFonts w:ascii="Arial" w:hAnsi="宋体" w:cs="Arial"/>
          <w:sz w:val="21"/>
          <w:szCs w:val="21"/>
        </w:rPr>
        <w:t>法定代表人（签字或盖章）：</w:t>
      </w:r>
    </w:p>
    <w:p>
      <w:pPr>
        <w:pStyle w:val="8"/>
        <w:spacing w:line="360" w:lineRule="auto"/>
        <w:ind w:firstLine="420" w:firstLineChars="200"/>
        <w:rPr>
          <w:rFonts w:ascii="Arial" w:hAnsi="Arial" w:cs="Arial"/>
          <w:sz w:val="21"/>
          <w:szCs w:val="21"/>
        </w:rPr>
      </w:pPr>
      <w:r>
        <w:rPr>
          <w:rFonts w:ascii="Arial" w:hAnsi="宋体" w:cs="Arial"/>
          <w:sz w:val="21"/>
          <w:szCs w:val="21"/>
        </w:rPr>
        <w:t>电话：</w:t>
      </w:r>
    </w:p>
    <w:p>
      <w:pPr>
        <w:pStyle w:val="8"/>
        <w:spacing w:line="360" w:lineRule="auto"/>
        <w:ind w:firstLine="420" w:firstLineChars="200"/>
        <w:rPr>
          <w:rFonts w:ascii="Arial" w:hAnsi="Arial" w:cs="Arial"/>
          <w:sz w:val="21"/>
          <w:szCs w:val="21"/>
        </w:rPr>
      </w:pPr>
      <w:r>
        <w:rPr>
          <w:rFonts w:ascii="Arial" w:hAnsi="宋体" w:cs="Arial"/>
          <w:sz w:val="21"/>
          <w:szCs w:val="21"/>
        </w:rPr>
        <w:t>日期：</w:t>
      </w:r>
    </w:p>
    <w:p>
      <w:pPr>
        <w:pStyle w:val="8"/>
        <w:spacing w:line="360" w:lineRule="auto"/>
        <w:ind w:firstLine="480"/>
        <w:rPr>
          <w:rFonts w:ascii="Arial" w:hAnsi="Arial" w:cs="Arial"/>
          <w:sz w:val="21"/>
          <w:szCs w:val="21"/>
        </w:rPr>
      </w:pPr>
      <w:r>
        <w:rPr>
          <w:rFonts w:ascii="Arial" w:hAnsi="宋体" w:cs="Arial"/>
          <w:sz w:val="21"/>
          <w:szCs w:val="21"/>
        </w:rPr>
        <w:t>附：</w:t>
      </w:r>
    </w:p>
    <w:p>
      <w:pPr>
        <w:pStyle w:val="8"/>
        <w:spacing w:line="360" w:lineRule="auto"/>
        <w:ind w:firstLine="480"/>
        <w:rPr>
          <w:rFonts w:ascii="Arial" w:hAnsi="Arial" w:cs="Arial"/>
          <w:sz w:val="21"/>
          <w:szCs w:val="21"/>
        </w:rPr>
      </w:pPr>
      <w:r>
        <w:rPr>
          <w:rFonts w:ascii="Arial" w:hAnsi="宋体" w:cs="Arial"/>
          <w:sz w:val="21"/>
          <w:szCs w:val="21"/>
        </w:rPr>
        <w:t>全权代表姓名：</w:t>
      </w:r>
      <w:r>
        <w:rPr>
          <w:rFonts w:ascii="Arial" w:hAnsi="Arial" w:cs="Arial"/>
          <w:sz w:val="21"/>
          <w:szCs w:val="21"/>
        </w:rPr>
        <w:t xml:space="preserve">     </w:t>
      </w:r>
      <w:r>
        <w:rPr>
          <w:rFonts w:ascii="Arial" w:hAnsi="宋体" w:cs="Arial"/>
          <w:sz w:val="21"/>
          <w:szCs w:val="21"/>
        </w:rPr>
        <w:t>身份证号码：</w:t>
      </w:r>
      <w:r>
        <w:rPr>
          <w:rFonts w:ascii="Arial" w:hAnsi="Arial" w:cs="Arial"/>
          <w:sz w:val="21"/>
          <w:szCs w:val="21"/>
        </w:rPr>
        <w:t xml:space="preserve">      </w:t>
      </w:r>
      <w:r>
        <w:rPr>
          <w:rFonts w:ascii="Arial" w:hAnsi="宋体" w:cs="Arial"/>
          <w:sz w:val="21"/>
          <w:szCs w:val="21"/>
        </w:rPr>
        <w:t>职</w:t>
      </w:r>
      <w:r>
        <w:rPr>
          <w:rFonts w:ascii="Arial" w:hAnsi="Arial" w:cs="Arial"/>
          <w:sz w:val="21"/>
          <w:szCs w:val="21"/>
        </w:rPr>
        <w:t xml:space="preserve">  </w:t>
      </w:r>
      <w:r>
        <w:rPr>
          <w:rFonts w:ascii="Arial" w:hAnsi="宋体" w:cs="Arial"/>
          <w:sz w:val="21"/>
          <w:szCs w:val="21"/>
        </w:rPr>
        <w:t>务：</w:t>
      </w:r>
      <w:r>
        <w:rPr>
          <w:rFonts w:ascii="Arial" w:hAnsi="Arial" w:cs="Arial"/>
          <w:sz w:val="21"/>
          <w:szCs w:val="21"/>
        </w:rPr>
        <w:t xml:space="preserve">         </w:t>
      </w:r>
      <w:r>
        <w:rPr>
          <w:rFonts w:ascii="Arial" w:hAnsi="宋体" w:cs="Arial"/>
          <w:sz w:val="21"/>
          <w:szCs w:val="21"/>
        </w:rPr>
        <w:t>电</w:t>
      </w:r>
      <w:r>
        <w:rPr>
          <w:rFonts w:ascii="Arial" w:hAnsi="Arial" w:cs="Arial"/>
          <w:sz w:val="21"/>
          <w:szCs w:val="21"/>
        </w:rPr>
        <w:t xml:space="preserve">  </w:t>
      </w:r>
      <w:r>
        <w:rPr>
          <w:rFonts w:ascii="Arial" w:hAnsi="宋体" w:cs="Arial"/>
          <w:sz w:val="21"/>
          <w:szCs w:val="21"/>
        </w:rPr>
        <w:t>话：</w:t>
      </w:r>
    </w:p>
    <w:p>
      <w:pPr>
        <w:spacing w:line="360" w:lineRule="auto"/>
        <w:ind w:firstLine="422" w:firstLineChars="200"/>
        <w:rPr>
          <w:rFonts w:ascii="Arial" w:hAnsi="Arial" w:cs="Arial"/>
          <w:b/>
          <w:sz w:val="21"/>
          <w:szCs w:val="21"/>
        </w:rPr>
      </w:pPr>
      <w:r>
        <w:rPr>
          <w:rFonts w:ascii="Arial" w:hAnsi="宋体" w:cs="Arial"/>
          <w:b/>
          <w:sz w:val="21"/>
          <w:szCs w:val="21"/>
        </w:rPr>
        <w:t>全权代表身份证复印件：</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outlineLvl w:val="9"/>
        <w:rPr>
          <w:rFonts w:ascii="Arial" w:hAnsi="Arial" w:cs="Arial"/>
          <w:b/>
          <w:sz w:val="21"/>
          <w:szCs w:val="21"/>
        </w:rPr>
      </w:pPr>
      <w:r>
        <w:rPr>
          <w:rFonts w:ascii="Arial" w:hAnsi="宋体" w:cs="Arial"/>
          <w:b/>
          <w:sz w:val="21"/>
          <w:szCs w:val="21"/>
        </w:rPr>
        <w:t>注：法定代表人授权其公司员工签署及参加投标的，在投标文件中同时出具法定代表人资格证明书及</w:t>
      </w:r>
      <w:r>
        <w:rPr>
          <w:rFonts w:hint="eastAsia" w:ascii="Arial" w:hAnsi="宋体" w:cs="Arial"/>
          <w:b/>
          <w:sz w:val="21"/>
          <w:szCs w:val="21"/>
        </w:rPr>
        <w:t>此</w:t>
      </w:r>
      <w:r>
        <w:rPr>
          <w:rFonts w:ascii="Arial" w:hAnsi="宋体" w:cs="Arial"/>
          <w:b/>
          <w:sz w:val="21"/>
          <w:szCs w:val="21"/>
        </w:rPr>
        <w:t>授权书，并附身份证复印件。</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outlineLvl w:val="9"/>
        <w:rPr>
          <w:rFonts w:ascii="Arial" w:hAnsi="宋体" w:cs="Arial"/>
          <w:b/>
          <w:sz w:val="21"/>
          <w:szCs w:val="21"/>
        </w:rPr>
      </w:pPr>
      <w:r>
        <w:rPr>
          <w:rFonts w:ascii="Arial" w:hAnsi="宋体" w:cs="Arial"/>
          <w:b/>
          <w:sz w:val="21"/>
          <w:szCs w:val="21"/>
        </w:rPr>
        <w:t>投标文件格式中所提到的投标文件签署人是指以上两文件确定的签署人员。</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outlineLvl w:val="9"/>
        <w:rPr>
          <w:rFonts w:ascii="Arial" w:hAnsi="Arial" w:cs="Arial"/>
          <w:b/>
          <w:sz w:val="21"/>
          <w:szCs w:val="21"/>
        </w:rPr>
      </w:pPr>
      <w:r>
        <w:rPr>
          <w:rFonts w:ascii="Arial" w:hAnsi="Arial" w:cs="Arial"/>
          <w:b/>
          <w:sz w:val="21"/>
          <w:szCs w:val="21"/>
        </w:rPr>
        <w:t>如参加开标并在开评标过程中签署文件的人员与投标文件签署人不一致，须另行提供授权书。</w:t>
      </w:r>
    </w:p>
    <w:p>
      <w:pPr>
        <w:spacing w:after="0" w:line="200"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366" w:lineRule="exact"/>
        <w:jc w:val="center"/>
        <w:rPr>
          <w:rFonts w:hint="eastAsia" w:ascii="宋体" w:hAnsi="宋体" w:eastAsia="宋体" w:cs="宋体"/>
          <w:b/>
          <w:bCs/>
          <w:color w:val="auto"/>
          <w:sz w:val="28"/>
          <w:szCs w:val="28"/>
          <w:lang w:val="en-US" w:eastAsia="zh-CN"/>
        </w:rPr>
      </w:pPr>
      <w:bookmarkStart w:id="577" w:name="page77"/>
      <w:bookmarkEnd w:id="577"/>
      <w:r>
        <w:rPr>
          <w:rFonts w:hint="eastAsia" w:ascii="宋体" w:hAnsi="宋体" w:eastAsia="宋体" w:cs="宋体"/>
          <w:b/>
          <w:bCs/>
          <w:color w:val="auto"/>
          <w:sz w:val="28"/>
          <w:szCs w:val="28"/>
          <w:lang w:val="en-US" w:eastAsia="zh-CN"/>
        </w:rPr>
        <w:t>二、磋商保证金</w:t>
      </w:r>
    </w:p>
    <w:p>
      <w:pPr>
        <w:spacing w:after="0" w:line="153" w:lineRule="exact"/>
        <w:rPr>
          <w:color w:val="auto"/>
          <w:sz w:val="20"/>
          <w:szCs w:val="20"/>
        </w:rPr>
      </w:pPr>
    </w:p>
    <w:p>
      <w:pPr>
        <w:spacing w:after="0" w:line="255" w:lineRule="exact"/>
        <w:ind w:right="6"/>
        <w:jc w:val="center"/>
        <w:rPr>
          <w:rFonts w:ascii="宋体" w:hAnsi="宋体" w:eastAsia="宋体" w:cs="宋体"/>
          <w:b/>
          <w:bCs/>
          <w:color w:val="auto"/>
          <w:sz w:val="21"/>
          <w:szCs w:val="21"/>
        </w:rPr>
      </w:pPr>
    </w:p>
    <w:p>
      <w:pPr>
        <w:spacing w:after="0" w:line="255" w:lineRule="exact"/>
        <w:ind w:right="6"/>
        <w:jc w:val="center"/>
        <w:rPr>
          <w:color w:val="auto"/>
          <w:sz w:val="20"/>
          <w:szCs w:val="20"/>
        </w:rPr>
      </w:pPr>
      <w:r>
        <w:rPr>
          <w:rFonts w:ascii="宋体" w:hAnsi="宋体" w:eastAsia="宋体" w:cs="宋体"/>
          <w:b/>
          <w:bCs/>
          <w:color w:val="auto"/>
          <w:sz w:val="21"/>
          <w:szCs w:val="21"/>
        </w:rPr>
        <w:t>按</w:t>
      </w:r>
      <w:r>
        <w:rPr>
          <w:rFonts w:ascii="Arial" w:hAnsi="Arial" w:eastAsia="Arial" w:cs="Arial"/>
          <w:b/>
          <w:bCs/>
          <w:color w:val="auto"/>
          <w:sz w:val="21"/>
          <w:szCs w:val="21"/>
        </w:rPr>
        <w:t>“</w:t>
      </w:r>
      <w:r>
        <w:rPr>
          <w:rFonts w:ascii="宋体" w:hAnsi="宋体" w:eastAsia="宋体" w:cs="宋体"/>
          <w:b/>
          <w:bCs/>
          <w:color w:val="auto"/>
          <w:sz w:val="21"/>
          <w:szCs w:val="21"/>
        </w:rPr>
        <w:t>供应商须知前附表</w:t>
      </w:r>
      <w:r>
        <w:rPr>
          <w:rFonts w:ascii="Arial" w:hAnsi="Arial" w:eastAsia="Arial" w:cs="Arial"/>
          <w:b/>
          <w:bCs/>
          <w:color w:val="auto"/>
          <w:sz w:val="21"/>
          <w:szCs w:val="21"/>
        </w:rPr>
        <w:t>”</w:t>
      </w:r>
      <w:r>
        <w:rPr>
          <w:rFonts w:ascii="宋体" w:hAnsi="宋体" w:eastAsia="宋体" w:cs="宋体"/>
          <w:b/>
          <w:bCs/>
          <w:color w:val="auto"/>
          <w:sz w:val="21"/>
          <w:szCs w:val="21"/>
        </w:rPr>
        <w:t>规定提供磋商保证金缴纳凭证</w:t>
      </w:r>
    </w:p>
    <w:p>
      <w:pPr>
        <w:spacing w:after="0" w:line="168" w:lineRule="exact"/>
        <w:rPr>
          <w:color w:val="auto"/>
          <w:sz w:val="20"/>
          <w:szCs w:val="20"/>
        </w:rPr>
      </w:pPr>
    </w:p>
    <w:p>
      <w:pPr>
        <w:spacing w:after="0" w:line="240" w:lineRule="exact"/>
        <w:ind w:right="-13"/>
        <w:jc w:val="center"/>
        <w:rPr>
          <w:color w:val="auto"/>
          <w:sz w:val="20"/>
          <w:szCs w:val="20"/>
        </w:rPr>
      </w:pPr>
      <w:r>
        <w:rPr>
          <w:rFonts w:ascii="宋体" w:hAnsi="宋体" w:eastAsia="宋体" w:cs="宋体"/>
          <w:b/>
          <w:bCs/>
          <w:color w:val="auto"/>
          <w:sz w:val="21"/>
          <w:szCs w:val="21"/>
        </w:rPr>
        <w:t>（采购代理机构出具的收据复印件或银行缴纳凭证复印件）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366" w:lineRule="exact"/>
        <w:jc w:val="center"/>
        <w:rPr>
          <w:rFonts w:hint="eastAsia" w:ascii="宋体" w:hAnsi="宋体" w:eastAsia="宋体" w:cs="宋体"/>
          <w:b/>
          <w:bCs/>
          <w:color w:val="auto"/>
          <w:sz w:val="28"/>
          <w:szCs w:val="28"/>
          <w:lang w:val="en-US" w:eastAsia="zh-CN"/>
        </w:rPr>
      </w:pPr>
      <w:bookmarkStart w:id="578" w:name="page78"/>
      <w:bookmarkEnd w:id="578"/>
      <w:r>
        <w:rPr>
          <w:rFonts w:hint="eastAsia" w:ascii="宋体" w:hAnsi="宋体" w:eastAsia="宋体" w:cs="宋体"/>
          <w:b/>
          <w:bCs/>
          <w:color w:val="auto"/>
          <w:sz w:val="28"/>
          <w:szCs w:val="28"/>
          <w:lang w:val="en-US" w:eastAsia="zh-CN"/>
        </w:rPr>
        <w:t>三、资格审查资料</w:t>
      </w:r>
    </w:p>
    <w:p>
      <w:pPr>
        <w:spacing w:after="0" w:line="33" w:lineRule="exact"/>
        <w:rPr>
          <w:color w:val="auto"/>
          <w:sz w:val="20"/>
          <w:szCs w:val="20"/>
        </w:rPr>
      </w:pPr>
    </w:p>
    <w:p>
      <w:pPr>
        <w:spacing w:after="0" w:line="258"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b/>
          <w:bCs/>
          <w:color w:val="auto"/>
          <w:sz w:val="20"/>
          <w:szCs w:val="20"/>
        </w:rPr>
      </w:pPr>
      <w:r>
        <w:rPr>
          <w:rFonts w:ascii="宋体" w:hAnsi="宋体" w:eastAsia="宋体" w:cs="宋体"/>
          <w:b/>
          <w:bCs/>
          <w:color w:val="auto"/>
          <w:sz w:val="21"/>
          <w:szCs w:val="21"/>
        </w:rPr>
        <w:t>（一）资格审查须知</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Arial" w:hAnsi="Arial" w:eastAsia="Arial" w:cs="Arial"/>
          <w:color w:val="auto"/>
          <w:sz w:val="21"/>
          <w:szCs w:val="21"/>
        </w:rPr>
        <w:t>1</w:t>
      </w:r>
      <w:r>
        <w:rPr>
          <w:rFonts w:ascii="宋体" w:hAnsi="宋体" w:eastAsia="宋体" w:cs="宋体"/>
          <w:color w:val="auto"/>
          <w:sz w:val="21"/>
          <w:szCs w:val="21"/>
        </w:rPr>
        <w:t>、供应商必须认真填写竞争性磋商文件规定的所有表格，并对其真实性负责，招标人</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有权对其进行调查核实和要求澄清。</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Arial" w:hAnsi="Arial" w:eastAsia="Arial" w:cs="Arial"/>
          <w:color w:val="auto"/>
          <w:sz w:val="21"/>
          <w:szCs w:val="21"/>
        </w:rPr>
        <w:t>2</w:t>
      </w:r>
      <w:r>
        <w:rPr>
          <w:rFonts w:ascii="宋体" w:hAnsi="宋体" w:eastAsia="宋体" w:cs="宋体"/>
          <w:color w:val="auto"/>
          <w:sz w:val="21"/>
          <w:szCs w:val="21"/>
        </w:rPr>
        <w:t>、资格审查按通过和不通过两种方式进行评定，供应商的资格等方面的要求作为资格</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1"/>
          <w:szCs w:val="21"/>
        </w:rPr>
      </w:pPr>
      <w:r>
        <w:rPr>
          <w:rFonts w:ascii="宋体" w:hAnsi="宋体" w:eastAsia="宋体" w:cs="宋体"/>
          <w:color w:val="auto"/>
          <w:sz w:val="21"/>
          <w:szCs w:val="21"/>
        </w:rPr>
        <w:t>审查通过的强制性资格条件，经核实有一项不符合要求，则供应商的资格为不通过，不通过</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的供应商对其响应文件不进行后续评审。</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b/>
          <w:bCs/>
          <w:color w:val="auto"/>
          <w:sz w:val="20"/>
          <w:szCs w:val="20"/>
        </w:rPr>
      </w:pPr>
      <w:r>
        <w:rPr>
          <w:rFonts w:ascii="宋体" w:hAnsi="宋体" w:eastAsia="宋体" w:cs="宋体"/>
          <w:b/>
          <w:bCs/>
          <w:color w:val="auto"/>
          <w:sz w:val="21"/>
          <w:szCs w:val="21"/>
        </w:rPr>
        <w:t>（二）资格审查资料格式</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附件一 强制性资格条件</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附件二 基本资格条件审查资料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240" w:lineRule="exact"/>
        <w:ind w:left="900"/>
        <w:rPr>
          <w:b/>
          <w:bCs/>
          <w:color w:val="auto"/>
          <w:sz w:val="20"/>
          <w:szCs w:val="20"/>
        </w:rPr>
      </w:pPr>
      <w:bookmarkStart w:id="579" w:name="page79"/>
      <w:bookmarkEnd w:id="579"/>
      <w:r>
        <w:rPr>
          <w:rFonts w:ascii="宋体" w:hAnsi="宋体" w:eastAsia="宋体" w:cs="宋体"/>
          <w:b/>
          <w:bCs/>
          <w:color w:val="auto"/>
          <w:sz w:val="21"/>
          <w:szCs w:val="21"/>
        </w:rPr>
        <w:t>附件一：强制性资格条件</w:t>
      </w:r>
    </w:p>
    <w:p>
      <w:pPr>
        <w:spacing w:after="0" w:line="149" w:lineRule="exact"/>
        <w:rPr>
          <w:color w:val="auto"/>
          <w:sz w:val="20"/>
          <w:szCs w:val="20"/>
        </w:rPr>
      </w:pPr>
    </w:p>
    <w:tbl>
      <w:tblPr>
        <w:tblStyle w:val="21"/>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Layout w:type="fixed"/>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1"/>
                <w:szCs w:val="21"/>
              </w:rPr>
            </w:pPr>
          </w:p>
        </w:tc>
        <w:tc>
          <w:tcPr>
            <w:tcW w:w="4300" w:type="dxa"/>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1"/>
                <w:szCs w:val="21"/>
              </w:rPr>
            </w:pPr>
          </w:p>
        </w:tc>
        <w:tc>
          <w:tcPr>
            <w:tcW w:w="2690" w:type="dxa"/>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供应商对能达到</w:t>
            </w:r>
          </w:p>
        </w:tc>
        <w:tc>
          <w:tcPr>
            <w:tcW w:w="2280" w:type="dxa"/>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证明资料附后</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序号</w:t>
            </w: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强制性资格条件</w:t>
            </w:r>
          </w:p>
        </w:tc>
        <w:tc>
          <w:tcPr>
            <w:tcW w:w="269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程度的简述</w:t>
            </w: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69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（复印件加盖公章）</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69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（供应商填写）</w:t>
            </w: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69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1"/>
                <w:szCs w:val="11"/>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94"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b/>
                <w:bCs/>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b/>
                <w:bCs/>
                <w:color w:val="auto"/>
                <w:sz w:val="21"/>
                <w:szCs w:val="21"/>
              </w:rPr>
              <w:t>一</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b/>
                <w:bCs/>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b/>
                <w:bCs/>
                <w:color w:val="auto"/>
                <w:sz w:val="21"/>
                <w:szCs w:val="21"/>
              </w:rPr>
              <w:t>企业资质要求</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7"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8"/>
                <w:szCs w:val="8"/>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eastAsia" w:eastAsiaTheme="minorEastAsia"/>
                <w:color w:val="auto"/>
                <w:sz w:val="19"/>
                <w:szCs w:val="19"/>
                <w:lang w:val="en-US" w:eastAsia="zh-CN"/>
              </w:rPr>
            </w:pPr>
            <w:r>
              <w:rPr>
                <w:rFonts w:hint="eastAsia"/>
                <w:color w:val="auto"/>
                <w:sz w:val="19"/>
                <w:szCs w:val="19"/>
                <w:lang w:val="en-US" w:eastAsia="zh-CN"/>
              </w:rPr>
              <w:t>1</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FF0000"/>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FF0000"/>
                <w:sz w:val="20"/>
                <w:szCs w:val="20"/>
              </w:rPr>
            </w:pPr>
            <w:r>
              <w:rPr>
                <w:rFonts w:hint="eastAsia" w:ascii="宋体" w:hAnsi="宋体" w:eastAsia="宋体" w:cs="宋体"/>
                <w:color w:val="auto"/>
                <w:sz w:val="21"/>
                <w:szCs w:val="21"/>
              </w:rPr>
              <w:t>具备建筑装修装饰工程专业承包贰级及以上资质和消防设施工程专业承包贰级及以上资质</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建筑机电安装工程专业承包叁级及以上</w:t>
            </w:r>
            <w:r>
              <w:rPr>
                <w:rFonts w:hint="eastAsia" w:ascii="宋体" w:hAnsi="宋体" w:eastAsia="宋体" w:cs="宋体"/>
                <w:color w:val="auto"/>
                <w:sz w:val="21"/>
                <w:szCs w:val="21"/>
                <w:lang w:val="en-US" w:eastAsia="zh-CN"/>
              </w:rPr>
              <w:t>资质</w:t>
            </w:r>
            <w:r>
              <w:rPr>
                <w:rFonts w:hint="eastAsia" w:ascii="宋体" w:hAnsi="宋体" w:eastAsia="宋体" w:cs="宋体"/>
                <w:color w:val="auto"/>
                <w:sz w:val="21"/>
                <w:szCs w:val="21"/>
              </w:rPr>
              <w:t>；</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FF0000"/>
                <w:sz w:val="21"/>
                <w:szCs w:val="21"/>
              </w:rPr>
            </w:pPr>
            <w:r>
              <w:rPr>
                <w:rFonts w:ascii="宋体" w:hAnsi="宋体" w:eastAsia="宋体" w:cs="宋体"/>
                <w:color w:val="FF0000"/>
                <w:sz w:val="21"/>
                <w:szCs w:val="21"/>
              </w:rPr>
              <w:t>资质证书</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4"/>
                <w:szCs w:val="1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305"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2</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FF0000"/>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hint="eastAsia" w:ascii="宋体" w:hAnsi="宋体" w:eastAsia="宋体" w:cs="宋体"/>
                <w:color w:val="auto"/>
                <w:sz w:val="21"/>
                <w:szCs w:val="21"/>
                <w:lang w:val="en-US" w:eastAsia="zh-CN"/>
              </w:rPr>
              <w:t>拟任项目经理具备建筑工程注册建造师二级及以上资格</w:t>
            </w:r>
            <w:r>
              <w:rPr>
                <w:rFonts w:ascii="宋体" w:hAnsi="宋体" w:eastAsia="宋体" w:cs="宋体"/>
                <w:color w:val="auto"/>
                <w:sz w:val="21"/>
                <w:szCs w:val="21"/>
              </w:rPr>
              <w:t>；</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建造师执业注册证书</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7"/>
                <w:szCs w:val="7"/>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3</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符合《中华人民共和国政府采购法》第二十二条的规定；</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color w:val="auto"/>
                <w:w w:val="99"/>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见附件二</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20"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3"/>
                <w:szCs w:val="13"/>
              </w:rPr>
            </w:pP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3"/>
                <w:szCs w:val="13"/>
              </w:rPr>
            </w:pP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3"/>
                <w:szCs w:val="13"/>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4</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参加采购活动前三年内，在经营活动中没有重大违法</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宋体" w:hAnsi="宋体" w:eastAsia="宋体" w:cs="宋体"/>
                <w:color w:val="auto"/>
                <w:w w:val="99"/>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内容见承诺书</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记录</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0"/>
                <w:szCs w:val="10"/>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
                <w:szCs w:val="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供应商未被列入失信被执行人名单、重大税收违法案</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9"/>
                <w:szCs w:val="19"/>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Arial" w:cs="Arial"/>
                <w:color w:val="auto"/>
                <w:w w:val="85"/>
                <w:sz w:val="21"/>
                <w:szCs w:val="21"/>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Arial" w:hAnsi="Arial" w:eastAsia="Arial" w:cs="Arial"/>
                <w:color w:val="auto"/>
                <w:w w:val="85"/>
                <w:sz w:val="21"/>
                <w:szCs w:val="21"/>
              </w:rPr>
              <w:t>5</w:t>
            </w:r>
          </w:p>
        </w:tc>
        <w:tc>
          <w:tcPr>
            <w:tcW w:w="430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w w:val="97"/>
                <w:sz w:val="21"/>
                <w:szCs w:val="21"/>
              </w:rPr>
              <w:t>件当事人名单、政府采购严重违法失信行为记录名单，</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3"/>
                <w:szCs w:val="23"/>
              </w:rPr>
            </w:pPr>
          </w:p>
        </w:tc>
        <w:tc>
          <w:tcPr>
            <w:tcW w:w="228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sz w:val="21"/>
                <w:szCs w:val="21"/>
              </w:rPr>
              <w:t>以采购代理机构开标</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430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w w:val="95"/>
                <w:sz w:val="21"/>
                <w:szCs w:val="21"/>
              </w:rPr>
              <w:t>信用信息以信用中国网站（</w:t>
            </w:r>
            <w:r>
              <w:rPr>
                <w:rFonts w:ascii="Arial" w:hAnsi="Arial" w:eastAsia="Arial" w:cs="Arial"/>
                <w:color w:val="auto"/>
                <w:w w:val="95"/>
                <w:sz w:val="21"/>
                <w:szCs w:val="21"/>
              </w:rPr>
              <w:t>www.creditchina.gov.cn</w:t>
            </w:r>
            <w:r>
              <w:rPr>
                <w:rFonts w:ascii="宋体" w:hAnsi="宋体" w:eastAsia="宋体" w:cs="宋体"/>
                <w:color w:val="auto"/>
                <w:w w:val="95"/>
                <w:sz w:val="21"/>
                <w:szCs w:val="21"/>
              </w:rPr>
              <w:t>）、</w:t>
            </w: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280" w:type="dxa"/>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0"/>
                <w:szCs w:val="20"/>
              </w:rPr>
            </w:pPr>
            <w:r>
              <w:rPr>
                <w:rFonts w:ascii="宋体" w:hAnsi="宋体" w:eastAsia="宋体" w:cs="宋体"/>
                <w:color w:val="auto"/>
                <w:w w:val="99"/>
                <w:sz w:val="21"/>
                <w:szCs w:val="21"/>
              </w:rPr>
              <w:t>前网页查询为准</w:t>
            </w: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430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690" w:type="dxa"/>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2280" w:type="dxa"/>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2"/>
                <w:szCs w:val="12"/>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r>
        <w:tblPrEx>
          <w:tblLayout w:type="fixed"/>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430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00"/>
              <w:jc w:val="center"/>
              <w:textAlignment w:val="auto"/>
              <w:outlineLvl w:val="9"/>
              <w:rPr>
                <w:color w:val="auto"/>
                <w:sz w:val="20"/>
                <w:szCs w:val="20"/>
              </w:rPr>
            </w:pPr>
            <w:r>
              <w:rPr>
                <w:rFonts w:ascii="宋体" w:hAnsi="宋体" w:eastAsia="宋体" w:cs="宋体"/>
                <w:color w:val="auto"/>
                <w:sz w:val="21"/>
                <w:szCs w:val="21"/>
              </w:rPr>
              <w:t>中国政府采购网（</w:t>
            </w:r>
            <w:r>
              <w:rPr>
                <w:rFonts w:ascii="Arial" w:hAnsi="Arial" w:eastAsia="Arial" w:cs="Arial"/>
                <w:color w:val="auto"/>
                <w:sz w:val="21"/>
                <w:szCs w:val="21"/>
              </w:rPr>
              <w:t>www.ccgp.gov.cn</w:t>
            </w:r>
            <w:r>
              <w:rPr>
                <w:rFonts w:ascii="宋体" w:hAnsi="宋体" w:eastAsia="宋体" w:cs="宋体"/>
                <w:color w:val="auto"/>
                <w:sz w:val="21"/>
                <w:szCs w:val="21"/>
              </w:rPr>
              <w:t>）公布为准；</w:t>
            </w:r>
          </w:p>
        </w:tc>
        <w:tc>
          <w:tcPr>
            <w:tcW w:w="269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2280" w:type="dxa"/>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24"/>
                <w:szCs w:val="24"/>
              </w:rPr>
            </w:pPr>
          </w:p>
        </w:tc>
        <w:tc>
          <w:tcPr>
            <w:tcW w:w="3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line="255" w:lineRule="exact"/>
        <w:ind w:left="1320"/>
        <w:rPr>
          <w:color w:val="auto"/>
          <w:sz w:val="20"/>
          <w:szCs w:val="20"/>
        </w:rPr>
      </w:pPr>
      <w:r>
        <w:rPr>
          <w:rFonts w:ascii="宋体" w:hAnsi="宋体" w:eastAsia="宋体" w:cs="宋体"/>
          <w:b/>
          <w:bCs/>
          <w:color w:val="auto"/>
          <w:sz w:val="21"/>
          <w:szCs w:val="21"/>
        </w:rPr>
        <w:t>注：</w:t>
      </w:r>
      <w:r>
        <w:rPr>
          <w:rFonts w:ascii="Arial" w:hAnsi="Arial" w:eastAsia="Arial" w:cs="Arial"/>
          <w:b/>
          <w:bCs/>
          <w:color w:val="auto"/>
          <w:sz w:val="21"/>
          <w:szCs w:val="21"/>
        </w:rPr>
        <w:t>1</w:t>
      </w:r>
      <w:r>
        <w:rPr>
          <w:rFonts w:ascii="宋体" w:hAnsi="宋体" w:eastAsia="宋体" w:cs="宋体"/>
          <w:b/>
          <w:bCs/>
          <w:color w:val="auto"/>
          <w:sz w:val="21"/>
          <w:szCs w:val="21"/>
        </w:rPr>
        <w:t>、证明材料复印件需齐全，不得缺页，否则证明无效，加盖公章。</w:t>
      </w:r>
    </w:p>
    <w:p>
      <w:pPr>
        <w:spacing w:after="0" w:line="156" w:lineRule="exact"/>
        <w:rPr>
          <w:color w:val="auto"/>
          <w:sz w:val="20"/>
          <w:szCs w:val="20"/>
        </w:rPr>
      </w:pPr>
    </w:p>
    <w:p>
      <w:pPr>
        <w:spacing w:after="0" w:line="255" w:lineRule="exact"/>
        <w:ind w:left="1320"/>
        <w:rPr>
          <w:color w:val="auto"/>
          <w:sz w:val="20"/>
          <w:szCs w:val="20"/>
        </w:rPr>
      </w:pPr>
      <w:r>
        <w:rPr>
          <w:rFonts w:ascii="Arial" w:hAnsi="Arial" w:eastAsia="Arial" w:cs="Arial"/>
          <w:b/>
          <w:bCs/>
          <w:color w:val="auto"/>
          <w:sz w:val="21"/>
          <w:szCs w:val="21"/>
        </w:rPr>
        <w:t>2</w:t>
      </w:r>
      <w:r>
        <w:rPr>
          <w:rFonts w:ascii="宋体" w:hAnsi="宋体" w:eastAsia="宋体" w:cs="宋体"/>
          <w:b/>
          <w:bCs/>
          <w:color w:val="auto"/>
          <w:sz w:val="21"/>
          <w:szCs w:val="21"/>
        </w:rPr>
        <w:t>、证明材料因具备充分性，与要求相对应，否则由此产生的责任和风险投标人承担。</w:t>
      </w:r>
    </w:p>
    <w:p>
      <w:pPr>
        <w:spacing w:after="0" w:line="200" w:lineRule="exact"/>
        <w:rPr>
          <w:color w:val="auto"/>
          <w:sz w:val="20"/>
          <w:szCs w:val="20"/>
        </w:rPr>
      </w:pPr>
    </w:p>
    <w:p>
      <w:pPr>
        <w:spacing w:after="0" w:line="315" w:lineRule="exact"/>
        <w:rPr>
          <w:color w:val="auto"/>
          <w:sz w:val="20"/>
          <w:szCs w:val="20"/>
        </w:rPr>
      </w:pPr>
    </w:p>
    <w:p>
      <w:pPr>
        <w:spacing w:after="0" w:line="240" w:lineRule="exact"/>
        <w:ind w:left="900"/>
        <w:rPr>
          <w:color w:val="auto"/>
          <w:sz w:val="20"/>
          <w:szCs w:val="20"/>
        </w:rPr>
      </w:pPr>
      <w:r>
        <w:rPr>
          <w:rFonts w:ascii="宋体" w:hAnsi="宋体" w:eastAsia="宋体" w:cs="宋体"/>
          <w:color w:val="auto"/>
          <w:sz w:val="21"/>
          <w:szCs w:val="21"/>
        </w:rPr>
        <w:t>供应商全称（盖单位公章）：</w:t>
      </w:r>
    </w:p>
    <w:p>
      <w:pPr>
        <w:spacing w:after="0" w:line="168" w:lineRule="exact"/>
        <w:rPr>
          <w:color w:val="auto"/>
          <w:sz w:val="20"/>
          <w:szCs w:val="20"/>
        </w:rPr>
      </w:pPr>
    </w:p>
    <w:p>
      <w:pPr>
        <w:spacing w:after="0" w:line="240" w:lineRule="exact"/>
        <w:ind w:left="900"/>
        <w:rPr>
          <w:color w:val="auto"/>
          <w:sz w:val="20"/>
          <w:szCs w:val="20"/>
        </w:rPr>
      </w:pPr>
      <w:r>
        <w:rPr>
          <w:rFonts w:ascii="宋体" w:hAnsi="宋体" w:eastAsia="宋体" w:cs="宋体"/>
          <w:color w:val="auto"/>
          <w:sz w:val="21"/>
          <w:szCs w:val="21"/>
        </w:rPr>
        <w:t>响应文件签署人（签字或盖章）：</w:t>
      </w:r>
    </w:p>
    <w:p>
      <w:pPr>
        <w:spacing w:after="0" w:line="168" w:lineRule="exact"/>
        <w:rPr>
          <w:color w:val="auto"/>
          <w:sz w:val="20"/>
          <w:szCs w:val="20"/>
        </w:rPr>
      </w:pPr>
    </w:p>
    <w:p>
      <w:pPr>
        <w:spacing w:after="0" w:line="240" w:lineRule="exact"/>
        <w:ind w:left="900"/>
        <w:rPr>
          <w:color w:val="auto"/>
          <w:sz w:val="20"/>
          <w:szCs w:val="20"/>
        </w:rPr>
      </w:pPr>
      <w:r>
        <w:rPr>
          <w:rFonts w:ascii="宋体" w:hAnsi="宋体" w:eastAsia="宋体" w:cs="宋体"/>
          <w:color w:val="auto"/>
          <w:sz w:val="21"/>
          <w:szCs w:val="21"/>
        </w:rPr>
        <w:t>日期：</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106" w:bottom="158" w:left="900" w:header="567" w:footer="567" w:gutter="0"/>
          <w:pgBorders>
            <w:top w:val="none" w:sz="0" w:space="0"/>
            <w:left w:val="none" w:sz="0" w:space="0"/>
            <w:bottom w:val="none" w:sz="0" w:space="0"/>
            <w:right w:val="none" w:sz="0" w:space="0"/>
          </w:pgBorders>
          <w:pgNumType w:fmt="decimal"/>
          <w:cols w:equalWidth="0" w:num="1">
            <w:col w:w="9900"/>
          </w:cols>
        </w:sectPr>
      </w:pPr>
    </w:p>
    <w:p>
      <w:pPr>
        <w:spacing w:after="0" w:line="240" w:lineRule="exact"/>
        <w:jc w:val="left"/>
        <w:rPr>
          <w:b/>
          <w:bCs/>
          <w:color w:val="auto"/>
          <w:sz w:val="20"/>
          <w:szCs w:val="20"/>
        </w:rPr>
      </w:pPr>
      <w:bookmarkStart w:id="580" w:name="page80"/>
      <w:bookmarkEnd w:id="580"/>
      <w:r>
        <w:rPr>
          <w:rFonts w:ascii="宋体" w:hAnsi="宋体" w:eastAsia="宋体" w:cs="宋体"/>
          <w:b/>
          <w:bCs/>
          <w:color w:val="auto"/>
          <w:sz w:val="21"/>
          <w:szCs w:val="21"/>
        </w:rPr>
        <w:t>附件二：基本资格条件审查资料</w:t>
      </w:r>
    </w:p>
    <w:p>
      <w:pPr>
        <w:spacing w:after="0" w:line="200" w:lineRule="exact"/>
        <w:rPr>
          <w:color w:val="auto"/>
          <w:sz w:val="20"/>
          <w:szCs w:val="20"/>
        </w:rPr>
      </w:pP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1</w:t>
      </w:r>
      <w:r>
        <w:rPr>
          <w:rFonts w:hint="eastAsia" w:asciiTheme="minorEastAsia" w:hAnsiTheme="minorEastAsia" w:eastAsiaTheme="minorEastAsia" w:cstheme="minorEastAsia"/>
          <w:spacing w:val="-6"/>
          <w:sz w:val="21"/>
          <w:szCs w:val="21"/>
        </w:rPr>
        <w:t>）有效的法人或者其他组织的营业执照等证明文件（复印件加盖公章），自然人的身份证明；</w:t>
      </w: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pacing w:val="-6"/>
          <w:sz w:val="21"/>
          <w:szCs w:val="21"/>
        </w:rPr>
        <w:t>）最近六个月任意一月依法缴纳税收的证明材料；（依法免税的磋商响应供应商，应提供相应文件证明其依法免税）</w:t>
      </w: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eastAsiaTheme="minorEastAsia" w:cstheme="minorEastAsia"/>
          <w:spacing w:val="-6"/>
          <w:sz w:val="21"/>
          <w:szCs w:val="21"/>
        </w:rPr>
        <w:t>）最近六个月任意一月依法缴社会保障资金的证明材料；（依法不需要缴纳社会保障资金的磋商响应供应商，应提供相应文件证明其依法不需要缴纳社会保障资金）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ascii="宋体" w:hAnsi="宋体" w:eastAsia="宋体" w:cs="宋体"/>
          <w:color w:val="auto"/>
          <w:sz w:val="21"/>
          <w:szCs w:val="21"/>
        </w:rPr>
        <w:t>）具有履行合同所必需的设备和专业技术能力的承诺函；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）参加政府采购活动前 3 年内在经营活动中没有重大违法记录的声明函；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b/>
          <w:bCs/>
          <w:color w:val="auto"/>
          <w:sz w:val="28"/>
          <w:szCs w:val="28"/>
        </w:rPr>
      </w:pPr>
      <w:r>
        <w:rPr>
          <w:rFonts w:ascii="宋体" w:hAnsi="宋体" w:eastAsia="宋体" w:cs="宋体"/>
          <w:b/>
          <w:bCs/>
          <w:color w:val="auto"/>
          <w:sz w:val="28"/>
          <w:szCs w:val="28"/>
        </w:rPr>
        <w:t>具有履行合同所必需的设备和专业技术能力的承诺函</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u w:val="single" w:color="auto"/>
        </w:rPr>
        <w:t>（采购人）</w:t>
      </w:r>
      <w:r>
        <w:rPr>
          <w:rFonts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我方</w:t>
      </w:r>
      <w:r>
        <w:rPr>
          <w:rFonts w:hint="eastAsia" w:ascii="宋体" w:hAnsi="宋体" w:eastAsia="宋体" w:cs="宋体"/>
          <w:color w:val="auto"/>
          <w:sz w:val="21"/>
          <w:szCs w:val="21"/>
          <w:u w:val="single"/>
          <w:lang w:val="en-US" w:eastAsia="zh-CN"/>
        </w:rPr>
        <w:t xml:space="preserve">            </w:t>
      </w:r>
      <w:r>
        <w:rPr>
          <w:rFonts w:ascii="宋体" w:hAnsi="宋体" w:eastAsia="宋体" w:cs="宋体"/>
          <w:color w:val="auto"/>
          <w:sz w:val="21"/>
          <w:szCs w:val="21"/>
        </w:rPr>
        <w:t>承诺具有履行合同所必需的设备和专业技术能力。如有虚假，采购人可取消我方任何资格（投标</w:t>
      </w:r>
      <w:r>
        <w:rPr>
          <w:rFonts w:ascii="Arial" w:hAnsi="Arial" w:eastAsia="Arial" w:cs="Arial"/>
          <w:color w:val="auto"/>
          <w:sz w:val="21"/>
          <w:szCs w:val="21"/>
        </w:rPr>
        <w:t>/</w:t>
      </w:r>
      <w:r>
        <w:rPr>
          <w:rFonts w:ascii="宋体" w:hAnsi="宋体" w:eastAsia="宋体" w:cs="宋体"/>
          <w:color w:val="auto"/>
          <w:sz w:val="21"/>
          <w:szCs w:val="21"/>
        </w:rPr>
        <w:t>中标</w:t>
      </w:r>
      <w:r>
        <w:rPr>
          <w:rFonts w:ascii="Arial" w:hAnsi="Arial" w:eastAsia="Arial" w:cs="Arial"/>
          <w:color w:val="auto"/>
          <w:sz w:val="21"/>
          <w:szCs w:val="21"/>
        </w:rPr>
        <w:t>/</w:t>
      </w:r>
      <w:r>
        <w:rPr>
          <w:rFonts w:ascii="宋体" w:hAnsi="宋体" w:eastAsia="宋体" w:cs="宋体"/>
          <w:color w:val="auto"/>
          <w:sz w:val="21"/>
          <w:szCs w:val="21"/>
        </w:rPr>
        <w:t>签订合同），我方对此无任何异议。</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特此承诺！</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供应商名称（盖章） ：</w:t>
      </w: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法定代表人或其授权代表（签字或盖章）：</w:t>
      </w:r>
    </w:p>
    <w:p>
      <w:pPr>
        <w:keepNext w:val="0"/>
        <w:keepLines w:val="0"/>
        <w:pageBreakBefore w:val="0"/>
        <w:widowControl/>
        <w:tabs>
          <w:tab w:val="left" w:pos="1920"/>
          <w:tab w:val="left" w:pos="2340"/>
          <w:tab w:val="left" w:pos="2760"/>
        </w:tabs>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日期：</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ab/>
      </w:r>
      <w:r>
        <w:rPr>
          <w:rFonts w:ascii="宋体" w:hAnsi="宋体" w:eastAsia="宋体" w:cs="宋体"/>
          <w:color w:val="auto"/>
          <w:sz w:val="21"/>
          <w:szCs w:val="21"/>
        </w:rPr>
        <w:t>月</w:t>
      </w:r>
      <w:r>
        <w:rPr>
          <w:color w:val="auto"/>
          <w:sz w:val="20"/>
          <w:szCs w:val="20"/>
        </w:rPr>
        <w:tab/>
      </w:r>
      <w:r>
        <w:rPr>
          <w:rFonts w:hint="eastAsia"/>
          <w:color w:val="auto"/>
          <w:sz w:val="20"/>
          <w:szCs w:val="20"/>
          <w:lang w:val="en-US" w:eastAsia="zh-CN"/>
        </w:rPr>
        <w:t xml:space="preserve"> </w:t>
      </w:r>
      <w:r>
        <w:rPr>
          <w:rFonts w:ascii="宋体" w:hAnsi="宋体" w:eastAsia="宋体" w:cs="宋体"/>
          <w:color w:val="auto"/>
          <w:sz w:val="20"/>
          <w:szCs w:val="20"/>
        </w:rPr>
        <w:t>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366" w:lineRule="exact"/>
        <w:jc w:val="center"/>
        <w:rPr>
          <w:rFonts w:hint="eastAsia" w:ascii="宋体" w:hAnsi="宋体" w:eastAsia="宋体" w:cs="宋体"/>
          <w:b/>
          <w:bCs/>
          <w:color w:val="auto"/>
          <w:sz w:val="28"/>
          <w:szCs w:val="28"/>
          <w:lang w:val="en-US" w:eastAsia="zh-CN"/>
        </w:rPr>
      </w:pPr>
      <w:bookmarkStart w:id="581" w:name="page81"/>
      <w:bookmarkEnd w:id="581"/>
      <w:r>
        <w:rPr>
          <w:rFonts w:hint="eastAsia" w:ascii="宋体" w:hAnsi="宋体" w:eastAsia="宋体" w:cs="宋体"/>
          <w:b/>
          <w:bCs/>
          <w:color w:val="auto"/>
          <w:sz w:val="28"/>
          <w:szCs w:val="28"/>
          <w:lang w:val="en-US" w:eastAsia="zh-CN"/>
        </w:rPr>
        <w:t>没有重大违法记录承诺函</w:t>
      </w:r>
    </w:p>
    <w:p>
      <w:pPr>
        <w:spacing w:after="0" w:line="375"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left="360" w:firstLine="210" w:firstLineChars="100"/>
        <w:textAlignment w:val="auto"/>
        <w:outlineLvl w:val="9"/>
        <w:rPr>
          <w:color w:val="auto"/>
          <w:sz w:val="20"/>
          <w:szCs w:val="20"/>
        </w:rPr>
      </w:pPr>
      <w:r>
        <w:rPr>
          <w:rFonts w:ascii="宋体" w:hAnsi="宋体" w:eastAsia="宋体" w:cs="宋体"/>
          <w:color w:val="auto"/>
          <w:sz w:val="21"/>
          <w:szCs w:val="21"/>
          <w:u w:val="single" w:color="auto"/>
        </w:rPr>
        <w:t>（采购人）：</w:t>
      </w:r>
    </w:p>
    <w:p>
      <w:pPr>
        <w:keepNext w:val="0"/>
        <w:keepLines w:val="0"/>
        <w:pageBreakBefore w:val="0"/>
        <w:widowControl/>
        <w:kinsoku/>
        <w:wordWrap/>
        <w:overflowPunct/>
        <w:topLinePunct w:val="0"/>
        <w:autoSpaceDE/>
        <w:autoSpaceDN/>
        <w:bidi w:val="0"/>
        <w:adjustRightInd/>
        <w:snapToGrid/>
        <w:spacing w:after="0" w:line="360" w:lineRule="auto"/>
        <w:ind w:right="346" w:firstLine="630" w:firstLineChars="300"/>
        <w:jc w:val="both"/>
        <w:textAlignment w:val="auto"/>
        <w:outlineLvl w:val="9"/>
        <w:rPr>
          <w:rFonts w:ascii="宋体" w:hAnsi="宋体" w:eastAsia="宋体" w:cs="宋体"/>
          <w:color w:val="auto"/>
          <w:sz w:val="21"/>
          <w:szCs w:val="21"/>
        </w:rPr>
      </w:pPr>
      <w:r>
        <w:rPr>
          <w:rFonts w:ascii="宋体" w:hAnsi="宋体" w:eastAsia="宋体" w:cs="宋体"/>
          <w:color w:val="auto"/>
          <w:sz w:val="21"/>
          <w:szCs w:val="21"/>
        </w:rPr>
        <w:t>我方</w:t>
      </w:r>
      <w:r>
        <w:rPr>
          <w:rFonts w:ascii="宋体" w:hAnsi="宋体" w:eastAsia="宋体" w:cs="宋体"/>
          <w:color w:val="auto"/>
          <w:sz w:val="21"/>
          <w:szCs w:val="21"/>
          <w:u w:val="single" w:color="auto"/>
        </w:rPr>
        <w:t>（供应商）</w:t>
      </w:r>
      <w:r>
        <w:rPr>
          <w:rFonts w:ascii="宋体" w:hAnsi="宋体" w:eastAsia="宋体" w:cs="宋体"/>
          <w:color w:val="auto"/>
          <w:sz w:val="21"/>
          <w:szCs w:val="21"/>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keepNext w:val="0"/>
        <w:keepLines w:val="0"/>
        <w:pageBreakBefore w:val="0"/>
        <w:widowControl/>
        <w:kinsoku/>
        <w:wordWrap/>
        <w:overflowPunct/>
        <w:topLinePunct w:val="0"/>
        <w:autoSpaceDE/>
        <w:autoSpaceDN/>
        <w:bidi w:val="0"/>
        <w:adjustRightInd/>
        <w:snapToGrid/>
        <w:spacing w:after="0" w:line="360" w:lineRule="auto"/>
        <w:ind w:right="346" w:firstLine="630" w:firstLineChars="300"/>
        <w:jc w:val="both"/>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right="346" w:firstLine="630" w:firstLineChars="300"/>
        <w:jc w:val="both"/>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780"/>
        <w:textAlignment w:val="auto"/>
        <w:outlineLvl w:val="9"/>
        <w:rPr>
          <w:color w:val="auto"/>
          <w:sz w:val="20"/>
          <w:szCs w:val="20"/>
        </w:rPr>
      </w:pPr>
      <w:r>
        <w:rPr>
          <w:rFonts w:ascii="宋体" w:hAnsi="宋体" w:eastAsia="宋体" w:cs="宋体"/>
          <w:color w:val="auto"/>
          <w:sz w:val="21"/>
          <w:szCs w:val="21"/>
        </w:rPr>
        <w:t>特此承诺！</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rFonts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供应商全称（盖单位公章）：</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响应文件签署人（签字或盖章）：</w:t>
      </w:r>
    </w:p>
    <w:p>
      <w:pPr>
        <w:keepNext w:val="0"/>
        <w:keepLines w:val="0"/>
        <w:pageBreakBefore w:val="0"/>
        <w:widowControl/>
        <w:kinsoku/>
        <w:wordWrap/>
        <w:overflowPunct/>
        <w:topLinePunct w:val="0"/>
        <w:autoSpaceDE/>
        <w:autoSpaceDN/>
        <w:bidi w:val="0"/>
        <w:adjustRightInd/>
        <w:snapToGrid/>
        <w:spacing w:after="0" w:line="360" w:lineRule="auto"/>
        <w:ind w:left="360"/>
        <w:textAlignment w:val="auto"/>
        <w:outlineLvl w:val="9"/>
        <w:rPr>
          <w:color w:val="auto"/>
          <w:sz w:val="20"/>
          <w:szCs w:val="20"/>
        </w:rPr>
      </w:pPr>
      <w:r>
        <w:rPr>
          <w:rFonts w:ascii="宋体" w:hAnsi="宋体" w:eastAsia="宋体" w:cs="宋体"/>
          <w:color w:val="auto"/>
          <w:sz w:val="21"/>
          <w:szCs w:val="21"/>
        </w:rPr>
        <w:t>日期：</w:t>
      </w:r>
    </w:p>
    <w:p/>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360" w:lineRule="auto"/>
        <w:ind w:left="360"/>
        <w:jc w:val="center"/>
        <w:textAlignment w:val="auto"/>
        <w:outlineLvl w:val="9"/>
        <w:rPr>
          <w:rFonts w:ascii="宋体" w:hAnsi="宋体" w:eastAsia="宋体" w:cs="宋体"/>
          <w:b/>
          <w:bCs/>
          <w:color w:val="auto"/>
          <w:sz w:val="28"/>
          <w:szCs w:val="28"/>
        </w:rPr>
      </w:pPr>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四、声明函</w:t>
      </w:r>
    </w:p>
    <w:p>
      <w:pPr>
        <w:spacing w:line="360" w:lineRule="auto"/>
        <w:rPr>
          <w:rFonts w:hint="eastAsia" w:ascii="宋体" w:hAnsi="宋体"/>
          <w:spacing w:val="-6"/>
          <w:sz w:val="21"/>
          <w:szCs w:val="21"/>
        </w:rPr>
      </w:pPr>
    </w:p>
    <w:p>
      <w:pPr>
        <w:spacing w:line="360" w:lineRule="auto"/>
        <w:rPr>
          <w:rFonts w:hint="eastAsia" w:ascii="宋体" w:hAnsi="宋体"/>
          <w:spacing w:val="-6"/>
          <w:sz w:val="21"/>
          <w:szCs w:val="21"/>
        </w:rPr>
      </w:pPr>
      <w:r>
        <w:rPr>
          <w:rFonts w:hint="eastAsia" w:ascii="宋体" w:hAnsi="宋体"/>
          <w:spacing w:val="-6"/>
          <w:sz w:val="21"/>
          <w:szCs w:val="21"/>
        </w:rPr>
        <w:t>致：</w:t>
      </w:r>
      <w:r>
        <w:rPr>
          <w:rFonts w:hint="eastAsia" w:ascii="宋体" w:hAnsi="宋体"/>
          <w:spacing w:val="-6"/>
          <w:sz w:val="21"/>
          <w:szCs w:val="21"/>
          <w:u w:val="single"/>
        </w:rPr>
        <w:t>杭州好邦建筑工程咨询有限公司</w:t>
      </w:r>
      <w:r>
        <w:rPr>
          <w:rFonts w:hint="eastAsia" w:ascii="宋体" w:hAnsi="宋体"/>
          <w:spacing w:val="-6"/>
          <w:sz w:val="21"/>
          <w:szCs w:val="21"/>
        </w:rPr>
        <w:t>：</w:t>
      </w:r>
    </w:p>
    <w:p>
      <w:pPr>
        <w:spacing w:line="360" w:lineRule="auto"/>
        <w:ind w:firstLine="594" w:firstLineChars="300"/>
        <w:rPr>
          <w:rFonts w:hint="eastAsia" w:ascii="宋体" w:hAnsi="宋体"/>
          <w:spacing w:val="-6"/>
          <w:sz w:val="21"/>
          <w:szCs w:val="21"/>
        </w:rPr>
      </w:pPr>
      <w:r>
        <w:rPr>
          <w:rFonts w:hint="eastAsia" w:ascii="宋体" w:hAnsi="宋体"/>
          <w:spacing w:val="-6"/>
          <w:sz w:val="21"/>
          <w:szCs w:val="21"/>
          <w:u w:val="single"/>
        </w:rPr>
        <w:t xml:space="preserve">                                   </w:t>
      </w:r>
      <w:r>
        <w:rPr>
          <w:rFonts w:hint="eastAsia" w:ascii="宋体" w:hAnsi="宋体"/>
          <w:spacing w:val="-6"/>
          <w:sz w:val="21"/>
          <w:szCs w:val="21"/>
        </w:rPr>
        <w:t>（磋商响应供应商名称）系中华人民共和国合法企业，经营地址</w:t>
      </w:r>
      <w:r>
        <w:rPr>
          <w:rFonts w:hint="eastAsia" w:ascii="宋体" w:hAnsi="宋体"/>
          <w:spacing w:val="-6"/>
          <w:sz w:val="21"/>
          <w:szCs w:val="21"/>
          <w:u w:val="single"/>
        </w:rPr>
        <w:t xml:space="preserve">                               </w:t>
      </w:r>
      <w:r>
        <w:rPr>
          <w:rFonts w:hint="eastAsia" w:ascii="宋体" w:hAnsi="宋体"/>
          <w:spacing w:val="-6"/>
          <w:sz w:val="21"/>
          <w:szCs w:val="21"/>
        </w:rPr>
        <w:t>。</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我方愿意参加贵方组织的</w:t>
      </w:r>
      <w:r>
        <w:rPr>
          <w:rFonts w:hint="eastAsia" w:ascii="宋体" w:hAnsi="宋体"/>
          <w:bCs/>
          <w:spacing w:val="-6"/>
          <w:sz w:val="21"/>
          <w:szCs w:val="21"/>
          <w:u w:val="single"/>
          <w:lang w:eastAsia="zh-CN"/>
        </w:rPr>
        <w:t>校园建设和管理处象山20号楼地下车库改造项目</w:t>
      </w:r>
      <w:r>
        <w:rPr>
          <w:rFonts w:hint="eastAsia" w:ascii="宋体" w:hAnsi="宋体"/>
          <w:spacing w:val="-6"/>
          <w:sz w:val="21"/>
          <w:szCs w:val="21"/>
        </w:rPr>
        <w:t>的磋商响应，为便于贵方公正、择优地确定成交供应商及其磋商响应产品和服务，我方就本次磋商有关事项郑重声明如下：</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1、我方向贵方提交的所有响应文件、资料都是准确的和真实的；</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2、我方不是采购人的附属机构；在获知本项目采购信息后，与采购人聘请的为此项目提供咨询服务的公司及其附属机构没有任何联系。</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3、我方最近三年内的被公开披露或查处的违法违规行为有：</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　</w:t>
      </w:r>
      <w:r>
        <w:rPr>
          <w:rFonts w:hint="eastAsia" w:ascii="宋体" w:hAnsi="宋体"/>
          <w:spacing w:val="-6"/>
          <w:sz w:val="21"/>
          <w:szCs w:val="21"/>
          <w:u w:val="single"/>
          <w:lang w:val="en-US" w:eastAsia="zh-CN"/>
        </w:rPr>
        <w:t xml:space="preserve">                                                                     ；</w:t>
      </w:r>
      <w:r>
        <w:rPr>
          <w:rFonts w:hint="eastAsia" w:ascii="宋体" w:hAnsi="宋体"/>
          <w:spacing w:val="-6"/>
          <w:sz w:val="21"/>
          <w:szCs w:val="21"/>
        </w:rPr>
        <w:t>　　　　　　　　　　　　　　　　　　　　　　　　　　</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　　　　　　　　　　　　　　　　　　　　　　　　　　　</w:t>
      </w:r>
    </w:p>
    <w:p>
      <w:pPr>
        <w:spacing w:line="360" w:lineRule="auto"/>
        <w:ind w:firstLine="396" w:firstLineChars="200"/>
        <w:rPr>
          <w:rFonts w:hint="eastAsia" w:ascii="宋体" w:hAnsi="宋体"/>
          <w:spacing w:val="-6"/>
          <w:sz w:val="21"/>
          <w:szCs w:val="21"/>
        </w:rPr>
      </w:pPr>
      <w:r>
        <w:rPr>
          <w:rFonts w:hint="eastAsia" w:ascii="宋体" w:hAnsi="宋体"/>
          <w:spacing w:val="-6"/>
          <w:sz w:val="21"/>
          <w:szCs w:val="21"/>
        </w:rPr>
        <w:t>4、以上事项如有虚假或隐瞒，我方愿意承担一切后果和责任。</w:t>
      </w:r>
    </w:p>
    <w:p>
      <w:pPr>
        <w:pStyle w:val="22"/>
        <w:spacing w:line="360" w:lineRule="auto"/>
        <w:rPr>
          <w:rFonts w:hint="eastAsia" w:ascii="宋体" w:hAnsi="宋体"/>
          <w:spacing w:val="-6"/>
          <w:sz w:val="21"/>
          <w:szCs w:val="21"/>
        </w:rPr>
      </w:pPr>
    </w:p>
    <w:p>
      <w:pPr>
        <w:pStyle w:val="22"/>
        <w:spacing w:line="360" w:lineRule="auto"/>
        <w:rPr>
          <w:rFonts w:hint="eastAsia" w:ascii="宋体" w:hAnsi="宋体"/>
          <w:spacing w:val="-6"/>
          <w:sz w:val="21"/>
          <w:szCs w:val="21"/>
        </w:rPr>
      </w:pPr>
    </w:p>
    <w:p>
      <w:pPr>
        <w:spacing w:line="360" w:lineRule="auto"/>
        <w:rPr>
          <w:rFonts w:hint="eastAsia" w:ascii="宋体" w:hAnsi="宋体"/>
          <w:spacing w:val="-6"/>
          <w:sz w:val="21"/>
          <w:szCs w:val="21"/>
        </w:rPr>
      </w:pPr>
      <w:r>
        <w:rPr>
          <w:rFonts w:hint="eastAsia" w:ascii="宋体" w:hAnsi="宋体"/>
          <w:spacing w:val="-6"/>
          <w:sz w:val="21"/>
          <w:szCs w:val="21"/>
        </w:rPr>
        <w:t xml:space="preserve">磋商响应供应商名称（盖章）： </w:t>
      </w:r>
    </w:p>
    <w:p>
      <w:pPr>
        <w:spacing w:line="360" w:lineRule="auto"/>
        <w:rPr>
          <w:rFonts w:hint="eastAsia" w:ascii="宋体" w:hAnsi="宋体"/>
          <w:spacing w:val="-6"/>
          <w:sz w:val="21"/>
          <w:szCs w:val="21"/>
        </w:rPr>
      </w:pPr>
      <w:r>
        <w:rPr>
          <w:rFonts w:hint="eastAsia" w:ascii="宋体" w:hAnsi="宋体"/>
          <w:spacing w:val="-6"/>
          <w:sz w:val="21"/>
          <w:szCs w:val="21"/>
        </w:rPr>
        <w:t>授权代表签字：</w:t>
      </w:r>
    </w:p>
    <w:p>
      <w:pPr>
        <w:spacing w:line="360" w:lineRule="auto"/>
        <w:rPr>
          <w:rFonts w:hint="eastAsia" w:ascii="宋体" w:hAnsi="宋体"/>
          <w:spacing w:val="-6"/>
          <w:sz w:val="21"/>
          <w:szCs w:val="21"/>
        </w:rPr>
      </w:pPr>
      <w:r>
        <w:rPr>
          <w:rFonts w:hint="eastAsia" w:ascii="宋体" w:hAnsi="宋体"/>
          <w:bCs/>
          <w:spacing w:val="-6"/>
          <w:sz w:val="21"/>
          <w:szCs w:val="21"/>
        </w:rPr>
        <w:t>日期：  年  月  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
    <w:p/>
    <w:p/>
    <w:p/>
    <w:p/>
    <w:p/>
    <w:p/>
    <w:p/>
    <w:p/>
    <w:p/>
    <w:p/>
    <w:p/>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五、公司基本情况介绍</w:t>
      </w:r>
    </w:p>
    <w:p>
      <w:pPr>
        <w:spacing w:line="360" w:lineRule="auto"/>
        <w:rPr>
          <w:rFonts w:ascii="宋体" w:hAnsi="宋体"/>
          <w:spacing w:val="-6"/>
        </w:rPr>
      </w:pPr>
    </w:p>
    <w:tbl>
      <w:tblPr>
        <w:tblStyle w:val="21"/>
        <w:tblW w:w="836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1</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2</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3</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4</w:t>
            </w:r>
          </w:p>
        </w:tc>
        <w:tc>
          <w:tcPr>
            <w:tcW w:w="3801" w:type="dxa"/>
            <w:gridSpan w:val="2"/>
            <w:noWrap w:val="0"/>
            <w:vAlign w:val="center"/>
          </w:tcPr>
          <w:p>
            <w:pPr>
              <w:spacing w:line="360" w:lineRule="auto"/>
              <w:rPr>
                <w:rFonts w:ascii="宋体" w:hAnsi="宋体"/>
                <w:spacing w:val="-6"/>
                <w:sz w:val="24"/>
              </w:rPr>
            </w:pPr>
            <w:r>
              <w:rPr>
                <w:rFonts w:hint="eastAsia" w:ascii="宋体" w:hAnsi="宋体"/>
                <w:spacing w:val="-6"/>
                <w:sz w:val="24"/>
              </w:rPr>
              <w:t>电话：</w:t>
            </w:r>
          </w:p>
        </w:tc>
        <w:tc>
          <w:tcPr>
            <w:tcW w:w="3828" w:type="dxa"/>
            <w:noWrap w:val="0"/>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5</w:t>
            </w:r>
          </w:p>
        </w:tc>
        <w:tc>
          <w:tcPr>
            <w:tcW w:w="3801" w:type="dxa"/>
            <w:gridSpan w:val="2"/>
            <w:noWrap w:val="0"/>
            <w:vAlign w:val="center"/>
          </w:tcPr>
          <w:p>
            <w:pPr>
              <w:spacing w:line="360" w:lineRule="auto"/>
              <w:rPr>
                <w:rFonts w:ascii="宋体" w:hAnsi="宋体"/>
                <w:spacing w:val="-6"/>
                <w:sz w:val="24"/>
              </w:rPr>
            </w:pPr>
            <w:r>
              <w:rPr>
                <w:rFonts w:hint="eastAsia" w:ascii="宋体" w:hAnsi="宋体"/>
                <w:spacing w:val="-6"/>
                <w:sz w:val="24"/>
              </w:rPr>
              <w:t>传真：</w:t>
            </w:r>
          </w:p>
        </w:tc>
        <w:tc>
          <w:tcPr>
            <w:tcW w:w="3828" w:type="dxa"/>
            <w:noWrap w:val="0"/>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6</w:t>
            </w:r>
          </w:p>
        </w:tc>
        <w:tc>
          <w:tcPr>
            <w:tcW w:w="3801" w:type="dxa"/>
            <w:gridSpan w:val="2"/>
            <w:noWrap w:val="0"/>
            <w:vAlign w:val="center"/>
          </w:tcPr>
          <w:p>
            <w:pPr>
              <w:spacing w:line="360" w:lineRule="auto"/>
              <w:rPr>
                <w:rFonts w:ascii="宋体" w:hAnsi="宋体"/>
                <w:spacing w:val="-6"/>
                <w:sz w:val="24"/>
              </w:rPr>
            </w:pPr>
            <w:r>
              <w:rPr>
                <w:rFonts w:hint="eastAsia" w:ascii="宋体" w:hAnsi="宋体"/>
                <w:spacing w:val="-6"/>
                <w:sz w:val="24"/>
              </w:rPr>
              <w:t>注册地：</w:t>
            </w:r>
          </w:p>
        </w:tc>
        <w:tc>
          <w:tcPr>
            <w:tcW w:w="3828" w:type="dxa"/>
            <w:noWrap w:val="0"/>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7</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8</w:t>
            </w:r>
          </w:p>
        </w:tc>
        <w:tc>
          <w:tcPr>
            <w:tcW w:w="7629" w:type="dxa"/>
            <w:gridSpan w:val="3"/>
            <w:noWrap w:val="0"/>
            <w:vAlign w:val="center"/>
          </w:tcPr>
          <w:p>
            <w:pPr>
              <w:spacing w:line="360" w:lineRule="auto"/>
              <w:rPr>
                <w:rFonts w:ascii="宋体" w:hAnsi="宋体"/>
                <w:spacing w:val="-6"/>
                <w:sz w:val="24"/>
              </w:rPr>
            </w:pPr>
            <w:r>
              <w:rPr>
                <w:rFonts w:hint="eastAsia" w:ascii="宋体" w:hAnsi="宋体"/>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9</w:t>
            </w:r>
          </w:p>
        </w:tc>
        <w:tc>
          <w:tcPr>
            <w:tcW w:w="2520" w:type="dxa"/>
            <w:noWrap w:val="0"/>
            <w:vAlign w:val="center"/>
          </w:tcPr>
          <w:p>
            <w:pPr>
              <w:spacing w:line="360" w:lineRule="auto"/>
              <w:rPr>
                <w:rFonts w:ascii="宋体" w:hAnsi="宋体"/>
                <w:spacing w:val="-6"/>
                <w:sz w:val="24"/>
              </w:rPr>
            </w:pPr>
            <w:r>
              <w:rPr>
                <w:rFonts w:hint="eastAsia" w:ascii="宋体" w:hAnsi="宋体"/>
                <w:spacing w:val="-6"/>
                <w:sz w:val="24"/>
              </w:rPr>
              <w:t>作为承包人经历年数：</w:t>
            </w:r>
          </w:p>
        </w:tc>
        <w:tc>
          <w:tcPr>
            <w:tcW w:w="5109" w:type="dxa"/>
            <w:gridSpan w:val="2"/>
            <w:noWrap w:val="0"/>
            <w:vAlign w:val="center"/>
          </w:tcPr>
          <w:p>
            <w:pPr>
              <w:spacing w:line="360" w:lineRule="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noWrap w:val="0"/>
            <w:vAlign w:val="center"/>
          </w:tcPr>
          <w:p>
            <w:pPr>
              <w:spacing w:line="360" w:lineRule="auto"/>
              <w:jc w:val="center"/>
              <w:rPr>
                <w:rFonts w:ascii="宋体" w:hAnsi="宋体"/>
                <w:spacing w:val="-6"/>
                <w:sz w:val="24"/>
              </w:rPr>
            </w:pPr>
            <w:r>
              <w:rPr>
                <w:rFonts w:hint="eastAsia" w:ascii="宋体" w:hAnsi="宋体"/>
                <w:spacing w:val="-6"/>
                <w:sz w:val="24"/>
              </w:rPr>
              <w:t>10</w:t>
            </w:r>
          </w:p>
        </w:tc>
        <w:tc>
          <w:tcPr>
            <w:tcW w:w="2520" w:type="dxa"/>
            <w:noWrap w:val="0"/>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5109" w:type="dxa"/>
            <w:gridSpan w:val="2"/>
            <w:noWrap w:val="0"/>
            <w:vAlign w:val="center"/>
          </w:tcPr>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说明：所有响应方都须填写此表</w:t>
      </w:r>
      <w:r>
        <w:rPr>
          <w:rFonts w:hint="eastAsia" w:ascii="宋体" w:hAnsi="宋体"/>
          <w:spacing w:val="-6"/>
          <w:sz w:val="24"/>
          <w:lang w:eastAsia="zh-CN"/>
        </w:rPr>
        <w:t>，</w:t>
      </w:r>
      <w:r>
        <w:rPr>
          <w:rFonts w:hint="eastAsia" w:ascii="宋体" w:hAnsi="宋体"/>
          <w:spacing w:val="-6"/>
          <w:sz w:val="24"/>
          <w:lang w:val="en-US" w:eastAsia="zh-CN"/>
        </w:rPr>
        <w:t>后附企业信用、资质证书</w:t>
      </w:r>
      <w:r>
        <w:rPr>
          <w:rFonts w:hint="eastAsia" w:ascii="宋体" w:hAnsi="宋体"/>
          <w:spacing w:val="-6"/>
          <w:sz w:val="24"/>
        </w:rPr>
        <w:t>；</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响应方全称（加盖公章）：</w:t>
      </w:r>
    </w:p>
    <w:p>
      <w:pPr>
        <w:spacing w:line="360" w:lineRule="auto"/>
        <w:rPr>
          <w:rFonts w:ascii="宋体" w:hAnsi="宋体"/>
          <w:spacing w:val="-6"/>
          <w:sz w:val="24"/>
        </w:rPr>
      </w:pPr>
      <w:r>
        <w:rPr>
          <w:rFonts w:hint="eastAsia" w:ascii="宋体" w:hAnsi="宋体"/>
          <w:spacing w:val="-6"/>
          <w:sz w:val="24"/>
        </w:rPr>
        <w:t>全权代表签字：</w:t>
      </w:r>
    </w:p>
    <w:p>
      <w:pPr>
        <w:spacing w:line="360" w:lineRule="auto"/>
        <w:jc w:val="left"/>
        <w:rPr>
          <w:rFonts w:ascii="宋体" w:hAnsi="宋体"/>
          <w:spacing w:val="-6"/>
          <w:sz w:val="24"/>
        </w:rPr>
      </w:pPr>
      <w:r>
        <w:rPr>
          <w:rFonts w:hint="eastAsia" w:ascii="宋体" w:hAnsi="宋体"/>
          <w:spacing w:val="-6"/>
          <w:sz w:val="24"/>
        </w:rPr>
        <w:t>日期：</w:t>
      </w: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p>
    <w:p>
      <w:pPr>
        <w:spacing w:after="0" w:line="366"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六、类似业绩证明</w:t>
      </w:r>
    </w:p>
    <w:p>
      <w:pPr>
        <w:pStyle w:val="7"/>
        <w:numPr>
          <w:ilvl w:val="0"/>
          <w:numId w:val="0"/>
        </w:numPr>
        <w:spacing w:line="360" w:lineRule="auto"/>
        <w:jc w:val="left"/>
        <w:rPr>
          <w:rFonts w:hint="eastAsia" w:hAnsi="宋体"/>
          <w:spacing w:val="-6"/>
          <w:sz w:val="21"/>
          <w:szCs w:val="21"/>
        </w:rPr>
      </w:pPr>
    </w:p>
    <w:p>
      <w:pPr>
        <w:pStyle w:val="13"/>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同类项目合同复印件）</w:t>
      </w:r>
    </w:p>
    <w:tbl>
      <w:tblPr>
        <w:tblStyle w:val="21"/>
        <w:tblW w:w="8413" w:type="dxa"/>
        <w:jc w:val="center"/>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采购单位名称</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附件页码</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rFonts w:hint="eastAsia" w:ascii="宋体" w:hAnsi="宋体"/>
          <w:spacing w:val="-6"/>
          <w:sz w:val="24"/>
        </w:rPr>
      </w:pPr>
    </w:p>
    <w:p>
      <w:pPr>
        <w:spacing w:line="360" w:lineRule="auto"/>
        <w:rPr>
          <w:rFonts w:ascii="宋体" w:hAnsi="宋体"/>
          <w:spacing w:val="-6"/>
          <w:sz w:val="24"/>
        </w:rPr>
      </w:pPr>
      <w:r>
        <w:rPr>
          <w:rFonts w:hint="eastAsia" w:ascii="宋体" w:hAnsi="宋体"/>
          <w:spacing w:val="-6"/>
          <w:sz w:val="24"/>
        </w:rPr>
        <w:t>响应方全称（加盖公章）：</w:t>
      </w:r>
    </w:p>
    <w:p>
      <w:pPr>
        <w:spacing w:line="360" w:lineRule="auto"/>
        <w:rPr>
          <w:rFonts w:ascii="宋体" w:hAnsi="宋体"/>
          <w:spacing w:val="-6"/>
          <w:sz w:val="24"/>
        </w:rPr>
      </w:pPr>
      <w:r>
        <w:rPr>
          <w:rFonts w:hint="eastAsia" w:ascii="宋体" w:hAnsi="宋体"/>
          <w:spacing w:val="-6"/>
          <w:sz w:val="24"/>
        </w:rPr>
        <w:t>全权代表签字：</w:t>
      </w:r>
    </w:p>
    <w:p>
      <w:pPr>
        <w:spacing w:line="360" w:lineRule="auto"/>
        <w:jc w:val="left"/>
        <w:rPr>
          <w:rFonts w:ascii="宋体" w:hAnsi="宋体"/>
          <w:spacing w:val="-6"/>
          <w:sz w:val="24"/>
        </w:rPr>
      </w:pPr>
      <w:r>
        <w:rPr>
          <w:rFonts w:hint="eastAsia" w:ascii="宋体" w:hAnsi="宋体"/>
          <w:spacing w:val="-6"/>
          <w:sz w:val="24"/>
        </w:rPr>
        <w:t>日期：</w:t>
      </w:r>
    </w:p>
    <w:p>
      <w:pPr>
        <w:adjustRightInd w:val="0"/>
        <w:snapToGrid w:val="0"/>
        <w:spacing w:line="288" w:lineRule="auto"/>
        <w:ind w:right="2"/>
        <w:rPr>
          <w:rFonts w:ascii="宋体" w:hAnsi="宋体"/>
          <w:spacing w:val="-6"/>
          <w:sz w:val="24"/>
        </w:rPr>
      </w:pPr>
    </w:p>
    <w:p>
      <w:pPr>
        <w:pStyle w:val="7"/>
        <w:numPr>
          <w:ilvl w:val="0"/>
          <w:numId w:val="0"/>
        </w:numPr>
        <w:spacing w:line="360" w:lineRule="auto"/>
        <w:jc w:val="center"/>
        <w:rPr>
          <w:rFonts w:hAnsi="宋体"/>
          <w:spacing w:val="-6"/>
          <w:sz w:val="21"/>
          <w:szCs w:val="21"/>
        </w:rPr>
      </w:pPr>
    </w:p>
    <w:p>
      <w:pPr>
        <w:rPr>
          <w:rFonts w:hint="eastAsia" w:eastAsiaTheme="minorEastAsia"/>
          <w:lang w:val="en-US" w:eastAsia="zh-CN"/>
        </w:rPr>
      </w:pPr>
    </w:p>
    <w:p/>
    <w:p/>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240" w:lineRule="auto"/>
        <w:ind w:left="363"/>
        <w:jc w:val="left"/>
        <w:textAlignment w:val="auto"/>
        <w:outlineLvl w:val="9"/>
        <w:rPr>
          <w:rFonts w:hint="eastAsia" w:ascii="宋体" w:hAnsi="宋体" w:eastAsia="宋体" w:cs="宋体"/>
          <w:b/>
          <w:bCs/>
          <w:color w:val="auto"/>
          <w:sz w:val="28"/>
          <w:szCs w:val="28"/>
          <w:lang w:val="en-US" w:eastAsia="zh-CN"/>
        </w:rPr>
      </w:pPr>
      <w:bookmarkStart w:id="582" w:name="page83"/>
      <w:bookmarkEnd w:id="582"/>
      <w:r>
        <w:rPr>
          <w:rFonts w:hint="eastAsia" w:ascii="宋体" w:hAnsi="宋体" w:eastAsia="宋体" w:cs="宋体"/>
          <w:b/>
          <w:bCs/>
          <w:color w:val="auto"/>
          <w:sz w:val="28"/>
          <w:szCs w:val="28"/>
          <w:lang w:val="en-US" w:eastAsia="zh-CN"/>
        </w:rPr>
        <w:t>技术文件</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b/>
          <w:bCs/>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1</w:t>
      </w:r>
      <w:r>
        <w:rPr>
          <w:rFonts w:ascii="Arial" w:hAnsi="Arial" w:eastAsia="Arial" w:cs="Arial"/>
          <w:color w:val="auto"/>
          <w:sz w:val="21"/>
          <w:szCs w:val="21"/>
          <w:shd w:val="clear" w:color="auto" w:fill="auto"/>
        </w:rPr>
        <w:t>）施工方案</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2</w:t>
      </w:r>
      <w:r>
        <w:rPr>
          <w:rFonts w:ascii="Arial" w:hAnsi="Arial" w:eastAsia="Arial" w:cs="Arial"/>
          <w:color w:val="auto"/>
          <w:sz w:val="21"/>
          <w:szCs w:val="21"/>
          <w:shd w:val="clear" w:color="auto" w:fill="auto"/>
        </w:rPr>
        <w:t>）</w:t>
      </w:r>
      <w:r>
        <w:rPr>
          <w:rFonts w:ascii="宋体" w:hAnsi="宋体"/>
          <w:sz w:val="21"/>
          <w:szCs w:val="21"/>
        </w:rPr>
        <w:t>质量保证措施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3</w:t>
      </w:r>
      <w:r>
        <w:rPr>
          <w:rFonts w:hint="eastAsia" w:ascii="Arial" w:hAnsi="Arial" w:eastAsia="宋体" w:cs="Arial"/>
          <w:color w:val="auto"/>
          <w:sz w:val="21"/>
          <w:szCs w:val="21"/>
          <w:shd w:val="clear" w:color="auto" w:fill="auto"/>
          <w:lang w:eastAsia="zh-CN"/>
        </w:rPr>
        <w:t>）</w:t>
      </w:r>
      <w:r>
        <w:rPr>
          <w:rFonts w:hint="eastAsia" w:ascii="宋体" w:hAnsi="宋体" w:eastAsia="宋体" w:cs="宋体"/>
          <w:color w:val="auto"/>
          <w:spacing w:val="-6"/>
          <w:sz w:val="24"/>
          <w:szCs w:val="24"/>
          <w:lang w:val="en-US" w:eastAsia="zh-CN"/>
        </w:rPr>
        <w:t>施工机具和检验仪器的投入</w:t>
      </w:r>
      <w:r>
        <w:rPr>
          <w:rFonts w:hint="eastAsia" w:ascii="Arial" w:hAnsi="Arial" w:eastAsia="宋体" w:cs="Arial"/>
          <w:color w:val="auto"/>
          <w:sz w:val="21"/>
          <w:szCs w:val="21"/>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4</w:t>
      </w:r>
      <w:r>
        <w:rPr>
          <w:rFonts w:ascii="Arial" w:hAnsi="Arial" w:eastAsia="Arial" w:cs="Arial"/>
          <w:color w:val="auto"/>
          <w:sz w:val="21"/>
          <w:szCs w:val="21"/>
          <w:shd w:val="clear" w:color="auto" w:fill="auto"/>
        </w:rPr>
        <w:t>）</w:t>
      </w:r>
      <w:r>
        <w:rPr>
          <w:rFonts w:hint="eastAsia" w:ascii="宋体" w:hAnsi="宋体" w:eastAsia="宋体" w:cs="宋体"/>
          <w:color w:val="auto"/>
          <w:spacing w:val="-6"/>
          <w:sz w:val="24"/>
          <w:szCs w:val="24"/>
          <w:lang w:val="en-US" w:eastAsia="zh-CN"/>
        </w:rPr>
        <w:t>工期承诺、进度控制措施及施工质量控制措施</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5</w:t>
      </w:r>
      <w:r>
        <w:rPr>
          <w:rFonts w:ascii="Arial" w:hAnsi="Arial" w:eastAsia="Arial" w:cs="Arial"/>
          <w:color w:val="auto"/>
          <w:sz w:val="21"/>
          <w:szCs w:val="21"/>
          <w:shd w:val="clear" w:color="auto" w:fill="auto"/>
        </w:rPr>
        <w:t>）</w:t>
      </w:r>
      <w:r>
        <w:rPr>
          <w:rFonts w:hint="eastAsia" w:ascii="宋体" w:hAnsi="宋体" w:eastAsia="宋体" w:cs="宋体"/>
          <w:color w:val="auto"/>
          <w:sz w:val="21"/>
          <w:szCs w:val="21"/>
          <w:lang w:val="en-US" w:eastAsia="zh-CN"/>
        </w:rPr>
        <w:t>投入本项目</w:t>
      </w:r>
      <w:r>
        <w:rPr>
          <w:rFonts w:ascii="宋体" w:hAnsi="宋体" w:eastAsia="宋体" w:cs="宋体"/>
          <w:color w:val="auto"/>
          <w:sz w:val="21"/>
          <w:szCs w:val="21"/>
        </w:rPr>
        <w:t>的工程技术管理人员的专业配置情况</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附表三、附表四、附表五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6</w:t>
      </w:r>
      <w:r>
        <w:rPr>
          <w:rFonts w:ascii="Arial" w:hAnsi="Arial" w:eastAsia="Arial" w:cs="Arial"/>
          <w:color w:val="auto"/>
          <w:sz w:val="21"/>
          <w:szCs w:val="21"/>
          <w:shd w:val="clear" w:color="auto" w:fill="auto"/>
        </w:rPr>
        <w:t>）关键工序、复杂环节的相应技术措施；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7</w:t>
      </w:r>
      <w:r>
        <w:rPr>
          <w:rFonts w:ascii="Arial" w:hAnsi="Arial" w:eastAsia="Arial" w:cs="Arial"/>
          <w:color w:val="auto"/>
          <w:sz w:val="21"/>
          <w:szCs w:val="21"/>
          <w:shd w:val="clear" w:color="auto" w:fill="auto"/>
        </w:rPr>
        <w:t>）</w:t>
      </w:r>
      <w:r>
        <w:rPr>
          <w:rFonts w:hint="eastAsia" w:ascii="Arial" w:hAnsi="Arial" w:eastAsia="宋体" w:cs="Arial"/>
          <w:color w:val="auto"/>
          <w:sz w:val="21"/>
          <w:szCs w:val="21"/>
          <w:shd w:val="clear" w:color="auto" w:fill="auto"/>
          <w:lang w:val="en-US" w:eastAsia="zh-CN"/>
        </w:rPr>
        <w:t>安全文明施工保证措施</w:t>
      </w:r>
      <w:r>
        <w:rPr>
          <w:rFonts w:ascii="Arial" w:hAnsi="Arial" w:eastAsia="Arial" w:cs="Arial"/>
          <w:color w:val="auto"/>
          <w:sz w:val="21"/>
          <w:szCs w:val="21"/>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w:t>
      </w:r>
      <w:r>
        <w:rPr>
          <w:rFonts w:hint="eastAsia" w:ascii="Arial" w:hAnsi="Arial" w:eastAsia="Arial" w:cs="Arial"/>
          <w:color w:val="auto"/>
          <w:sz w:val="21"/>
          <w:szCs w:val="21"/>
          <w:shd w:val="clear" w:color="auto" w:fill="auto"/>
          <w:lang w:val="en-US" w:eastAsia="zh-CN"/>
        </w:rPr>
        <w:t>8</w:t>
      </w:r>
      <w:r>
        <w:rPr>
          <w:rFonts w:ascii="Arial" w:hAnsi="Arial" w:eastAsia="Arial" w:cs="Arial"/>
          <w:color w:val="auto"/>
          <w:sz w:val="21"/>
          <w:szCs w:val="21"/>
          <w:shd w:val="clear" w:color="auto" w:fill="auto"/>
        </w:rPr>
        <w:t>）材料设备进场计划及施工计划情况</w:t>
      </w:r>
      <w:r>
        <w:rPr>
          <w:rFonts w:hint="eastAsia" w:ascii="Arial" w:hAnsi="Arial" w:eastAsia="宋体" w:cs="Arial"/>
          <w:color w:val="auto"/>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val="en-US" w:eastAsia="zh-CN"/>
        </w:rPr>
      </w:pPr>
      <w:r>
        <w:rPr>
          <w:rFonts w:hint="eastAsia" w:ascii="Arial" w:hAnsi="Arial" w:eastAsia="宋体" w:cs="Arial"/>
          <w:color w:val="auto"/>
          <w:sz w:val="21"/>
          <w:szCs w:val="21"/>
          <w:shd w:val="clear" w:color="auto" w:fill="auto"/>
          <w:lang w:eastAsia="zh-CN"/>
        </w:rPr>
        <w:t>（</w:t>
      </w:r>
      <w:r>
        <w:rPr>
          <w:rFonts w:hint="eastAsia" w:ascii="Arial" w:hAnsi="Arial" w:eastAsia="宋体" w:cs="Arial"/>
          <w:color w:val="auto"/>
          <w:sz w:val="21"/>
          <w:szCs w:val="21"/>
          <w:shd w:val="clear" w:color="auto" w:fill="auto"/>
          <w:lang w:val="en-US" w:eastAsia="zh-CN"/>
        </w:rPr>
        <w:t>9</w:t>
      </w:r>
      <w:r>
        <w:rPr>
          <w:rFonts w:hint="eastAsia" w:ascii="Arial" w:hAnsi="Arial" w:eastAsia="宋体" w:cs="Arial"/>
          <w:color w:val="auto"/>
          <w:sz w:val="21"/>
          <w:szCs w:val="21"/>
          <w:shd w:val="clear" w:color="auto" w:fill="auto"/>
          <w:lang w:eastAsia="zh-CN"/>
        </w:rPr>
        <w:t>）</w:t>
      </w:r>
      <w:r>
        <w:rPr>
          <w:rFonts w:hint="eastAsia" w:ascii="宋体" w:hAnsi="宋体"/>
          <w:color w:val="auto"/>
          <w:spacing w:val="-6"/>
          <w:sz w:val="24"/>
          <w:szCs w:val="24"/>
          <w:lang w:val="en-US" w:eastAsia="zh-CN"/>
        </w:rPr>
        <w:t>合理化建议及售后服务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lang w:val="en-US" w:eastAsia="zh-CN"/>
        </w:rPr>
      </w:pPr>
      <w:r>
        <w:rPr>
          <w:rFonts w:hint="eastAsia" w:ascii="Arial" w:hAnsi="Arial" w:eastAsia="Arial" w:cs="Arial"/>
          <w:color w:val="auto"/>
          <w:sz w:val="21"/>
          <w:szCs w:val="21"/>
          <w:shd w:val="clear" w:color="auto" w:fill="auto"/>
          <w:lang w:val="en-US" w:eastAsia="zh-CN"/>
        </w:rPr>
        <w:t>（10）</w:t>
      </w:r>
      <w:r>
        <w:rPr>
          <w:rFonts w:ascii="Arial" w:hAnsi="Arial" w:eastAsia="Arial" w:cs="Arial"/>
          <w:color w:val="auto"/>
          <w:sz w:val="21"/>
          <w:szCs w:val="21"/>
          <w:shd w:val="clear" w:color="auto" w:fill="auto"/>
        </w:rPr>
        <w:t>供应商认为需要提供的资料。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b/>
          <w:bCs/>
          <w:color w:val="auto"/>
          <w:sz w:val="21"/>
          <w:szCs w:val="21"/>
          <w:u w:val="single"/>
          <w:shd w:val="clear" w:color="auto" w:fill="auto"/>
          <w:lang w:val="en-US" w:eastAsia="zh-CN"/>
        </w:rPr>
      </w:pPr>
      <w:r>
        <w:rPr>
          <w:rFonts w:hint="eastAsia" w:ascii="Arial" w:hAnsi="Arial" w:eastAsia="Arial" w:cs="Arial"/>
          <w:b/>
          <w:bCs/>
          <w:color w:val="auto"/>
          <w:sz w:val="21"/>
          <w:szCs w:val="21"/>
          <w:u w:val="single"/>
          <w:shd w:val="clear" w:color="auto" w:fill="auto"/>
          <w:lang w:val="en-US" w:eastAsia="zh-CN"/>
        </w:rPr>
        <w:t>采用文字表述外可附下列图表，图表及格式要求附后，没有图表的可格式自拟。</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宋体" w:cs="Arial"/>
          <w:color w:val="auto"/>
          <w:sz w:val="21"/>
          <w:szCs w:val="21"/>
          <w:shd w:val="clear" w:color="auto" w:fill="auto"/>
          <w:lang w:eastAsia="zh-CN"/>
        </w:rPr>
      </w:pPr>
      <w:r>
        <w:rPr>
          <w:rFonts w:ascii="Arial" w:hAnsi="Arial" w:eastAsia="Arial" w:cs="Arial"/>
          <w:color w:val="auto"/>
          <w:sz w:val="21"/>
          <w:szCs w:val="21"/>
          <w:shd w:val="clear" w:color="auto" w:fill="auto"/>
        </w:rPr>
        <w:t>附表一  拟投入的主要施工设备表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附表二  拟配备的试验和检测仪器设备表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 xml:space="preserve">附表三  </w:t>
      </w:r>
      <w:r>
        <w:rPr>
          <w:rFonts w:hint="eastAsia" w:ascii="Arial" w:hAnsi="Arial" w:eastAsia="Arial" w:cs="Arial"/>
          <w:color w:val="auto"/>
          <w:sz w:val="21"/>
          <w:szCs w:val="21"/>
          <w:shd w:val="clear" w:color="auto" w:fill="auto"/>
        </w:rPr>
        <w:t>项目管理班子配备情况表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附表四、项目经理简历表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hint="eastAsia" w:ascii="Arial" w:hAnsi="Arial" w:eastAsia="Arial" w:cs="Arial"/>
          <w:color w:val="auto"/>
          <w:sz w:val="21"/>
          <w:szCs w:val="21"/>
          <w:shd w:val="clear" w:color="auto" w:fill="auto"/>
        </w:rPr>
        <w:t>附表五、技术负责人简历表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Arial" w:hAnsi="Arial" w:eastAsia="Arial" w:cs="Arial"/>
          <w:color w:val="auto"/>
          <w:sz w:val="21"/>
          <w:szCs w:val="21"/>
          <w:shd w:val="clear" w:color="auto" w:fill="auto"/>
        </w:rPr>
      </w:pPr>
      <w:r>
        <w:rPr>
          <w:rFonts w:ascii="Arial" w:hAnsi="Arial" w:eastAsia="Arial" w:cs="Arial"/>
          <w:color w:val="auto"/>
          <w:sz w:val="21"/>
          <w:szCs w:val="21"/>
          <w:shd w:val="clear" w:color="auto" w:fill="auto"/>
        </w:rPr>
        <w:t>附表</w:t>
      </w:r>
      <w:r>
        <w:rPr>
          <w:rFonts w:hint="eastAsia" w:ascii="Arial" w:hAnsi="Arial" w:eastAsia="Arial" w:cs="Arial"/>
          <w:color w:val="auto"/>
          <w:sz w:val="21"/>
          <w:szCs w:val="21"/>
          <w:shd w:val="clear" w:color="auto" w:fill="auto"/>
        </w:rPr>
        <w:t>六、</w:t>
      </w:r>
      <w:r>
        <w:rPr>
          <w:rFonts w:ascii="Arial" w:hAnsi="Arial" w:eastAsia="Arial" w:cs="Arial"/>
          <w:color w:val="auto"/>
          <w:sz w:val="21"/>
          <w:szCs w:val="21"/>
          <w:shd w:val="clear" w:color="auto" w:fill="auto"/>
        </w:rPr>
        <w:t>劳动力计划表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p>
    <w:p>
      <w:pPr>
        <w:tabs>
          <w:tab w:val="left" w:pos="720"/>
        </w:tabs>
        <w:spacing w:line="360" w:lineRule="auto"/>
        <w:rPr>
          <w:rFonts w:ascii="宋体" w:hAnsi="宋体"/>
          <w:b/>
          <w:sz w:val="24"/>
          <w:szCs w:val="24"/>
        </w:rPr>
      </w:pPr>
      <w:bookmarkStart w:id="583" w:name="page84"/>
      <w:bookmarkEnd w:id="583"/>
      <w:r>
        <w:rPr>
          <w:rFonts w:ascii="宋体" w:hAnsi="宋体"/>
          <w:b/>
          <w:sz w:val="24"/>
          <w:szCs w:val="24"/>
        </w:rPr>
        <w:t>附表一：拟投入的主要施工设备表</w:t>
      </w:r>
    </w:p>
    <w:tbl>
      <w:tblPr>
        <w:tblStyle w:val="21"/>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hAnsi="宋体"/>
                <w:sz w:val="21"/>
                <w:szCs w:val="21"/>
              </w:rPr>
            </w:pPr>
            <w:r>
              <w:rPr>
                <w:rFonts w:ascii="宋体" w:hAnsi="宋体"/>
                <w:sz w:val="21"/>
                <w:szCs w:val="21"/>
              </w:rPr>
              <w:t>序号</w:t>
            </w:r>
          </w:p>
        </w:tc>
        <w:tc>
          <w:tcPr>
            <w:tcW w:w="925" w:type="dxa"/>
            <w:vAlign w:val="center"/>
          </w:tcPr>
          <w:p>
            <w:pPr>
              <w:tabs>
                <w:tab w:val="left" w:pos="720"/>
              </w:tabs>
              <w:spacing w:line="240" w:lineRule="atLeast"/>
              <w:jc w:val="center"/>
              <w:rPr>
                <w:rFonts w:hint="eastAsia" w:ascii="宋体" w:hAnsi="宋体"/>
                <w:sz w:val="21"/>
                <w:szCs w:val="21"/>
              </w:rPr>
            </w:pPr>
            <w:r>
              <w:rPr>
                <w:rFonts w:ascii="宋体" w:hAnsi="宋体"/>
                <w:sz w:val="21"/>
                <w:szCs w:val="21"/>
              </w:rPr>
              <w:t>设备</w:t>
            </w:r>
          </w:p>
          <w:p>
            <w:pPr>
              <w:tabs>
                <w:tab w:val="left" w:pos="720"/>
              </w:tabs>
              <w:spacing w:line="240" w:lineRule="atLeast"/>
              <w:jc w:val="center"/>
              <w:rPr>
                <w:rFonts w:ascii="宋体" w:hAnsi="宋体"/>
                <w:sz w:val="21"/>
                <w:szCs w:val="21"/>
              </w:rPr>
            </w:pPr>
            <w:r>
              <w:rPr>
                <w:rFonts w:ascii="宋体" w:hAnsi="宋体"/>
                <w:sz w:val="21"/>
                <w:szCs w:val="21"/>
              </w:rPr>
              <w:t>名称</w:t>
            </w:r>
          </w:p>
        </w:tc>
        <w:tc>
          <w:tcPr>
            <w:tcW w:w="926" w:type="dxa"/>
            <w:vAlign w:val="center"/>
          </w:tcPr>
          <w:p>
            <w:pPr>
              <w:tabs>
                <w:tab w:val="left" w:pos="720"/>
              </w:tabs>
              <w:spacing w:line="240" w:lineRule="atLeast"/>
              <w:jc w:val="center"/>
              <w:rPr>
                <w:rFonts w:ascii="宋体" w:hAnsi="宋体"/>
                <w:sz w:val="21"/>
                <w:szCs w:val="21"/>
              </w:rPr>
            </w:pPr>
            <w:r>
              <w:rPr>
                <w:rFonts w:ascii="宋体" w:hAnsi="宋体"/>
                <w:sz w:val="21"/>
                <w:szCs w:val="21"/>
              </w:rPr>
              <w:t>型号</w:t>
            </w:r>
          </w:p>
          <w:p>
            <w:pPr>
              <w:tabs>
                <w:tab w:val="left" w:pos="720"/>
              </w:tabs>
              <w:spacing w:line="240" w:lineRule="atLeast"/>
              <w:jc w:val="center"/>
              <w:rPr>
                <w:rFonts w:ascii="宋体" w:hAnsi="宋体"/>
                <w:sz w:val="21"/>
                <w:szCs w:val="21"/>
              </w:rPr>
            </w:pPr>
            <w:r>
              <w:rPr>
                <w:rFonts w:ascii="宋体" w:hAnsi="宋体"/>
                <w:sz w:val="21"/>
                <w:szCs w:val="21"/>
              </w:rPr>
              <w:t>规格</w:t>
            </w:r>
          </w:p>
        </w:tc>
        <w:tc>
          <w:tcPr>
            <w:tcW w:w="926" w:type="dxa"/>
            <w:vAlign w:val="center"/>
          </w:tcPr>
          <w:p>
            <w:pPr>
              <w:tabs>
                <w:tab w:val="left" w:pos="720"/>
              </w:tabs>
              <w:spacing w:line="240" w:lineRule="atLeast"/>
              <w:jc w:val="center"/>
              <w:rPr>
                <w:rFonts w:ascii="宋体" w:hAnsi="宋体"/>
                <w:sz w:val="21"/>
                <w:szCs w:val="21"/>
              </w:rPr>
            </w:pPr>
            <w:r>
              <w:rPr>
                <w:rFonts w:ascii="宋体" w:hAnsi="宋体"/>
                <w:sz w:val="21"/>
                <w:szCs w:val="21"/>
              </w:rPr>
              <w:t>数量</w:t>
            </w:r>
          </w:p>
        </w:tc>
        <w:tc>
          <w:tcPr>
            <w:tcW w:w="926" w:type="dxa"/>
            <w:vAlign w:val="center"/>
          </w:tcPr>
          <w:p>
            <w:pPr>
              <w:tabs>
                <w:tab w:val="left" w:pos="720"/>
              </w:tabs>
              <w:spacing w:line="240" w:lineRule="atLeast"/>
              <w:jc w:val="center"/>
              <w:rPr>
                <w:rFonts w:ascii="宋体" w:hAnsi="宋体"/>
                <w:sz w:val="21"/>
                <w:szCs w:val="21"/>
              </w:rPr>
            </w:pPr>
            <w:r>
              <w:rPr>
                <w:rFonts w:ascii="宋体" w:hAnsi="宋体"/>
                <w:sz w:val="21"/>
                <w:szCs w:val="21"/>
              </w:rPr>
              <w:t>国别</w:t>
            </w:r>
          </w:p>
          <w:p>
            <w:pPr>
              <w:tabs>
                <w:tab w:val="left" w:pos="720"/>
              </w:tabs>
              <w:spacing w:line="240" w:lineRule="atLeast"/>
              <w:jc w:val="center"/>
              <w:rPr>
                <w:rFonts w:ascii="宋体" w:hAnsi="宋体"/>
                <w:sz w:val="21"/>
                <w:szCs w:val="21"/>
              </w:rPr>
            </w:pPr>
            <w:r>
              <w:rPr>
                <w:rFonts w:ascii="宋体" w:hAnsi="宋体"/>
                <w:sz w:val="21"/>
                <w:szCs w:val="21"/>
              </w:rPr>
              <w:t>产地</w:t>
            </w:r>
          </w:p>
        </w:tc>
        <w:tc>
          <w:tcPr>
            <w:tcW w:w="928" w:type="dxa"/>
            <w:vAlign w:val="center"/>
          </w:tcPr>
          <w:p>
            <w:pPr>
              <w:tabs>
                <w:tab w:val="left" w:pos="720"/>
              </w:tabs>
              <w:spacing w:line="240" w:lineRule="atLeast"/>
              <w:jc w:val="center"/>
              <w:rPr>
                <w:rFonts w:ascii="宋体" w:hAnsi="宋体"/>
                <w:sz w:val="21"/>
                <w:szCs w:val="21"/>
              </w:rPr>
            </w:pPr>
            <w:r>
              <w:rPr>
                <w:rFonts w:ascii="宋体" w:hAnsi="宋体"/>
                <w:sz w:val="21"/>
                <w:szCs w:val="21"/>
              </w:rPr>
              <w:t>制造</w:t>
            </w:r>
          </w:p>
          <w:p>
            <w:pPr>
              <w:tabs>
                <w:tab w:val="left" w:pos="720"/>
              </w:tabs>
              <w:spacing w:line="240" w:lineRule="atLeast"/>
              <w:jc w:val="center"/>
              <w:rPr>
                <w:rFonts w:ascii="宋体" w:hAnsi="宋体"/>
                <w:sz w:val="21"/>
                <w:szCs w:val="21"/>
              </w:rPr>
            </w:pPr>
            <w:r>
              <w:rPr>
                <w:rFonts w:ascii="宋体" w:hAnsi="宋体"/>
                <w:sz w:val="21"/>
                <w:szCs w:val="21"/>
              </w:rPr>
              <w:t>年份</w:t>
            </w:r>
          </w:p>
        </w:tc>
        <w:tc>
          <w:tcPr>
            <w:tcW w:w="947" w:type="dxa"/>
            <w:vAlign w:val="center"/>
          </w:tcPr>
          <w:p>
            <w:pPr>
              <w:tabs>
                <w:tab w:val="left" w:pos="720"/>
              </w:tabs>
              <w:spacing w:line="240" w:lineRule="atLeast"/>
              <w:jc w:val="center"/>
              <w:rPr>
                <w:rFonts w:ascii="宋体" w:hAnsi="宋体"/>
                <w:sz w:val="21"/>
                <w:szCs w:val="21"/>
              </w:rPr>
            </w:pPr>
            <w:r>
              <w:rPr>
                <w:rFonts w:ascii="宋体" w:hAnsi="宋体"/>
                <w:sz w:val="21"/>
                <w:szCs w:val="21"/>
              </w:rPr>
              <w:t>额定功率（</w:t>
            </w:r>
            <w:r>
              <w:rPr>
                <w:rFonts w:hint="eastAsia" w:ascii="宋体" w:hAnsi="宋体"/>
                <w:sz w:val="21"/>
                <w:szCs w:val="21"/>
              </w:rPr>
              <w:t>K</w:t>
            </w:r>
            <w:r>
              <w:rPr>
                <w:rFonts w:ascii="宋体" w:hAnsi="宋体"/>
                <w:sz w:val="21"/>
                <w:szCs w:val="21"/>
              </w:rPr>
              <w:t>W）</w:t>
            </w:r>
          </w:p>
        </w:tc>
        <w:tc>
          <w:tcPr>
            <w:tcW w:w="928" w:type="dxa"/>
            <w:vAlign w:val="center"/>
          </w:tcPr>
          <w:p>
            <w:pPr>
              <w:tabs>
                <w:tab w:val="left" w:pos="720"/>
              </w:tabs>
              <w:spacing w:line="240" w:lineRule="atLeast"/>
              <w:jc w:val="center"/>
              <w:rPr>
                <w:rFonts w:ascii="宋体" w:hAnsi="宋体"/>
                <w:sz w:val="21"/>
                <w:szCs w:val="21"/>
              </w:rPr>
            </w:pPr>
            <w:r>
              <w:rPr>
                <w:rFonts w:ascii="宋体" w:hAnsi="宋体"/>
                <w:sz w:val="21"/>
                <w:szCs w:val="21"/>
              </w:rPr>
              <w:t>生产</w:t>
            </w:r>
          </w:p>
          <w:p>
            <w:pPr>
              <w:tabs>
                <w:tab w:val="left" w:pos="720"/>
              </w:tabs>
              <w:spacing w:line="240" w:lineRule="atLeast"/>
              <w:jc w:val="center"/>
              <w:rPr>
                <w:rFonts w:ascii="宋体" w:hAnsi="宋体"/>
                <w:sz w:val="21"/>
                <w:szCs w:val="21"/>
              </w:rPr>
            </w:pPr>
            <w:r>
              <w:rPr>
                <w:rFonts w:ascii="宋体" w:hAnsi="宋体"/>
                <w:sz w:val="21"/>
                <w:szCs w:val="21"/>
              </w:rPr>
              <w:t>能力</w:t>
            </w:r>
          </w:p>
        </w:tc>
        <w:tc>
          <w:tcPr>
            <w:tcW w:w="1285" w:type="dxa"/>
            <w:vAlign w:val="center"/>
          </w:tcPr>
          <w:p>
            <w:pPr>
              <w:tabs>
                <w:tab w:val="left" w:pos="720"/>
              </w:tabs>
              <w:spacing w:line="240" w:lineRule="atLeast"/>
              <w:jc w:val="center"/>
              <w:rPr>
                <w:rFonts w:ascii="宋体" w:hAnsi="宋体"/>
                <w:sz w:val="21"/>
                <w:szCs w:val="21"/>
              </w:rPr>
            </w:pPr>
            <w:r>
              <w:rPr>
                <w:rFonts w:ascii="宋体" w:hAnsi="宋体"/>
                <w:sz w:val="21"/>
                <w:szCs w:val="21"/>
              </w:rPr>
              <w:t>用于施工部位</w:t>
            </w:r>
          </w:p>
        </w:tc>
        <w:tc>
          <w:tcPr>
            <w:tcW w:w="928" w:type="dxa"/>
            <w:vAlign w:val="center"/>
          </w:tcPr>
          <w:p>
            <w:pPr>
              <w:tabs>
                <w:tab w:val="left" w:pos="720"/>
              </w:tabs>
              <w:spacing w:line="240" w:lineRule="atLeast"/>
              <w:jc w:val="center"/>
              <w:rPr>
                <w:rFonts w:ascii="宋体" w:hAnsi="宋体"/>
                <w:sz w:val="21"/>
                <w:szCs w:val="21"/>
              </w:rPr>
            </w:pPr>
            <w:r>
              <w:rPr>
                <w:rFonts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sz w:val="21"/>
                <w:szCs w:val="21"/>
              </w:rPr>
            </w:pPr>
          </w:p>
        </w:tc>
        <w:tc>
          <w:tcPr>
            <w:tcW w:w="925"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947"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1285"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sz w:val="21"/>
                <w:szCs w:val="21"/>
              </w:rPr>
            </w:pPr>
          </w:p>
        </w:tc>
        <w:tc>
          <w:tcPr>
            <w:tcW w:w="925"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947"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1285"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r>
    </w:tbl>
    <w:p>
      <w:pPr>
        <w:tabs>
          <w:tab w:val="left" w:pos="720"/>
        </w:tabs>
        <w:spacing w:line="360" w:lineRule="auto"/>
        <w:rPr>
          <w:rFonts w:ascii="宋体" w:hAnsi="宋体"/>
          <w:b/>
          <w:sz w:val="24"/>
          <w:szCs w:val="24"/>
        </w:rPr>
      </w:pPr>
    </w:p>
    <w:p>
      <w:pPr>
        <w:tabs>
          <w:tab w:val="left" w:pos="720"/>
        </w:tabs>
        <w:spacing w:line="360" w:lineRule="auto"/>
        <w:rPr>
          <w:rFonts w:ascii="宋体" w:hAnsi="宋体"/>
          <w:b/>
          <w:sz w:val="24"/>
          <w:szCs w:val="24"/>
        </w:rPr>
      </w:pPr>
      <w:bookmarkStart w:id="584" w:name="_Toc152042587"/>
      <w:bookmarkStart w:id="585" w:name="_Toc152045798"/>
      <w:bookmarkStart w:id="586" w:name="_Toc179632818"/>
      <w:bookmarkStart w:id="587" w:name="_Toc246392156"/>
      <w:bookmarkStart w:id="588" w:name="_Toc144974866"/>
      <w:r>
        <w:rPr>
          <w:rFonts w:ascii="宋体" w:hAnsi="宋体"/>
          <w:b/>
          <w:sz w:val="24"/>
          <w:szCs w:val="24"/>
        </w:rPr>
        <w:t>附表二：拟配备的试验和检测仪器设备表</w:t>
      </w:r>
      <w:bookmarkEnd w:id="584"/>
      <w:bookmarkEnd w:id="585"/>
      <w:bookmarkEnd w:id="586"/>
      <w:bookmarkEnd w:id="587"/>
      <w:bookmarkEnd w:id="588"/>
    </w:p>
    <w:tbl>
      <w:tblPr>
        <w:tblStyle w:val="21"/>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序号</w:t>
            </w:r>
          </w:p>
        </w:tc>
        <w:tc>
          <w:tcPr>
            <w:tcW w:w="1252"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仪器设备名称</w:t>
            </w:r>
          </w:p>
        </w:tc>
        <w:tc>
          <w:tcPr>
            <w:tcW w:w="1062"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型号</w:t>
            </w:r>
          </w:p>
          <w:p>
            <w:pPr>
              <w:spacing w:line="240" w:lineRule="atLeast"/>
              <w:jc w:val="center"/>
              <w:rPr>
                <w:rFonts w:hint="eastAsia" w:hAnsi="宋体" w:cs="宋体"/>
                <w:kern w:val="0"/>
                <w:sz w:val="21"/>
                <w:szCs w:val="21"/>
              </w:rPr>
            </w:pPr>
            <w:r>
              <w:rPr>
                <w:rFonts w:hint="eastAsia" w:hAnsi="宋体" w:cs="宋体"/>
                <w:kern w:val="0"/>
                <w:sz w:val="21"/>
                <w:szCs w:val="21"/>
              </w:rPr>
              <w:t>规格</w:t>
            </w:r>
          </w:p>
        </w:tc>
        <w:tc>
          <w:tcPr>
            <w:tcW w:w="1144"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数量</w:t>
            </w:r>
          </w:p>
        </w:tc>
        <w:tc>
          <w:tcPr>
            <w:tcW w:w="1045"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国别</w:t>
            </w:r>
          </w:p>
          <w:p>
            <w:pPr>
              <w:spacing w:line="240" w:lineRule="atLeast"/>
              <w:jc w:val="center"/>
              <w:rPr>
                <w:rFonts w:hint="eastAsia" w:hAnsi="宋体" w:cs="宋体"/>
                <w:kern w:val="0"/>
                <w:sz w:val="21"/>
                <w:szCs w:val="21"/>
              </w:rPr>
            </w:pPr>
            <w:r>
              <w:rPr>
                <w:rFonts w:hint="eastAsia" w:hAnsi="宋体" w:cs="宋体"/>
                <w:kern w:val="0"/>
                <w:sz w:val="21"/>
                <w:szCs w:val="21"/>
              </w:rPr>
              <w:t>产地</w:t>
            </w:r>
          </w:p>
        </w:tc>
        <w:tc>
          <w:tcPr>
            <w:tcW w:w="1039"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制造</w:t>
            </w:r>
          </w:p>
          <w:p>
            <w:pPr>
              <w:spacing w:line="240" w:lineRule="atLeast"/>
              <w:jc w:val="center"/>
              <w:rPr>
                <w:rFonts w:hint="eastAsia" w:hAnsi="宋体" w:cs="宋体"/>
                <w:kern w:val="0"/>
                <w:sz w:val="21"/>
                <w:szCs w:val="21"/>
              </w:rPr>
            </w:pPr>
            <w:r>
              <w:rPr>
                <w:rFonts w:hint="eastAsia" w:hAnsi="宋体" w:cs="宋体"/>
                <w:kern w:val="0"/>
                <w:sz w:val="21"/>
                <w:szCs w:val="21"/>
              </w:rPr>
              <w:t>年份</w:t>
            </w:r>
          </w:p>
        </w:tc>
        <w:tc>
          <w:tcPr>
            <w:tcW w:w="122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已使用</w:t>
            </w:r>
          </w:p>
          <w:p>
            <w:pPr>
              <w:spacing w:line="240" w:lineRule="atLeast"/>
              <w:jc w:val="center"/>
              <w:rPr>
                <w:rFonts w:hint="eastAsia" w:hAnsi="宋体" w:cs="宋体"/>
                <w:kern w:val="0"/>
                <w:sz w:val="21"/>
                <w:szCs w:val="21"/>
              </w:rPr>
            </w:pPr>
            <w:r>
              <w:rPr>
                <w:rFonts w:hint="eastAsia" w:hAnsi="宋体" w:cs="宋体"/>
                <w:kern w:val="0"/>
                <w:sz w:val="21"/>
                <w:szCs w:val="21"/>
              </w:rPr>
              <w:t>台时数</w:t>
            </w:r>
          </w:p>
        </w:tc>
        <w:tc>
          <w:tcPr>
            <w:tcW w:w="1223"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用途</w:t>
            </w:r>
          </w:p>
        </w:tc>
        <w:tc>
          <w:tcPr>
            <w:tcW w:w="784"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hAnsi="宋体" w:cs="宋体"/>
                <w:kern w:val="0"/>
                <w:sz w:val="21"/>
                <w:szCs w:val="21"/>
              </w:rPr>
            </w:pPr>
          </w:p>
        </w:tc>
        <w:tc>
          <w:tcPr>
            <w:tcW w:w="1252" w:type="dxa"/>
            <w:vAlign w:val="center"/>
          </w:tcPr>
          <w:p>
            <w:pPr>
              <w:spacing w:line="240" w:lineRule="atLeast"/>
              <w:jc w:val="center"/>
              <w:rPr>
                <w:rFonts w:hint="eastAsia" w:hAnsi="宋体" w:cs="宋体"/>
                <w:kern w:val="0"/>
                <w:sz w:val="21"/>
                <w:szCs w:val="21"/>
              </w:rPr>
            </w:pPr>
          </w:p>
        </w:tc>
        <w:tc>
          <w:tcPr>
            <w:tcW w:w="1062" w:type="dxa"/>
            <w:vAlign w:val="center"/>
          </w:tcPr>
          <w:p>
            <w:pPr>
              <w:spacing w:line="240" w:lineRule="atLeast"/>
              <w:jc w:val="center"/>
              <w:rPr>
                <w:rFonts w:hint="eastAsia" w:hAnsi="宋体" w:cs="宋体"/>
                <w:kern w:val="0"/>
                <w:sz w:val="21"/>
                <w:szCs w:val="21"/>
              </w:rPr>
            </w:pPr>
          </w:p>
        </w:tc>
        <w:tc>
          <w:tcPr>
            <w:tcW w:w="1144" w:type="dxa"/>
            <w:vAlign w:val="center"/>
          </w:tcPr>
          <w:p>
            <w:pPr>
              <w:spacing w:line="240" w:lineRule="atLeast"/>
              <w:jc w:val="center"/>
              <w:rPr>
                <w:rFonts w:hint="eastAsia" w:hAnsi="宋体" w:cs="宋体"/>
                <w:kern w:val="0"/>
                <w:sz w:val="21"/>
                <w:szCs w:val="21"/>
              </w:rPr>
            </w:pPr>
          </w:p>
        </w:tc>
        <w:tc>
          <w:tcPr>
            <w:tcW w:w="1045" w:type="dxa"/>
            <w:vAlign w:val="center"/>
          </w:tcPr>
          <w:p>
            <w:pPr>
              <w:spacing w:line="240" w:lineRule="atLeast"/>
              <w:jc w:val="center"/>
              <w:rPr>
                <w:rFonts w:hint="eastAsia" w:hAnsi="宋体" w:cs="宋体"/>
                <w:kern w:val="0"/>
                <w:sz w:val="21"/>
                <w:szCs w:val="21"/>
              </w:rPr>
            </w:pPr>
          </w:p>
        </w:tc>
        <w:tc>
          <w:tcPr>
            <w:tcW w:w="1039" w:type="dxa"/>
            <w:vAlign w:val="center"/>
          </w:tcPr>
          <w:p>
            <w:pPr>
              <w:spacing w:line="240" w:lineRule="atLeast"/>
              <w:jc w:val="center"/>
              <w:rPr>
                <w:rFonts w:hint="eastAsia" w:hAnsi="宋体" w:cs="宋体"/>
                <w:kern w:val="0"/>
                <w:sz w:val="21"/>
                <w:szCs w:val="21"/>
              </w:rPr>
            </w:pPr>
          </w:p>
        </w:tc>
        <w:tc>
          <w:tcPr>
            <w:tcW w:w="1221" w:type="dxa"/>
            <w:vAlign w:val="center"/>
          </w:tcPr>
          <w:p>
            <w:pPr>
              <w:spacing w:line="240" w:lineRule="atLeast"/>
              <w:jc w:val="center"/>
              <w:rPr>
                <w:rFonts w:hint="eastAsia" w:hAnsi="宋体" w:cs="宋体"/>
                <w:kern w:val="0"/>
                <w:sz w:val="21"/>
                <w:szCs w:val="21"/>
              </w:rPr>
            </w:pPr>
          </w:p>
        </w:tc>
        <w:tc>
          <w:tcPr>
            <w:tcW w:w="1223" w:type="dxa"/>
            <w:vAlign w:val="center"/>
          </w:tcPr>
          <w:p>
            <w:pPr>
              <w:spacing w:line="240" w:lineRule="atLeast"/>
              <w:jc w:val="center"/>
              <w:rPr>
                <w:rFonts w:hint="eastAsia" w:hAnsi="宋体" w:cs="宋体"/>
                <w:kern w:val="0"/>
                <w:sz w:val="21"/>
                <w:szCs w:val="21"/>
              </w:rPr>
            </w:pPr>
          </w:p>
        </w:tc>
        <w:tc>
          <w:tcPr>
            <w:tcW w:w="784"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hint="eastAsia" w:hAnsi="宋体" w:cs="宋体"/>
                <w:kern w:val="0"/>
                <w:sz w:val="21"/>
                <w:szCs w:val="21"/>
              </w:rPr>
            </w:pPr>
          </w:p>
        </w:tc>
        <w:tc>
          <w:tcPr>
            <w:tcW w:w="1252" w:type="dxa"/>
            <w:vAlign w:val="center"/>
          </w:tcPr>
          <w:p>
            <w:pPr>
              <w:spacing w:line="240" w:lineRule="atLeast"/>
              <w:jc w:val="center"/>
              <w:rPr>
                <w:rFonts w:hint="eastAsia" w:hAnsi="宋体" w:cs="宋体"/>
                <w:kern w:val="0"/>
                <w:sz w:val="21"/>
                <w:szCs w:val="21"/>
              </w:rPr>
            </w:pPr>
          </w:p>
        </w:tc>
        <w:tc>
          <w:tcPr>
            <w:tcW w:w="1062" w:type="dxa"/>
            <w:vAlign w:val="center"/>
          </w:tcPr>
          <w:p>
            <w:pPr>
              <w:spacing w:line="240" w:lineRule="atLeast"/>
              <w:jc w:val="center"/>
              <w:rPr>
                <w:rFonts w:hint="eastAsia" w:hAnsi="宋体" w:cs="宋体"/>
                <w:kern w:val="0"/>
                <w:sz w:val="21"/>
                <w:szCs w:val="21"/>
              </w:rPr>
            </w:pPr>
          </w:p>
        </w:tc>
        <w:tc>
          <w:tcPr>
            <w:tcW w:w="1144" w:type="dxa"/>
            <w:vAlign w:val="center"/>
          </w:tcPr>
          <w:p>
            <w:pPr>
              <w:spacing w:line="240" w:lineRule="atLeast"/>
              <w:jc w:val="center"/>
              <w:rPr>
                <w:rFonts w:hint="eastAsia" w:hAnsi="宋体" w:cs="宋体"/>
                <w:kern w:val="0"/>
                <w:sz w:val="21"/>
                <w:szCs w:val="21"/>
              </w:rPr>
            </w:pPr>
          </w:p>
        </w:tc>
        <w:tc>
          <w:tcPr>
            <w:tcW w:w="1045" w:type="dxa"/>
            <w:vAlign w:val="center"/>
          </w:tcPr>
          <w:p>
            <w:pPr>
              <w:spacing w:line="240" w:lineRule="atLeast"/>
              <w:jc w:val="center"/>
              <w:rPr>
                <w:rFonts w:hint="eastAsia" w:hAnsi="宋体" w:cs="宋体"/>
                <w:kern w:val="0"/>
                <w:sz w:val="21"/>
                <w:szCs w:val="21"/>
              </w:rPr>
            </w:pPr>
          </w:p>
        </w:tc>
        <w:tc>
          <w:tcPr>
            <w:tcW w:w="1039" w:type="dxa"/>
            <w:vAlign w:val="center"/>
          </w:tcPr>
          <w:p>
            <w:pPr>
              <w:spacing w:line="240" w:lineRule="atLeast"/>
              <w:jc w:val="center"/>
              <w:rPr>
                <w:rFonts w:hint="eastAsia" w:hAnsi="宋体" w:cs="宋体"/>
                <w:kern w:val="0"/>
                <w:sz w:val="21"/>
                <w:szCs w:val="21"/>
              </w:rPr>
            </w:pPr>
          </w:p>
        </w:tc>
        <w:tc>
          <w:tcPr>
            <w:tcW w:w="1221" w:type="dxa"/>
            <w:vAlign w:val="center"/>
          </w:tcPr>
          <w:p>
            <w:pPr>
              <w:spacing w:line="240" w:lineRule="atLeast"/>
              <w:jc w:val="center"/>
              <w:rPr>
                <w:rFonts w:hint="eastAsia" w:hAnsi="宋体" w:cs="宋体"/>
                <w:kern w:val="0"/>
                <w:sz w:val="21"/>
                <w:szCs w:val="21"/>
              </w:rPr>
            </w:pPr>
          </w:p>
        </w:tc>
        <w:tc>
          <w:tcPr>
            <w:tcW w:w="1223" w:type="dxa"/>
            <w:vAlign w:val="center"/>
          </w:tcPr>
          <w:p>
            <w:pPr>
              <w:spacing w:line="240" w:lineRule="atLeast"/>
              <w:jc w:val="center"/>
              <w:rPr>
                <w:rFonts w:hint="eastAsia" w:hAnsi="宋体" w:cs="宋体"/>
                <w:kern w:val="0"/>
                <w:sz w:val="21"/>
                <w:szCs w:val="21"/>
              </w:rPr>
            </w:pPr>
          </w:p>
        </w:tc>
        <w:tc>
          <w:tcPr>
            <w:tcW w:w="784"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top"/>
          </w:tcPr>
          <w:p>
            <w:pPr>
              <w:spacing w:line="240" w:lineRule="atLeast"/>
              <w:jc w:val="center"/>
              <w:rPr>
                <w:rFonts w:hint="eastAsia" w:hAnsi="宋体" w:cs="宋体"/>
                <w:kern w:val="0"/>
                <w:sz w:val="21"/>
                <w:szCs w:val="21"/>
              </w:rPr>
            </w:pPr>
          </w:p>
        </w:tc>
        <w:tc>
          <w:tcPr>
            <w:tcW w:w="1252" w:type="dxa"/>
            <w:vAlign w:val="top"/>
          </w:tcPr>
          <w:p>
            <w:pPr>
              <w:spacing w:line="240" w:lineRule="atLeast"/>
              <w:jc w:val="center"/>
              <w:rPr>
                <w:rFonts w:hint="eastAsia" w:hAnsi="宋体" w:cs="宋体"/>
                <w:kern w:val="0"/>
                <w:sz w:val="21"/>
                <w:szCs w:val="21"/>
              </w:rPr>
            </w:pPr>
          </w:p>
        </w:tc>
        <w:tc>
          <w:tcPr>
            <w:tcW w:w="1062" w:type="dxa"/>
            <w:vAlign w:val="top"/>
          </w:tcPr>
          <w:p>
            <w:pPr>
              <w:spacing w:line="240" w:lineRule="atLeast"/>
              <w:jc w:val="center"/>
              <w:rPr>
                <w:rFonts w:hint="eastAsia" w:hAnsi="宋体" w:cs="宋体"/>
                <w:kern w:val="0"/>
                <w:sz w:val="21"/>
                <w:szCs w:val="21"/>
              </w:rPr>
            </w:pPr>
          </w:p>
        </w:tc>
        <w:tc>
          <w:tcPr>
            <w:tcW w:w="1144" w:type="dxa"/>
            <w:vAlign w:val="top"/>
          </w:tcPr>
          <w:p>
            <w:pPr>
              <w:spacing w:line="240" w:lineRule="atLeast"/>
              <w:jc w:val="center"/>
              <w:rPr>
                <w:rFonts w:hint="eastAsia" w:hAnsi="宋体" w:cs="宋体"/>
                <w:kern w:val="0"/>
                <w:sz w:val="21"/>
                <w:szCs w:val="21"/>
              </w:rPr>
            </w:pPr>
          </w:p>
        </w:tc>
        <w:tc>
          <w:tcPr>
            <w:tcW w:w="1045" w:type="dxa"/>
            <w:vAlign w:val="top"/>
          </w:tcPr>
          <w:p>
            <w:pPr>
              <w:spacing w:line="240" w:lineRule="atLeast"/>
              <w:jc w:val="center"/>
              <w:rPr>
                <w:rFonts w:hint="eastAsia" w:hAnsi="宋体" w:cs="宋体"/>
                <w:kern w:val="0"/>
                <w:sz w:val="21"/>
                <w:szCs w:val="21"/>
              </w:rPr>
            </w:pPr>
          </w:p>
        </w:tc>
        <w:tc>
          <w:tcPr>
            <w:tcW w:w="1039" w:type="dxa"/>
            <w:vAlign w:val="top"/>
          </w:tcPr>
          <w:p>
            <w:pPr>
              <w:spacing w:line="240" w:lineRule="atLeast"/>
              <w:jc w:val="center"/>
              <w:rPr>
                <w:rFonts w:hint="eastAsia" w:hAnsi="宋体" w:cs="宋体"/>
                <w:kern w:val="0"/>
                <w:sz w:val="21"/>
                <w:szCs w:val="21"/>
              </w:rPr>
            </w:pPr>
          </w:p>
        </w:tc>
        <w:tc>
          <w:tcPr>
            <w:tcW w:w="1221" w:type="dxa"/>
            <w:vAlign w:val="top"/>
          </w:tcPr>
          <w:p>
            <w:pPr>
              <w:spacing w:line="240" w:lineRule="atLeast"/>
              <w:jc w:val="center"/>
              <w:rPr>
                <w:rFonts w:hint="eastAsia" w:hAnsi="宋体" w:cs="宋体"/>
                <w:kern w:val="0"/>
                <w:sz w:val="21"/>
                <w:szCs w:val="21"/>
              </w:rPr>
            </w:pPr>
          </w:p>
        </w:tc>
        <w:tc>
          <w:tcPr>
            <w:tcW w:w="1223" w:type="dxa"/>
            <w:vAlign w:val="top"/>
          </w:tcPr>
          <w:p>
            <w:pPr>
              <w:spacing w:line="240" w:lineRule="atLeast"/>
              <w:jc w:val="center"/>
              <w:rPr>
                <w:rFonts w:hint="eastAsia" w:hAnsi="宋体" w:cs="宋体"/>
                <w:kern w:val="0"/>
                <w:sz w:val="21"/>
                <w:szCs w:val="21"/>
              </w:rPr>
            </w:pPr>
          </w:p>
        </w:tc>
        <w:tc>
          <w:tcPr>
            <w:tcW w:w="784" w:type="dxa"/>
            <w:vAlign w:val="top"/>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top"/>
          </w:tcPr>
          <w:p>
            <w:pPr>
              <w:spacing w:line="240" w:lineRule="atLeast"/>
              <w:jc w:val="center"/>
              <w:rPr>
                <w:rFonts w:hint="eastAsia" w:hAnsi="宋体" w:cs="宋体"/>
                <w:kern w:val="0"/>
                <w:sz w:val="21"/>
                <w:szCs w:val="21"/>
              </w:rPr>
            </w:pPr>
          </w:p>
        </w:tc>
        <w:tc>
          <w:tcPr>
            <w:tcW w:w="1252" w:type="dxa"/>
            <w:vAlign w:val="top"/>
          </w:tcPr>
          <w:p>
            <w:pPr>
              <w:spacing w:line="240" w:lineRule="atLeast"/>
              <w:jc w:val="center"/>
              <w:rPr>
                <w:rFonts w:hint="eastAsia" w:hAnsi="宋体" w:cs="宋体"/>
                <w:kern w:val="0"/>
                <w:sz w:val="21"/>
                <w:szCs w:val="21"/>
              </w:rPr>
            </w:pPr>
          </w:p>
        </w:tc>
        <w:tc>
          <w:tcPr>
            <w:tcW w:w="1062" w:type="dxa"/>
            <w:vAlign w:val="top"/>
          </w:tcPr>
          <w:p>
            <w:pPr>
              <w:spacing w:line="240" w:lineRule="atLeast"/>
              <w:jc w:val="center"/>
              <w:rPr>
                <w:rFonts w:hint="eastAsia" w:hAnsi="宋体" w:cs="宋体"/>
                <w:kern w:val="0"/>
                <w:sz w:val="21"/>
                <w:szCs w:val="21"/>
              </w:rPr>
            </w:pPr>
          </w:p>
        </w:tc>
        <w:tc>
          <w:tcPr>
            <w:tcW w:w="1144" w:type="dxa"/>
            <w:vAlign w:val="top"/>
          </w:tcPr>
          <w:p>
            <w:pPr>
              <w:spacing w:line="240" w:lineRule="atLeast"/>
              <w:jc w:val="center"/>
              <w:rPr>
                <w:rFonts w:hint="eastAsia" w:hAnsi="宋体" w:cs="宋体"/>
                <w:kern w:val="0"/>
                <w:sz w:val="21"/>
                <w:szCs w:val="21"/>
              </w:rPr>
            </w:pPr>
          </w:p>
        </w:tc>
        <w:tc>
          <w:tcPr>
            <w:tcW w:w="1045" w:type="dxa"/>
            <w:vAlign w:val="top"/>
          </w:tcPr>
          <w:p>
            <w:pPr>
              <w:spacing w:line="240" w:lineRule="atLeast"/>
              <w:jc w:val="center"/>
              <w:rPr>
                <w:rFonts w:hint="eastAsia" w:hAnsi="宋体" w:cs="宋体"/>
                <w:kern w:val="0"/>
                <w:sz w:val="21"/>
                <w:szCs w:val="21"/>
              </w:rPr>
            </w:pPr>
          </w:p>
        </w:tc>
        <w:tc>
          <w:tcPr>
            <w:tcW w:w="1039" w:type="dxa"/>
            <w:vAlign w:val="top"/>
          </w:tcPr>
          <w:p>
            <w:pPr>
              <w:spacing w:line="240" w:lineRule="atLeast"/>
              <w:jc w:val="center"/>
              <w:rPr>
                <w:rFonts w:hint="eastAsia" w:hAnsi="宋体" w:cs="宋体"/>
                <w:kern w:val="0"/>
                <w:sz w:val="21"/>
                <w:szCs w:val="21"/>
              </w:rPr>
            </w:pPr>
          </w:p>
        </w:tc>
        <w:tc>
          <w:tcPr>
            <w:tcW w:w="1221" w:type="dxa"/>
            <w:vAlign w:val="top"/>
          </w:tcPr>
          <w:p>
            <w:pPr>
              <w:spacing w:line="240" w:lineRule="atLeast"/>
              <w:jc w:val="center"/>
              <w:rPr>
                <w:rFonts w:hint="eastAsia" w:hAnsi="宋体" w:cs="宋体"/>
                <w:kern w:val="0"/>
                <w:sz w:val="21"/>
                <w:szCs w:val="21"/>
              </w:rPr>
            </w:pPr>
          </w:p>
        </w:tc>
        <w:tc>
          <w:tcPr>
            <w:tcW w:w="1223" w:type="dxa"/>
            <w:vAlign w:val="top"/>
          </w:tcPr>
          <w:p>
            <w:pPr>
              <w:spacing w:line="240" w:lineRule="atLeast"/>
              <w:jc w:val="center"/>
              <w:rPr>
                <w:rFonts w:hint="eastAsia" w:hAnsi="宋体" w:cs="宋体"/>
                <w:kern w:val="0"/>
                <w:sz w:val="21"/>
                <w:szCs w:val="21"/>
              </w:rPr>
            </w:pPr>
          </w:p>
        </w:tc>
        <w:tc>
          <w:tcPr>
            <w:tcW w:w="784" w:type="dxa"/>
            <w:vAlign w:val="top"/>
          </w:tcPr>
          <w:p>
            <w:pPr>
              <w:spacing w:line="240" w:lineRule="atLeast"/>
              <w:jc w:val="center"/>
              <w:rPr>
                <w:rFonts w:hint="eastAsia" w:hAnsi="宋体" w:cs="宋体"/>
                <w:kern w:val="0"/>
                <w:sz w:val="21"/>
                <w:szCs w:val="21"/>
              </w:rPr>
            </w:pPr>
          </w:p>
        </w:tc>
      </w:tr>
    </w:tbl>
    <w:p>
      <w:pPr>
        <w:spacing w:line="440" w:lineRule="exact"/>
        <w:rPr>
          <w:rFonts w:hint="eastAsia" w:eastAsia="黑体"/>
          <w:sz w:val="20"/>
        </w:rPr>
      </w:pPr>
    </w:p>
    <w:p>
      <w:pPr>
        <w:tabs>
          <w:tab w:val="left" w:pos="720"/>
        </w:tabs>
        <w:spacing w:line="360" w:lineRule="auto"/>
        <w:rPr>
          <w:rFonts w:hint="eastAsia" w:ascii="宋体" w:hAnsi="宋体"/>
          <w:b/>
          <w:sz w:val="24"/>
          <w:szCs w:val="24"/>
        </w:rPr>
      </w:pPr>
      <w:r>
        <w:rPr>
          <w:rFonts w:hint="eastAsia" w:ascii="宋体" w:hAnsi="宋体"/>
          <w:b/>
          <w:sz w:val="24"/>
          <w:szCs w:val="24"/>
        </w:rPr>
        <w:t>附表三、项目管理班子配备情况表</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职务</w:t>
            </w:r>
          </w:p>
        </w:tc>
        <w:tc>
          <w:tcPr>
            <w:tcW w:w="720"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姓名</w:t>
            </w:r>
          </w:p>
        </w:tc>
        <w:tc>
          <w:tcPr>
            <w:tcW w:w="720" w:type="dxa"/>
            <w:vMerge w:val="restart"/>
            <w:vAlign w:val="center"/>
          </w:tcPr>
          <w:p>
            <w:pPr>
              <w:jc w:val="center"/>
              <w:rPr>
                <w:rFonts w:hint="eastAsia" w:ascii="宋体" w:hAnsi="宋体" w:cs="宋体"/>
                <w:kern w:val="0"/>
                <w:sz w:val="21"/>
                <w:szCs w:val="21"/>
              </w:rPr>
            </w:pPr>
            <w:r>
              <w:rPr>
                <w:rFonts w:hint="eastAsia" w:ascii="宋体" w:hAnsi="宋体" w:cs="宋体"/>
                <w:kern w:val="0"/>
                <w:sz w:val="21"/>
                <w:szCs w:val="21"/>
              </w:rPr>
              <w:t>职称</w:t>
            </w:r>
          </w:p>
        </w:tc>
        <w:tc>
          <w:tcPr>
            <w:tcW w:w="5040" w:type="dxa"/>
            <w:gridSpan w:val="5"/>
            <w:vAlign w:val="center"/>
          </w:tcPr>
          <w:p>
            <w:pPr>
              <w:jc w:val="center"/>
              <w:rPr>
                <w:rFonts w:hint="eastAsia" w:ascii="宋体" w:hAnsi="宋体" w:cs="宋体"/>
                <w:kern w:val="0"/>
                <w:sz w:val="21"/>
                <w:szCs w:val="21"/>
              </w:rPr>
            </w:pPr>
            <w:r>
              <w:rPr>
                <w:rFonts w:hint="eastAsia" w:ascii="宋体" w:hAnsi="宋体" w:cs="宋体"/>
                <w:kern w:val="0"/>
                <w:sz w:val="21"/>
                <w:szCs w:val="21"/>
              </w:rPr>
              <w:t>上岗资格证明</w:t>
            </w:r>
          </w:p>
        </w:tc>
        <w:tc>
          <w:tcPr>
            <w:tcW w:w="2052" w:type="dxa"/>
            <w:gridSpan w:val="2"/>
            <w:vAlign w:val="center"/>
          </w:tcPr>
          <w:p>
            <w:pPr>
              <w:jc w:val="center"/>
              <w:rPr>
                <w:rFonts w:hint="eastAsia" w:ascii="宋体" w:hAnsi="宋体" w:cs="宋体"/>
                <w:kern w:val="0"/>
                <w:sz w:val="21"/>
                <w:szCs w:val="21"/>
              </w:rPr>
            </w:pPr>
            <w:r>
              <w:rPr>
                <w:rFonts w:hint="eastAsia" w:ascii="宋体" w:hAnsi="宋体" w:cs="宋体"/>
                <w:kern w:val="0"/>
                <w:sz w:val="21"/>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top"/>
          </w:tcPr>
          <w:p>
            <w:pPr>
              <w:spacing w:line="360" w:lineRule="auto"/>
              <w:rPr>
                <w:rFonts w:hint="eastAsia" w:ascii="宋体" w:hAnsi="宋体" w:cs="宋体"/>
                <w:kern w:val="0"/>
                <w:sz w:val="21"/>
                <w:szCs w:val="21"/>
              </w:rPr>
            </w:pPr>
          </w:p>
        </w:tc>
        <w:tc>
          <w:tcPr>
            <w:tcW w:w="720" w:type="dxa"/>
            <w:vMerge w:val="continue"/>
            <w:vAlign w:val="top"/>
          </w:tcPr>
          <w:p>
            <w:pPr>
              <w:spacing w:line="360" w:lineRule="auto"/>
              <w:rPr>
                <w:rFonts w:hint="eastAsia" w:ascii="宋体" w:hAnsi="宋体" w:cs="宋体"/>
                <w:kern w:val="0"/>
                <w:sz w:val="21"/>
                <w:szCs w:val="21"/>
              </w:rPr>
            </w:pPr>
          </w:p>
        </w:tc>
        <w:tc>
          <w:tcPr>
            <w:tcW w:w="720" w:type="dxa"/>
            <w:vMerge w:val="continue"/>
            <w:vAlign w:val="top"/>
          </w:tcPr>
          <w:p>
            <w:pPr>
              <w:spacing w:line="360" w:lineRule="auto"/>
              <w:rPr>
                <w:rFonts w:hint="eastAsia" w:ascii="宋体" w:hAnsi="宋体" w:cs="宋体"/>
                <w:kern w:val="0"/>
                <w:sz w:val="21"/>
                <w:szCs w:val="21"/>
              </w:rPr>
            </w:pP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证书</w:t>
            </w:r>
          </w:p>
          <w:p>
            <w:pPr>
              <w:jc w:val="center"/>
              <w:rPr>
                <w:rFonts w:hint="eastAsia" w:ascii="宋体" w:hAnsi="宋体" w:cs="宋体"/>
                <w:kern w:val="0"/>
                <w:sz w:val="21"/>
                <w:szCs w:val="21"/>
              </w:rPr>
            </w:pPr>
            <w:r>
              <w:rPr>
                <w:rFonts w:hint="eastAsia" w:ascii="宋体" w:hAnsi="宋体" w:cs="宋体"/>
                <w:kern w:val="0"/>
                <w:sz w:val="21"/>
                <w:szCs w:val="21"/>
              </w:rPr>
              <w:t>名称</w:t>
            </w: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级别</w:t>
            </w: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证号</w:t>
            </w:r>
          </w:p>
        </w:tc>
        <w:tc>
          <w:tcPr>
            <w:tcW w:w="888" w:type="dxa"/>
            <w:vAlign w:val="center"/>
          </w:tcPr>
          <w:p>
            <w:pPr>
              <w:jc w:val="center"/>
              <w:rPr>
                <w:rFonts w:hint="eastAsia" w:ascii="宋体" w:hAnsi="宋体" w:cs="宋体"/>
                <w:kern w:val="0"/>
                <w:sz w:val="21"/>
                <w:szCs w:val="21"/>
              </w:rPr>
            </w:pPr>
            <w:r>
              <w:rPr>
                <w:rFonts w:hint="eastAsia" w:ascii="宋体" w:hAnsi="宋体" w:cs="宋体"/>
                <w:kern w:val="0"/>
                <w:sz w:val="21"/>
                <w:szCs w:val="21"/>
              </w:rPr>
              <w:t>专业</w:t>
            </w:r>
          </w:p>
        </w:tc>
        <w:tc>
          <w:tcPr>
            <w:tcW w:w="1488" w:type="dxa"/>
            <w:vAlign w:val="center"/>
          </w:tcPr>
          <w:p>
            <w:pPr>
              <w:jc w:val="center"/>
              <w:rPr>
                <w:rFonts w:hint="eastAsia" w:ascii="宋体" w:hAnsi="宋体" w:cs="宋体"/>
                <w:kern w:val="0"/>
                <w:sz w:val="21"/>
                <w:szCs w:val="21"/>
              </w:rPr>
            </w:pPr>
            <w:r>
              <w:rPr>
                <w:rFonts w:hint="eastAsia" w:ascii="宋体" w:hAnsi="宋体" w:cs="宋体"/>
                <w:kern w:val="0"/>
                <w:sz w:val="21"/>
                <w:szCs w:val="21"/>
              </w:rPr>
              <w:t>原服务单位</w:t>
            </w:r>
          </w:p>
        </w:tc>
        <w:tc>
          <w:tcPr>
            <w:tcW w:w="889" w:type="dxa"/>
            <w:vAlign w:val="center"/>
          </w:tcPr>
          <w:p>
            <w:pPr>
              <w:jc w:val="center"/>
              <w:rPr>
                <w:rFonts w:hint="eastAsia" w:ascii="宋体" w:hAnsi="宋体" w:cs="宋体"/>
                <w:kern w:val="0"/>
                <w:sz w:val="21"/>
                <w:szCs w:val="21"/>
              </w:rPr>
            </w:pPr>
            <w:r>
              <w:rPr>
                <w:rFonts w:hint="eastAsia" w:ascii="宋体" w:hAnsi="宋体" w:cs="宋体"/>
                <w:kern w:val="0"/>
                <w:sz w:val="21"/>
                <w:szCs w:val="21"/>
              </w:rPr>
              <w:t>项目数</w:t>
            </w:r>
          </w:p>
        </w:tc>
        <w:tc>
          <w:tcPr>
            <w:tcW w:w="1163" w:type="dxa"/>
            <w:vAlign w:val="center"/>
          </w:tcPr>
          <w:p>
            <w:pPr>
              <w:jc w:val="center"/>
              <w:rPr>
                <w:rFonts w:hint="eastAsia" w:ascii="宋体" w:hAnsi="宋体" w:cs="宋体"/>
                <w:kern w:val="0"/>
                <w:sz w:val="21"/>
                <w:szCs w:val="21"/>
              </w:rPr>
            </w:pPr>
            <w:r>
              <w:rPr>
                <w:rFonts w:hint="eastAsia" w:ascii="宋体" w:hAnsi="宋体" w:cs="宋体"/>
                <w:kern w:val="0"/>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720"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888" w:type="dxa"/>
            <w:vAlign w:val="top"/>
          </w:tcPr>
          <w:p>
            <w:pPr>
              <w:spacing w:line="360" w:lineRule="auto"/>
              <w:rPr>
                <w:rFonts w:hint="eastAsia" w:ascii="宋体" w:hAnsi="宋体" w:cs="宋体"/>
                <w:kern w:val="0"/>
                <w:sz w:val="21"/>
                <w:szCs w:val="21"/>
              </w:rPr>
            </w:pPr>
          </w:p>
        </w:tc>
        <w:tc>
          <w:tcPr>
            <w:tcW w:w="1488" w:type="dxa"/>
            <w:vAlign w:val="top"/>
          </w:tcPr>
          <w:p>
            <w:pPr>
              <w:spacing w:line="360" w:lineRule="auto"/>
              <w:rPr>
                <w:rFonts w:hint="eastAsia" w:ascii="宋体" w:hAnsi="宋体" w:cs="宋体"/>
                <w:kern w:val="0"/>
                <w:sz w:val="21"/>
                <w:szCs w:val="21"/>
              </w:rPr>
            </w:pPr>
          </w:p>
        </w:tc>
        <w:tc>
          <w:tcPr>
            <w:tcW w:w="889" w:type="dxa"/>
            <w:vAlign w:val="top"/>
          </w:tcPr>
          <w:p>
            <w:pPr>
              <w:spacing w:line="360" w:lineRule="auto"/>
              <w:rPr>
                <w:rFonts w:hint="eastAsia" w:ascii="宋体" w:hAnsi="宋体" w:cs="宋体"/>
                <w:kern w:val="0"/>
                <w:sz w:val="21"/>
                <w:szCs w:val="21"/>
              </w:rPr>
            </w:pPr>
          </w:p>
        </w:tc>
        <w:tc>
          <w:tcPr>
            <w:tcW w:w="1163" w:type="dxa"/>
            <w:vAlign w:val="top"/>
          </w:tcPr>
          <w:p>
            <w:pPr>
              <w:spacing w:line="36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trPr>
        <w:tc>
          <w:tcPr>
            <w:tcW w:w="9180" w:type="dxa"/>
            <w:gridSpan w:val="10"/>
            <w:vAlign w:val="top"/>
          </w:tcPr>
          <w:p>
            <w:pPr>
              <w:spacing w:line="360" w:lineRule="auto"/>
              <w:ind w:firstLine="472" w:firstLineChars="225"/>
              <w:rPr>
                <w:rFonts w:hint="eastAsia" w:ascii="宋体" w:hAnsi="宋体" w:cs="宋体"/>
                <w:kern w:val="0"/>
                <w:sz w:val="21"/>
                <w:szCs w:val="21"/>
              </w:rPr>
            </w:pPr>
            <w:r>
              <w:rPr>
                <w:rFonts w:hint="eastAsia" w:ascii="宋体" w:hAnsi="宋体" w:cs="宋体"/>
                <w:kern w:val="0"/>
                <w:sz w:val="21"/>
                <w:szCs w:val="21"/>
              </w:rPr>
              <w:t>本工程一旦我单位中标，将实行项目经理负责制，并配备上述项目管理班子。上述填报内容真实，若不真实，愿按有关规定接受处理。项目管理班子机构设置、职责分工等情况另附资料说明。</w:t>
            </w:r>
          </w:p>
        </w:tc>
      </w:tr>
    </w:tbl>
    <w:p>
      <w:pPr>
        <w:spacing w:line="440" w:lineRule="exact"/>
        <w:rPr>
          <w:rFonts w:hint="eastAsia" w:eastAsia="黑体"/>
          <w:sz w:val="20"/>
        </w:rPr>
      </w:pPr>
    </w:p>
    <w:p>
      <w:pPr>
        <w:tabs>
          <w:tab w:val="left" w:pos="720"/>
        </w:tabs>
        <w:spacing w:line="360" w:lineRule="auto"/>
        <w:rPr>
          <w:rFonts w:hint="eastAsia" w:ascii="宋体" w:hAnsi="宋体"/>
          <w:sz w:val="24"/>
          <w:szCs w:val="24"/>
        </w:rPr>
      </w:pPr>
    </w:p>
    <w:p>
      <w:pPr>
        <w:tabs>
          <w:tab w:val="left" w:pos="720"/>
        </w:tabs>
        <w:spacing w:line="360" w:lineRule="auto"/>
        <w:rPr>
          <w:rFonts w:hint="eastAsia" w:ascii="宋体" w:hAnsi="宋体"/>
          <w:sz w:val="24"/>
          <w:szCs w:val="24"/>
        </w:rPr>
      </w:pPr>
    </w:p>
    <w:p>
      <w:pPr>
        <w:tabs>
          <w:tab w:val="left" w:pos="720"/>
        </w:tabs>
        <w:spacing w:line="360" w:lineRule="auto"/>
        <w:rPr>
          <w:rFonts w:hint="eastAsia" w:ascii="宋体" w:hAnsi="宋体"/>
          <w:b/>
          <w:sz w:val="24"/>
          <w:szCs w:val="24"/>
        </w:rPr>
      </w:pPr>
    </w:p>
    <w:p>
      <w:pPr>
        <w:tabs>
          <w:tab w:val="left" w:pos="720"/>
        </w:tabs>
        <w:spacing w:line="360" w:lineRule="auto"/>
        <w:rPr>
          <w:rFonts w:hint="eastAsia" w:ascii="宋体" w:hAnsi="宋体"/>
          <w:b/>
          <w:sz w:val="24"/>
          <w:szCs w:val="24"/>
        </w:rPr>
      </w:pPr>
    </w:p>
    <w:p>
      <w:pPr>
        <w:tabs>
          <w:tab w:val="left" w:pos="720"/>
        </w:tabs>
        <w:spacing w:line="360" w:lineRule="auto"/>
        <w:rPr>
          <w:rFonts w:hint="eastAsia" w:ascii="宋体" w:hAnsi="宋体"/>
          <w:b/>
          <w:sz w:val="24"/>
          <w:szCs w:val="24"/>
        </w:rPr>
      </w:pPr>
      <w:r>
        <w:rPr>
          <w:rFonts w:hint="eastAsia" w:ascii="宋体" w:hAnsi="宋体"/>
          <w:b/>
          <w:sz w:val="24"/>
          <w:szCs w:val="24"/>
        </w:rPr>
        <w:t>附表四、项目经理简历表</w:t>
      </w:r>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姓名</w:t>
            </w:r>
          </w:p>
        </w:tc>
        <w:tc>
          <w:tcPr>
            <w:tcW w:w="1480" w:type="dxa"/>
            <w:vAlign w:val="center"/>
          </w:tcPr>
          <w:p>
            <w:pPr>
              <w:spacing w:line="240" w:lineRule="atLeast"/>
              <w:jc w:val="center"/>
              <w:rPr>
                <w:rFonts w:hint="eastAsia" w:hAnsi="宋体" w:cs="宋体"/>
                <w:kern w:val="0"/>
                <w:sz w:val="21"/>
                <w:szCs w:val="21"/>
              </w:rPr>
            </w:pP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性别</w:t>
            </w:r>
          </w:p>
        </w:tc>
        <w:tc>
          <w:tcPr>
            <w:tcW w:w="1608" w:type="dxa"/>
            <w:vAlign w:val="center"/>
          </w:tcPr>
          <w:p>
            <w:pPr>
              <w:spacing w:line="240" w:lineRule="atLeast"/>
              <w:jc w:val="center"/>
              <w:rPr>
                <w:rFonts w:hint="eastAsia" w:hAnsi="宋体" w:cs="宋体"/>
                <w:kern w:val="0"/>
                <w:sz w:val="21"/>
                <w:szCs w:val="21"/>
              </w:rPr>
            </w:pP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年龄</w:t>
            </w:r>
          </w:p>
        </w:tc>
        <w:tc>
          <w:tcPr>
            <w:tcW w:w="1481"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职务</w:t>
            </w:r>
          </w:p>
        </w:tc>
        <w:tc>
          <w:tcPr>
            <w:tcW w:w="1480" w:type="dxa"/>
            <w:vAlign w:val="center"/>
          </w:tcPr>
          <w:p>
            <w:pPr>
              <w:spacing w:line="240" w:lineRule="atLeast"/>
              <w:jc w:val="center"/>
              <w:rPr>
                <w:rFonts w:hint="eastAsia" w:hAnsi="宋体" w:cs="宋体"/>
                <w:kern w:val="0"/>
                <w:sz w:val="21"/>
                <w:szCs w:val="21"/>
              </w:rPr>
            </w:pP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职称</w:t>
            </w:r>
          </w:p>
        </w:tc>
        <w:tc>
          <w:tcPr>
            <w:tcW w:w="1608" w:type="dxa"/>
            <w:vAlign w:val="center"/>
          </w:tcPr>
          <w:p>
            <w:pPr>
              <w:spacing w:line="240" w:lineRule="atLeast"/>
              <w:jc w:val="center"/>
              <w:rPr>
                <w:rFonts w:hint="eastAsia" w:hAnsi="宋体" w:cs="宋体"/>
                <w:kern w:val="0"/>
                <w:sz w:val="21"/>
                <w:szCs w:val="21"/>
              </w:rPr>
            </w:pP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学历</w:t>
            </w:r>
          </w:p>
        </w:tc>
        <w:tc>
          <w:tcPr>
            <w:tcW w:w="1481"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int="eastAsia" w:hAnsi="宋体" w:cs="宋体"/>
                <w:kern w:val="0"/>
                <w:sz w:val="21"/>
                <w:szCs w:val="21"/>
              </w:rPr>
            </w:pPr>
            <w:r>
              <w:rPr>
                <w:rFonts w:hint="eastAsia" w:hAnsi="宋体" w:cs="宋体"/>
                <w:kern w:val="0"/>
                <w:sz w:val="21"/>
                <w:szCs w:val="21"/>
              </w:rPr>
              <w:t>参加工作时间</w:t>
            </w:r>
          </w:p>
        </w:tc>
        <w:tc>
          <w:tcPr>
            <w:tcW w:w="1480" w:type="dxa"/>
            <w:vAlign w:val="center"/>
          </w:tcPr>
          <w:p>
            <w:pPr>
              <w:spacing w:line="240" w:lineRule="atLeast"/>
              <w:jc w:val="center"/>
              <w:rPr>
                <w:rFonts w:hint="eastAsia" w:hAnsi="宋体" w:cs="宋体"/>
                <w:kern w:val="0"/>
                <w:sz w:val="21"/>
                <w:szCs w:val="21"/>
              </w:rPr>
            </w:pPr>
          </w:p>
        </w:tc>
        <w:tc>
          <w:tcPr>
            <w:tcW w:w="3089" w:type="dxa"/>
            <w:gridSpan w:val="2"/>
            <w:vAlign w:val="center"/>
          </w:tcPr>
          <w:p>
            <w:pPr>
              <w:spacing w:line="240" w:lineRule="atLeast"/>
              <w:jc w:val="center"/>
              <w:rPr>
                <w:rFonts w:hint="eastAsia" w:hAnsi="宋体" w:cs="宋体"/>
                <w:kern w:val="0"/>
                <w:sz w:val="21"/>
                <w:szCs w:val="21"/>
              </w:rPr>
            </w:pPr>
            <w:r>
              <w:rPr>
                <w:rFonts w:hint="eastAsia" w:hAnsi="宋体" w:cs="宋体"/>
                <w:kern w:val="0"/>
                <w:sz w:val="21"/>
                <w:szCs w:val="21"/>
              </w:rPr>
              <w:t>从事项目经理年限</w:t>
            </w:r>
          </w:p>
        </w:tc>
        <w:tc>
          <w:tcPr>
            <w:tcW w:w="1481" w:type="dxa"/>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int="eastAsia" w:hAnsi="宋体" w:cs="宋体"/>
                <w:kern w:val="0"/>
                <w:sz w:val="21"/>
                <w:szCs w:val="21"/>
              </w:rPr>
            </w:pPr>
            <w:r>
              <w:rPr>
                <w:rFonts w:hint="eastAsia" w:hAnsi="宋体" w:cs="宋体"/>
                <w:kern w:val="0"/>
                <w:sz w:val="21"/>
                <w:szCs w:val="21"/>
              </w:rPr>
              <w:t>项目经理资格证书编号</w:t>
            </w:r>
          </w:p>
        </w:tc>
        <w:tc>
          <w:tcPr>
            <w:tcW w:w="6050" w:type="dxa"/>
            <w:gridSpan w:val="4"/>
            <w:vAlign w:val="center"/>
          </w:tcPr>
          <w:p>
            <w:pPr>
              <w:spacing w:line="240" w:lineRule="atLeas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hint="eastAsia" w:hAnsi="宋体" w:cs="宋体"/>
                <w:kern w:val="0"/>
                <w:sz w:val="21"/>
                <w:szCs w:val="21"/>
              </w:rPr>
            </w:pPr>
            <w:r>
              <w:rPr>
                <w:rFonts w:hint="eastAsia" w:hAnsi="宋体" w:cs="宋体"/>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建设单位</w:t>
            </w: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项目名称</w:t>
            </w:r>
          </w:p>
        </w:tc>
        <w:tc>
          <w:tcPr>
            <w:tcW w:w="1480"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建设规模</w:t>
            </w:r>
          </w:p>
        </w:tc>
        <w:tc>
          <w:tcPr>
            <w:tcW w:w="1608"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开、竣工日期</w:t>
            </w: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在建或已完</w:t>
            </w:r>
          </w:p>
        </w:tc>
        <w:tc>
          <w:tcPr>
            <w:tcW w:w="1481" w:type="dxa"/>
            <w:vAlign w:val="center"/>
          </w:tcPr>
          <w:p>
            <w:pPr>
              <w:spacing w:line="240" w:lineRule="atLeast"/>
              <w:jc w:val="center"/>
              <w:rPr>
                <w:rFonts w:hint="eastAsia" w:hAnsi="宋体" w:cs="宋体"/>
                <w:kern w:val="0"/>
                <w:sz w:val="21"/>
                <w:szCs w:val="21"/>
              </w:rPr>
            </w:pPr>
            <w:r>
              <w:rPr>
                <w:rFonts w:hint="eastAsia" w:hAnsi="宋体" w:cs="宋体"/>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bl>
    <w:p>
      <w:pPr>
        <w:spacing w:line="360" w:lineRule="auto"/>
        <w:rPr>
          <w:rFonts w:hint="eastAsia" w:hAnsi="宋体" w:cs="宋体"/>
          <w:kern w:val="0"/>
          <w:sz w:val="24"/>
          <w:szCs w:val="28"/>
        </w:rPr>
      </w:pPr>
      <w:r>
        <w:rPr>
          <w:rFonts w:hint="eastAsia" w:hAnsi="宋体" w:cs="宋体"/>
          <w:kern w:val="0"/>
          <w:sz w:val="24"/>
          <w:szCs w:val="28"/>
        </w:rPr>
        <w:t>备注：后附项目经理注册证书、B证、职称证</w:t>
      </w:r>
      <w:r>
        <w:rPr>
          <w:rFonts w:hint="eastAsia" w:hAnsi="宋体" w:cs="宋体"/>
          <w:kern w:val="0"/>
          <w:sz w:val="24"/>
          <w:szCs w:val="28"/>
          <w:lang w:eastAsia="zh-CN"/>
        </w:rPr>
        <w:t>、</w:t>
      </w:r>
      <w:r>
        <w:rPr>
          <w:rFonts w:hint="eastAsia" w:hAnsi="宋体" w:cs="宋体"/>
          <w:kern w:val="0"/>
          <w:sz w:val="24"/>
          <w:szCs w:val="28"/>
          <w:lang w:val="en-US" w:eastAsia="zh-CN"/>
        </w:rPr>
        <w:t>业绩</w:t>
      </w:r>
      <w:r>
        <w:rPr>
          <w:rFonts w:hint="eastAsia" w:hAnsi="宋体" w:cs="宋体"/>
          <w:kern w:val="0"/>
          <w:sz w:val="24"/>
          <w:szCs w:val="28"/>
        </w:rPr>
        <w:t>等</w:t>
      </w:r>
    </w:p>
    <w:p>
      <w:pPr>
        <w:tabs>
          <w:tab w:val="left" w:pos="720"/>
        </w:tabs>
        <w:spacing w:line="360" w:lineRule="auto"/>
        <w:rPr>
          <w:rFonts w:hint="eastAsia" w:ascii="宋体" w:hAnsi="宋体"/>
          <w:sz w:val="24"/>
          <w:szCs w:val="24"/>
        </w:rPr>
      </w:pPr>
    </w:p>
    <w:p>
      <w:pPr>
        <w:tabs>
          <w:tab w:val="left" w:pos="720"/>
        </w:tabs>
        <w:spacing w:line="360" w:lineRule="auto"/>
        <w:rPr>
          <w:rFonts w:hint="eastAsia" w:ascii="宋体" w:hAnsi="宋体"/>
          <w:b/>
          <w:sz w:val="24"/>
          <w:szCs w:val="24"/>
        </w:rPr>
      </w:pPr>
      <w:r>
        <w:rPr>
          <w:rFonts w:hint="eastAsia" w:ascii="宋体" w:hAnsi="宋体"/>
          <w:b/>
          <w:sz w:val="24"/>
          <w:szCs w:val="24"/>
        </w:rPr>
        <w:t>附表五、技术负责人简历表</w:t>
      </w:r>
    </w:p>
    <w:tbl>
      <w:tblPr>
        <w:tblStyle w:val="21"/>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姓名</w:t>
            </w:r>
          </w:p>
        </w:tc>
        <w:tc>
          <w:tcPr>
            <w:tcW w:w="1480" w:type="dxa"/>
            <w:vAlign w:val="center"/>
          </w:tcPr>
          <w:p>
            <w:pPr>
              <w:spacing w:line="240" w:lineRule="exact"/>
              <w:jc w:val="center"/>
              <w:rPr>
                <w:rFonts w:hint="eastAsia" w:hAnsi="宋体" w:cs="宋体"/>
                <w:kern w:val="0"/>
                <w:sz w:val="21"/>
                <w:szCs w:val="21"/>
              </w:rPr>
            </w:pP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性别</w:t>
            </w:r>
          </w:p>
        </w:tc>
        <w:tc>
          <w:tcPr>
            <w:tcW w:w="1608" w:type="dxa"/>
            <w:vAlign w:val="center"/>
          </w:tcPr>
          <w:p>
            <w:pPr>
              <w:spacing w:line="240" w:lineRule="exact"/>
              <w:jc w:val="center"/>
              <w:rPr>
                <w:rFonts w:hint="eastAsia" w:hAnsi="宋体" w:cs="宋体"/>
                <w:kern w:val="0"/>
                <w:sz w:val="21"/>
                <w:szCs w:val="21"/>
              </w:rPr>
            </w:pP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年龄</w:t>
            </w:r>
          </w:p>
        </w:tc>
        <w:tc>
          <w:tcPr>
            <w:tcW w:w="1481" w:type="dxa"/>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职务</w:t>
            </w:r>
          </w:p>
        </w:tc>
        <w:tc>
          <w:tcPr>
            <w:tcW w:w="1480" w:type="dxa"/>
            <w:vAlign w:val="center"/>
          </w:tcPr>
          <w:p>
            <w:pPr>
              <w:spacing w:line="240" w:lineRule="exact"/>
              <w:jc w:val="center"/>
              <w:rPr>
                <w:rFonts w:hint="eastAsia" w:hAnsi="宋体" w:cs="宋体"/>
                <w:kern w:val="0"/>
                <w:sz w:val="21"/>
                <w:szCs w:val="21"/>
              </w:rPr>
            </w:pP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职称</w:t>
            </w:r>
          </w:p>
        </w:tc>
        <w:tc>
          <w:tcPr>
            <w:tcW w:w="1608" w:type="dxa"/>
            <w:vAlign w:val="center"/>
          </w:tcPr>
          <w:p>
            <w:pPr>
              <w:spacing w:line="240" w:lineRule="exact"/>
              <w:jc w:val="center"/>
              <w:rPr>
                <w:rFonts w:hint="eastAsia" w:hAnsi="宋体" w:cs="宋体"/>
                <w:kern w:val="0"/>
                <w:sz w:val="21"/>
                <w:szCs w:val="21"/>
              </w:rPr>
            </w:pP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学历</w:t>
            </w:r>
          </w:p>
        </w:tc>
        <w:tc>
          <w:tcPr>
            <w:tcW w:w="1481" w:type="dxa"/>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int="eastAsia" w:hAnsi="宋体" w:cs="宋体"/>
                <w:kern w:val="0"/>
                <w:sz w:val="21"/>
                <w:szCs w:val="21"/>
              </w:rPr>
            </w:pPr>
            <w:r>
              <w:rPr>
                <w:rFonts w:hint="eastAsia" w:hAnsi="宋体" w:cs="宋体"/>
                <w:kern w:val="0"/>
                <w:sz w:val="21"/>
                <w:szCs w:val="21"/>
              </w:rPr>
              <w:t>参加工作时间</w:t>
            </w:r>
          </w:p>
        </w:tc>
        <w:tc>
          <w:tcPr>
            <w:tcW w:w="1480" w:type="dxa"/>
            <w:vAlign w:val="center"/>
          </w:tcPr>
          <w:p>
            <w:pPr>
              <w:spacing w:line="240" w:lineRule="exact"/>
              <w:jc w:val="center"/>
              <w:rPr>
                <w:rFonts w:hint="eastAsia" w:hAnsi="宋体" w:cs="宋体"/>
                <w:kern w:val="0"/>
                <w:sz w:val="21"/>
                <w:szCs w:val="21"/>
              </w:rPr>
            </w:pPr>
          </w:p>
        </w:tc>
        <w:tc>
          <w:tcPr>
            <w:tcW w:w="3089" w:type="dxa"/>
            <w:gridSpan w:val="2"/>
            <w:vAlign w:val="center"/>
          </w:tcPr>
          <w:p>
            <w:pPr>
              <w:spacing w:line="240" w:lineRule="exact"/>
              <w:jc w:val="center"/>
              <w:rPr>
                <w:rFonts w:hint="eastAsia" w:hAnsi="宋体" w:cs="宋体"/>
                <w:kern w:val="0"/>
                <w:sz w:val="21"/>
                <w:szCs w:val="21"/>
              </w:rPr>
            </w:pPr>
            <w:r>
              <w:rPr>
                <w:rFonts w:hint="eastAsia" w:hAnsi="宋体" w:cs="宋体"/>
                <w:kern w:val="0"/>
                <w:sz w:val="21"/>
                <w:szCs w:val="21"/>
              </w:rPr>
              <w:t>从事技术负责人年限</w:t>
            </w:r>
          </w:p>
        </w:tc>
        <w:tc>
          <w:tcPr>
            <w:tcW w:w="1481" w:type="dxa"/>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int="eastAsia" w:hAnsi="宋体" w:cs="宋体"/>
                <w:kern w:val="0"/>
                <w:sz w:val="21"/>
                <w:szCs w:val="21"/>
              </w:rPr>
            </w:pPr>
            <w:r>
              <w:rPr>
                <w:rFonts w:hint="eastAsia" w:hAnsi="宋体" w:cs="宋体"/>
                <w:kern w:val="0"/>
                <w:sz w:val="21"/>
                <w:szCs w:val="21"/>
              </w:rPr>
              <w:t>资格证书名称及编号</w:t>
            </w:r>
          </w:p>
        </w:tc>
        <w:tc>
          <w:tcPr>
            <w:tcW w:w="6050" w:type="dxa"/>
            <w:gridSpan w:val="4"/>
            <w:vAlign w:val="center"/>
          </w:tcPr>
          <w:p>
            <w:pPr>
              <w:spacing w:line="240" w:lineRule="exact"/>
              <w:jc w:val="center"/>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hint="eastAsia" w:hAnsi="宋体" w:cs="宋体"/>
                <w:kern w:val="0"/>
                <w:sz w:val="21"/>
                <w:szCs w:val="21"/>
              </w:rPr>
            </w:pPr>
            <w:r>
              <w:rPr>
                <w:rFonts w:hint="eastAsia" w:hAnsi="宋体" w:cs="宋体"/>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建设单位</w:t>
            </w: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项目名称</w:t>
            </w:r>
          </w:p>
        </w:tc>
        <w:tc>
          <w:tcPr>
            <w:tcW w:w="1480"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建设规模</w:t>
            </w:r>
          </w:p>
        </w:tc>
        <w:tc>
          <w:tcPr>
            <w:tcW w:w="1608"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开、竣工日期</w:t>
            </w: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在建或已完</w:t>
            </w:r>
          </w:p>
        </w:tc>
        <w:tc>
          <w:tcPr>
            <w:tcW w:w="1481" w:type="dxa"/>
            <w:vAlign w:val="center"/>
          </w:tcPr>
          <w:p>
            <w:pPr>
              <w:spacing w:line="240" w:lineRule="exact"/>
              <w:jc w:val="center"/>
              <w:rPr>
                <w:rFonts w:hint="eastAsia" w:hAnsi="宋体" w:cs="宋体"/>
                <w:kern w:val="0"/>
                <w:sz w:val="21"/>
                <w:szCs w:val="21"/>
              </w:rPr>
            </w:pPr>
            <w:r>
              <w:rPr>
                <w:rFonts w:hint="eastAsia" w:hAnsi="宋体" w:cs="宋体"/>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480" w:type="dxa"/>
            <w:vAlign w:val="top"/>
          </w:tcPr>
          <w:p>
            <w:pPr>
              <w:spacing w:line="360" w:lineRule="auto"/>
              <w:rPr>
                <w:rFonts w:hint="eastAsia" w:hAnsi="宋体" w:cs="宋体"/>
                <w:kern w:val="0"/>
                <w:sz w:val="21"/>
                <w:szCs w:val="21"/>
              </w:rPr>
            </w:pPr>
          </w:p>
        </w:tc>
        <w:tc>
          <w:tcPr>
            <w:tcW w:w="1608"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c>
          <w:tcPr>
            <w:tcW w:w="1481" w:type="dxa"/>
            <w:vAlign w:val="top"/>
          </w:tcPr>
          <w:p>
            <w:pPr>
              <w:spacing w:line="360" w:lineRule="auto"/>
              <w:rPr>
                <w:rFonts w:hint="eastAsia" w:hAnsi="宋体" w:cs="宋体"/>
                <w:kern w:val="0"/>
                <w:sz w:val="21"/>
                <w:szCs w:val="21"/>
              </w:rPr>
            </w:pPr>
          </w:p>
        </w:tc>
      </w:tr>
    </w:tbl>
    <w:p>
      <w:pPr>
        <w:spacing w:line="360" w:lineRule="auto"/>
        <w:jc w:val="center"/>
        <w:rPr>
          <w:rFonts w:hint="eastAsia" w:hAnsi="宋体" w:cs="宋体"/>
          <w:b/>
          <w:bCs/>
          <w:kern w:val="0"/>
          <w:szCs w:val="28"/>
        </w:rPr>
      </w:pPr>
    </w:p>
    <w:p>
      <w:pPr>
        <w:spacing w:line="360" w:lineRule="auto"/>
        <w:jc w:val="center"/>
        <w:rPr>
          <w:rFonts w:hint="eastAsia" w:hAnsi="宋体" w:cs="宋体"/>
          <w:b/>
          <w:bCs/>
          <w:kern w:val="0"/>
          <w:szCs w:val="28"/>
        </w:rPr>
      </w:pPr>
    </w:p>
    <w:p>
      <w:pPr>
        <w:tabs>
          <w:tab w:val="left" w:pos="720"/>
        </w:tabs>
        <w:spacing w:line="360" w:lineRule="auto"/>
        <w:rPr>
          <w:rFonts w:ascii="宋体" w:hAnsi="宋体"/>
          <w:b/>
          <w:sz w:val="24"/>
          <w:szCs w:val="24"/>
        </w:rPr>
      </w:pPr>
      <w:bookmarkStart w:id="589" w:name="_Toc246392157"/>
      <w:bookmarkStart w:id="590" w:name="_Toc144974867"/>
      <w:bookmarkStart w:id="591" w:name="_Toc179632819"/>
      <w:bookmarkStart w:id="592" w:name="_Toc152045799"/>
      <w:bookmarkStart w:id="593" w:name="_Toc152042588"/>
    </w:p>
    <w:p>
      <w:pPr>
        <w:tabs>
          <w:tab w:val="left" w:pos="720"/>
        </w:tabs>
        <w:spacing w:line="360" w:lineRule="auto"/>
        <w:rPr>
          <w:rFonts w:ascii="宋体" w:hAnsi="宋体"/>
          <w:b/>
          <w:sz w:val="24"/>
          <w:szCs w:val="24"/>
        </w:rPr>
      </w:pPr>
    </w:p>
    <w:p>
      <w:pPr>
        <w:tabs>
          <w:tab w:val="left" w:pos="720"/>
        </w:tabs>
        <w:spacing w:line="360" w:lineRule="auto"/>
        <w:rPr>
          <w:rFonts w:ascii="宋体" w:hAnsi="宋体"/>
          <w:b/>
          <w:sz w:val="24"/>
          <w:szCs w:val="24"/>
        </w:rPr>
      </w:pPr>
      <w:r>
        <w:rPr>
          <w:rFonts w:ascii="宋体" w:hAnsi="宋体"/>
          <w:b/>
          <w:sz w:val="24"/>
          <w:szCs w:val="24"/>
        </w:rPr>
        <w:t>附表</w:t>
      </w:r>
      <w:r>
        <w:rPr>
          <w:rFonts w:hint="eastAsia" w:ascii="宋体" w:hAnsi="宋体"/>
          <w:b/>
          <w:sz w:val="24"/>
          <w:szCs w:val="24"/>
        </w:rPr>
        <w:t>六</w:t>
      </w:r>
      <w:r>
        <w:rPr>
          <w:rFonts w:ascii="宋体" w:hAnsi="宋体"/>
          <w:b/>
          <w:sz w:val="24"/>
          <w:szCs w:val="24"/>
        </w:rPr>
        <w:t>：劳动力计划表</w:t>
      </w:r>
      <w:bookmarkEnd w:id="589"/>
      <w:bookmarkEnd w:id="590"/>
      <w:bookmarkEnd w:id="591"/>
      <w:bookmarkEnd w:id="592"/>
      <w:bookmarkEnd w:id="593"/>
    </w:p>
    <w:p>
      <w:pPr>
        <w:spacing w:line="440" w:lineRule="exact"/>
        <w:ind w:right="410"/>
        <w:jc w:val="center"/>
        <w:rPr>
          <w:rFonts w:ascii="宋体" w:hAnsi="宋体"/>
          <w:sz w:val="24"/>
          <w:szCs w:val="24"/>
        </w:rPr>
      </w:pPr>
      <w:r>
        <w:rPr>
          <w:rFonts w:hint="eastAsia" w:ascii="宋体" w:hAnsi="宋体"/>
          <w:sz w:val="24"/>
          <w:szCs w:val="24"/>
          <w:lang w:val="en-US" w:eastAsia="zh-CN"/>
        </w:rPr>
        <w:t xml:space="preserve">                                                       </w:t>
      </w:r>
      <w:r>
        <w:rPr>
          <w:rFonts w:ascii="宋体" w:hAnsi="宋体"/>
          <w:sz w:val="24"/>
          <w:szCs w:val="24"/>
        </w:rPr>
        <w:t>单位：人</w:t>
      </w:r>
    </w:p>
    <w:tbl>
      <w:tblPr>
        <w:tblStyle w:val="2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r>
              <w:rPr>
                <w:szCs w:val="21"/>
              </w:rPr>
              <w:t>工种</w:t>
            </w:r>
          </w:p>
        </w:tc>
        <w:tc>
          <w:tcPr>
            <w:tcW w:w="8061" w:type="dxa"/>
            <w:gridSpan w:val="7"/>
            <w:vAlign w:val="center"/>
          </w:tcPr>
          <w:p>
            <w:pPr>
              <w:spacing w:line="440" w:lineRule="exact"/>
              <w:jc w:val="center"/>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p>
        </w:tc>
        <w:tc>
          <w:tcPr>
            <w:tcW w:w="949"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953"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23"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p>
        </w:tc>
        <w:tc>
          <w:tcPr>
            <w:tcW w:w="949"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953"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23"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top"/>
          </w:tcPr>
          <w:p>
            <w:pPr>
              <w:spacing w:line="440" w:lineRule="exact"/>
              <w:jc w:val="center"/>
              <w:rPr>
                <w:szCs w:val="21"/>
              </w:rPr>
            </w:pPr>
          </w:p>
        </w:tc>
        <w:tc>
          <w:tcPr>
            <w:tcW w:w="949"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953"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23" w:type="dxa"/>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top"/>
          </w:tcPr>
          <w:p>
            <w:pPr>
              <w:spacing w:line="440" w:lineRule="exact"/>
              <w:jc w:val="center"/>
              <w:rPr>
                <w:szCs w:val="21"/>
              </w:rPr>
            </w:pPr>
          </w:p>
        </w:tc>
        <w:tc>
          <w:tcPr>
            <w:tcW w:w="949"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953"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23" w:type="dxa"/>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top"/>
          </w:tcPr>
          <w:p>
            <w:pPr>
              <w:spacing w:line="440" w:lineRule="exact"/>
              <w:jc w:val="center"/>
              <w:rPr>
                <w:szCs w:val="21"/>
              </w:rPr>
            </w:pPr>
          </w:p>
        </w:tc>
        <w:tc>
          <w:tcPr>
            <w:tcW w:w="949"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953"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34" w:type="dxa"/>
            <w:vAlign w:val="top"/>
          </w:tcPr>
          <w:p>
            <w:pPr>
              <w:spacing w:line="440" w:lineRule="exact"/>
              <w:jc w:val="center"/>
              <w:rPr>
                <w:szCs w:val="21"/>
              </w:rPr>
            </w:pPr>
          </w:p>
        </w:tc>
        <w:tc>
          <w:tcPr>
            <w:tcW w:w="1223" w:type="dxa"/>
            <w:vAlign w:val="top"/>
          </w:tcPr>
          <w:p>
            <w:pPr>
              <w:spacing w:line="440" w:lineRule="exact"/>
              <w:jc w:val="center"/>
              <w:rPr>
                <w:szCs w:val="21"/>
              </w:rPr>
            </w:pPr>
          </w:p>
        </w:tc>
      </w:tr>
    </w:tbl>
    <w:p>
      <w:pPr>
        <w:tabs>
          <w:tab w:val="left" w:pos="720"/>
        </w:tabs>
        <w:spacing w:line="360" w:lineRule="auto"/>
        <w:rPr>
          <w:rFonts w:ascii="宋体" w:hAnsi="宋体"/>
          <w:b/>
          <w:sz w:val="24"/>
          <w:szCs w:val="24"/>
        </w:rPr>
      </w:pPr>
      <w:bookmarkStart w:id="594" w:name="_Toc246392158"/>
      <w:bookmarkStart w:id="595" w:name="_Toc152042589"/>
      <w:bookmarkStart w:id="596" w:name="_Toc179632820"/>
      <w:bookmarkStart w:id="597" w:name="_Toc152045800"/>
      <w:bookmarkStart w:id="598" w:name="_Toc144974868"/>
    </w:p>
    <w:p>
      <w:pPr>
        <w:tabs>
          <w:tab w:val="left" w:pos="720"/>
        </w:tabs>
        <w:spacing w:line="360" w:lineRule="auto"/>
        <w:rPr>
          <w:rFonts w:ascii="宋体" w:hAnsi="宋体"/>
          <w:b/>
          <w:sz w:val="24"/>
          <w:szCs w:val="24"/>
        </w:rPr>
      </w:pPr>
    </w:p>
    <w:p>
      <w:pPr>
        <w:tabs>
          <w:tab w:val="left" w:pos="720"/>
        </w:tabs>
        <w:spacing w:line="360" w:lineRule="auto"/>
        <w:rPr>
          <w:rFonts w:ascii="宋体" w:hAnsi="宋体"/>
          <w:b/>
          <w:sz w:val="24"/>
          <w:szCs w:val="24"/>
        </w:rPr>
      </w:pPr>
      <w:r>
        <w:rPr>
          <w:rFonts w:ascii="宋体" w:hAnsi="宋体"/>
          <w:b/>
          <w:sz w:val="24"/>
          <w:szCs w:val="24"/>
        </w:rPr>
        <w:t>附表</w:t>
      </w:r>
      <w:r>
        <w:rPr>
          <w:rFonts w:hint="eastAsia" w:ascii="宋体" w:hAnsi="宋体"/>
          <w:b/>
          <w:sz w:val="24"/>
          <w:szCs w:val="24"/>
        </w:rPr>
        <w:t>七</w:t>
      </w:r>
      <w:r>
        <w:rPr>
          <w:rFonts w:ascii="宋体" w:hAnsi="宋体"/>
          <w:b/>
          <w:sz w:val="24"/>
          <w:szCs w:val="24"/>
        </w:rPr>
        <w:t>：计划开、</w:t>
      </w:r>
      <w:r>
        <w:rPr>
          <w:rFonts w:hint="eastAsia" w:ascii="宋体" w:hAnsi="宋体"/>
          <w:b/>
          <w:sz w:val="24"/>
          <w:szCs w:val="24"/>
        </w:rPr>
        <w:t>竣工</w:t>
      </w:r>
      <w:r>
        <w:rPr>
          <w:rFonts w:ascii="宋体" w:hAnsi="宋体"/>
          <w:b/>
          <w:sz w:val="24"/>
          <w:szCs w:val="24"/>
        </w:rPr>
        <w:t>日期和施工进度网络图</w:t>
      </w:r>
      <w:bookmarkEnd w:id="594"/>
      <w:bookmarkEnd w:id="595"/>
      <w:bookmarkEnd w:id="596"/>
      <w:bookmarkEnd w:id="597"/>
      <w:bookmarkEnd w:id="598"/>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sz w:val="21"/>
          <w:szCs w:val="21"/>
        </w:rPr>
      </w:pPr>
      <w:r>
        <w:rPr>
          <w:rFonts w:ascii="宋体" w:hAnsi="宋体"/>
          <w:sz w:val="21"/>
          <w:szCs w:val="21"/>
        </w:rPr>
        <w:t>1. 投标人应递交施工进度网络图或施工进度表，说明按招标文件要求的计划工期进行施工的各个关键日期。</w:t>
      </w:r>
    </w:p>
    <w:p>
      <w:pPr>
        <w:keepNext w:val="0"/>
        <w:keepLines w:val="0"/>
        <w:pageBreakBefore w:val="0"/>
        <w:widowControl/>
        <w:kinsoku/>
        <w:wordWrap/>
        <w:overflowPunct/>
        <w:topLinePunct w:val="0"/>
        <w:autoSpaceDE/>
        <w:autoSpaceDN/>
        <w:bidi w:val="0"/>
        <w:adjustRightInd/>
        <w:snapToGrid/>
        <w:spacing w:after="0" w:line="360" w:lineRule="auto"/>
        <w:textAlignment w:val="auto"/>
        <w:outlineLvl w:val="9"/>
        <w:rPr>
          <w:color w:val="auto"/>
          <w:sz w:val="20"/>
          <w:szCs w:val="20"/>
        </w:rPr>
      </w:pPr>
      <w:r>
        <w:rPr>
          <w:rFonts w:ascii="宋体" w:hAnsi="宋体"/>
          <w:sz w:val="21"/>
          <w:szCs w:val="21"/>
        </w:rPr>
        <w:t>2. 施工进度表可采用网络图（或横道图）表示。</w:t>
      </w:r>
    </w:p>
    <w:p>
      <w:pPr>
        <w:sectPr>
          <w:pgSz w:w="11900" w:h="16838"/>
          <w:pgMar w:top="1440" w:right="1440" w:bottom="158" w:left="1440" w:header="567" w:footer="567" w:gutter="0"/>
          <w:pgBorders>
            <w:top w:val="none" w:sz="0" w:space="0"/>
            <w:left w:val="none" w:sz="0" w:space="0"/>
            <w:bottom w:val="none" w:sz="0" w:space="0"/>
            <w:right w:val="none" w:sz="0" w:space="0"/>
          </w:pgBorders>
          <w:pgNumType w:fmt="decimal"/>
          <w:cols w:equalWidth="0" w:num="1">
            <w:col w:w="9026"/>
          </w:cols>
        </w:sectPr>
      </w:pPr>
      <w:bookmarkStart w:id="599" w:name="page85"/>
      <w:bookmarkEnd w:id="599"/>
    </w:p>
    <w:p>
      <w:pPr>
        <w:spacing w:after="0" w:line="200" w:lineRule="exact"/>
        <w:rPr>
          <w:color w:val="auto"/>
          <w:sz w:val="20"/>
          <w:szCs w:val="20"/>
        </w:rPr>
      </w:pPr>
      <w:bookmarkStart w:id="600" w:name="page88"/>
      <w:bookmarkEnd w:id="600"/>
    </w:p>
    <w:p>
      <w:pPr>
        <w:tabs>
          <w:tab w:val="left" w:pos="300"/>
        </w:tabs>
        <w:spacing w:after="0" w:line="366" w:lineRule="exact"/>
        <w:jc w:val="center"/>
        <w:rPr>
          <w:color w:val="auto"/>
          <w:sz w:val="20"/>
          <w:szCs w:val="20"/>
        </w:rPr>
      </w:pPr>
      <w:bookmarkStart w:id="601" w:name="page89"/>
      <w:bookmarkEnd w:id="601"/>
      <w:r>
        <w:rPr>
          <w:rFonts w:ascii="宋体" w:hAnsi="宋体" w:eastAsia="宋体" w:cs="宋体"/>
          <w:b/>
          <w:bCs/>
          <w:color w:val="auto"/>
          <w:sz w:val="32"/>
          <w:szCs w:val="32"/>
        </w:rPr>
        <w:t>第七章</w:t>
      </w:r>
      <w:r>
        <w:rPr>
          <w:rFonts w:ascii="宋体" w:hAnsi="宋体" w:eastAsia="宋体" w:cs="宋体"/>
          <w:b/>
          <w:bCs/>
          <w:color w:val="auto"/>
          <w:sz w:val="32"/>
          <w:szCs w:val="32"/>
        </w:rPr>
        <w:tab/>
      </w:r>
      <w:r>
        <w:rPr>
          <w:rFonts w:ascii="宋体" w:hAnsi="宋体" w:eastAsia="宋体" w:cs="宋体"/>
          <w:b/>
          <w:bCs/>
          <w:color w:val="auto"/>
          <w:sz w:val="32"/>
          <w:szCs w:val="32"/>
        </w:rPr>
        <w:t>评审办法</w:t>
      </w:r>
    </w:p>
    <w:p>
      <w:pPr>
        <w:spacing w:after="0" w:line="25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本评审办法遵照《中华人民共和国政府采购法》、《政府采购竞争性磋商采购方式管理暂行办法》等有关规定，并结合本项目的具体情况制定。</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一、总则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磋商小组成员应当按照客观、公正、审慎的原则，根据磋商文件规定的评审程序、评审方法和评审标准进行独立评审。对落标人，磋商小组不作任何落标解释。</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二、评审组织</w:t>
      </w:r>
    </w:p>
    <w:p>
      <w:pPr>
        <w:keepNext w:val="0"/>
        <w:keepLines w:val="0"/>
        <w:pageBreakBefore w:val="0"/>
        <w:widowControl/>
        <w:kinsoku/>
        <w:wordWrap/>
        <w:overflowPunct/>
        <w:topLinePunct w:val="0"/>
        <w:autoSpaceDE/>
        <w:autoSpaceDN/>
        <w:bidi w:val="0"/>
        <w:adjustRightInd/>
        <w:snapToGrid/>
        <w:spacing w:after="0" w:line="360" w:lineRule="auto"/>
        <w:ind w:right="246"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评审工作由采购单位依法组建的磋商小组负责。磋商小组负责审标、询标、评审等工作，并向采购人提出评审意见和评审报告。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b/>
          <w:bCs/>
          <w:color w:val="auto"/>
          <w:sz w:val="21"/>
          <w:szCs w:val="21"/>
        </w:rPr>
        <w:t>评标程序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程序如下：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第一步：磋商小组根据评审原则和评审办法，对商务技术标进行资格、符合性审查。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第二步：对符合性通过的投标人的商务技术标进行磋商评分并汇总。</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第三步：汇总完毕后开启报价文件，磋商小组对报价文件进行符合性审查，针投标报价与各投标人进行磋商，确定最终报价。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第四步：统一收取最终报价的同时公布各投标人的商务技术总分。</w:t>
      </w:r>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步：磋商小组以商务技术标和报价标合计分值由高到低的顺序依次推荐得分第一名的为第一中标候选单位，推荐得分第二名的为第二中标候选单位，并提交书面评标报告。合计分值相同时以报价标得分高为先，合计分值、报价标得分均相同时由评标委员会全体成员记名投票按少数服从多数的原则确定中标候选顺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磋商要求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 3 轮。在磋商过程中，采购人及磋商小组有权变更相关要求，不对因此而受影响的投标人承担责任。磋商中如有实质性变动，磋商小组将用书面形式通知参加磋商的投标人。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2、磋商小组将要求所有参加磋商的投标人按磋商小组提出的要求并在规定时间内分别进行最终报价，各投标人在规定时间之后的报价将被视为无效。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3、磋商结束后，磋商小组应当要求所有实质性响应的供应商在规定时间内提交最后报价，提交最后报价的供应商一般不得少于 3 家。</w:t>
      </w:r>
    </w:p>
    <w:p>
      <w:pPr>
        <w:spacing w:after="0" w:line="356" w:lineRule="exact"/>
        <w:rPr>
          <w:color w:val="auto"/>
          <w:sz w:val="20"/>
          <w:szCs w:val="20"/>
        </w:rPr>
      </w:pPr>
    </w:p>
    <w:p>
      <w:pPr>
        <w:sectPr>
          <w:pgSz w:w="11900" w:h="16838"/>
          <w:pgMar w:top="1440" w:right="1440" w:bottom="365" w:left="1440" w:header="567" w:footer="567" w:gutter="0"/>
          <w:pgBorders>
            <w:top w:val="none" w:sz="0" w:space="0"/>
            <w:left w:val="none" w:sz="0" w:space="0"/>
            <w:bottom w:val="none" w:sz="0" w:space="0"/>
            <w:right w:val="none" w:sz="0" w:space="0"/>
          </w:pgBorders>
          <w:pgNumType w:fmt="decimal"/>
          <w:cols w:equalWidth="0" w:num="1">
            <w:col w:w="9026"/>
          </w:cols>
        </w:sectPr>
      </w:pPr>
    </w:p>
    <w:p>
      <w:pPr>
        <w:spacing w:after="0" w:line="21" w:lineRule="exact"/>
        <w:rPr>
          <w:color w:val="auto"/>
          <w:sz w:val="20"/>
          <w:szCs w:val="20"/>
        </w:rPr>
      </w:pPr>
      <w:bookmarkStart w:id="602" w:name="page90"/>
      <w:bookmarkEnd w:id="602"/>
    </w:p>
    <w:p>
      <w:pPr>
        <w:keepNext w:val="0"/>
        <w:keepLines w:val="0"/>
        <w:pageBreakBefore w:val="0"/>
        <w:widowControl/>
        <w:kinsoku/>
        <w:wordWrap/>
        <w:overflowPunct/>
        <w:topLinePunct w:val="0"/>
        <w:autoSpaceDE/>
        <w:autoSpaceDN/>
        <w:bidi w:val="0"/>
        <w:adjustRightInd/>
        <w:snapToGrid/>
        <w:spacing w:after="0" w:line="360" w:lineRule="auto"/>
        <w:ind w:right="346" w:firstLine="420" w:firstLineChars="200"/>
        <w:textAlignment w:val="auto"/>
        <w:outlineLvl w:val="9"/>
        <w:rPr>
          <w:color w:val="auto"/>
          <w:sz w:val="21"/>
          <w:szCs w:val="21"/>
        </w:rPr>
      </w:pPr>
      <w:r>
        <w:rPr>
          <w:rFonts w:ascii="Arial" w:hAnsi="Arial" w:eastAsia="Arial" w:cs="Arial"/>
          <w:color w:val="auto"/>
          <w:sz w:val="21"/>
          <w:szCs w:val="21"/>
        </w:rPr>
        <w:t>4</w:t>
      </w:r>
      <w:r>
        <w:rPr>
          <w:rFonts w:ascii="宋体" w:hAnsi="宋体" w:eastAsia="宋体" w:cs="宋体"/>
          <w:color w:val="auto"/>
          <w:sz w:val="21"/>
          <w:szCs w:val="21"/>
        </w:rPr>
        <w:t>、最后报价是供应商响应文件的有效组成部分。符合《政府采购竞争性磋商采购方式管理暂行办法》第三条第四项情形的，提交最后报价的供应商可以为</w:t>
      </w:r>
      <w:r>
        <w:rPr>
          <w:rFonts w:ascii="Arial" w:hAnsi="Arial" w:eastAsia="Arial" w:cs="Arial"/>
          <w:color w:val="auto"/>
          <w:sz w:val="21"/>
          <w:szCs w:val="21"/>
        </w:rPr>
        <w:t xml:space="preserve"> 2 </w:t>
      </w:r>
      <w:r>
        <w:rPr>
          <w:rFonts w:ascii="宋体" w:hAnsi="宋体" w:eastAsia="宋体" w:cs="宋体"/>
          <w:color w:val="auto"/>
          <w:sz w:val="21"/>
          <w:szCs w:val="21"/>
        </w:rPr>
        <w:t>家。</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hint="eastAsia" w:ascii="宋体" w:hAnsi="宋体" w:eastAsia="宋体" w:cs="宋体"/>
          <w:b/>
          <w:bCs/>
          <w:color w:val="auto"/>
          <w:sz w:val="21"/>
          <w:szCs w:val="21"/>
          <w:lang w:val="en-US" w:eastAsia="zh-CN"/>
        </w:rPr>
        <w:t>五</w:t>
      </w:r>
      <w:r>
        <w:rPr>
          <w:rFonts w:ascii="宋体" w:hAnsi="宋体" w:eastAsia="宋体" w:cs="宋体"/>
          <w:b/>
          <w:bCs/>
          <w:color w:val="auto"/>
          <w:sz w:val="21"/>
          <w:szCs w:val="21"/>
        </w:rPr>
        <w:t>、评审细则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宋体" w:hAnsi="宋体" w:eastAsia="宋体" w:cs="宋体"/>
          <w:color w:val="auto"/>
          <w:sz w:val="21"/>
          <w:szCs w:val="21"/>
        </w:rPr>
        <w:t>评标采用综合评分法，磋商小组从最终投标报价、投标人的综合实力、业绩、技术方案、服务承诺、等方面进行评审。磋商小组根据评审情况，对各投标人的商务报价方面在分值范围内进行统一打分，对各投标人的商务方面在分值范围内进行统一打分，对各投标人的技术方面在分值范围内进行独立打分。</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1"/>
          <w:szCs w:val="21"/>
        </w:rPr>
      </w:pPr>
      <w:r>
        <w:rPr>
          <w:rFonts w:ascii="宋体" w:hAnsi="宋体" w:eastAsia="宋体" w:cs="宋体"/>
          <w:b/>
          <w:bCs/>
          <w:color w:val="auto"/>
          <w:sz w:val="21"/>
          <w:szCs w:val="21"/>
        </w:rPr>
        <w:t>每个供应商最终得分</w:t>
      </w:r>
      <w:r>
        <w:rPr>
          <w:rFonts w:ascii="Arial" w:hAnsi="Arial" w:eastAsia="Arial" w:cs="Arial"/>
          <w:b/>
          <w:bCs/>
          <w:color w:val="auto"/>
          <w:sz w:val="21"/>
          <w:szCs w:val="21"/>
        </w:rPr>
        <w:t>=</w:t>
      </w:r>
      <w:r>
        <w:rPr>
          <w:rFonts w:ascii="宋体" w:hAnsi="宋体" w:eastAsia="宋体" w:cs="宋体"/>
          <w:b/>
          <w:bCs/>
          <w:color w:val="auto"/>
          <w:sz w:val="21"/>
          <w:szCs w:val="21"/>
        </w:rPr>
        <w:t>报价分</w:t>
      </w:r>
      <w:r>
        <w:rPr>
          <w:rFonts w:ascii="Arial" w:hAnsi="Arial" w:eastAsia="Arial" w:cs="Arial"/>
          <w:b/>
          <w:bCs/>
          <w:color w:val="auto"/>
          <w:sz w:val="21"/>
          <w:szCs w:val="21"/>
        </w:rPr>
        <w:t>+</w:t>
      </w:r>
      <w:r>
        <w:rPr>
          <w:rFonts w:ascii="宋体" w:hAnsi="宋体" w:eastAsia="宋体" w:cs="宋体"/>
          <w:b/>
          <w:bCs/>
          <w:color w:val="auto"/>
          <w:sz w:val="21"/>
          <w:szCs w:val="21"/>
        </w:rPr>
        <w:t>商务技术分</w:t>
      </w:r>
    </w:p>
    <w:p>
      <w:pPr>
        <w:keepNext w:val="0"/>
        <w:keepLines w:val="0"/>
        <w:pageBreakBefore w:val="0"/>
        <w:widowControl/>
        <w:tabs>
          <w:tab w:val="left" w:pos="2040"/>
        </w:tabs>
        <w:kinsoku/>
        <w:wordWrap/>
        <w:overflowPunct/>
        <w:topLinePunct w:val="0"/>
        <w:autoSpaceDE/>
        <w:autoSpaceDN/>
        <w:bidi w:val="0"/>
        <w:adjustRightInd/>
        <w:snapToGrid/>
        <w:spacing w:after="0" w:line="360" w:lineRule="auto"/>
        <w:ind w:firstLine="420" w:firstLineChars="200"/>
        <w:textAlignment w:val="auto"/>
        <w:outlineLvl w:val="9"/>
        <w:rPr>
          <w:color w:val="auto"/>
          <w:sz w:val="21"/>
          <w:szCs w:val="21"/>
        </w:rPr>
      </w:pPr>
      <w:r>
        <w:rPr>
          <w:rFonts w:ascii="Arial" w:hAnsi="Arial" w:eastAsia="Arial" w:cs="Arial"/>
          <w:b/>
          <w:bCs/>
          <w:color w:val="auto"/>
          <w:sz w:val="21"/>
          <w:szCs w:val="21"/>
        </w:rPr>
        <w:t>1</w:t>
      </w:r>
      <w:r>
        <w:rPr>
          <w:rFonts w:ascii="宋体" w:hAnsi="宋体" w:eastAsia="宋体" w:cs="宋体"/>
          <w:b/>
          <w:bCs/>
          <w:color w:val="auto"/>
          <w:sz w:val="21"/>
          <w:szCs w:val="21"/>
        </w:rPr>
        <w:t>、报价分</w:t>
      </w:r>
      <w:r>
        <w:rPr>
          <w:color w:val="auto"/>
          <w:sz w:val="21"/>
          <w:szCs w:val="21"/>
        </w:rPr>
        <w:tab/>
      </w:r>
      <w:r>
        <w:rPr>
          <w:rFonts w:ascii="宋体" w:hAnsi="宋体" w:eastAsia="宋体" w:cs="宋体"/>
          <w:b/>
          <w:bCs/>
          <w:color w:val="auto"/>
          <w:sz w:val="21"/>
          <w:szCs w:val="21"/>
        </w:rPr>
        <w:t>总分</w:t>
      </w:r>
      <w:r>
        <w:rPr>
          <w:rFonts w:hint="eastAsia" w:ascii="宋体" w:hAnsi="宋体" w:eastAsia="宋体" w:cs="宋体"/>
          <w:b/>
          <w:bCs/>
          <w:color w:val="auto"/>
          <w:sz w:val="21"/>
          <w:szCs w:val="21"/>
          <w:lang w:val="en-US" w:eastAsia="zh-CN"/>
        </w:rPr>
        <w:t>30</w:t>
      </w:r>
      <w:r>
        <w:rPr>
          <w:rFonts w:ascii="宋体" w:hAnsi="宋体" w:eastAsia="宋体" w:cs="宋体"/>
          <w:b/>
          <w:bCs/>
          <w:color w:val="auto"/>
          <w:sz w:val="21"/>
          <w:szCs w:val="21"/>
        </w:rPr>
        <w:t xml:space="preserve"> 分</w:t>
      </w:r>
    </w:p>
    <w:p>
      <w:pPr>
        <w:keepNext w:val="0"/>
        <w:keepLines w:val="0"/>
        <w:pageBreakBefore w:val="0"/>
        <w:widowControl/>
        <w:tabs>
          <w:tab w:val="left" w:pos="5480"/>
          <w:tab w:val="left" w:pos="6740"/>
        </w:tabs>
        <w:kinsoku/>
        <w:wordWrap/>
        <w:overflowPunct/>
        <w:topLinePunct w:val="0"/>
        <w:autoSpaceDE/>
        <w:autoSpaceDN/>
        <w:bidi w:val="0"/>
        <w:adjustRightInd/>
        <w:snapToGrid/>
        <w:spacing w:after="0" w:line="360" w:lineRule="auto"/>
        <w:ind w:firstLine="420" w:firstLineChars="200"/>
        <w:textAlignment w:val="auto"/>
        <w:outlineLvl w:val="9"/>
        <w:rPr>
          <w:rFonts w:hint="eastAsia" w:eastAsia="宋体"/>
          <w:color w:val="auto"/>
          <w:sz w:val="21"/>
          <w:szCs w:val="21"/>
          <w:lang w:eastAsia="zh-CN"/>
        </w:rPr>
      </w:pPr>
      <w:r>
        <w:rPr>
          <w:rFonts w:ascii="宋体" w:hAnsi="宋体" w:eastAsia="宋体" w:cs="宋体"/>
          <w:color w:val="auto"/>
          <w:sz w:val="21"/>
          <w:szCs w:val="21"/>
        </w:rPr>
        <w:t>报价评分将在有效供应商范围内进行，最高得</w:t>
      </w:r>
      <w:r>
        <w:rPr>
          <w:rFonts w:ascii="Arial" w:hAnsi="Arial" w:eastAsia="Arial" w:cs="Arial"/>
          <w:color w:val="auto"/>
          <w:sz w:val="21"/>
          <w:szCs w:val="21"/>
        </w:rPr>
        <w:t xml:space="preserve"> </w:t>
      </w:r>
      <w:r>
        <w:rPr>
          <w:rFonts w:hint="eastAsia" w:ascii="Arial" w:hAnsi="Arial" w:eastAsia="宋体" w:cs="Arial"/>
          <w:color w:val="auto"/>
          <w:sz w:val="21"/>
          <w:szCs w:val="21"/>
          <w:lang w:val="en-US" w:eastAsia="zh-CN"/>
        </w:rPr>
        <w:t>3</w:t>
      </w:r>
      <w:r>
        <w:rPr>
          <w:rFonts w:ascii="Arial" w:hAnsi="Arial" w:eastAsia="Arial" w:cs="Arial"/>
          <w:color w:val="auto"/>
          <w:sz w:val="21"/>
          <w:szCs w:val="21"/>
        </w:rPr>
        <w:t>0</w:t>
      </w:r>
      <w:r>
        <w:rPr>
          <w:rFonts w:ascii="宋体" w:hAnsi="宋体" w:eastAsia="宋体" w:cs="宋体"/>
          <w:color w:val="auto"/>
          <w:sz w:val="21"/>
          <w:szCs w:val="21"/>
        </w:rPr>
        <w:t>分最低得</w:t>
      </w:r>
      <w:r>
        <w:rPr>
          <w:rFonts w:ascii="Arial" w:hAnsi="Arial" w:eastAsia="Arial" w:cs="Arial"/>
          <w:color w:val="auto"/>
          <w:sz w:val="21"/>
          <w:szCs w:val="21"/>
        </w:rPr>
        <w:t xml:space="preserve">0 </w:t>
      </w:r>
      <w:r>
        <w:rPr>
          <w:rFonts w:ascii="宋体" w:hAnsi="宋体" w:eastAsia="宋体" w:cs="宋体"/>
          <w:color w:val="auto"/>
          <w:sz w:val="21"/>
          <w:szCs w:val="21"/>
        </w:rPr>
        <w:t>分（小数点后保留二位小数，第三位四舍五入）。满足竞争性磋商文件要求且最后报价最低的</w:t>
      </w:r>
      <w:r>
        <w:rPr>
          <w:rFonts w:ascii="宋体" w:hAnsi="宋体" w:eastAsia="宋体" w:cs="宋体"/>
          <w:b/>
          <w:bCs/>
          <w:color w:val="auto"/>
          <w:sz w:val="21"/>
          <w:szCs w:val="21"/>
          <w:u w:val="single" w:color="auto"/>
        </w:rPr>
        <w:t>磋商报价</w:t>
      </w:r>
      <w:r>
        <w:rPr>
          <w:rFonts w:ascii="宋体" w:hAnsi="宋体" w:eastAsia="宋体" w:cs="宋体"/>
          <w:color w:val="auto"/>
          <w:sz w:val="21"/>
          <w:szCs w:val="21"/>
        </w:rPr>
        <w:t>为</w:t>
      </w:r>
      <w:r>
        <w:rPr>
          <w:rFonts w:ascii="宋体" w:hAnsi="宋体" w:eastAsia="宋体" w:cs="宋体"/>
          <w:b/>
          <w:bCs/>
          <w:color w:val="auto"/>
          <w:sz w:val="21"/>
          <w:szCs w:val="21"/>
          <w:u w:val="single" w:color="auto"/>
        </w:rPr>
        <w:t>磋商基准价</w:t>
      </w:r>
      <w:r>
        <w:rPr>
          <w:rFonts w:ascii="宋体" w:hAnsi="宋体" w:eastAsia="宋体" w:cs="宋体"/>
          <w:color w:val="auto"/>
          <w:sz w:val="21"/>
          <w:szCs w:val="21"/>
        </w:rPr>
        <w:t>，供应商的价格分统一按照下列公式计算：磋商报价得分</w:t>
      </w:r>
      <w:r>
        <w:rPr>
          <w:rFonts w:ascii="Arial" w:hAnsi="Arial" w:eastAsia="Arial" w:cs="Arial"/>
          <w:color w:val="auto"/>
          <w:sz w:val="21"/>
          <w:szCs w:val="21"/>
        </w:rPr>
        <w:t>=</w:t>
      </w:r>
      <w:r>
        <w:rPr>
          <w:rFonts w:ascii="宋体" w:hAnsi="宋体" w:eastAsia="宋体" w:cs="宋体"/>
          <w:color w:val="auto"/>
          <w:sz w:val="21"/>
          <w:szCs w:val="21"/>
        </w:rPr>
        <w:t>（磋商基准价</w:t>
      </w:r>
      <w:r>
        <w:rPr>
          <w:rFonts w:ascii="Arial" w:hAnsi="Arial" w:eastAsia="Arial" w:cs="Arial"/>
          <w:color w:val="auto"/>
          <w:sz w:val="21"/>
          <w:szCs w:val="21"/>
        </w:rPr>
        <w:t>/</w:t>
      </w:r>
      <w:r>
        <w:rPr>
          <w:rFonts w:ascii="宋体" w:hAnsi="宋体" w:eastAsia="宋体" w:cs="宋体"/>
          <w:color w:val="auto"/>
          <w:sz w:val="21"/>
          <w:szCs w:val="21"/>
        </w:rPr>
        <w:t>最后磋商报价）</w:t>
      </w:r>
      <w:r>
        <w:rPr>
          <w:rFonts w:ascii="Arial" w:hAnsi="Arial" w:eastAsia="Arial" w:cs="Arial"/>
          <w:color w:val="auto"/>
          <w:sz w:val="21"/>
          <w:szCs w:val="21"/>
        </w:rPr>
        <w:t>×</w:t>
      </w:r>
      <w:r>
        <w:rPr>
          <w:rFonts w:ascii="宋体" w:hAnsi="宋体" w:eastAsia="宋体" w:cs="宋体"/>
          <w:color w:val="auto"/>
          <w:sz w:val="21"/>
          <w:szCs w:val="21"/>
        </w:rPr>
        <w:t>价格权值</w:t>
      </w:r>
      <w:r>
        <w:rPr>
          <w:rFonts w:ascii="Arial" w:hAnsi="Arial" w:eastAsia="Arial" w:cs="Arial"/>
          <w:color w:val="auto"/>
          <w:sz w:val="21"/>
          <w:szCs w:val="21"/>
        </w:rPr>
        <w:t>×100</w:t>
      </w:r>
      <w:r>
        <w:rPr>
          <w:rFonts w:hint="eastAsia" w:ascii="Arial" w:hAnsi="Arial" w:eastAsia="宋体" w:cs="Arial"/>
          <w:color w:val="auto"/>
          <w:sz w:val="21"/>
          <w:szCs w:val="21"/>
          <w:lang w:eastAsia="zh-CN"/>
        </w:rPr>
        <w:t>。</w:t>
      </w:r>
    </w:p>
    <w:p>
      <w:pPr>
        <w:keepNext w:val="0"/>
        <w:keepLines w:val="0"/>
        <w:pageBreakBefore w:val="0"/>
        <w:widowControl/>
        <w:tabs>
          <w:tab w:val="left" w:pos="2040"/>
        </w:tabs>
        <w:kinsoku/>
        <w:wordWrap/>
        <w:overflowPunct/>
        <w:topLinePunct w:val="0"/>
        <w:autoSpaceDE/>
        <w:autoSpaceDN/>
        <w:bidi w:val="0"/>
        <w:adjustRightInd/>
        <w:snapToGrid/>
        <w:spacing w:after="0" w:line="360" w:lineRule="auto"/>
        <w:ind w:firstLine="422" w:firstLineChars="200"/>
        <w:textAlignment w:val="auto"/>
        <w:outlineLvl w:val="9"/>
        <w:rPr>
          <w:rFonts w:ascii="宋体" w:hAnsi="宋体" w:eastAsia="宋体" w:cs="宋体"/>
          <w:b/>
          <w:bCs/>
          <w:color w:val="auto"/>
          <w:sz w:val="21"/>
          <w:szCs w:val="21"/>
        </w:rPr>
      </w:pPr>
      <w:r>
        <w:rPr>
          <w:rFonts w:ascii="宋体" w:hAnsi="宋体" w:eastAsia="宋体" w:cs="宋体"/>
          <w:b/>
          <w:bCs/>
          <w:color w:val="auto"/>
          <w:sz w:val="21"/>
          <w:szCs w:val="21"/>
        </w:rPr>
        <w:t>2、商务技术分</w:t>
      </w:r>
      <w:r>
        <w:rPr>
          <w:rFonts w:ascii="宋体" w:hAnsi="宋体" w:eastAsia="宋体" w:cs="宋体"/>
          <w:b/>
          <w:bCs/>
          <w:color w:val="auto"/>
          <w:sz w:val="21"/>
          <w:szCs w:val="21"/>
        </w:rPr>
        <w:tab/>
      </w:r>
      <w:r>
        <w:rPr>
          <w:rFonts w:ascii="宋体" w:hAnsi="宋体" w:eastAsia="宋体" w:cs="宋体"/>
          <w:b/>
          <w:bCs/>
          <w:color w:val="auto"/>
          <w:sz w:val="21"/>
          <w:szCs w:val="21"/>
        </w:rPr>
        <w:t xml:space="preserve">总分 </w:t>
      </w:r>
      <w:r>
        <w:rPr>
          <w:rFonts w:hint="eastAsia" w:ascii="宋体" w:hAnsi="宋体" w:eastAsia="宋体" w:cs="宋体"/>
          <w:b/>
          <w:bCs/>
          <w:color w:val="auto"/>
          <w:sz w:val="21"/>
          <w:szCs w:val="21"/>
          <w:lang w:val="en-US" w:eastAsia="zh-CN"/>
        </w:rPr>
        <w:t>7</w:t>
      </w:r>
      <w:r>
        <w:rPr>
          <w:rFonts w:ascii="宋体" w:hAnsi="宋体" w:eastAsia="宋体" w:cs="宋体"/>
          <w:b/>
          <w:bCs/>
          <w:color w:val="auto"/>
          <w:sz w:val="21"/>
          <w:szCs w:val="21"/>
        </w:rPr>
        <w:t>0 分</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r>
        <w:rPr>
          <w:rFonts w:ascii="宋体" w:hAnsi="宋体" w:eastAsia="宋体" w:cs="宋体"/>
          <w:color w:val="auto"/>
          <w:sz w:val="21"/>
          <w:szCs w:val="21"/>
        </w:rPr>
        <w:t>由评标专家负责对投标文件的商务技术部分采用记名方式各自评分。如发现某个单项的评分超出了规定的分值范围的，则该张评分表无效。此项评分为：所有评标专家的有效评分的算术平均值（保留小数 2 位）。</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pStyle w:val="6"/>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tbl>
      <w:tblPr>
        <w:tblStyle w:val="21"/>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评审因素</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分值</w:t>
            </w:r>
          </w:p>
        </w:tc>
        <w:tc>
          <w:tcPr>
            <w:tcW w:w="7683"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rPr>
            </w:pPr>
            <w:r>
              <w:rPr>
                <w:rFonts w:hint="eastAsia" w:ascii="宋体" w:hAnsi="宋体" w:eastAsia="宋体" w:cs="宋体"/>
                <w:b/>
                <w:bCs/>
                <w:color w:val="auto"/>
                <w:spacing w:val="-6"/>
                <w:kern w:val="2"/>
                <w:sz w:val="24"/>
                <w:szCs w:val="24"/>
              </w:rPr>
              <w:t>价格分</w:t>
            </w:r>
            <w:r>
              <w:rPr>
                <w:rFonts w:hint="eastAsia" w:ascii="宋体" w:hAnsi="宋体" w:eastAsia="宋体" w:cs="宋体"/>
                <w:b/>
                <w:color w:val="auto"/>
                <w:spacing w:val="-6"/>
                <w:sz w:val="24"/>
                <w:szCs w:val="24"/>
              </w:rPr>
              <w:t>（</w:t>
            </w:r>
            <w:r>
              <w:rPr>
                <w:rFonts w:hint="eastAsia" w:ascii="宋体" w:hAnsi="宋体" w:eastAsia="宋体" w:cs="宋体"/>
                <w:b/>
                <w:color w:val="auto"/>
                <w:spacing w:val="-6"/>
                <w:sz w:val="24"/>
                <w:szCs w:val="24"/>
                <w:lang w:val="en-US" w:eastAsia="zh-CN"/>
              </w:rPr>
              <w:t>3</w:t>
            </w:r>
            <w:r>
              <w:rPr>
                <w:rFonts w:hint="eastAsia" w:ascii="宋体" w:hAnsi="宋体" w:eastAsia="宋体" w:cs="宋体"/>
                <w:b/>
                <w:color w:val="auto"/>
                <w:spacing w:val="-6"/>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投标报价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0</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评标基准价=满足招标文件要求且投标价最低的投标报价为评标基准价。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得分：投标价为基准价的，得满分</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0分，其他投标报价得分计算公式如下：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投标报价得分=（评标基准价/投标报价）×</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0%×100</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（经评标委员会审核，投标商所投产品若有缺项，所缺部分将加上其他投标商所投产品同类部分中的最高价格作为其投标报价打分的依据）。</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outlineLvl w:val="9"/>
              <w:rPr>
                <w:rFonts w:hint="eastAsia"/>
                <w:lang w:val="en-US" w:eastAsia="zh-CN"/>
              </w:rPr>
            </w:pPr>
            <w:r>
              <w:rPr>
                <w:rFonts w:hint="eastAsia" w:asciiTheme="minorEastAsia" w:hAnsiTheme="minorEastAsia" w:eastAsiaTheme="minorEastAsia" w:cstheme="minorEastAsia"/>
                <w:b/>
                <w:color w:val="auto"/>
                <w:sz w:val="21"/>
                <w:szCs w:val="21"/>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6"/>
                <w:sz w:val="24"/>
                <w:szCs w:val="24"/>
              </w:rPr>
            </w:pPr>
            <w:r>
              <w:rPr>
                <w:rFonts w:hint="eastAsia" w:ascii="宋体" w:hAnsi="宋体" w:eastAsia="宋体" w:cs="宋体"/>
                <w:b/>
                <w:color w:val="auto"/>
                <w:spacing w:val="-6"/>
                <w:sz w:val="24"/>
                <w:szCs w:val="24"/>
              </w:rPr>
              <w:t>商务</w:t>
            </w:r>
            <w:r>
              <w:rPr>
                <w:rFonts w:hint="eastAsia" w:ascii="宋体" w:hAnsi="宋体" w:eastAsia="宋体" w:cs="宋体"/>
                <w:b/>
                <w:color w:val="auto"/>
                <w:spacing w:val="-6"/>
                <w:sz w:val="24"/>
                <w:szCs w:val="24"/>
                <w:lang w:val="en-US" w:eastAsia="zh-CN"/>
              </w:rPr>
              <w:t>技术</w:t>
            </w:r>
            <w:r>
              <w:rPr>
                <w:rFonts w:hint="eastAsia" w:ascii="宋体" w:hAnsi="宋体" w:eastAsia="宋体" w:cs="宋体"/>
                <w:b/>
                <w:color w:val="auto"/>
                <w:spacing w:val="-6"/>
                <w:sz w:val="24"/>
                <w:szCs w:val="24"/>
              </w:rPr>
              <w:t>分（</w:t>
            </w:r>
            <w:r>
              <w:rPr>
                <w:rFonts w:hint="eastAsia" w:ascii="宋体" w:hAnsi="宋体" w:eastAsia="宋体" w:cs="宋体"/>
                <w:b/>
                <w:color w:val="auto"/>
                <w:spacing w:val="-6"/>
                <w:sz w:val="24"/>
                <w:szCs w:val="24"/>
                <w:lang w:val="en-US" w:eastAsia="zh-CN"/>
              </w:rPr>
              <w:t>70</w:t>
            </w:r>
            <w:r>
              <w:rPr>
                <w:rFonts w:hint="eastAsia" w:ascii="宋体" w:hAnsi="宋体" w:eastAsia="宋体" w:cs="宋体"/>
                <w:b/>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企业的资信、业绩</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8</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供应商自2016年1月1日</w:t>
            </w:r>
            <w:r>
              <w:rPr>
                <w:rFonts w:hint="eastAsia" w:ascii="宋体" w:hAnsi="宋体" w:eastAsia="宋体" w:cs="宋体"/>
                <w:color w:val="auto"/>
                <w:spacing w:val="-6"/>
                <w:sz w:val="24"/>
                <w:szCs w:val="24"/>
                <w:lang w:val="en-US" w:eastAsia="zh-CN"/>
              </w:rPr>
              <w:t>【以竣（交）工验收资料时间为准】</w:t>
            </w:r>
            <w:r>
              <w:rPr>
                <w:rFonts w:hint="eastAsia" w:ascii="宋体" w:hAnsi="宋体" w:eastAsia="宋体" w:cs="宋体"/>
                <w:color w:val="auto"/>
                <w:sz w:val="24"/>
                <w:szCs w:val="24"/>
              </w:rPr>
              <w:t>以来承担过</w:t>
            </w:r>
            <w:r>
              <w:rPr>
                <w:rFonts w:hint="eastAsia" w:ascii="宋体" w:hAnsi="宋体" w:cs="宋体"/>
                <w:color w:val="auto"/>
                <w:sz w:val="24"/>
                <w:szCs w:val="24"/>
                <w:lang w:val="en-US" w:eastAsia="zh-CN"/>
              </w:rPr>
              <w:t>150万及以上</w:t>
            </w:r>
            <w:r>
              <w:rPr>
                <w:rFonts w:hint="eastAsia" w:ascii="宋体" w:hAnsi="宋体" w:eastAsia="宋体" w:cs="宋体"/>
                <w:color w:val="auto"/>
                <w:sz w:val="24"/>
                <w:szCs w:val="24"/>
              </w:rPr>
              <w:t>同类项目施工业绩，一项工程得2分，最高得8分。同时具有</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中标通知书或有效的合同复印件；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竣（交)工验收资料。（需能体现竣工时间、工程类型）③</w:t>
            </w:r>
            <w:r>
              <w:rPr>
                <w:rFonts w:hint="eastAsia" w:ascii="宋体" w:hAnsi="宋体" w:eastAsia="宋体" w:cs="宋体"/>
                <w:color w:val="auto"/>
                <w:sz w:val="24"/>
                <w:szCs w:val="24"/>
                <w:lang w:val="en-US" w:eastAsia="zh-CN"/>
              </w:rPr>
              <w:t>评价为优秀的或满意度在90分以上。证明材料：需加盖业主单位公章且附有业主联系人及联系电话等信息的《用户评价表》为评分依据。未提供或提供资料不完整的均不得分。（原件备查）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5</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供应商具有信用等级证书</w:t>
            </w:r>
            <w:r>
              <w:rPr>
                <w:rFonts w:hint="eastAsia" w:ascii="宋体" w:hAnsi="宋体" w:eastAsia="宋体" w:cs="宋体"/>
                <w:color w:val="auto"/>
                <w:sz w:val="24"/>
                <w:szCs w:val="24"/>
              </w:rPr>
              <w:t>、荣誉证书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获奖情况</w:t>
            </w:r>
            <w:r>
              <w:rPr>
                <w:rFonts w:hint="eastAsia" w:ascii="宋体" w:hAnsi="宋体" w:eastAsia="宋体" w:cs="宋体"/>
                <w:color w:val="auto"/>
                <w:sz w:val="24"/>
                <w:szCs w:val="24"/>
              </w:rPr>
              <w:t>，以体现供应商的</w:t>
            </w:r>
            <w:r>
              <w:rPr>
                <w:rFonts w:hint="eastAsia" w:ascii="宋体" w:hAnsi="宋体" w:eastAsia="宋体" w:cs="宋体"/>
                <w:color w:val="auto"/>
                <w:sz w:val="24"/>
                <w:szCs w:val="24"/>
                <w:lang w:val="en-US" w:eastAsia="zh-CN"/>
              </w:rPr>
              <w:t>企业能力、</w:t>
            </w:r>
            <w:r>
              <w:rPr>
                <w:rFonts w:hint="eastAsia" w:ascii="宋体" w:hAnsi="宋体" w:eastAsia="宋体" w:cs="宋体"/>
                <w:color w:val="auto"/>
                <w:sz w:val="24"/>
                <w:szCs w:val="24"/>
              </w:rPr>
              <w:t>施工能力、合同履约能力等方面的优势，进行评分。优秀的得</w:t>
            </w:r>
            <w:r>
              <w:rPr>
                <w:rFonts w:hint="eastAsia" w:ascii="宋体" w:hAnsi="宋体" w:eastAsia="宋体" w:cs="宋体"/>
                <w:color w:val="auto"/>
                <w:sz w:val="24"/>
                <w:szCs w:val="24"/>
                <w:lang w:val="en-US" w:eastAsia="zh-CN"/>
              </w:rPr>
              <w:t>3</w:t>
            </w:r>
            <w:r>
              <w:rPr>
                <w:rFonts w:hint="eastAsia" w:ascii="宋体" w:hAnsi="宋体"/>
                <w:sz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分，中等的得</w:t>
            </w:r>
            <w:r>
              <w:rPr>
                <w:rFonts w:hint="eastAsia" w:ascii="宋体" w:hAnsi="宋体" w:eastAsia="宋体" w:cs="宋体"/>
                <w:color w:val="auto"/>
                <w:sz w:val="24"/>
                <w:szCs w:val="24"/>
                <w:lang w:val="en-US" w:eastAsia="zh-CN"/>
              </w:rPr>
              <w:t>2</w:t>
            </w:r>
            <w:r>
              <w:rPr>
                <w:rFonts w:hint="eastAsia" w:ascii="宋体" w:hAnsi="宋体"/>
                <w:sz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分，一般</w:t>
            </w:r>
            <w:bookmarkStart w:id="606" w:name="_GoBack"/>
            <w:bookmarkEnd w:id="606"/>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sz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项目经理</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项目经理自201</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lang w:val="en-US" w:eastAsia="zh-CN"/>
              </w:rPr>
              <w:t>年</w:t>
            </w:r>
            <w:r>
              <w:rPr>
                <w:rFonts w:hint="eastAsia" w:ascii="宋体" w:hAnsi="宋体" w:cs="宋体"/>
                <w:color w:val="auto"/>
                <w:spacing w:val="-6"/>
                <w:sz w:val="24"/>
                <w:szCs w:val="24"/>
                <w:lang w:val="en-US" w:eastAsia="zh-CN"/>
              </w:rPr>
              <w:t>1</w:t>
            </w:r>
            <w:r>
              <w:rPr>
                <w:rFonts w:hint="eastAsia" w:ascii="宋体" w:hAnsi="宋体" w:eastAsia="宋体" w:cs="宋体"/>
                <w:color w:val="auto"/>
                <w:spacing w:val="-6"/>
                <w:sz w:val="24"/>
                <w:szCs w:val="24"/>
                <w:lang w:val="en-US" w:eastAsia="zh-CN"/>
              </w:rPr>
              <w:t>月1日【以竣（交）工验收资料时间为准】以来</w:t>
            </w:r>
            <w:r>
              <w:rPr>
                <w:rFonts w:hint="eastAsia" w:ascii="宋体" w:hAnsi="宋体" w:cs="宋体"/>
                <w:color w:val="auto"/>
                <w:spacing w:val="-6"/>
                <w:sz w:val="24"/>
                <w:szCs w:val="24"/>
                <w:lang w:val="en-US" w:eastAsia="zh-CN"/>
              </w:rPr>
              <w:t>，</w:t>
            </w:r>
            <w:r>
              <w:rPr>
                <w:rFonts w:hint="eastAsia" w:ascii="宋体" w:hAnsi="宋体" w:eastAsia="宋体" w:cs="宋体"/>
                <w:color w:val="auto"/>
                <w:spacing w:val="-6"/>
                <w:sz w:val="24"/>
                <w:szCs w:val="24"/>
                <w:lang w:val="en-US" w:eastAsia="zh-CN"/>
              </w:rPr>
              <w:t>以项目负责人身份完成过类似</w:t>
            </w:r>
            <w:r>
              <w:rPr>
                <w:rFonts w:hint="eastAsia" w:ascii="宋体" w:hAnsi="宋体" w:cs="宋体"/>
                <w:color w:val="auto"/>
                <w:spacing w:val="-6"/>
                <w:sz w:val="24"/>
                <w:szCs w:val="24"/>
                <w:lang w:val="en-US" w:eastAsia="zh-CN"/>
              </w:rPr>
              <w:t>150万及以上</w:t>
            </w:r>
            <w:r>
              <w:rPr>
                <w:rFonts w:hint="eastAsia" w:ascii="宋体" w:hAnsi="宋体" w:eastAsia="宋体" w:cs="宋体"/>
                <w:color w:val="auto"/>
                <w:spacing w:val="-6"/>
                <w:sz w:val="24"/>
                <w:szCs w:val="24"/>
                <w:lang w:val="en-US" w:eastAsia="zh-CN"/>
              </w:rPr>
              <w:t>工程业绩。每个业绩得2分，最多得6分。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有效证明文件为：同时具有①中标通知书或有效的合同复印件；②竣（交)工验收资料。（需能体现项目负责人、竣工时间、工程类型）、（原件备查）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施工方案</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8</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lang w:val="zh-CN" w:eastAsia="zh-CN"/>
              </w:rPr>
            </w:pPr>
            <w:r>
              <w:rPr>
                <w:rFonts w:hint="eastAsia" w:ascii="宋体" w:hAnsi="宋体"/>
                <w:sz w:val="24"/>
              </w:rPr>
              <w:t>施工方案全面、合理，具有针对性（特别是针对本项目特殊施工环境需要采取的施工技术和组织措施情况）为优秀，优秀得5～8分；良好得3～5分；一般得0～3分。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安全文明</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7</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安全、文明施工等的保证措施是否科学、合理流动、到位，横向比较得分。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施工机具和检验仪器的投入</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施工机具和检验仪器的投入能够满足工程质量和进度的要求为优秀，优秀得</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lang w:val="en-US" w:eastAsia="zh-CN"/>
              </w:rPr>
              <w:t>～</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lang w:val="en-US" w:eastAsia="zh-CN"/>
              </w:rPr>
              <w:t>分；良好得</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lang w:val="en-US" w:eastAsia="zh-CN"/>
              </w:rPr>
              <w:t>～</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lang w:val="en-US" w:eastAsia="zh-CN"/>
              </w:rPr>
              <w:t>分；一般得0～</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ascii="宋体" w:hAnsi="宋体"/>
                <w:color w:val="auto"/>
                <w:sz w:val="24"/>
                <w:szCs w:val="24"/>
              </w:rPr>
              <w:t>质量保证措施</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设备、材料的品牌档次、技术规格参数等的优劣，及供应计划及质量保证措施。选择的设备（材料）的档次高、品牌性能好，技术参数规格符合采购文件要求，供货计划及质量保障措施科学合理的为优秀，优秀得4～6分；良好得2～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工期承诺、进度控制措施及施工质量控制措施</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工期承诺、进度控制措施及施工质量控制措施：</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工期承诺有利于采购人及项目的实施，进度控制措施具有针对性和可行性，施工质量的控制措施科学、合理为优秀，优秀得</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6</w:t>
            </w:r>
            <w:r>
              <w:rPr>
                <w:rFonts w:hint="eastAsia" w:ascii="宋体" w:hAnsi="宋体" w:eastAsia="宋体" w:cs="宋体"/>
                <w:color w:val="auto"/>
                <w:spacing w:val="-6"/>
                <w:sz w:val="24"/>
                <w:szCs w:val="24"/>
              </w:rPr>
              <w:t>分；良好得</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分；一般得0～</w:t>
            </w: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rPr>
            </w:pPr>
            <w:r>
              <w:rPr>
                <w:rFonts w:hint="eastAsia" w:ascii="宋体" w:hAnsi="宋体"/>
                <w:color w:val="auto"/>
                <w:spacing w:val="-6"/>
                <w:sz w:val="24"/>
                <w:szCs w:val="24"/>
                <w:lang w:val="en-US" w:eastAsia="zh-CN"/>
              </w:rPr>
              <w:t>投入本项目的技术力量</w:t>
            </w:r>
            <w:r>
              <w:rPr>
                <w:rFonts w:hint="eastAsia" w:ascii="宋体" w:hAnsi="宋体"/>
                <w:color w:val="auto"/>
                <w:sz w:val="24"/>
                <w:szCs w:val="24"/>
              </w:rPr>
              <w:t>是否能满足工程的需要</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10</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派驻现场的工程技术管理人员的专业配置是否合理，横向比较得分。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拟派项目班子工种齐全,人员数量配备充足的，得</w:t>
            </w:r>
            <w:r>
              <w:rPr>
                <w:rFonts w:hint="eastAsia" w:ascii="宋体" w:hAnsi="宋体" w:cs="宋体"/>
                <w:color w:val="auto"/>
                <w:spacing w:val="-6"/>
                <w:sz w:val="24"/>
                <w:szCs w:val="24"/>
                <w:lang w:val="en-US" w:eastAsia="zh-CN"/>
              </w:rPr>
              <w:t>7</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10</w:t>
            </w:r>
            <w:r>
              <w:rPr>
                <w:rFonts w:hint="eastAsia" w:ascii="宋体" w:hAnsi="宋体" w:eastAsia="宋体" w:cs="宋体"/>
                <w:color w:val="auto"/>
                <w:spacing w:val="-6"/>
                <w:sz w:val="24"/>
                <w:szCs w:val="24"/>
              </w:rPr>
              <w:t>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工种较齐全，人员数量满足要求的，得</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7</w:t>
            </w:r>
            <w:r>
              <w:rPr>
                <w:rFonts w:hint="eastAsia" w:ascii="宋体" w:hAnsi="宋体" w:eastAsia="宋体" w:cs="宋体"/>
                <w:color w:val="auto"/>
                <w:spacing w:val="-6"/>
                <w:sz w:val="24"/>
                <w:szCs w:val="24"/>
              </w:rPr>
              <w:t>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工种基本齐全，人员数量基本满足要求的，得</w:t>
            </w:r>
            <w:r>
              <w:rPr>
                <w:rFonts w:hint="eastAsia" w:ascii="宋体" w:hAnsi="宋体" w:eastAsia="宋体" w:cs="宋体"/>
                <w:color w:val="auto"/>
                <w:spacing w:val="-6"/>
                <w:sz w:val="24"/>
                <w:szCs w:val="24"/>
                <w:lang w:val="en-US" w:eastAsia="zh-CN"/>
              </w:rPr>
              <w:t>0</w:t>
            </w:r>
            <w:r>
              <w:rPr>
                <w:rFonts w:hint="eastAsia" w:ascii="宋体" w:hAnsi="宋体" w:eastAsia="宋体" w:cs="宋体"/>
                <w:color w:val="auto"/>
                <w:spacing w:val="-6"/>
                <w:sz w:val="24"/>
                <w:szCs w:val="24"/>
              </w:rPr>
              <w:t>～</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pacing w:val="-6"/>
                <w:sz w:val="24"/>
                <w:szCs w:val="24"/>
                <w:lang w:val="en-US" w:eastAsia="zh-CN"/>
              </w:rPr>
            </w:pPr>
            <w:r>
              <w:rPr>
                <w:rFonts w:hint="eastAsia" w:ascii="宋体" w:hAnsi="宋体"/>
                <w:color w:val="auto"/>
                <w:spacing w:val="-6"/>
                <w:sz w:val="24"/>
                <w:szCs w:val="24"/>
                <w:lang w:val="en-US" w:eastAsia="zh-CN"/>
              </w:rPr>
              <w:t>合理化建议及售后服务</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6</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cs="宋体"/>
                <w:color w:val="auto"/>
                <w:spacing w:val="-6"/>
                <w:sz w:val="24"/>
                <w:szCs w:val="24"/>
                <w:lang w:val="en-US" w:eastAsia="zh-CN"/>
              </w:rPr>
              <w:t>1.</w:t>
            </w:r>
            <w:r>
              <w:rPr>
                <w:rFonts w:hint="eastAsia" w:ascii="宋体" w:hAnsi="宋体" w:eastAsia="宋体" w:cs="宋体"/>
                <w:color w:val="auto"/>
                <w:spacing w:val="-6"/>
                <w:sz w:val="24"/>
                <w:szCs w:val="24"/>
              </w:rPr>
              <w:t>提供应急预案，并承诺紧急的响应时间。0～3分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cs="宋体"/>
                <w:color w:val="auto"/>
                <w:spacing w:val="-6"/>
                <w:sz w:val="24"/>
                <w:szCs w:val="24"/>
                <w:lang w:val="en-US" w:eastAsia="zh-CN"/>
              </w:rPr>
              <w:t>2.</w:t>
            </w:r>
            <w:r>
              <w:rPr>
                <w:rFonts w:hint="eastAsia" w:ascii="宋体" w:hAnsi="宋体" w:eastAsia="宋体" w:cs="宋体"/>
                <w:color w:val="auto"/>
                <w:spacing w:val="-6"/>
                <w:sz w:val="24"/>
                <w:szCs w:val="24"/>
              </w:rPr>
              <w:t>具备完善的售后技术支持和服务体系设计，能够提供服务标准、服务流程、服务内容。0～3分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pacing w:val="-6"/>
                <w:sz w:val="24"/>
                <w:szCs w:val="24"/>
                <w:lang w:val="en-US" w:eastAsia="zh-CN"/>
              </w:rPr>
            </w:pPr>
            <w:r>
              <w:rPr>
                <w:rFonts w:hint="eastAsia" w:ascii="宋体" w:hAnsi="宋体"/>
                <w:color w:val="auto"/>
                <w:spacing w:val="-6"/>
                <w:sz w:val="24"/>
                <w:szCs w:val="24"/>
                <w:lang w:val="en-US" w:eastAsia="zh-CN"/>
              </w:rPr>
              <w:t>标书制作</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w:t>
            </w:r>
          </w:p>
        </w:tc>
        <w:tc>
          <w:tcPr>
            <w:tcW w:w="7683"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响应文件编制是否完整，格式规范、装订整齐、符合招标文件要求。</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246" w:rightChars="0" w:firstLine="420" w:firstLineChars="200"/>
        <w:textAlignment w:val="auto"/>
        <w:outlineLvl w:val="9"/>
        <w:rPr>
          <w:rFonts w:ascii="宋体" w:hAnsi="宋体" w:eastAsia="宋体" w:cs="宋体"/>
          <w:color w:val="auto"/>
          <w:sz w:val="21"/>
          <w:szCs w:val="21"/>
        </w:rPr>
      </w:pPr>
    </w:p>
    <w:p>
      <w:pPr>
        <w:spacing w:after="0" w:line="151" w:lineRule="exact"/>
        <w:rPr>
          <w:color w:val="auto"/>
          <w:sz w:val="20"/>
          <w:szCs w:val="20"/>
        </w:rPr>
      </w:pPr>
    </w:p>
    <w:p>
      <w:pPr>
        <w:spacing w:after="0" w:line="1" w:lineRule="exact"/>
        <w:rPr>
          <w:color w:val="auto"/>
          <w:sz w:val="20"/>
          <w:szCs w:val="20"/>
        </w:rPr>
      </w:pPr>
      <w:bookmarkStart w:id="603" w:name="page92"/>
      <w:bookmarkEnd w:id="603"/>
    </w:p>
    <w:p>
      <w:pPr>
        <w:spacing w:after="0" w:line="171"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五、成交办法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采购人将根据磋商小组提交的评审报告及推荐的成交候选人，按有关规定确定成交人。</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outlineLvl w:val="9"/>
        <w:rPr>
          <w:color w:val="auto"/>
          <w:sz w:val="20"/>
          <w:szCs w:val="20"/>
        </w:rPr>
      </w:pPr>
      <w:r>
        <w:rPr>
          <w:rFonts w:ascii="宋体" w:hAnsi="宋体" w:eastAsia="宋体" w:cs="宋体"/>
          <w:b/>
          <w:bCs/>
          <w:color w:val="auto"/>
          <w:sz w:val="21"/>
          <w:szCs w:val="21"/>
        </w:rPr>
        <w:t>六、定标</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（1）定标由招标人负责。</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（2）决标按照原国家发展计划委员会等七部委30号令的有关规定，确定中标人。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（3）</w:t>
      </w:r>
      <w:r>
        <w:rPr>
          <w:rFonts w:ascii="宋体" w:hAnsi="宋体" w:eastAsia="宋体" w:cs="宋体"/>
          <w:b/>
          <w:bCs/>
          <w:color w:val="auto"/>
          <w:sz w:val="21"/>
          <w:szCs w:val="21"/>
          <w:u w:val="single" w:color="auto"/>
        </w:rPr>
        <w:t>如发生投诉争议等情况时，经查实中标候选人存在违法、违规行为，不符合中标条件，且该行为在评标时是无法发现和确认的，招标人可以在其他中标侯选人中按照推荐的排序确定中标人。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9"/>
        <w:rPr>
          <w:color w:val="auto"/>
          <w:sz w:val="20"/>
          <w:szCs w:val="20"/>
        </w:rPr>
      </w:pPr>
      <w:r>
        <w:rPr>
          <w:rFonts w:ascii="宋体" w:hAnsi="宋体" w:eastAsia="宋体" w:cs="宋体"/>
          <w:color w:val="auto"/>
          <w:sz w:val="21"/>
          <w:szCs w:val="21"/>
        </w:rPr>
        <w:t>（4）当所有中标候选人经查实都存在违法、违规行为时，将重新依法组织招标。</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outlineLvl w:val="9"/>
        <w:rPr>
          <w:rFonts w:hint="eastAsia"/>
          <w:b/>
          <w:bCs/>
          <w:color w:val="auto"/>
          <w:sz w:val="30"/>
          <w:szCs w:val="30"/>
          <w:u w:val="none"/>
          <w:lang w:val="en-US" w:eastAsia="zh-CN"/>
        </w:rPr>
      </w:pPr>
      <w:bookmarkStart w:id="604" w:name="page93"/>
      <w:bookmarkEnd w:id="604"/>
      <w:bookmarkStart w:id="605" w:name="page94"/>
      <w:bookmarkEnd w:id="605"/>
    </w:p>
    <w:sectPr>
      <w:pgSz w:w="11906" w:h="16840"/>
      <w:pgMar w:top="1440" w:right="1080" w:bottom="1440" w:left="1080" w:header="567" w:footer="567" w:gutter="0"/>
      <w:pgBorders>
        <w:top w:val="none" w:sz="0" w:space="0"/>
        <w:left w:val="none" w:sz="0" w:space="0"/>
        <w:bottom w:val="none" w:sz="0" w:space="0"/>
        <w:right w:val="none" w:sz="0" w:space="0"/>
      </w:pgBorders>
      <w:pgNumType w:fmt="decimal"/>
      <w:cols w:equalWidth="0" w:num="1">
        <w:col w:w="13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金山简黑体">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5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8"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4"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5"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9"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6"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400"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66</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b/>
        <w:bCs/>
        <w:spacing w:val="-6"/>
        <w:kern w:val="0"/>
        <w:sz w:val="21"/>
        <w:szCs w:val="21"/>
        <w:lang w:eastAsia="zh-CN"/>
      </w:rPr>
    </w:pPr>
  </w:p>
  <w:p>
    <w:pPr>
      <w:pStyle w:val="11"/>
      <w:jc w:val="both"/>
      <w:rPr>
        <w:rFonts w:hint="eastAsia" w:eastAsia="宋体"/>
        <w:b/>
        <w:bCs/>
        <w:sz w:val="21"/>
        <w:szCs w:val="21"/>
        <w:lang w:eastAsia="zh-CN"/>
      </w:rPr>
    </w:pPr>
    <w:r>
      <w:rPr>
        <w:rFonts w:hint="eastAsia" w:ascii="宋体" w:hAnsi="宋体"/>
        <w:b/>
        <w:bCs/>
        <w:spacing w:val="-6"/>
        <w:kern w:val="0"/>
        <w:sz w:val="21"/>
        <w:szCs w:val="21"/>
        <w:lang w:eastAsia="zh-CN"/>
      </w:rPr>
      <w:t>校园建设和管理处象山20号楼地下车库改造项目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pStyle w:val="11"/>
      <w:jc w:val="both"/>
      <w:rPr>
        <w:rFonts w:hint="eastAsia" w:eastAsia="宋体"/>
        <w:b/>
        <w:bCs/>
        <w:sz w:val="21"/>
        <w:szCs w:val="21"/>
        <w:lang w:eastAsia="zh-CN"/>
      </w:rPr>
    </w:pPr>
    <w:r>
      <w:rPr>
        <w:rFonts w:hint="eastAsia" w:ascii="宋体" w:hAnsi="宋体"/>
        <w:b/>
        <w:bCs/>
        <w:spacing w:val="-6"/>
        <w:kern w:val="0"/>
        <w:sz w:val="21"/>
        <w:szCs w:val="21"/>
        <w:lang w:eastAsia="zh-CN"/>
      </w:rPr>
      <w:t>校园建设和管理处象山20号楼地下车库改造项目</w:t>
    </w:r>
  </w:p>
  <w:p>
    <w:pPr>
      <w:pStyle w:val="1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b/>
        <w:bCs/>
        <w:spacing w:val="-6"/>
        <w:kern w:val="0"/>
        <w:sz w:val="21"/>
        <w:szCs w:val="21"/>
        <w:lang w:eastAsia="zh-CN"/>
      </w:rPr>
    </w:pPr>
  </w:p>
  <w:p>
    <w:pPr>
      <w:pStyle w:val="11"/>
      <w:jc w:val="both"/>
      <w:rPr>
        <w:rFonts w:hint="eastAsia" w:eastAsia="宋体"/>
        <w:b/>
        <w:bCs/>
        <w:sz w:val="21"/>
        <w:szCs w:val="21"/>
        <w:lang w:eastAsia="zh-CN"/>
      </w:rPr>
    </w:pPr>
    <w:r>
      <w:rPr>
        <w:rFonts w:hint="eastAsia" w:ascii="宋体" w:hAnsi="宋体"/>
        <w:b/>
        <w:bCs/>
        <w:spacing w:val="-6"/>
        <w:kern w:val="0"/>
        <w:sz w:val="21"/>
        <w:szCs w:val="21"/>
        <w:lang w:eastAsia="zh-CN"/>
      </w:rPr>
      <w:t>校园建设和管理处象山20号楼地下车库改造项目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宋体" w:hAnsi="宋体"/>
        <w:b/>
        <w:bCs/>
        <w:spacing w:val="-6"/>
        <w:kern w:val="0"/>
        <w:sz w:val="21"/>
        <w:szCs w:val="21"/>
        <w:lang w:eastAsia="zh-CN"/>
      </w:rPr>
    </w:pPr>
  </w:p>
  <w:p>
    <w:pPr>
      <w:pStyle w:val="11"/>
      <w:jc w:val="both"/>
      <w:rPr>
        <w:rFonts w:hint="eastAsia" w:eastAsia="宋体"/>
        <w:b/>
        <w:bCs/>
        <w:sz w:val="21"/>
        <w:szCs w:val="21"/>
        <w:lang w:eastAsia="zh-CN"/>
      </w:rPr>
    </w:pPr>
    <w:r>
      <w:rPr>
        <w:rFonts w:hint="eastAsia" w:ascii="宋体" w:hAnsi="宋体"/>
        <w:b/>
        <w:bCs/>
        <w:spacing w:val="-6"/>
        <w:kern w:val="0"/>
        <w:sz w:val="21"/>
        <w:szCs w:val="21"/>
        <w:lang w:eastAsia="zh-CN"/>
      </w:rPr>
      <w:t>校园建设和管理处象山20号楼地下车库改造项目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7C0C"/>
    <w:multiLevelType w:val="singleLevel"/>
    <w:tmpl w:val="3B5C7C0C"/>
    <w:lvl w:ilvl="0" w:tentative="0">
      <w:start w:val="2"/>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1C20"/>
    <w:rsid w:val="002C3C72"/>
    <w:rsid w:val="03000F96"/>
    <w:rsid w:val="03223869"/>
    <w:rsid w:val="04747B5D"/>
    <w:rsid w:val="04F74647"/>
    <w:rsid w:val="0577178A"/>
    <w:rsid w:val="05E81F60"/>
    <w:rsid w:val="05F5029F"/>
    <w:rsid w:val="06AC07B0"/>
    <w:rsid w:val="06C32363"/>
    <w:rsid w:val="092D0ADC"/>
    <w:rsid w:val="098B217B"/>
    <w:rsid w:val="0A2119D5"/>
    <w:rsid w:val="0D9214F7"/>
    <w:rsid w:val="0DD6312C"/>
    <w:rsid w:val="0ED90966"/>
    <w:rsid w:val="0EFC6EE1"/>
    <w:rsid w:val="0F6B751D"/>
    <w:rsid w:val="113F0361"/>
    <w:rsid w:val="12980354"/>
    <w:rsid w:val="13D947C3"/>
    <w:rsid w:val="14563D9A"/>
    <w:rsid w:val="157A40BB"/>
    <w:rsid w:val="18887FCB"/>
    <w:rsid w:val="18F71FC9"/>
    <w:rsid w:val="191F4290"/>
    <w:rsid w:val="198525A6"/>
    <w:rsid w:val="1A3A3D43"/>
    <w:rsid w:val="1AE92DEB"/>
    <w:rsid w:val="1B986626"/>
    <w:rsid w:val="1E9E37E9"/>
    <w:rsid w:val="1EE4407B"/>
    <w:rsid w:val="20E96158"/>
    <w:rsid w:val="229A21DB"/>
    <w:rsid w:val="25662B53"/>
    <w:rsid w:val="258F4041"/>
    <w:rsid w:val="2624006D"/>
    <w:rsid w:val="27973992"/>
    <w:rsid w:val="281B4985"/>
    <w:rsid w:val="288E34E1"/>
    <w:rsid w:val="2A5507CB"/>
    <w:rsid w:val="2AB77FBD"/>
    <w:rsid w:val="2D601EA8"/>
    <w:rsid w:val="2E443874"/>
    <w:rsid w:val="2E582CD2"/>
    <w:rsid w:val="2E755B7E"/>
    <w:rsid w:val="2F4C17B1"/>
    <w:rsid w:val="2F9F17AF"/>
    <w:rsid w:val="2FD72A51"/>
    <w:rsid w:val="31E14838"/>
    <w:rsid w:val="33361AFC"/>
    <w:rsid w:val="33921610"/>
    <w:rsid w:val="3396625A"/>
    <w:rsid w:val="34721153"/>
    <w:rsid w:val="351C51A6"/>
    <w:rsid w:val="35D511FF"/>
    <w:rsid w:val="366266F0"/>
    <w:rsid w:val="36BF1A76"/>
    <w:rsid w:val="376974BF"/>
    <w:rsid w:val="37984A0E"/>
    <w:rsid w:val="38083044"/>
    <w:rsid w:val="386715DA"/>
    <w:rsid w:val="39B32605"/>
    <w:rsid w:val="3A4D46F0"/>
    <w:rsid w:val="3BAE63B7"/>
    <w:rsid w:val="3E09440C"/>
    <w:rsid w:val="3E6863F2"/>
    <w:rsid w:val="428C1178"/>
    <w:rsid w:val="43AA4F04"/>
    <w:rsid w:val="46452504"/>
    <w:rsid w:val="466B2E7C"/>
    <w:rsid w:val="46ED2BFC"/>
    <w:rsid w:val="47064BE6"/>
    <w:rsid w:val="47CE768E"/>
    <w:rsid w:val="494F22A3"/>
    <w:rsid w:val="4AEC502C"/>
    <w:rsid w:val="4C1762DA"/>
    <w:rsid w:val="4C323F07"/>
    <w:rsid w:val="4CC912B8"/>
    <w:rsid w:val="4CD522CF"/>
    <w:rsid w:val="4D441D56"/>
    <w:rsid w:val="4D856959"/>
    <w:rsid w:val="4DA40455"/>
    <w:rsid w:val="4E6E5D15"/>
    <w:rsid w:val="4FAD3830"/>
    <w:rsid w:val="52500F7E"/>
    <w:rsid w:val="53A1157D"/>
    <w:rsid w:val="53A6176B"/>
    <w:rsid w:val="543A778D"/>
    <w:rsid w:val="54632850"/>
    <w:rsid w:val="583F07AF"/>
    <w:rsid w:val="58413ABE"/>
    <w:rsid w:val="585C7053"/>
    <w:rsid w:val="58AC43C5"/>
    <w:rsid w:val="5A205324"/>
    <w:rsid w:val="5A9B0D5E"/>
    <w:rsid w:val="5B1B1562"/>
    <w:rsid w:val="5B437B7A"/>
    <w:rsid w:val="5C0D36FF"/>
    <w:rsid w:val="5DBD1DD1"/>
    <w:rsid w:val="5F4E2B3F"/>
    <w:rsid w:val="60A36904"/>
    <w:rsid w:val="60B166B7"/>
    <w:rsid w:val="62C94278"/>
    <w:rsid w:val="63405725"/>
    <w:rsid w:val="63B77350"/>
    <w:rsid w:val="63EE196A"/>
    <w:rsid w:val="654620A6"/>
    <w:rsid w:val="660B7EE6"/>
    <w:rsid w:val="66221ACF"/>
    <w:rsid w:val="67103379"/>
    <w:rsid w:val="6746686E"/>
    <w:rsid w:val="67681C9B"/>
    <w:rsid w:val="67C12663"/>
    <w:rsid w:val="691150EA"/>
    <w:rsid w:val="69FE1C24"/>
    <w:rsid w:val="6AC30EDA"/>
    <w:rsid w:val="6B440543"/>
    <w:rsid w:val="6D773141"/>
    <w:rsid w:val="6DB53060"/>
    <w:rsid w:val="6E1E6E89"/>
    <w:rsid w:val="6E701503"/>
    <w:rsid w:val="707E4E4E"/>
    <w:rsid w:val="713D21F7"/>
    <w:rsid w:val="727406DE"/>
    <w:rsid w:val="734D0F87"/>
    <w:rsid w:val="73FE0B3F"/>
    <w:rsid w:val="744644B2"/>
    <w:rsid w:val="762E73B2"/>
    <w:rsid w:val="76A257A0"/>
    <w:rsid w:val="770937D3"/>
    <w:rsid w:val="775A4029"/>
    <w:rsid w:val="78280894"/>
    <w:rsid w:val="78770E8B"/>
    <w:rsid w:val="79CB166E"/>
    <w:rsid w:val="79D055D3"/>
    <w:rsid w:val="79EE1F34"/>
    <w:rsid w:val="7A73499A"/>
    <w:rsid w:val="7D363173"/>
    <w:rsid w:val="7D7536D2"/>
    <w:rsid w:val="7E7A5C10"/>
    <w:rsid w:val="7E8E5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unhideWhenUsed/>
    <w:qFormat/>
    <w:uiPriority w:val="99"/>
    <w:rPr>
      <w:rFonts w:ascii="金山简黑体" w:hAnsi="金山简黑体" w:eastAsia="金山简黑体"/>
      <w:b/>
      <w:spacing w:val="-8"/>
      <w:sz w:val="44"/>
      <w:szCs w:val="20"/>
    </w:rPr>
  </w:style>
  <w:style w:type="paragraph" w:styleId="7">
    <w:name w:val="Body Text Indent"/>
    <w:basedOn w:val="1"/>
    <w:qFormat/>
    <w:uiPriority w:val="0"/>
    <w:pPr>
      <w:spacing w:line="480" w:lineRule="atLeast"/>
      <w:ind w:firstLine="570"/>
    </w:pPr>
    <w:rPr>
      <w:rFonts w:ascii="黑体" w:eastAsia="黑体"/>
    </w:rPr>
  </w:style>
  <w:style w:type="paragraph" w:styleId="8">
    <w:name w:val="Plain Text"/>
    <w:basedOn w:val="1"/>
    <w:qFormat/>
    <w:uiPriority w:val="99"/>
    <w:pPr>
      <w:spacing w:beforeLines="50" w:afterLines="50" w:line="400" w:lineRule="atLeast"/>
    </w:pPr>
    <w:rPr>
      <w:rFonts w:ascii="宋体" w:hAnsi="Courier New"/>
      <w:sz w:val="24"/>
    </w:rPr>
  </w:style>
  <w:style w:type="paragraph" w:styleId="9">
    <w:name w:val="Date"/>
    <w:basedOn w:val="1"/>
    <w:next w:val="1"/>
    <w:qFormat/>
    <w:uiPriority w:val="0"/>
    <w:pPr>
      <w:adjustRightInd w:val="0"/>
      <w:jc w:val="right"/>
      <w:textAlignment w:val="baseline"/>
    </w:pPr>
    <w:rPr>
      <w:rFonts w:eastAsia="仿宋_GB2312"/>
      <w:b/>
      <w:kern w:val="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072"/>
      </w:tabs>
      <w:spacing w:before="120" w:beforeLines="0" w:after="120" w:afterLines="0" w:line="360" w:lineRule="auto"/>
      <w:jc w:val="left"/>
    </w:pPr>
    <w:rPr>
      <w:rFonts w:ascii="Calibri" w:hAnsi="Calibri"/>
      <w:b/>
      <w:bCs/>
      <w:caps/>
      <w:sz w:val="20"/>
    </w:rPr>
  </w:style>
  <w:style w:type="paragraph" w:styleId="13">
    <w:name w:val="List"/>
    <w:basedOn w:val="1"/>
    <w:qFormat/>
    <w:uiPriority w:val="0"/>
    <w:pPr>
      <w:ind w:left="200" w:hanging="200" w:hangingChars="200"/>
    </w:p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qFormat/>
    <w:uiPriority w:val="39"/>
    <w:pPr>
      <w:tabs>
        <w:tab w:val="right" w:leader="dot" w:pos="9060"/>
      </w:tabs>
      <w:spacing w:line="400" w:lineRule="exact"/>
      <w:ind w:left="280" w:right="148" w:rightChars="53"/>
      <w:jc w:val="left"/>
    </w:pPr>
    <w:rPr>
      <w:rFonts w:ascii="仿宋" w:hAnsi="仿宋" w:eastAsia="仿宋"/>
      <w:b/>
      <w:smallCaps/>
      <w:sz w:val="24"/>
      <w:szCs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footnote reference"/>
    <w:basedOn w:val="17"/>
    <w:semiHidden/>
    <w:unhideWhenUsed/>
    <w:qFormat/>
    <w:uiPriority w:val="99"/>
    <w:rPr>
      <w:vertAlign w:val="superscript"/>
    </w:rPr>
  </w:style>
  <w:style w:type="paragraph" w:customStyle="1" w:styleId="22">
    <w:name w:val="默认段落字体 Para Char Char Char Char Char Char Char Char Char1 Char Char Char Char"/>
    <w:basedOn w:val="1"/>
    <w:qFormat/>
    <w:uiPriority w:val="0"/>
    <w:rPr>
      <w:rFonts w:ascii="Tahoma" w:hAnsi="Tahoma"/>
      <w:sz w:val="24"/>
      <w:szCs w:val="20"/>
    </w:rPr>
  </w:style>
  <w:style w:type="paragraph" w:customStyle="1" w:styleId="2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4">
    <w:name w:val="正文2"/>
    <w:basedOn w:val="1"/>
    <w:qFormat/>
    <w:uiPriority w:val="0"/>
    <w:pPr>
      <w:spacing w:before="156" w:beforeLines="0" w:line="360" w:lineRule="auto"/>
      <w:ind w:firstLine="510" w:firstLineChars="200"/>
    </w:pPr>
    <w:rPr>
      <w:sz w:val="24"/>
    </w:rPr>
  </w:style>
  <w:style w:type="paragraph" w:customStyle="1" w:styleId="25">
    <w:name w:val="样式 样式1 + 首行缩进:  2 字符"/>
    <w:basedOn w:val="1"/>
    <w:qFormat/>
    <w:uiPriority w:val="0"/>
    <w:pPr>
      <w:spacing w:line="360" w:lineRule="exact"/>
      <w:ind w:firstLine="420" w:firstLineChars="200"/>
    </w:pPr>
    <w:rPr>
      <w:rFonts w:ascii="Arial" w:hAnsi="Arial"/>
      <w:sz w:val="21"/>
    </w:rPr>
  </w:style>
  <w:style w:type="character" w:customStyle="1" w:styleId="26">
    <w:name w:val="font01"/>
    <w:basedOn w:val="17"/>
    <w:qFormat/>
    <w:uiPriority w:val="0"/>
    <w:rPr>
      <w:rFonts w:ascii="微软雅黑" w:hAnsi="微软雅黑" w:eastAsia="微软雅黑" w:cs="微软雅黑"/>
      <w:b/>
      <w:color w:val="000000"/>
      <w:sz w:val="22"/>
      <w:szCs w:val="22"/>
      <w:u w:val="none"/>
    </w:rPr>
  </w:style>
  <w:style w:type="paragraph" w:customStyle="1" w:styleId="27">
    <w:name w:val="_Style 5"/>
    <w:basedOn w:val="2"/>
    <w:next w:val="1"/>
    <w:qFormat/>
    <w:uiPriority w:val="0"/>
    <w:pPr>
      <w:keepLines/>
      <w:widowControl/>
      <w:spacing w:before="480" w:line="276" w:lineRule="auto"/>
      <w:jc w:val="left"/>
      <w:outlineLvl w:val="9"/>
    </w:pPr>
    <w:rPr>
      <w:rFonts w:ascii="Cambria" w:hAnsi="Cambria"/>
      <w:color w:val="365F91"/>
      <w:kern w:val="0"/>
      <w:sz w:val="28"/>
      <w:szCs w:val="28"/>
    </w:rPr>
  </w:style>
  <w:style w:type="character" w:customStyle="1" w:styleId="28">
    <w:name w:val="font11"/>
    <w:basedOn w:val="17"/>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14</TotalTime>
  <ScaleCrop>false</ScaleCrop>
  <LinksUpToDate>false</LinksUpToDate>
  <CharactersWithSpaces>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40151</cp:lastModifiedBy>
  <cp:lastPrinted>2019-04-24T07:10:00Z</cp:lastPrinted>
  <dcterms:modified xsi:type="dcterms:W3CDTF">2019-04-28T13:12:38Z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