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 xml:space="preserve"> </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上城区检察院大楼信息化建设项目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288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ascii="仿宋" w:hAnsi="仿宋" w:eastAsia="仿宋" w:cs="仿宋"/>
          <w:color w:val="auto"/>
          <w:sz w:val="30"/>
          <w:szCs w:val="30"/>
          <w:highlight w:val="none"/>
        </w:rPr>
        <w:t>ZJXR-JGSW202</w:t>
      </w:r>
      <w:r>
        <w:rPr>
          <w:rFonts w:hint="eastAsia" w:ascii="仿宋" w:hAnsi="仿宋" w:eastAsia="仿宋" w:cs="仿宋"/>
          <w:color w:val="auto"/>
          <w:sz w:val="30"/>
          <w:szCs w:val="30"/>
          <w:highlight w:val="none"/>
        </w:rPr>
        <w:t>4</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002</w:t>
      </w:r>
    </w:p>
    <w:p>
      <w:pPr>
        <w:spacing w:line="360" w:lineRule="auto"/>
        <w:jc w:val="center"/>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rPr>
      </w:pPr>
    </w:p>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杭州市上城区机关事务中心</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浙江鑫润工程管理有限公司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rPr>
          <w:rFonts w:ascii="仿宋" w:hAnsi="仿宋" w:eastAsia="仿宋" w:cs="仿宋"/>
          <w:b/>
          <w:color w:val="auto"/>
          <w:sz w:val="48"/>
          <w:szCs w:val="48"/>
          <w:highlight w:val="none"/>
        </w:rPr>
      </w:pPr>
    </w:p>
    <w:p>
      <w:pPr>
        <w:spacing w:line="72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pacing w:val="243"/>
          <w:kern w:val="0"/>
          <w:sz w:val="48"/>
          <w:szCs w:val="48"/>
          <w:highlight w:val="none"/>
          <w:fitText w:val="1446" w:id="-993884416"/>
        </w:rPr>
        <w:t>目</w:t>
      </w:r>
      <w:r>
        <w:rPr>
          <w:rFonts w:hint="eastAsia" w:ascii="仿宋" w:hAnsi="仿宋" w:eastAsia="仿宋" w:cs="仿宋"/>
          <w:b/>
          <w:color w:val="auto"/>
          <w:spacing w:val="0"/>
          <w:kern w:val="0"/>
          <w:sz w:val="48"/>
          <w:szCs w:val="48"/>
          <w:highlight w:val="none"/>
          <w:fitText w:val="1446" w:id="-993884416"/>
        </w:rPr>
        <w:t>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93884415"/>
        </w:rPr>
        <w:t>分</w:t>
      </w:r>
      <w:r>
        <w:rPr>
          <w:rFonts w:hint="eastAsia" w:ascii="仿宋" w:hAnsi="仿宋" w:eastAsia="仿宋" w:cs="仿宋"/>
          <w:color w:val="auto"/>
          <w:spacing w:val="0"/>
          <w:kern w:val="0"/>
          <w:sz w:val="32"/>
          <w:szCs w:val="32"/>
          <w:highlight w:val="none"/>
          <w:fitText w:val="1280" w:id="-993884415"/>
        </w:rPr>
        <w:t>招</w:t>
      </w:r>
      <w:r>
        <w:rPr>
          <w:rFonts w:hint="eastAsia" w:ascii="仿宋" w:hAnsi="仿宋" w:eastAsia="仿宋" w:cs="仿宋"/>
          <w:color w:val="auto"/>
          <w:sz w:val="32"/>
          <w:szCs w:val="32"/>
          <w:highlight w:val="none"/>
        </w:rPr>
        <w:t>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93884414"/>
        </w:rPr>
        <w:t>分</w:t>
      </w:r>
      <w:r>
        <w:rPr>
          <w:rFonts w:hint="eastAsia" w:ascii="仿宋" w:hAnsi="仿宋" w:eastAsia="仿宋" w:cs="仿宋"/>
          <w:color w:val="auto"/>
          <w:spacing w:val="0"/>
          <w:kern w:val="0"/>
          <w:sz w:val="32"/>
          <w:szCs w:val="32"/>
          <w:highlight w:val="none"/>
          <w:fitText w:val="1280" w:id="-993884414"/>
        </w:rPr>
        <w:t>投</w:t>
      </w:r>
      <w:r>
        <w:rPr>
          <w:rFonts w:hint="eastAsia" w:ascii="仿宋" w:hAnsi="仿宋" w:eastAsia="仿宋" w:cs="仿宋"/>
          <w:color w:val="auto"/>
          <w:sz w:val="32"/>
          <w:szCs w:val="32"/>
          <w:highlight w:val="none"/>
        </w:rPr>
        <w:t>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93884410"/>
        </w:rPr>
        <w:t>分</w:t>
      </w:r>
      <w:r>
        <w:rPr>
          <w:rFonts w:hint="eastAsia" w:ascii="仿宋" w:hAnsi="仿宋" w:eastAsia="仿宋" w:cs="仿宋"/>
          <w:color w:val="auto"/>
          <w:spacing w:val="0"/>
          <w:kern w:val="0"/>
          <w:sz w:val="32"/>
          <w:szCs w:val="32"/>
          <w:highlight w:val="none"/>
          <w:fitText w:val="1280" w:id="-993884410"/>
        </w:rPr>
        <w:t>采</w:t>
      </w:r>
      <w:r>
        <w:rPr>
          <w:rFonts w:hint="eastAsia" w:ascii="仿宋" w:hAnsi="仿宋" w:eastAsia="仿宋" w:cs="仿宋"/>
          <w:color w:val="auto"/>
          <w:sz w:val="32"/>
          <w:szCs w:val="32"/>
          <w:highlight w:val="none"/>
        </w:rPr>
        <w:t>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93884411"/>
        </w:rPr>
        <w:t>分</w:t>
      </w:r>
      <w:r>
        <w:rPr>
          <w:rFonts w:hint="eastAsia" w:ascii="仿宋" w:hAnsi="仿宋" w:eastAsia="仿宋" w:cs="仿宋"/>
          <w:color w:val="auto"/>
          <w:spacing w:val="0"/>
          <w:kern w:val="0"/>
          <w:sz w:val="32"/>
          <w:szCs w:val="32"/>
          <w:highlight w:val="none"/>
          <w:fitText w:val="1280" w:id="-993884411"/>
        </w:rPr>
        <w:t>评</w:t>
      </w:r>
      <w:r>
        <w:rPr>
          <w:rFonts w:hint="eastAsia" w:ascii="仿宋" w:hAnsi="仿宋" w:eastAsia="仿宋" w:cs="仿宋"/>
          <w:color w:val="auto"/>
          <w:sz w:val="32"/>
          <w:szCs w:val="32"/>
          <w:highlight w:val="none"/>
        </w:rPr>
        <w:t>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93884412"/>
        </w:rPr>
        <w:t>分</w:t>
      </w:r>
      <w:r>
        <w:rPr>
          <w:rFonts w:hint="eastAsia" w:ascii="仿宋" w:hAnsi="仿宋" w:eastAsia="仿宋" w:cs="仿宋"/>
          <w:color w:val="auto"/>
          <w:spacing w:val="0"/>
          <w:kern w:val="0"/>
          <w:sz w:val="32"/>
          <w:szCs w:val="32"/>
          <w:highlight w:val="none"/>
          <w:fitText w:val="1280" w:id="-993884412"/>
        </w:rPr>
        <w:t>拟</w:t>
      </w:r>
      <w:r>
        <w:rPr>
          <w:rFonts w:hint="eastAsia" w:ascii="仿宋" w:hAnsi="仿宋" w:eastAsia="仿宋" w:cs="仿宋"/>
          <w:color w:val="auto"/>
          <w:sz w:val="32"/>
          <w:szCs w:val="32"/>
          <w:highlight w:val="none"/>
        </w:rPr>
        <w:t>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93884413"/>
        </w:rPr>
        <w:t>分</w:t>
      </w:r>
      <w:r>
        <w:rPr>
          <w:rFonts w:hint="eastAsia" w:ascii="仿宋" w:hAnsi="仿宋" w:eastAsia="仿宋" w:cs="仿宋"/>
          <w:color w:val="auto"/>
          <w:spacing w:val="0"/>
          <w:kern w:val="0"/>
          <w:sz w:val="32"/>
          <w:szCs w:val="32"/>
          <w:highlight w:val="none"/>
          <w:fitText w:val="1280" w:id="-993884413"/>
        </w:rPr>
        <w:t>应</w:t>
      </w:r>
      <w:r>
        <w:rPr>
          <w:rFonts w:hint="eastAsia" w:ascii="仿宋" w:hAnsi="仿宋" w:eastAsia="仿宋" w:cs="仿宋"/>
          <w:color w:val="auto"/>
          <w:sz w:val="32"/>
          <w:szCs w:val="32"/>
          <w:highlight w:val="none"/>
        </w:rPr>
        <w:t>提交的有关格式范例</w:t>
      </w:r>
    </w:p>
    <w:p>
      <w:pPr>
        <w:adjustRightInd/>
        <w:spacing w:line="360" w:lineRule="auto"/>
        <w:jc w:val="center"/>
        <w:outlineLvl w:val="0"/>
        <w:rPr>
          <w:rFonts w:ascii="仿宋" w:hAnsi="仿宋" w:eastAsia="仿宋" w:cs="仿宋"/>
          <w:b/>
          <w:color w:val="auto"/>
          <w:sz w:val="36"/>
          <w:szCs w:val="20"/>
          <w:highlight w:val="none"/>
        </w:rPr>
      </w:pPr>
      <w:bookmarkStart w:id="0" w:name="_Hlt91233176"/>
      <w:bookmarkEnd w:id="0"/>
      <w:bookmarkStart w:id="1" w:name="_Toc91899869"/>
      <w:r>
        <w:rPr>
          <w:rFonts w:hint="eastAsia" w:ascii="仿宋" w:hAnsi="仿宋" w:eastAsia="仿宋" w:cs="仿宋"/>
          <w:b/>
          <w:color w:val="auto"/>
          <w:sz w:val="36"/>
          <w:szCs w:val="36"/>
          <w:highlight w:val="none"/>
        </w:rPr>
        <w:br w:type="page"/>
      </w:r>
      <w:bookmarkEnd w:id="1"/>
      <w:bookmarkStart w:id="2" w:name="_Hlt74728647"/>
      <w:bookmarkEnd w:id="2"/>
      <w:bookmarkStart w:id="3" w:name="_Hlt74707423"/>
      <w:bookmarkEnd w:id="3"/>
      <w:bookmarkStart w:id="4" w:name="_Hlt74649545"/>
      <w:bookmarkEnd w:id="4"/>
      <w:bookmarkStart w:id="5" w:name="_Hlt74729822"/>
      <w:bookmarkEnd w:id="5"/>
      <w:bookmarkStart w:id="6" w:name="_Toc91899870"/>
      <w:bookmarkStart w:id="7" w:name="_Toc91899871"/>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1"/>
          <w:kern w:val="0"/>
          <w:sz w:val="36"/>
          <w:szCs w:val="20"/>
          <w:highlight w:val="none"/>
          <w:fitText w:val="1083" w:id="-993879551"/>
        </w:rPr>
        <w:t>分</w:t>
      </w:r>
      <w:r>
        <w:rPr>
          <w:rFonts w:hint="eastAsia" w:ascii="仿宋" w:hAnsi="仿宋" w:eastAsia="仿宋" w:cs="仿宋"/>
          <w:b/>
          <w:color w:val="auto"/>
          <w:spacing w:val="0"/>
          <w:kern w:val="0"/>
          <w:sz w:val="36"/>
          <w:szCs w:val="20"/>
          <w:highlight w:val="none"/>
          <w:fitText w:val="1083" w:id="-993879551"/>
        </w:rPr>
        <w:t>招</w:t>
      </w:r>
      <w:r>
        <w:rPr>
          <w:rFonts w:hint="eastAsia" w:ascii="仿宋" w:hAnsi="仿宋" w:eastAsia="仿宋" w:cs="仿宋"/>
          <w:b/>
          <w:color w:val="auto"/>
          <w:sz w:val="36"/>
          <w:szCs w:val="20"/>
          <w:highlight w:val="none"/>
        </w:rPr>
        <w:t>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上城区检察院大楼信息化建设项目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u w:val="single"/>
          <w:lang w:val="en-US" w:eastAsia="zh-CN"/>
        </w:rPr>
        <w:t>05</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u w:val="single"/>
          <w:lang w:val="en-US" w:eastAsia="zh-CN"/>
        </w:rPr>
        <w:t>13</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ascii="仿宋" w:hAnsi="仿宋" w:eastAsia="仿宋" w:cs="仿宋"/>
          <w:b/>
          <w:color w:val="auto"/>
          <w:sz w:val="24"/>
          <w:highlight w:val="none"/>
        </w:rPr>
        <w:t>ZJXR-JGSW2024-</w:t>
      </w:r>
      <w:r>
        <w:rPr>
          <w:rFonts w:hint="eastAsia" w:ascii="仿宋" w:hAnsi="仿宋" w:eastAsia="仿宋" w:cs="仿宋"/>
          <w:b/>
          <w:color w:val="auto"/>
          <w:sz w:val="24"/>
          <w:highlight w:val="none"/>
          <w:lang w:val="en-US" w:eastAsia="zh-CN"/>
        </w:rPr>
        <w:t>002</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上城区检察院大楼信息化建设项目</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预算金额（元）：12000000.00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最高限价（元）：12000000.00</w:t>
      </w:r>
    </w:p>
    <w:p>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上城区检察院大楼信息化建设项目主要内容：</w:t>
      </w:r>
      <w:r>
        <w:rPr>
          <w:rFonts w:hint="eastAsia" w:ascii="仿宋" w:hAnsi="仿宋" w:eastAsia="仿宋" w:cs="仿宋"/>
          <w:bCs/>
          <w:i w:val="0"/>
          <w:iCs w:val="0"/>
          <w:caps w:val="0"/>
          <w:snapToGrid/>
          <w:color w:val="auto"/>
          <w:spacing w:val="0"/>
          <w:kern w:val="2"/>
          <w:sz w:val="24"/>
          <w:szCs w:val="24"/>
          <w:highlight w:val="none"/>
        </w:rPr>
        <w:t>包括办案工作区、未检展示区、会议室、综合指挥中心、听证室、检委会系统和数字化档案系统建设，同时建设机房、弱电网络、监控系统等，为办公办案、出庭公</w:t>
      </w:r>
      <w:r>
        <w:rPr>
          <w:rFonts w:hint="eastAsia" w:ascii="仿宋" w:hAnsi="仿宋" w:eastAsia="仿宋" w:cs="仿宋"/>
          <w:bCs/>
          <w:i w:val="0"/>
          <w:iCs w:val="0"/>
          <w:caps w:val="0"/>
          <w:snapToGrid/>
          <w:color w:val="auto"/>
          <w:spacing w:val="0"/>
          <w:kern w:val="2"/>
          <w:sz w:val="24"/>
          <w:szCs w:val="24"/>
          <w:highlight w:val="none"/>
          <w:lang w:val="en-US" w:eastAsia="zh-CN"/>
        </w:rPr>
        <w:t>诉</w:t>
      </w:r>
      <w:r>
        <w:rPr>
          <w:rFonts w:hint="eastAsia" w:ascii="仿宋" w:hAnsi="仿宋" w:eastAsia="仿宋" w:cs="仿宋"/>
          <w:bCs/>
          <w:i w:val="0"/>
          <w:iCs w:val="0"/>
          <w:caps w:val="0"/>
          <w:snapToGrid/>
          <w:color w:val="auto"/>
          <w:spacing w:val="0"/>
          <w:kern w:val="2"/>
          <w:sz w:val="24"/>
          <w:szCs w:val="24"/>
          <w:highlight w:val="none"/>
        </w:rPr>
        <w:t>等提供更好的便利条件。</w:t>
      </w:r>
      <w:r>
        <w:rPr>
          <w:rFonts w:hint="eastAsia" w:ascii="仿宋" w:hAnsi="仿宋" w:eastAsia="仿宋" w:cs="仿宋"/>
          <w:snapToGrid/>
          <w:color w:val="auto"/>
          <w:kern w:val="2"/>
          <w:sz w:val="24"/>
          <w:szCs w:val="24"/>
          <w:highlight w:val="none"/>
        </w:rPr>
        <w:t>具体以招标文件第三部分采购需求为准。</w:t>
      </w:r>
    </w:p>
    <w:p>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合同履约期限：具体要求以招标文件第三部分采购需求为准</w:t>
      </w:r>
    </w:p>
    <w:p>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8" w:name="_Hlk101132948"/>
      <w:r>
        <w:rPr>
          <w:rFonts w:hint="eastAsia" w:ascii="仿宋" w:hAnsi="仿宋" w:eastAsia="仿宋" w:cs="仿宋"/>
          <w:b/>
          <w:color w:val="auto"/>
          <w:sz w:val="24"/>
          <w:highlight w:val="none"/>
        </w:rPr>
        <w:t>申请人的资格要求</w:t>
      </w:r>
      <w:bookmarkEnd w:id="8"/>
      <w:r>
        <w:rPr>
          <w:rFonts w:hint="eastAsia" w:ascii="仿宋" w:hAnsi="仿宋" w:eastAsia="仿宋" w:cs="仿宋"/>
          <w:b/>
          <w:color w:val="auto"/>
          <w:sz w:val="24"/>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https://zfcg.czt.zj.gov.cn/site/detail?parentId=600007&amp;articleId=5CKF56qAuBjlv5WXaYDYCg%3D%3D&amp;utm=site.site-PC-37000.979-pc-websitegroup-zhejiang-secondPage-front.110.9d57c57001dd11ef84bab3c347043415</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4"/>
        </w:rPr>
        <w:t>名</w:t>
      </w:r>
      <w:r>
        <w:rPr>
          <w:rFonts w:hint="eastAsia" w:ascii="仿宋" w:hAnsi="仿宋" w:eastAsia="仿宋" w:cs="仿宋"/>
          <w:color w:val="auto"/>
          <w:spacing w:val="0"/>
          <w:kern w:val="0"/>
          <w:sz w:val="24"/>
          <w:highlight w:val="none"/>
          <w:fitText w:val="960" w:id="-993882104"/>
        </w:rPr>
        <w:t>称</w:t>
      </w:r>
      <w:r>
        <w:rPr>
          <w:rFonts w:hint="eastAsia" w:ascii="仿宋" w:hAnsi="仿宋" w:eastAsia="仿宋" w:cs="仿宋"/>
          <w:color w:val="auto"/>
          <w:sz w:val="24"/>
          <w:highlight w:val="none"/>
        </w:rPr>
        <w:t>：杭州市上城区机关事务中心</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5"/>
        </w:rPr>
        <w:t>地</w:t>
      </w:r>
      <w:r>
        <w:rPr>
          <w:rFonts w:hint="eastAsia" w:ascii="仿宋" w:hAnsi="仿宋" w:eastAsia="仿宋" w:cs="仿宋"/>
          <w:color w:val="auto"/>
          <w:spacing w:val="0"/>
          <w:kern w:val="0"/>
          <w:sz w:val="24"/>
          <w:highlight w:val="none"/>
          <w:fitText w:val="960" w:id="-993882105"/>
        </w:rPr>
        <w:t>址</w:t>
      </w:r>
      <w:r>
        <w:rPr>
          <w:rFonts w:hint="eastAsia" w:ascii="仿宋" w:hAnsi="仿宋" w:eastAsia="仿宋" w:cs="仿宋"/>
          <w:color w:val="auto"/>
          <w:sz w:val="24"/>
          <w:highlight w:val="none"/>
        </w:rPr>
        <w:t>：杭州市上城区望潮路77号</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6"/>
        </w:rPr>
        <w:t>传</w:t>
      </w:r>
      <w:r>
        <w:rPr>
          <w:rFonts w:hint="eastAsia" w:ascii="仿宋" w:hAnsi="仿宋" w:eastAsia="仿宋" w:cs="仿宋"/>
          <w:color w:val="auto"/>
          <w:spacing w:val="0"/>
          <w:kern w:val="0"/>
          <w:sz w:val="24"/>
          <w:highlight w:val="none"/>
          <w:fitText w:val="960" w:id="-993882106"/>
        </w:rPr>
        <w:t>真</w:t>
      </w:r>
      <w:r>
        <w:rPr>
          <w:rFonts w:hint="eastAsia" w:ascii="仿宋" w:hAnsi="仿宋" w:eastAsia="仿宋" w:cs="仿宋"/>
          <w:color w:val="auto"/>
          <w:sz w:val="24"/>
          <w:highlight w:val="none"/>
        </w:rPr>
        <w:t>：/</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朱老师</w:t>
      </w:r>
    </w:p>
    <w:p>
      <w:pPr>
        <w:spacing w:line="360" w:lineRule="auto"/>
        <w:ind w:firstLine="480"/>
        <w:rPr>
          <w:rFonts w:ascii="仿宋" w:hAnsi="仿宋" w:eastAsia="仿宋" w:cs="仿宋"/>
          <w:i w:val="0"/>
          <w:iCs w:val="0"/>
          <w:caps w:val="0"/>
          <w:color w:val="auto"/>
          <w:spacing w:val="0"/>
          <w:sz w:val="13"/>
          <w:szCs w:val="13"/>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0571-89915626</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方工</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0571-89501631</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7"/>
        </w:rPr>
        <w:t>名</w:t>
      </w:r>
      <w:r>
        <w:rPr>
          <w:rFonts w:hint="eastAsia" w:ascii="仿宋" w:hAnsi="仿宋" w:eastAsia="仿宋" w:cs="仿宋"/>
          <w:color w:val="auto"/>
          <w:spacing w:val="0"/>
          <w:kern w:val="0"/>
          <w:sz w:val="24"/>
          <w:highlight w:val="none"/>
          <w:fitText w:val="960" w:id="-993882107"/>
        </w:rPr>
        <w:t>称</w:t>
      </w:r>
      <w:r>
        <w:rPr>
          <w:rFonts w:hint="eastAsia" w:ascii="仿宋" w:hAnsi="仿宋" w:eastAsia="仿宋" w:cs="仿宋"/>
          <w:color w:val="auto"/>
          <w:sz w:val="24"/>
          <w:highlight w:val="none"/>
        </w:rPr>
        <w:t>：浙江鑫润工程管理有限公司</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8"/>
        </w:rPr>
        <w:t>地</w:t>
      </w:r>
      <w:r>
        <w:rPr>
          <w:rFonts w:hint="eastAsia" w:ascii="仿宋" w:hAnsi="仿宋" w:eastAsia="仿宋" w:cs="仿宋"/>
          <w:color w:val="auto"/>
          <w:spacing w:val="0"/>
          <w:kern w:val="0"/>
          <w:sz w:val="24"/>
          <w:highlight w:val="none"/>
          <w:fitText w:val="960" w:id="-993882108"/>
        </w:rPr>
        <w:t>址</w:t>
      </w:r>
      <w:r>
        <w:rPr>
          <w:rFonts w:hint="eastAsia" w:ascii="仿宋" w:hAnsi="仿宋" w:eastAsia="仿宋" w:cs="仿宋"/>
          <w:color w:val="auto"/>
          <w:sz w:val="24"/>
          <w:highlight w:val="none"/>
        </w:rPr>
        <w:t>：杭州市上城区望江东路332号中豪望江国际1幢9楼</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09"/>
        </w:rPr>
        <w:t>传</w:t>
      </w:r>
      <w:r>
        <w:rPr>
          <w:rFonts w:hint="eastAsia" w:ascii="仿宋" w:hAnsi="仿宋" w:eastAsia="仿宋" w:cs="仿宋"/>
          <w:color w:val="auto"/>
          <w:spacing w:val="0"/>
          <w:kern w:val="0"/>
          <w:sz w:val="24"/>
          <w:highlight w:val="none"/>
          <w:fitText w:val="960" w:id="-993882109"/>
        </w:rPr>
        <w:t>真</w:t>
      </w: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项目联系人（询问）：周小丽</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ascii="仿宋" w:hAnsi="仿宋" w:eastAsia="仿宋" w:cs="仿宋"/>
          <w:color w:val="auto"/>
          <w:sz w:val="24"/>
          <w:highlight w:val="none"/>
        </w:rPr>
        <w:t>13867156431</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质疑联系人：方锐</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ascii="仿宋" w:hAnsi="仿宋" w:eastAsia="仿宋" w:cs="仿宋"/>
          <w:color w:val="auto"/>
          <w:sz w:val="24"/>
          <w:highlight w:val="none"/>
        </w:rPr>
        <w:t>13588741920</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10"/>
        </w:rPr>
        <w:t>名</w:t>
      </w:r>
      <w:r>
        <w:rPr>
          <w:rFonts w:hint="eastAsia" w:ascii="仿宋" w:hAnsi="仿宋" w:eastAsia="仿宋" w:cs="仿宋"/>
          <w:color w:val="auto"/>
          <w:spacing w:val="0"/>
          <w:kern w:val="0"/>
          <w:sz w:val="24"/>
          <w:highlight w:val="none"/>
          <w:fitText w:val="960" w:id="-993882110"/>
        </w:rPr>
        <w:t>称</w:t>
      </w:r>
      <w:r>
        <w:rPr>
          <w:rFonts w:hint="eastAsia" w:ascii="仿宋" w:hAnsi="仿宋" w:eastAsia="仿宋" w:cs="仿宋"/>
          <w:color w:val="auto"/>
          <w:sz w:val="24"/>
          <w:highlight w:val="none"/>
        </w:rPr>
        <w:t>：杭州市上城区财政局/浙江省政府采购行政裁决服务中心（杭州）</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11"/>
        </w:rPr>
        <w:t>地</w:t>
      </w:r>
      <w:r>
        <w:rPr>
          <w:rFonts w:hint="eastAsia" w:ascii="仿宋" w:hAnsi="仿宋" w:eastAsia="仿宋" w:cs="仿宋"/>
          <w:color w:val="auto"/>
          <w:spacing w:val="0"/>
          <w:kern w:val="0"/>
          <w:sz w:val="24"/>
          <w:highlight w:val="none"/>
          <w:fitText w:val="960" w:id="-993882111"/>
        </w:rPr>
        <w:t>址</w:t>
      </w:r>
      <w:r>
        <w:rPr>
          <w:rFonts w:hint="eastAsia" w:ascii="仿宋" w:hAnsi="仿宋" w:eastAsia="仿宋" w:cs="仿宋"/>
          <w:color w:val="auto"/>
          <w:sz w:val="24"/>
          <w:highlight w:val="none"/>
        </w:rPr>
        <w:t>：杭州市上城区四季青街道新业路市民之家G03办公室（快递仅限ems或顺丰）</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93882112"/>
        </w:rPr>
        <w:t>传</w:t>
      </w:r>
      <w:r>
        <w:rPr>
          <w:rFonts w:hint="eastAsia" w:ascii="仿宋" w:hAnsi="仿宋" w:eastAsia="仿宋" w:cs="仿宋"/>
          <w:color w:val="auto"/>
          <w:spacing w:val="0"/>
          <w:kern w:val="0"/>
          <w:sz w:val="24"/>
          <w:highlight w:val="none"/>
          <w:fitText w:val="960" w:id="-993882112"/>
        </w:rPr>
        <w:t>真</w:t>
      </w: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监督投诉电话：0571-85252453（仅限投诉事项）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993882367"/>
        </w:rPr>
        <w:t>A</w:t>
      </w:r>
      <w:r>
        <w:rPr>
          <w:rFonts w:hint="eastAsia" w:ascii="仿宋" w:hAnsi="仿宋" w:eastAsia="仿宋" w:cs="仿宋"/>
          <w:color w:val="auto"/>
          <w:spacing w:val="0"/>
          <w:kern w:val="0"/>
          <w:sz w:val="24"/>
          <w:highlight w:val="none"/>
          <w:fitText w:val="480" w:id="-993882367"/>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993882366"/>
        </w:rPr>
        <w:t>A</w:t>
      </w:r>
      <w:r>
        <w:rPr>
          <w:rFonts w:hint="eastAsia" w:ascii="仿宋" w:hAnsi="仿宋" w:eastAsia="仿宋" w:cs="仿宋"/>
          <w:color w:val="auto"/>
          <w:spacing w:val="0"/>
          <w:kern w:val="0"/>
          <w:sz w:val="24"/>
          <w:highlight w:val="none"/>
          <w:fitText w:val="480" w:id="-993882366"/>
        </w:rPr>
        <w:t>4</w:t>
      </w:r>
      <w:r>
        <w:rPr>
          <w:rFonts w:hint="eastAsia" w:ascii="仿宋" w:hAnsi="仿宋" w:eastAsia="仿宋" w:cs="仿宋"/>
          <w:color w:val="auto"/>
          <w:sz w:val="24"/>
          <w:highlight w:val="none"/>
        </w:rPr>
        <w:t>00-087-8198。</w:t>
      </w:r>
    </w:p>
    <w:p>
      <w:pPr>
        <w:adjustRightInd/>
        <w:spacing w:line="360" w:lineRule="auto"/>
        <w:jc w:val="center"/>
        <w:outlineLvl w:val="0"/>
        <w:rPr>
          <w:rFonts w:ascii="仿宋" w:hAnsi="仿宋" w:eastAsia="仿宋" w:cs="仿宋"/>
          <w:b/>
          <w:color w:val="auto"/>
          <w:sz w:val="36"/>
          <w:szCs w:val="20"/>
          <w:highlight w:val="none"/>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1"/>
          <w:kern w:val="0"/>
          <w:sz w:val="36"/>
          <w:szCs w:val="20"/>
          <w:highlight w:val="none"/>
          <w:fitText w:val="1083" w:id="-993879550"/>
        </w:rPr>
        <w:t>分</w:t>
      </w:r>
      <w:r>
        <w:rPr>
          <w:rFonts w:hint="eastAsia" w:ascii="仿宋" w:hAnsi="仿宋" w:eastAsia="仿宋" w:cs="仿宋"/>
          <w:b/>
          <w:color w:val="auto"/>
          <w:spacing w:val="0"/>
          <w:kern w:val="0"/>
          <w:sz w:val="36"/>
          <w:szCs w:val="20"/>
          <w:highlight w:val="none"/>
          <w:fitText w:val="1083" w:id="-993879550"/>
        </w:rPr>
        <w:t>投</w:t>
      </w:r>
      <w:r>
        <w:rPr>
          <w:rFonts w:hint="eastAsia" w:ascii="仿宋" w:hAnsi="仿宋" w:eastAsia="仿宋" w:cs="仿宋"/>
          <w:b/>
          <w:color w:val="auto"/>
          <w:sz w:val="36"/>
          <w:szCs w:val="20"/>
          <w:highlight w:val="none"/>
        </w:rPr>
        <w:t>标人须知</w:t>
      </w:r>
      <w:bookmarkEnd w:id="6"/>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综合指挥中心</w:t>
            </w:r>
            <w:r>
              <w:rPr>
                <w:rFonts w:hint="eastAsia" w:ascii="仿宋" w:hAnsi="仿宋" w:eastAsia="仿宋" w:cs="仿宋"/>
                <w:color w:val="auto"/>
                <w:sz w:val="24"/>
                <w:highlight w:val="none"/>
                <w:u w:val="single"/>
                <w:lang w:val="en-US" w:eastAsia="zh-CN"/>
              </w:rPr>
              <w:t>-全彩LED终端（核心产品）；阶梯会议室-全彩LED终端（核心产品）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。（核心产品相关内容参照财政部87号令有关规定执行）</w:t>
            </w:r>
          </w:p>
        </w:tc>
      </w:tr>
    </w:tbl>
    <w:tbl>
      <w:tblPr>
        <w:tblStyle w:val="63"/>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snapToGrid w:val="0"/>
              <w:spacing w:line="360" w:lineRule="auto"/>
              <w:jc w:val="center"/>
              <w:rPr>
                <w:color w:val="auto"/>
                <w:sz w:val="18"/>
                <w:szCs w:val="18"/>
                <w:highlight w:val="none"/>
                <w:vertAlign w:val="baseline"/>
              </w:rPr>
            </w:pPr>
            <w:r>
              <w:rPr>
                <w:rFonts w:hint="eastAsia" w:ascii="仿宋" w:hAnsi="仿宋" w:eastAsia="仿宋" w:cs="仿宋"/>
                <w:color w:val="auto"/>
                <w:sz w:val="24"/>
                <w:highlight w:val="none"/>
              </w:rPr>
              <w:t>2</w:t>
            </w:r>
          </w:p>
        </w:tc>
        <w:tc>
          <w:tcPr>
            <w:tcW w:w="1843" w:type="dxa"/>
            <w:vAlign w:val="center"/>
          </w:tcPr>
          <w:p>
            <w:pPr>
              <w:snapToGrid w:val="0"/>
              <w:spacing w:line="360" w:lineRule="auto"/>
              <w:jc w:val="center"/>
              <w:rPr>
                <w:color w:val="auto"/>
                <w:sz w:val="18"/>
                <w:szCs w:val="18"/>
                <w:highlight w:val="none"/>
                <w:vertAlign w:val="baseline"/>
              </w:rPr>
            </w:pPr>
            <w:r>
              <w:rPr>
                <w:rFonts w:hint="eastAsia" w:ascii="仿宋" w:hAnsi="仿宋" w:eastAsia="仿宋" w:cs="仿宋"/>
                <w:b/>
                <w:color w:val="auto"/>
                <w:sz w:val="24"/>
                <w:highlight w:val="none"/>
              </w:rPr>
              <w:t>采购标的及其对应的中小企业划分标准所属行业</w:t>
            </w:r>
          </w:p>
        </w:tc>
        <w:tc>
          <w:tcPr>
            <w:tcW w:w="6095" w:type="dxa"/>
          </w:tcPr>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车牌识别道闸显示一体机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停车入口信息屏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配套设备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镀锌管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网线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停车监管监控</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交换机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消控室</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55寸LCD屏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消控室</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大屏支架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消控室</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视频拼接器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消控室</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控制键盘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消控室</w:t>
            </w:r>
            <w:r>
              <w:rPr>
                <w:rFonts w:hint="eastAsia" w:ascii="仿宋" w:hAnsi="仿宋" w:eastAsia="仿宋" w:cs="仿宋"/>
                <w:color w:val="auto"/>
                <w:kern w:val="0"/>
                <w:sz w:val="18"/>
                <w:szCs w:val="18"/>
                <w:highlight w:val="none"/>
                <w:u w:val="single"/>
                <w:lang w:val="en-US" w:eastAsia="zh-CN"/>
              </w:rPr>
              <w:t>-</w:t>
            </w:r>
            <w:r>
              <w:rPr>
                <w:rFonts w:hint="eastAsia" w:ascii="仿宋" w:hAnsi="仿宋" w:eastAsia="仿宋" w:cs="仿宋"/>
                <w:color w:val="auto"/>
                <w:kern w:val="0"/>
                <w:sz w:val="18"/>
                <w:szCs w:val="18"/>
                <w:highlight w:val="none"/>
                <w:u w:val="single"/>
              </w:rPr>
              <w:t xml:space="preserve">DVI线缆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一体化听证工作站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听证中控系统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全景摄像机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全数字会议话筒单元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示证展台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功放音箱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液晶显示终端设备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-（1）公开听证系统-</w:t>
            </w:r>
            <w:r>
              <w:rPr>
                <w:rFonts w:hint="eastAsia" w:ascii="仿宋" w:hAnsi="仿宋" w:eastAsia="仿宋" w:cs="仿宋"/>
                <w:color w:val="auto"/>
                <w:kern w:val="0"/>
                <w:sz w:val="18"/>
                <w:szCs w:val="18"/>
                <w:highlight w:val="none"/>
                <w:u w:val="single"/>
              </w:rPr>
              <w:t xml:space="preserve">交换机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-（2）听证后台系统平台-</w:t>
            </w:r>
            <w:r>
              <w:rPr>
                <w:rFonts w:hint="eastAsia" w:ascii="仿宋" w:hAnsi="仿宋" w:eastAsia="仿宋" w:cs="仿宋"/>
                <w:color w:val="auto"/>
                <w:kern w:val="0"/>
                <w:sz w:val="18"/>
                <w:szCs w:val="18"/>
                <w:highlight w:val="none"/>
                <w:u w:val="single"/>
              </w:rPr>
              <w:t xml:space="preserve">音视频管理平台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-（2）听证后台系统平台-</w:t>
            </w:r>
            <w:r>
              <w:rPr>
                <w:rFonts w:hint="eastAsia" w:ascii="仿宋" w:hAnsi="仿宋" w:eastAsia="仿宋" w:cs="仿宋"/>
                <w:color w:val="auto"/>
                <w:kern w:val="0"/>
                <w:sz w:val="18"/>
                <w:szCs w:val="18"/>
                <w:highlight w:val="none"/>
                <w:u w:val="single"/>
              </w:rPr>
              <w:t xml:space="preserve">磁盘存储阵列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-（3）听证后台系统-</w:t>
            </w:r>
            <w:r>
              <w:rPr>
                <w:rFonts w:hint="eastAsia" w:ascii="仿宋" w:hAnsi="仿宋" w:eastAsia="仿宋" w:cs="仿宋"/>
                <w:color w:val="auto"/>
                <w:kern w:val="0"/>
                <w:sz w:val="18"/>
                <w:szCs w:val="18"/>
                <w:highlight w:val="none"/>
                <w:u w:val="single"/>
              </w:rPr>
              <w:t xml:space="preserve">高清解码器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公开听证室系统（80平听证室）</w:t>
            </w:r>
            <w:r>
              <w:rPr>
                <w:rFonts w:hint="eastAsia" w:ascii="仿宋" w:hAnsi="仿宋" w:eastAsia="仿宋" w:cs="仿宋"/>
                <w:color w:val="auto"/>
                <w:kern w:val="0"/>
                <w:sz w:val="18"/>
                <w:szCs w:val="18"/>
                <w:highlight w:val="none"/>
                <w:u w:val="single"/>
                <w:lang w:val="en-US" w:eastAsia="zh-CN"/>
              </w:rPr>
              <w:t>-（3）听证后台系统-</w:t>
            </w:r>
            <w:r>
              <w:rPr>
                <w:rFonts w:hint="eastAsia" w:ascii="仿宋" w:hAnsi="仿宋" w:eastAsia="仿宋" w:cs="仿宋"/>
                <w:color w:val="auto"/>
                <w:kern w:val="0"/>
                <w:sz w:val="18"/>
                <w:szCs w:val="18"/>
                <w:highlight w:val="none"/>
                <w:u w:val="single"/>
              </w:rPr>
              <w:t xml:space="preserve">导播盒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-（1）服务设备-</w:t>
            </w:r>
            <w:r>
              <w:rPr>
                <w:rFonts w:hint="eastAsia" w:ascii="仿宋" w:hAnsi="仿宋" w:eastAsia="仿宋" w:cs="仿宋"/>
                <w:color w:val="auto"/>
                <w:kern w:val="0"/>
                <w:sz w:val="18"/>
                <w:szCs w:val="18"/>
                <w:highlight w:val="none"/>
                <w:u w:val="single"/>
              </w:rPr>
              <w:t xml:space="preserve">同步录音录像系统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-（1）服务设备-</w:t>
            </w:r>
            <w:r>
              <w:rPr>
                <w:rFonts w:hint="eastAsia" w:ascii="仿宋" w:hAnsi="仿宋" w:eastAsia="仿宋" w:cs="仿宋"/>
                <w:color w:val="auto"/>
                <w:kern w:val="0"/>
                <w:sz w:val="18"/>
                <w:szCs w:val="18"/>
                <w:highlight w:val="none"/>
                <w:u w:val="single"/>
              </w:rPr>
              <w:t xml:space="preserve">48口汇聚交换机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-（1）服务设备-</w:t>
            </w:r>
            <w:r>
              <w:rPr>
                <w:rFonts w:hint="eastAsia" w:ascii="仿宋" w:hAnsi="仿宋" w:eastAsia="仿宋" w:cs="仿宋"/>
                <w:color w:val="auto"/>
                <w:kern w:val="0"/>
                <w:sz w:val="18"/>
                <w:szCs w:val="18"/>
                <w:highlight w:val="none"/>
                <w:u w:val="single"/>
              </w:rPr>
              <w:t xml:space="preserve">网络报警主机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LCD电子门牌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智能控制终端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审讯主机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多音频发生器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主机硬盘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语音自动播报终端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语音播报器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特写摄像终端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全景摄像终端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摄像机支架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拾音器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同步环境监测器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紧急报警按钮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报警网络模块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门禁一体机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双门磁力锁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审讯打印刻录一体机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280Kg磁力锁LZ支架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闭门器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录音录像服务终端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-（2）办案区讯问室3间+询问（谈话）室1间+未检工作室1间+未检心理咨询室1间+未检讯问室1间+宣告室1间-</w:t>
            </w:r>
            <w:r>
              <w:rPr>
                <w:rFonts w:hint="eastAsia" w:ascii="仿宋" w:hAnsi="仿宋" w:eastAsia="仿宋" w:cs="仿宋"/>
                <w:color w:val="auto"/>
                <w:kern w:val="0"/>
                <w:sz w:val="18"/>
                <w:szCs w:val="18"/>
                <w:highlight w:val="none"/>
                <w:u w:val="single"/>
              </w:rPr>
              <w:t xml:space="preserve">国产化操作系统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-（3）公共区域-</w:t>
            </w:r>
            <w:r>
              <w:rPr>
                <w:rFonts w:hint="eastAsia" w:ascii="仿宋" w:hAnsi="仿宋" w:eastAsia="仿宋" w:cs="仿宋"/>
                <w:color w:val="auto"/>
                <w:kern w:val="0"/>
                <w:sz w:val="18"/>
                <w:szCs w:val="18"/>
                <w:highlight w:val="none"/>
                <w:u w:val="single"/>
              </w:rPr>
              <w:t xml:space="preserve">高清摄像终端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-（3）公共区域-</w:t>
            </w:r>
            <w:r>
              <w:rPr>
                <w:rFonts w:hint="eastAsia" w:ascii="仿宋" w:hAnsi="仿宋" w:eastAsia="仿宋" w:cs="仿宋"/>
                <w:color w:val="auto"/>
                <w:kern w:val="0"/>
                <w:sz w:val="18"/>
                <w:szCs w:val="18"/>
                <w:highlight w:val="none"/>
                <w:u w:val="single"/>
              </w:rPr>
              <w:t xml:space="preserve">拾音器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-（3）公共区域-</w:t>
            </w:r>
            <w:r>
              <w:rPr>
                <w:rFonts w:hint="eastAsia" w:ascii="仿宋" w:hAnsi="仿宋" w:eastAsia="仿宋" w:cs="仿宋"/>
                <w:color w:val="auto"/>
                <w:kern w:val="0"/>
                <w:sz w:val="18"/>
                <w:szCs w:val="18"/>
                <w:highlight w:val="none"/>
                <w:u w:val="single"/>
              </w:rPr>
              <w:t xml:space="preserve">安全出口指示灯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-（3）公共区域-</w:t>
            </w:r>
            <w:r>
              <w:rPr>
                <w:rFonts w:hint="eastAsia" w:ascii="仿宋" w:hAnsi="仿宋" w:eastAsia="仿宋" w:cs="仿宋"/>
                <w:color w:val="auto"/>
                <w:kern w:val="0"/>
                <w:sz w:val="18"/>
                <w:szCs w:val="18"/>
                <w:highlight w:val="none"/>
                <w:u w:val="single"/>
              </w:rPr>
              <w:t xml:space="preserve">应急疏散照明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全景摄像终端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-（4）法警执勤室、受理登记室/区域-拾音器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紧急报警按钮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报警网络模块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高清解码器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空调控制网关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办案工作区</w:t>
            </w:r>
            <w:r>
              <w:rPr>
                <w:rFonts w:hint="eastAsia" w:ascii="仿宋" w:hAnsi="仿宋" w:eastAsia="仿宋" w:cs="仿宋"/>
                <w:color w:val="auto"/>
                <w:kern w:val="0"/>
                <w:sz w:val="18"/>
                <w:szCs w:val="18"/>
                <w:highlight w:val="none"/>
                <w:u w:val="single"/>
                <w:lang w:val="en-US" w:eastAsia="zh-CN"/>
              </w:rPr>
              <w:t>-（4）法警执勤室、受理登记室/区域-</w:t>
            </w:r>
            <w:r>
              <w:rPr>
                <w:rFonts w:hint="eastAsia" w:ascii="仿宋" w:hAnsi="仿宋" w:eastAsia="仿宋" w:cs="仿宋"/>
                <w:color w:val="auto"/>
                <w:kern w:val="0"/>
                <w:sz w:val="18"/>
                <w:szCs w:val="18"/>
                <w:highlight w:val="none"/>
                <w:u w:val="single"/>
              </w:rPr>
              <w:t xml:space="preserve">精密空调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案管大厅</w:t>
            </w:r>
            <w:r>
              <w:rPr>
                <w:rFonts w:hint="eastAsia" w:ascii="仿宋" w:hAnsi="仿宋" w:eastAsia="仿宋" w:cs="仿宋"/>
                <w:color w:val="auto"/>
                <w:kern w:val="0"/>
                <w:sz w:val="18"/>
                <w:szCs w:val="18"/>
                <w:highlight w:val="none"/>
                <w:u w:val="single"/>
                <w:lang w:val="en-US" w:eastAsia="zh-CN"/>
              </w:rPr>
              <w:t>-公文签印安全管控高速输出设备</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未检展示区</w:t>
            </w:r>
            <w:r>
              <w:rPr>
                <w:rFonts w:hint="eastAsia" w:ascii="仿宋" w:hAnsi="仿宋" w:eastAsia="仿宋" w:cs="仿宋"/>
                <w:color w:val="auto"/>
                <w:kern w:val="0"/>
                <w:sz w:val="18"/>
                <w:szCs w:val="18"/>
                <w:highlight w:val="none"/>
                <w:u w:val="single"/>
                <w:lang w:val="en-US" w:eastAsia="zh-CN"/>
              </w:rPr>
              <w:t>-激光投影终端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未检展示区</w:t>
            </w:r>
            <w:r>
              <w:rPr>
                <w:rFonts w:hint="eastAsia" w:ascii="仿宋" w:hAnsi="仿宋" w:eastAsia="仿宋" w:cs="仿宋"/>
                <w:color w:val="auto"/>
                <w:kern w:val="0"/>
                <w:sz w:val="18"/>
                <w:szCs w:val="18"/>
                <w:highlight w:val="none"/>
                <w:u w:val="single"/>
                <w:lang w:val="en-US" w:eastAsia="zh-CN"/>
              </w:rPr>
              <w:t>-配套投影控制器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未检展示区</w:t>
            </w:r>
            <w:r>
              <w:rPr>
                <w:rFonts w:hint="eastAsia" w:ascii="仿宋" w:hAnsi="仿宋" w:eastAsia="仿宋" w:cs="仿宋"/>
                <w:color w:val="auto"/>
                <w:kern w:val="0"/>
                <w:sz w:val="18"/>
                <w:szCs w:val="18"/>
                <w:highlight w:val="none"/>
                <w:u w:val="single"/>
                <w:lang w:val="en-US" w:eastAsia="zh-CN"/>
              </w:rPr>
              <w:t>-信息发布屏1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未检展示区</w:t>
            </w:r>
            <w:r>
              <w:rPr>
                <w:rFonts w:hint="eastAsia" w:ascii="仿宋" w:hAnsi="仿宋" w:eastAsia="仿宋" w:cs="仿宋"/>
                <w:color w:val="auto"/>
                <w:kern w:val="0"/>
                <w:sz w:val="18"/>
                <w:szCs w:val="18"/>
                <w:highlight w:val="none"/>
                <w:u w:val="single"/>
                <w:lang w:val="en-US" w:eastAsia="zh-CN"/>
              </w:rPr>
              <w:t>-信息发布屏2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-（2）智能密集架系统-智能密集架固定列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-（2）智能密集架系统-智能密集架移动列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-（2）智能密集架系统-智能电动密集架控制系统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-（3）密集架-密集架移动列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-（3）密集架-固定列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-（3）密集架-防磁柜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-（4）RFID盒定位管理系统-盒定位管理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-（4）RFID盒定位管理系统-RFID通道门禁（高频）</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-（4）RFID盒定位管理系统-高频的简版馆员</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-（4）RFID盒定位管理系统-高频手持机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-（5）库房环境监控系统-区域控制器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-（5）库房环境监控系统-温湿度变送器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-（5）库房环境监控系统-空气质量云测仪</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-（5）库房环境监控系统-除湿加湿一体机(120L)</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-（5）库房环境监控系统-水箱四级净水装置（90L）</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w:t>
            </w:r>
            <w:r>
              <w:rPr>
                <w:rFonts w:hint="eastAsia" w:ascii="仿宋" w:hAnsi="仿宋" w:eastAsia="仿宋" w:cs="仿宋"/>
                <w:color w:val="auto"/>
                <w:kern w:val="0"/>
                <w:sz w:val="18"/>
                <w:szCs w:val="18"/>
                <w:highlight w:val="none"/>
                <w:u w:val="single"/>
              </w:rPr>
              <w:t xml:space="preserve">红外空调控制器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-（5）库房环境监控系统-环控主机箱（有线）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-（5）库房环境监控系统-驱鼠器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-（5）库房环境监控系统-漏水传感器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-（5）库房环境监控系统-漏水感应线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w:t>
            </w:r>
            <w:r>
              <w:rPr>
                <w:rFonts w:hint="eastAsia" w:ascii="仿宋" w:hAnsi="仿宋" w:eastAsia="仿宋" w:cs="仿宋"/>
                <w:color w:val="auto"/>
                <w:kern w:val="0"/>
                <w:sz w:val="18"/>
                <w:szCs w:val="18"/>
                <w:highlight w:val="none"/>
                <w:u w:val="single"/>
              </w:rPr>
              <w:t xml:space="preserve">烟雾探测器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-（5）库房环境监控系统-三监红外探测器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-（5）库房环境监控系统-声光报警器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-（5）库房环境监控系统-POE网络控制模块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-（2）智能密集架系统-智能电动密集架控制系统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数字化档案室系统</w:t>
            </w:r>
            <w:r>
              <w:rPr>
                <w:rFonts w:hint="eastAsia" w:ascii="仿宋" w:hAnsi="仿宋" w:eastAsia="仿宋" w:cs="仿宋"/>
                <w:color w:val="auto"/>
                <w:kern w:val="0"/>
                <w:sz w:val="18"/>
                <w:szCs w:val="18"/>
                <w:highlight w:val="none"/>
                <w:u w:val="single"/>
                <w:lang w:val="en-US" w:eastAsia="zh-CN"/>
              </w:rPr>
              <w:t>-（5）库房环境监控系统-短信模块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-（1）显示系统-显示终端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-（1）显示系统-无线投屏器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-（2）超薄触控升降器-纯国产超薄17.3寸触控升降一体机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-（2）超薄触控升降器-客户端桌面操作系统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-（2）超薄触控升降器-拓展控制器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-（2）超薄触控升降器-大屏同步控制器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-（3）后台服务器端-会议控制主机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-（3）后台服务器端-国产操作系统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-（3）后台服务器端-数据库</w:t>
            </w:r>
            <w:r>
              <w:rPr>
                <w:rFonts w:hint="eastAsia" w:ascii="仿宋" w:hAnsi="仿宋" w:eastAsia="仿宋" w:cs="仿宋"/>
                <w:color w:val="auto"/>
                <w:kern w:val="0"/>
                <w:sz w:val="18"/>
                <w:szCs w:val="18"/>
                <w:highlight w:val="none"/>
                <w:u w:val="single"/>
                <w:lang w:val="en-US" w:eastAsia="zh-CN"/>
              </w:rPr>
              <w:tab/>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-（3）后台服务器端-智能流媒体终端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-（3）后台服务器端-嵌入式流媒体分享控制系统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-（4）发言系统-发言独立升降器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-（4）发言系统-嵌入式会议发言</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-（4）发言系统-有线会讨主机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-（4）发言系统-发言6芯双公头延长电缆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-（5）扩声系统-全频扬声器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-（5）扩声系统-数字音频处理器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-（5）扩声系统-时序电源</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-（5）扩声系统-壁托音箱支架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-（5）扩声系统-调音台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-（6）其他设备-会议桌、会议椅</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-（6）其他设备-桌插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检委会会议室</w:t>
            </w:r>
            <w:r>
              <w:rPr>
                <w:rFonts w:hint="eastAsia" w:ascii="仿宋" w:hAnsi="仿宋" w:eastAsia="仿宋" w:cs="仿宋"/>
                <w:color w:val="auto"/>
                <w:kern w:val="0"/>
                <w:sz w:val="18"/>
                <w:szCs w:val="18"/>
                <w:highlight w:val="none"/>
                <w:u w:val="single"/>
                <w:lang w:val="en-US" w:eastAsia="zh-CN"/>
              </w:rPr>
              <w:t>-（6）其他设备-机柜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-（1）音频扩声系统-发言主机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-（1）音频扩声系统-线型阵列扬声器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-（1）音频扩声系统-调音台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-（1）音频扩声系统-数字音频处理器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-（1）音频扩声系统-8路时序器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-（1）音频扩声系统-20米会议专用电缆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-（2）周边辅材-机柜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-（2）周边辅材-多媒体插座</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-（2）周边辅材-壁挂音响支架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党组会议室</w:t>
            </w:r>
            <w:r>
              <w:rPr>
                <w:rFonts w:hint="eastAsia" w:ascii="仿宋" w:hAnsi="仿宋" w:eastAsia="仿宋" w:cs="仿宋"/>
                <w:color w:val="auto"/>
                <w:kern w:val="0"/>
                <w:sz w:val="18"/>
                <w:szCs w:val="18"/>
                <w:highlight w:val="none"/>
                <w:u w:val="single"/>
                <w:lang w:val="en-US" w:eastAsia="zh-CN"/>
              </w:rPr>
              <w:t>-（2）周边辅材-4进4出HDMI矩阵</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-（1）显示系统-全彩LED终端（核心产品）</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-（1）显示系统-视频控制器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-（1）显示系统-主体钢架及包边</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-（1）显示系统-智能配电柜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-（1）显示系统-通讯线缆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-（1）显示系统-供电电缆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-（2）音频扩声系统-一拖四无线主机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-（2）音频扩声系统-一拖二无线主机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-（2）音频扩声系统-无线信号放大器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-（2）音频扩声系统-8寸同轴扬声器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-（2）音频扩声系统-线型阵列扬声器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-（2）音频扩声系统-调音台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-（2）音频扩声系统-数字音频矩阵</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-（3）灯光系统-触屏手绘1024控台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-（3）灯光系统-8路信号放大器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-（3）灯光系统-12路电源直通箱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-（4）环境管理系统-集中控制系统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-（4）环境管理系统-无线交互终端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-（4）环境管理系统-8路时序器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-（4）环境管理系统-高清混合矩阵</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-（5）周边辅材-多媒体插座</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综合指挥中心</w:t>
            </w:r>
            <w:r>
              <w:rPr>
                <w:rFonts w:hint="eastAsia" w:ascii="仿宋" w:hAnsi="仿宋" w:eastAsia="仿宋" w:cs="仿宋"/>
                <w:color w:val="auto"/>
                <w:kern w:val="0"/>
                <w:sz w:val="18"/>
                <w:szCs w:val="18"/>
                <w:highlight w:val="none"/>
                <w:u w:val="single"/>
                <w:lang w:val="en-US" w:eastAsia="zh-CN"/>
              </w:rPr>
              <w:t>-（5）周边辅材-壁挂音响支架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-（1）显示系统-全彩LED终端（核心产品）</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-（1）显示系统-视频控制器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-（1）显示系统-主体钢架及包边</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-（1）显示系统-智能配电柜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-（1）显示系统-通讯线缆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-（1）显示系统-供电电缆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-（1）显示系统-HDMI分配器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-（1）显示系统-音控室监视器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-（2）音频扩声系统-一拖四无线主机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-（2）音频扩声系统-一拖二无线主机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-（2）音频扩声系统-无线信号放大器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-（2）音频扩声系统-发言主机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-（2）音频扩声系统-反馈抑制器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-（2）音频扩声系统-网络数字音频矩阵</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-（2）音频扩声系统-主扩功率放大器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-（2）音频扩声系统-全频音柱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-（2）音频扩声系统-嵌入式辅助音箱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-（2）音频扩声系统-辅助功率放大器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-（2）音频扩声系统-监听音箱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-（2）音频扩声系统-吸顶补声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-（2）音频扩声系统-吸顶功放</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-（2）音频扩声系统-20米会议专用电缆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-（2）音频扩声系统-24路网络数字调音台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-（2）音频扩声系统-返听音箱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-（2）音频扩声系统-返听功放</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-（3）环境管理系统-智能AV管理中心</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-（3）环境管理系统-无线交互终端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-（3）环境管理系统-8路时序器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-（3）环境管理系统-高清混合矩阵图像控制系统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-（4）智能录播系统-普通球机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-（5）舞台灯光系统-触屏手绘1024控台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-（5）舞台灯光系统-8路信号放大器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-（5）舞台灯光系统-12路电源直通箱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-（5）舞台灯光系统-LED调焦成像灯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-（5）舞台灯光系统-LED三基色1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-（5）舞台灯光系统-LED三基色2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-（5）舞台灯光系统-灯钩</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-（5）舞台灯光系统-保险绳</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-（5）舞台灯光系统-触灯光桁架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-（5）舞台灯光系统-3*2.5电缆线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-（5）舞台灯光系统-信号线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-（6）舞台机械系统-电动升降横侧幕吊杆系统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-（6）舞台机械系统-吊杆杆体</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-（6）舞台机械系统-吊杆控制台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-（6）舞台机械系统-钢结构</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-（7）电子桌签-墨水屏电子桌签</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-（8）周边辅材-三位多媒体地插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-（8）周边辅材-壁挂音响支架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阶梯会议室</w:t>
            </w:r>
            <w:r>
              <w:rPr>
                <w:rFonts w:hint="eastAsia" w:ascii="仿宋" w:hAnsi="仿宋" w:eastAsia="仿宋" w:cs="仿宋"/>
                <w:color w:val="auto"/>
                <w:kern w:val="0"/>
                <w:sz w:val="18"/>
                <w:szCs w:val="18"/>
                <w:highlight w:val="none"/>
                <w:u w:val="single"/>
                <w:lang w:val="en-US" w:eastAsia="zh-CN"/>
              </w:rPr>
              <w:t>-（8）周边辅材-音箱头地插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-（1）主要设备-网络管理服务器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-（1）主要设备-单路机架式网络编码终端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-（1）主要设备-网络消防报警器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-（1）主要设备-7寸触摸屏网络话筒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-（1）主要设备-网络有源音箱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-（1）主要设备-合并式播放器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-（1）主要设备-数字调谐器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-（1）主要设备-前置放大器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-（1）主要设备-16路电源时序器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-（2）地下室区域-IP网络功率放大器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-（2）地下室区域-吸顶喇叭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-（2）地下室区域-壁挂音箱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-（3）一层-IP网络功率放大器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-（3）一层-吸顶喇叭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-（4）二层-IP网络功率放大器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-（4）二层-吸顶喇叭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-（5）三层-IP网络功率放大器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-（5）三层-吸顶喇叭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-（6）四层-IP网络功率放大器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-（6）四层-吸顶喇叭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-（7）五层-IP网络功率放大器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-（7）五层-吸顶喇叭</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广播系统</w:t>
            </w:r>
            <w:r>
              <w:rPr>
                <w:rFonts w:hint="eastAsia" w:ascii="仿宋" w:hAnsi="仿宋" w:eastAsia="仿宋" w:cs="仿宋"/>
                <w:color w:val="auto"/>
                <w:kern w:val="0"/>
                <w:sz w:val="18"/>
                <w:szCs w:val="18"/>
                <w:highlight w:val="none"/>
                <w:u w:val="single"/>
                <w:lang w:val="en-US" w:eastAsia="zh-CN"/>
              </w:rPr>
              <w:t>-（8）周边辅材-管线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餐厅系统</w:t>
            </w:r>
            <w:r>
              <w:rPr>
                <w:rFonts w:hint="eastAsia" w:ascii="仿宋" w:hAnsi="仿宋" w:eastAsia="仿宋" w:cs="仿宋"/>
                <w:color w:val="auto"/>
                <w:kern w:val="0"/>
                <w:sz w:val="18"/>
                <w:szCs w:val="18"/>
                <w:highlight w:val="none"/>
                <w:u w:val="single"/>
                <w:lang w:val="en-US" w:eastAsia="zh-CN"/>
              </w:rPr>
              <w:t>-多媒体播放盒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餐厅系统</w:t>
            </w:r>
            <w:r>
              <w:rPr>
                <w:rFonts w:hint="eastAsia" w:ascii="仿宋" w:hAnsi="仿宋" w:eastAsia="仿宋" w:cs="仿宋"/>
                <w:color w:val="auto"/>
                <w:kern w:val="0"/>
                <w:sz w:val="18"/>
                <w:szCs w:val="18"/>
                <w:highlight w:val="none"/>
                <w:u w:val="single"/>
                <w:lang w:val="en-US" w:eastAsia="zh-CN"/>
              </w:rPr>
              <w:t>-LED显示终端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餐厅系统</w:t>
            </w:r>
            <w:r>
              <w:rPr>
                <w:rFonts w:hint="eastAsia" w:ascii="仿宋" w:hAnsi="仿宋" w:eastAsia="仿宋" w:cs="仿宋"/>
                <w:color w:val="auto"/>
                <w:kern w:val="0"/>
                <w:sz w:val="18"/>
                <w:szCs w:val="18"/>
                <w:highlight w:val="none"/>
                <w:u w:val="single"/>
                <w:lang w:val="en-US" w:eastAsia="zh-CN"/>
              </w:rPr>
              <w:t>-结构</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-导轨式三相拉合闸电能表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-光电直读阀控式冷水表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-区域管理器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-采集控制箱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-门牌互联智能终端设备</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-其它配件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物联感知平台</w:t>
            </w:r>
            <w:r>
              <w:rPr>
                <w:rFonts w:hint="eastAsia" w:ascii="仿宋" w:hAnsi="仿宋" w:eastAsia="仿宋" w:cs="仿宋"/>
                <w:color w:val="auto"/>
                <w:kern w:val="0"/>
                <w:sz w:val="18"/>
                <w:szCs w:val="18"/>
                <w:highlight w:val="none"/>
                <w:u w:val="single"/>
                <w:lang w:val="en-US" w:eastAsia="zh-CN"/>
              </w:rPr>
              <w:t>-55寸电视支架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-紧急按钮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-八防区报警模块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-分线报警主机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-控制键盘</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-遥控器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-警号警灯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-主机备用电池</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-室内双鉴探测器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-报警管理工作站</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-数据采集器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-智能无线通讯座</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-人员钮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-信息钮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报警及巡更系统</w:t>
            </w:r>
            <w:r>
              <w:rPr>
                <w:rFonts w:hint="eastAsia" w:ascii="仿宋" w:hAnsi="仿宋" w:eastAsia="仿宋" w:cs="仿宋"/>
                <w:color w:val="auto"/>
                <w:kern w:val="0"/>
                <w:sz w:val="18"/>
                <w:szCs w:val="18"/>
                <w:highlight w:val="none"/>
                <w:u w:val="single"/>
                <w:lang w:val="en-US" w:eastAsia="zh-CN"/>
              </w:rPr>
              <w:t>-标识牌+夜光标签</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上城检察工作网网站信创改造</w:t>
            </w:r>
            <w:r>
              <w:rPr>
                <w:rFonts w:hint="eastAsia" w:ascii="仿宋" w:hAnsi="仿宋" w:eastAsia="仿宋" w:cs="仿宋"/>
                <w:color w:val="auto"/>
                <w:kern w:val="0"/>
                <w:sz w:val="18"/>
                <w:szCs w:val="18"/>
                <w:highlight w:val="none"/>
                <w:u w:val="single"/>
                <w:lang w:val="en-US" w:eastAsia="zh-CN"/>
              </w:rPr>
              <w:t>-服务器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上城检察工作网网站信创改造</w:t>
            </w:r>
            <w:r>
              <w:rPr>
                <w:rFonts w:hint="eastAsia" w:ascii="仿宋" w:hAnsi="仿宋" w:eastAsia="仿宋" w:cs="仿宋"/>
                <w:color w:val="auto"/>
                <w:kern w:val="0"/>
                <w:sz w:val="18"/>
                <w:szCs w:val="18"/>
                <w:highlight w:val="none"/>
                <w:u w:val="single"/>
                <w:lang w:val="en-US" w:eastAsia="zh-CN"/>
              </w:rPr>
              <w:t>-国产操作系统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-单防区脉冲主机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-双防区脉冲主机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-中间杆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-中间杆附件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-承力杆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-承力杆附件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-通用杆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-合金线1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-合金线2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-高压绝缘导线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-警示牌</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-电子围栏接地桩</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-扩展模块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-报警主机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-蓄电池</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周界报警系统</w:t>
            </w:r>
            <w:r>
              <w:rPr>
                <w:rFonts w:hint="eastAsia" w:ascii="仿宋" w:hAnsi="仿宋" w:eastAsia="仿宋" w:cs="仿宋"/>
                <w:color w:val="auto"/>
                <w:kern w:val="0"/>
                <w:sz w:val="18"/>
                <w:szCs w:val="18"/>
                <w:highlight w:val="none"/>
                <w:u w:val="single"/>
                <w:lang w:val="en-US" w:eastAsia="zh-CN"/>
              </w:rPr>
              <w:t>-其他辅材及接插件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-86面板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-六类网络模块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-六类网络非屏蔽模块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-六类屏蔽双绞线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-六类非屏蔽双绞线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-六类24口非屏蔽网络配线架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-六类24口屏蔽网络配线架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-2米六类非屏蔽跳线</w:t>
            </w:r>
            <w:r>
              <w:rPr>
                <w:rFonts w:hint="eastAsia" w:ascii="仿宋" w:hAnsi="仿宋" w:eastAsia="仿宋" w:cs="仿宋"/>
                <w:color w:val="auto"/>
                <w:kern w:val="0"/>
                <w:sz w:val="18"/>
                <w:szCs w:val="18"/>
                <w:highlight w:val="none"/>
                <w:u w:val="single"/>
                <w:lang w:val="en-US" w:eastAsia="zh-CN"/>
              </w:rPr>
              <w:tab/>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-2米六类屏蔽跳线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-3米六类跳线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-25对大对数电缆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-50对大对数电缆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-电话跳线定制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-100对110配线架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-光纤熔接</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-电源线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-12V门禁电源线</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-100*50桥架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-200*100桥架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-300*150桥架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-PVC管</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-86型底盒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-其他耗材</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-网络机柜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-理线架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-接线盒</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-电视接入</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-（1）工作网及安全-48口交换机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-（1）工作网及安全-24口交换机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-（1）工作网及安全-万兆单模模块</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-（2）设备网及安全（监控及门禁等，核心与办公网通过防火墙隔离）-设备网核心交换机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-（2）设备网及安全（监控及门禁等，核心与办公网通过防火墙隔离）-24口千兆交换机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-（2）设备网及安全（监控及门禁等，核心与办公网通过防火墙隔离）-24口POE千兆交换机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-（2）设备网及安全（监控及门禁等，核心与办公网通过防火墙隔离）-千兆单模模块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-（3）政务网及安全-政务网48口千兆交换机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-（3）政务网及安全-政务网24口POE千兆交换机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-（3）政务网及安全-政务网24口千兆交换机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-（3）政务网及安全-政务网核心交换机</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-（3）政务网及安全-千兆单模模块</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-（3）政务网及安全-千兆防火墙</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-（4）外网及安全-无线网核心交换机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-（4）外网及安全-无线网24口POE千兆交换机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-（4）外网及安全-无线控制器</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-（4）外网及安全-无线AP</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-（4）外网及安全-千兆单模模块</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-（4）外网及安全-互联网24口接入交换机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-（4）外网及安全-互联网48口接入交换机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网络系统</w:t>
            </w:r>
            <w:r>
              <w:rPr>
                <w:rFonts w:hint="eastAsia" w:ascii="仿宋" w:hAnsi="仿宋" w:eastAsia="仿宋" w:cs="仿宋"/>
                <w:color w:val="auto"/>
                <w:kern w:val="0"/>
                <w:sz w:val="18"/>
                <w:szCs w:val="18"/>
                <w:highlight w:val="none"/>
                <w:u w:val="single"/>
                <w:lang w:val="en-US" w:eastAsia="zh-CN"/>
              </w:rPr>
              <w:t>-（4）外网及安全-互联网核心交换机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-（1）机柜系统-机柜通用导轨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-（1）机柜系统-PDU电源（左）</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-（1）机柜系统-PDU电源（右）</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-（1）机柜系统-机柜承重支架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-（2）动环监控系统-温湿度传感器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-（2）动环监控系统-环控漏水监测</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-（2）动环监控系统-一体化监控主机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-（2）动环监控系统-数据转换采集主机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-（3）空调系统-主机房精密空调</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-（3）空调系统-主机房精密空调</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-（3）空调系统-精密空调（电池机房）</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-（3）空调系统-新风系统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-（4）气体灭火系统-UPS机房七氟丙烷灭火装置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-（4）气体灭火系统-主机房七氟丙烷灭火装置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-（4）气体灭火系统-办案机房七氟丙烷灭火装置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-（4）气体灭火系统-气体灭火控制主机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-（4）气体灭火系统-放气指示灯</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-（4）气体灭火系统-紧急启停装置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-（4）气体灭火系统-声光报警器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-（4）气体灭火系统-烟感探测器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-（4）气体灭火系统-温感探测器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-（4）气体灭火系统-泄压阀1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-（4）气体灭火系统-泄压阀2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-（5）强弱电系统-服务器机柜电缆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-（5）强弱电系统-精密空调电缆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-（5）强弱电系统-办案机房UPS输入电缆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-（5）强弱电系统-办案机房市电输入电缆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-（5）强弱电系统-主机房UPS输入电缆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-（5）强弱电系统-主机房市电输入电缆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-（5）强弱电系统-UPS总输入输出电缆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-（5）强弱电系统-机房市电柜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-（5）强弱电系统-机房机柜配电柜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-（5）强弱电系统-UPS机房市电柜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-（5）强弱电系统-UPS机房输出柜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-（5）强弱电系统-办案机房配电柜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-（5）强弱电系统-消控中心配电柜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-（5）强弱电系统-主机房光纤布线</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-（5）强弱电系统-工业连接器</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-（5）强弱电系统-机房内镀锌槽式桥架</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-（5）强弱电系统-市电及UPS主电缆桥架</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主机房改造（不含涉密机房，不含机房区域承重评估、承重加固）</w:t>
            </w:r>
            <w:r>
              <w:rPr>
                <w:rFonts w:hint="eastAsia" w:ascii="仿宋" w:hAnsi="仿宋" w:eastAsia="仿宋" w:cs="仿宋"/>
                <w:color w:val="auto"/>
                <w:kern w:val="0"/>
                <w:sz w:val="18"/>
                <w:szCs w:val="18"/>
                <w:highlight w:val="none"/>
                <w:u w:val="single"/>
                <w:lang w:val="en-US" w:eastAsia="zh-CN"/>
              </w:rPr>
              <w:t>-（5）强弱电系统-供配电辅材</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-顶面天花龙骨</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-顶面铝板</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-顶面收边条</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-轻钢龙骨</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-保温岩棉</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-单面彩钢板</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-墙面腻子粉</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-墙面乳胶漆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-不锈钢踢脚线</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-玻璃窗隐蔽</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-地面防尘漆</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-地板墙边支撑</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-门口台阶制作</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-钢制消防子母门</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-挡水围堰</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-进排水管道</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-LED灯</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-安全出口指示灯</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-应急疏散照明</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-灯开关</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主机房装修硬装</w:t>
            </w:r>
            <w:r>
              <w:rPr>
                <w:rFonts w:hint="eastAsia" w:ascii="仿宋" w:hAnsi="仿宋" w:eastAsia="仿宋" w:cs="仿宋"/>
                <w:color w:val="auto"/>
                <w:kern w:val="0"/>
                <w:sz w:val="18"/>
                <w:szCs w:val="18"/>
                <w:highlight w:val="none"/>
                <w:u w:val="single"/>
                <w:lang w:val="en-US" w:eastAsia="zh-CN"/>
              </w:rPr>
              <w:t>-墙插座</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-照明和插座线缆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-PVC管</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-金属软管</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网络信息点位清单</w:t>
            </w:r>
            <w:r>
              <w:rPr>
                <w:rFonts w:hint="eastAsia" w:ascii="仿宋" w:hAnsi="仿宋" w:eastAsia="仿宋" w:cs="仿宋"/>
                <w:color w:val="auto"/>
                <w:kern w:val="0"/>
                <w:sz w:val="18"/>
                <w:szCs w:val="18"/>
                <w:highlight w:val="none"/>
                <w:u w:val="single"/>
                <w:lang w:val="en-US" w:eastAsia="zh-CN"/>
              </w:rPr>
              <w:t>-机房静电接地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-普通半球摄像头</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-人脸半球摄像机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-人脸枪式摄像机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-室外全彩智能球机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-室内全彩智能球机1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-室内全彩智能球机2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-高空球机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-电梯摄像头</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-周界防范摄像机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-室内防油污半球摄像机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-室外防水箱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-高空球机+大门监控固定杆</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-64路硬盘录像机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-硬盘录像机监控硬盘</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-平台服务器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-录像存储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-人脸门禁一体机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-开门按钮</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-280Kg单门磁力锁</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-双门磁力锁</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-门禁电源</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-发卡器</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-IC卡</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-智能门锁1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-智能门锁2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-人员刷脸通道闸机1</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-人员刷脸通道闸机2</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-其他辅材及接插件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监控、门禁、闸机、考勤系统</w:t>
            </w:r>
            <w:r>
              <w:rPr>
                <w:rFonts w:hint="eastAsia" w:ascii="仿宋" w:hAnsi="仿宋" w:eastAsia="仿宋" w:cs="仿宋"/>
                <w:color w:val="auto"/>
                <w:kern w:val="0"/>
                <w:sz w:val="18"/>
                <w:szCs w:val="18"/>
                <w:highlight w:val="none"/>
                <w:u w:val="single"/>
                <w:lang w:val="en-US" w:eastAsia="zh-CN"/>
              </w:rPr>
              <w:t>-国产操作系统</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-数字化勘验取证平台V1.0</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-钢木实验台</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-移动废液暂存柜</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-快检试剂包</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-电热鼓风干燥箱</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-纯水机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-台式离心机</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numPr>
                <w:ilvl w:val="0"/>
                <w:numId w:val="1"/>
              </w:numPr>
              <w:snapToGrid w:val="0"/>
              <w:spacing w:line="240" w:lineRule="auto"/>
              <w:ind w:left="425" w:leftChars="0" w:hanging="425" w:firstLineChars="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标的：</w:t>
            </w:r>
            <w:r>
              <w:rPr>
                <w:rFonts w:hint="eastAsia" w:ascii="仿宋" w:hAnsi="仿宋" w:eastAsia="仿宋" w:cs="仿宋"/>
                <w:color w:val="auto"/>
                <w:kern w:val="0"/>
                <w:sz w:val="18"/>
                <w:szCs w:val="18"/>
                <w:highlight w:val="none"/>
                <w:u w:val="single"/>
              </w:rPr>
              <w:t xml:space="preserve">  公益诉讼快速检测实验室设施设备添置及拆卸搬运安装</w:t>
            </w:r>
            <w:r>
              <w:rPr>
                <w:rFonts w:hint="eastAsia" w:ascii="仿宋" w:hAnsi="仿宋" w:eastAsia="仿宋" w:cs="仿宋"/>
                <w:color w:val="auto"/>
                <w:kern w:val="0"/>
                <w:sz w:val="18"/>
                <w:szCs w:val="18"/>
                <w:highlight w:val="none"/>
                <w:u w:val="single"/>
                <w:lang w:val="en-US" w:eastAsia="zh-CN"/>
              </w:rPr>
              <w:t>-功能柱试剂架</w:t>
            </w:r>
            <w:r>
              <w:rPr>
                <w:rFonts w:hint="eastAsia" w:ascii="仿宋" w:hAnsi="仿宋" w:eastAsia="仿宋" w:cs="仿宋"/>
                <w:color w:val="auto"/>
                <w:kern w:val="0"/>
                <w:sz w:val="18"/>
                <w:szCs w:val="18"/>
                <w:highlight w:val="none"/>
                <w:u w:val="single"/>
              </w:rPr>
              <w:t xml:space="preserve"> </w:t>
            </w:r>
            <w:r>
              <w:rPr>
                <w:rFonts w:hint="eastAsia" w:ascii="仿宋" w:hAnsi="仿宋" w:eastAsia="仿宋" w:cs="仿宋"/>
                <w:color w:val="auto"/>
                <w:kern w:val="0"/>
                <w:sz w:val="18"/>
                <w:szCs w:val="18"/>
                <w:highlight w:val="none"/>
              </w:rPr>
              <w:t>，属于</w:t>
            </w:r>
            <w:r>
              <w:rPr>
                <w:rFonts w:hint="eastAsia" w:ascii="仿宋" w:hAnsi="仿宋" w:eastAsia="仿宋" w:cs="仿宋"/>
                <w:color w:val="auto"/>
                <w:kern w:val="0"/>
                <w:sz w:val="18"/>
                <w:szCs w:val="18"/>
                <w:highlight w:val="none"/>
                <w:u w:val="single"/>
              </w:rPr>
              <w:t>工业</w:t>
            </w:r>
            <w:r>
              <w:rPr>
                <w:rFonts w:hint="eastAsia" w:ascii="仿宋" w:hAnsi="仿宋" w:eastAsia="仿宋" w:cs="仿宋"/>
                <w:color w:val="auto"/>
                <w:kern w:val="0"/>
                <w:sz w:val="18"/>
                <w:szCs w:val="18"/>
                <w:highlight w:val="none"/>
              </w:rPr>
              <w:t>行业；</w:t>
            </w:r>
          </w:p>
          <w:p>
            <w:pPr>
              <w:spacing w:line="240" w:lineRule="auto"/>
              <w:rPr>
                <w:color w:val="auto"/>
                <w:sz w:val="18"/>
                <w:szCs w:val="18"/>
                <w:highlight w:val="none"/>
              </w:rPr>
            </w:pPr>
          </w:p>
          <w:p>
            <w:pPr>
              <w:spacing w:line="240" w:lineRule="auto"/>
              <w:rPr>
                <w:color w:val="auto"/>
                <w:sz w:val="18"/>
                <w:szCs w:val="18"/>
                <w:highlight w:val="none"/>
                <w:vertAlign w:val="baseline"/>
              </w:rPr>
            </w:pPr>
            <w:r>
              <w:rPr>
                <w:rFonts w:hint="eastAsia" w:ascii="仿宋" w:eastAsia="仿宋" w:cs="仿宋"/>
                <w:b w:val="0"/>
                <w:bCs w:val="0"/>
                <w:color w:val="auto"/>
                <w:kern w:val="0"/>
                <w:sz w:val="18"/>
                <w:szCs w:val="18"/>
                <w:highlight w:val="none"/>
                <w:lang w:val="en-US"/>
              </w:rPr>
              <w:t>备注：《关于印发中小企业划型标准规定的通知》（工信部联企业〔2011〕300号）中关于工业划型标准如下：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产品运输、安装及集成调试</w:t>
            </w:r>
            <w:r>
              <w:rPr>
                <w:rFonts w:hint="eastAsia" w:ascii="仿宋" w:hAnsi="仿宋" w:eastAsia="仿宋" w:cs="仿宋"/>
                <w:color w:val="auto"/>
                <w:sz w:val="24"/>
                <w:highlight w:val="none"/>
              </w:rPr>
              <w:t>工作分包。</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8"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tblHeader/>
        </w:trPr>
        <w:tc>
          <w:tcPr>
            <w:tcW w:w="629" w:type="dxa"/>
            <w:vMerge w:val="continue"/>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vAlign w:val="center"/>
          </w:tcPr>
          <w:p>
            <w:pPr>
              <w:snapToGrid w:val="0"/>
              <w:spacing w:line="360" w:lineRule="auto"/>
              <w:jc w:val="center"/>
              <w:rPr>
                <w:rFonts w:ascii="仿宋" w:hAnsi="仿宋" w:eastAsia="仿宋" w:cs="仿宋"/>
                <w:b/>
                <w:color w:val="auto"/>
                <w:sz w:val="24"/>
                <w:highlight w:val="none"/>
              </w:rPr>
            </w:pPr>
          </w:p>
        </w:tc>
        <w:tc>
          <w:tcPr>
            <w:tcW w:w="609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8"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pPr>
              <w:pStyle w:val="32"/>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杭州市上城区望江东路332号中豪望江国际1幢9楼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方锐、18258914900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pPr>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如联合体参与政府采购活动的，除联合体协议书外，由联合体牵头单位在投标文件中加盖相应章、签字即可；如联合体协议书另行约定的，按照联合体协议约定的执行。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hint="eastAsia"/>
                <w:color w:val="auto"/>
                <w:szCs w:val="21"/>
                <w:highlight w:val="none"/>
              </w:rPr>
            </w:pPr>
            <w:r>
              <w:rPr>
                <w:rFonts w:hint="eastAsia" w:ascii="仿宋_GB2312" w:eastAsia="仿宋_GB2312"/>
                <w:color w:val="auto"/>
                <w:kern w:val="0"/>
                <w:sz w:val="24"/>
                <w:highlight w:val="none"/>
              </w:rPr>
              <w:t>本项目评审报告推荐的中标候选人数量：</w:t>
            </w:r>
            <w:r>
              <w:rPr>
                <w:rFonts w:hint="eastAsia" w:ascii="仿宋_GB2312" w:eastAsia="仿宋_GB2312"/>
                <w:color w:val="auto"/>
                <w:kern w:val="0"/>
                <w:sz w:val="24"/>
                <w:highlight w:val="none"/>
                <w:u w:val="single"/>
              </w:rPr>
              <w:t xml:space="preserve"> 1名 </w:t>
            </w:r>
            <w:r>
              <w:rPr>
                <w:rFonts w:hint="eastAsia" w:ascii="仿宋_GB2312" w:eastAsia="仿宋_GB2312"/>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（1）本项目代理服务费以中标金额为计算基础，参照计价格【2002】1980号文的收费标准向中标供应商收取</w:t>
            </w:r>
            <w:r>
              <w:rPr>
                <w:rFonts w:hint="eastAsia" w:ascii="仿宋" w:hAnsi="仿宋" w:eastAsia="仿宋"/>
                <w:color w:val="auto"/>
                <w:kern w:val="28"/>
                <w:sz w:val="24"/>
                <w:szCs w:val="24"/>
                <w:highlight w:val="none"/>
                <w:lang w:eastAsia="zh-CN"/>
              </w:rPr>
              <w:t>，</w:t>
            </w:r>
            <w:r>
              <w:rPr>
                <w:rFonts w:hint="eastAsia" w:ascii="仿宋" w:hAnsi="仿宋" w:eastAsia="仿宋"/>
                <w:color w:val="auto"/>
                <w:kern w:val="28"/>
                <w:sz w:val="24"/>
                <w:szCs w:val="24"/>
                <w:highlight w:val="none"/>
                <w:lang w:val="en-US" w:eastAsia="zh-CN"/>
              </w:rPr>
              <w:t>需求调研费2万元</w:t>
            </w:r>
            <w:r>
              <w:rPr>
                <w:rFonts w:hint="eastAsia" w:ascii="仿宋" w:hAnsi="仿宋" w:eastAsia="仿宋"/>
                <w:color w:val="auto"/>
                <w:kern w:val="28"/>
                <w:sz w:val="24"/>
                <w:szCs w:val="24"/>
                <w:highlight w:val="none"/>
              </w:rPr>
              <w:t>。以上</w:t>
            </w:r>
            <w:r>
              <w:rPr>
                <w:rFonts w:hint="eastAsia" w:ascii="仿宋" w:hAnsi="仿宋" w:eastAsia="仿宋"/>
                <w:color w:val="auto"/>
                <w:kern w:val="28"/>
                <w:sz w:val="24"/>
                <w:szCs w:val="24"/>
                <w:highlight w:val="none"/>
                <w:lang w:val="en-US" w:eastAsia="zh-CN"/>
              </w:rPr>
              <w:t>代理费及需求调研费两笔</w:t>
            </w:r>
            <w:r>
              <w:rPr>
                <w:rFonts w:hint="eastAsia" w:ascii="仿宋" w:hAnsi="仿宋" w:eastAsia="仿宋"/>
                <w:color w:val="auto"/>
                <w:kern w:val="28"/>
                <w:sz w:val="24"/>
                <w:szCs w:val="24"/>
                <w:highlight w:val="none"/>
              </w:rPr>
              <w:t>费用，投标人应当自中标结果公告发布之日起5个工作日内一次性向采购代理机构支付。</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收款单位（户名）：浙江鑫润工程管理有限公司</w:t>
            </w:r>
          </w:p>
          <w:p>
            <w:pPr>
              <w:pStyle w:val="32"/>
              <w:jc w:val="left"/>
              <w:rPr>
                <w:rFonts w:ascii="仿宋" w:hAnsi="仿宋" w:eastAsia="仿宋"/>
                <w:color w:val="auto"/>
                <w:kern w:val="28"/>
                <w:sz w:val="24"/>
                <w:szCs w:val="24"/>
                <w:highlight w:val="none"/>
              </w:rPr>
            </w:pPr>
            <w:r>
              <w:rPr>
                <w:rFonts w:hint="eastAsia" w:ascii="仿宋" w:hAnsi="仿宋" w:eastAsia="仿宋"/>
                <w:color w:val="auto"/>
                <w:spacing w:val="240"/>
                <w:kern w:val="0"/>
                <w:sz w:val="24"/>
                <w:szCs w:val="24"/>
                <w:highlight w:val="none"/>
                <w:fitText w:val="960" w:id="-993877504"/>
              </w:rPr>
              <w:t>开</w:t>
            </w:r>
            <w:r>
              <w:rPr>
                <w:rFonts w:hint="eastAsia" w:ascii="仿宋" w:hAnsi="仿宋" w:eastAsia="仿宋"/>
                <w:color w:val="auto"/>
                <w:spacing w:val="0"/>
                <w:kern w:val="0"/>
                <w:sz w:val="24"/>
                <w:szCs w:val="24"/>
                <w:highlight w:val="none"/>
                <w:fitText w:val="960" w:id="-993877504"/>
              </w:rPr>
              <w:t>户</w:t>
            </w:r>
            <w:r>
              <w:rPr>
                <w:rFonts w:hint="eastAsia" w:ascii="仿宋" w:hAnsi="仿宋" w:eastAsia="仿宋"/>
                <w:color w:val="auto"/>
                <w:kern w:val="28"/>
                <w:sz w:val="24"/>
                <w:szCs w:val="24"/>
                <w:highlight w:val="none"/>
              </w:rPr>
              <w:t>：杭州联合农村商业银行彭埠支行</w:t>
            </w:r>
          </w:p>
          <w:p>
            <w:pPr>
              <w:pStyle w:val="32"/>
              <w:jc w:val="left"/>
              <w:rPr>
                <w:rFonts w:ascii="仿宋" w:hAnsi="仿宋" w:eastAsia="仿宋"/>
                <w:color w:val="auto"/>
                <w:kern w:val="28"/>
                <w:sz w:val="24"/>
                <w:szCs w:val="24"/>
                <w:highlight w:val="none"/>
              </w:rPr>
            </w:pPr>
            <w:r>
              <w:rPr>
                <w:rFonts w:hint="eastAsia" w:ascii="仿宋" w:hAnsi="仿宋" w:eastAsia="仿宋"/>
                <w:color w:val="auto"/>
                <w:spacing w:val="240"/>
                <w:kern w:val="0"/>
                <w:sz w:val="24"/>
                <w:szCs w:val="24"/>
                <w:highlight w:val="none"/>
                <w:fitText w:val="960" w:id="-993877503"/>
              </w:rPr>
              <w:t>账</w:t>
            </w:r>
            <w:r>
              <w:rPr>
                <w:rFonts w:hint="eastAsia" w:ascii="仿宋" w:hAnsi="仿宋" w:eastAsia="仿宋"/>
                <w:color w:val="auto"/>
                <w:spacing w:val="0"/>
                <w:kern w:val="0"/>
                <w:sz w:val="24"/>
                <w:szCs w:val="24"/>
                <w:highlight w:val="none"/>
                <w:fitText w:val="960" w:id="-993877503"/>
              </w:rPr>
              <w:t>号</w:t>
            </w:r>
            <w:r>
              <w:rPr>
                <w:rFonts w:hint="eastAsia" w:ascii="仿宋" w:hAnsi="仿宋" w:eastAsia="仿宋"/>
                <w:color w:val="auto"/>
                <w:kern w:val="28"/>
                <w:sz w:val="24"/>
                <w:szCs w:val="24"/>
                <w:highlight w:val="none"/>
              </w:rPr>
              <w:t>：</w:t>
            </w:r>
            <w:r>
              <w:rPr>
                <w:rFonts w:ascii="仿宋" w:hAnsi="仿宋" w:eastAsia="仿宋"/>
                <w:color w:val="auto"/>
                <w:kern w:val="28"/>
                <w:sz w:val="24"/>
                <w:szCs w:val="24"/>
                <w:highlight w:val="none"/>
              </w:rPr>
              <w:t>201000104473948</w:t>
            </w:r>
          </w:p>
          <w:p>
            <w:pPr>
              <w:rPr>
                <w:rFonts w:ascii="仿宋" w:hAnsi="仿宋" w:eastAsia="仿宋" w:cs="仿宋"/>
                <w:color w:val="auto"/>
                <w:kern w:val="0"/>
                <w:sz w:val="24"/>
                <w:highlight w:val="none"/>
              </w:rPr>
            </w:pPr>
            <w:r>
              <w:rPr>
                <w:rFonts w:hint="eastAsia" w:ascii="仿宋" w:hAnsi="仿宋" w:eastAsia="仿宋"/>
                <w:color w:val="auto"/>
                <w:kern w:val="28"/>
                <w:sz w:val="24"/>
                <w:highlight w:val="none"/>
              </w:rPr>
              <w:t>（3）增值税发票开具资料：单位名称、税号（统一社会信用代码）、开户行名称、账号、地址及联系电话。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095" w:type="dxa"/>
            <w:vAlign w:val="center"/>
          </w:tcPr>
          <w:p>
            <w:pPr>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bookmarkEnd w:id="7"/>
    </w:tbl>
    <w:p>
      <w:pPr>
        <w:adjustRightInd/>
        <w:spacing w:line="360" w:lineRule="auto"/>
        <w:ind w:firstLine="3845" w:firstLineChars="1197"/>
        <w:outlineLvl w:val="0"/>
        <w:rPr>
          <w:rFonts w:ascii="仿宋" w:hAnsi="仿宋" w:eastAsia="仿宋" w:cs="仿宋"/>
          <w:b/>
          <w:color w:val="auto"/>
          <w:sz w:val="32"/>
          <w:szCs w:val="20"/>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9" w:name="_Toc164416483"/>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rPr>
          <w:rFonts w:ascii="仿宋" w:hAnsi="仿宋" w:eastAsia="仿宋" w:cs="宋体"/>
          <w:b/>
          <w:i/>
          <w:iCs/>
          <w:color w:val="auto"/>
          <w:sz w:val="24"/>
          <w:highlight w:val="none"/>
        </w:rPr>
      </w:pPr>
      <w:r>
        <w:rPr>
          <w:rFonts w:hint="eastAsia" w:ascii="仿宋" w:hAnsi="仿宋" w:eastAsia="仿宋" w:cs="宋体"/>
          <w:b/>
          <w:i/>
          <w:iCs/>
          <w:color w:val="auto"/>
          <w:sz w:val="24"/>
          <w:highlight w:val="none"/>
        </w:rPr>
        <w:t>附:《节能产品政府采购品目清单（强制采购部分）》（如遇调整，按最新清单执行）</w:t>
      </w:r>
    </w:p>
    <w:tbl>
      <w:tblPr>
        <w:tblStyle w:val="62"/>
        <w:tblW w:w="5000" w:type="pct"/>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1001"/>
        <w:gridCol w:w="2227"/>
        <w:gridCol w:w="6058"/>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539" w:type="pct"/>
            <w:shd w:val="clear" w:color="auto" w:fill="DAEEF3"/>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品目清单序号</w:t>
            </w:r>
          </w:p>
        </w:tc>
        <w:tc>
          <w:tcPr>
            <w:tcW w:w="4461" w:type="pct"/>
            <w:gridSpan w:val="2"/>
            <w:shd w:val="clear" w:color="auto" w:fill="DAEEF3"/>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产品名称（本表内以</w:t>
            </w:r>
            <w:r>
              <w:rPr>
                <w:rFonts w:ascii="仿宋" w:hAnsi="仿宋" w:eastAsia="仿宋"/>
                <w:b/>
                <w:color w:val="auto"/>
                <w:w w:val="90"/>
                <w:sz w:val="24"/>
                <w:highlight w:val="none"/>
              </w:rPr>
              <w:t>“</w:t>
            </w:r>
            <w:r>
              <w:rPr>
                <w:rFonts w:hint="eastAsia" w:ascii="仿宋" w:hAnsi="仿宋" w:eastAsia="仿宋"/>
                <w:b/>
                <w:color w:val="auto"/>
                <w:w w:val="90"/>
                <w:sz w:val="24"/>
                <w:highlight w:val="none"/>
              </w:rPr>
              <w:t>☆</w:t>
            </w:r>
            <w:r>
              <w:rPr>
                <w:rFonts w:ascii="仿宋" w:hAnsi="仿宋" w:eastAsia="仿宋"/>
                <w:b/>
                <w:color w:val="auto"/>
                <w:w w:val="90"/>
                <w:sz w:val="24"/>
                <w:highlight w:val="none"/>
              </w:rPr>
              <w:t>”</w:t>
            </w:r>
            <w:r>
              <w:rPr>
                <w:rFonts w:hint="eastAsia" w:ascii="仿宋" w:hAnsi="仿宋" w:eastAsia="仿宋"/>
                <w:b/>
                <w:color w:val="auto"/>
                <w:w w:val="90"/>
                <w:sz w:val="24"/>
                <w:highlight w:val="none"/>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w:t>
            </w:r>
          </w:p>
        </w:tc>
        <w:tc>
          <w:tcPr>
            <w:tcW w:w="1199"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color w:val="auto"/>
                <w:w w:val="90"/>
                <w:sz w:val="24"/>
                <w:highlight w:val="none"/>
              </w:rPr>
              <w:t>A020101计算机设备</w:t>
            </w:r>
          </w:p>
        </w:tc>
        <w:tc>
          <w:tcPr>
            <w:tcW w:w="3262"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☆A02010104台式计算机</w:t>
            </w:r>
            <w:r>
              <w:rPr>
                <w:rFonts w:hint="eastAsia" w:ascii="仿宋" w:hAnsi="仿宋" w:eastAsia="仿宋"/>
                <w:color w:val="auto"/>
                <w:w w:val="90"/>
                <w:sz w:val="24"/>
                <w:highlight w:val="none"/>
              </w:rPr>
              <w:t>；</w:t>
            </w:r>
          </w:p>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☆A02010105便携式计算机</w:t>
            </w:r>
            <w:r>
              <w:rPr>
                <w:rFonts w:hint="eastAsia" w:ascii="仿宋" w:hAnsi="仿宋" w:eastAsia="仿宋"/>
                <w:color w:val="auto"/>
                <w:w w:val="90"/>
                <w:sz w:val="24"/>
                <w:highlight w:val="none"/>
              </w:rPr>
              <w:t>；</w:t>
            </w:r>
          </w:p>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☆A02010107平板式微型计算机</w:t>
            </w:r>
            <w:r>
              <w:rPr>
                <w:rFonts w:hint="eastAsia" w:ascii="仿宋" w:hAnsi="仿宋" w:eastAsia="仿宋"/>
                <w:color w:val="auto"/>
                <w:w w:val="90"/>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2</w:t>
            </w:r>
          </w:p>
        </w:tc>
        <w:tc>
          <w:tcPr>
            <w:tcW w:w="1199"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color w:val="auto"/>
                <w:w w:val="90"/>
                <w:sz w:val="24"/>
                <w:highlight w:val="none"/>
              </w:rPr>
              <w:t>A020106输入输出设备</w:t>
            </w:r>
          </w:p>
        </w:tc>
        <w:tc>
          <w:tcPr>
            <w:tcW w:w="3262"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☆A0201060102激光打印机</w:t>
            </w:r>
            <w:r>
              <w:rPr>
                <w:rFonts w:hint="eastAsia" w:ascii="仿宋" w:hAnsi="仿宋" w:eastAsia="仿宋"/>
                <w:color w:val="auto"/>
                <w:w w:val="90"/>
                <w:sz w:val="24"/>
                <w:highlight w:val="none"/>
              </w:rPr>
              <w:t>；</w:t>
            </w:r>
          </w:p>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☆A0201060104针式打印机</w:t>
            </w:r>
            <w:r>
              <w:rPr>
                <w:rFonts w:hint="eastAsia" w:ascii="仿宋" w:hAnsi="仿宋" w:eastAsia="仿宋"/>
                <w:color w:val="auto"/>
                <w:w w:val="90"/>
                <w:sz w:val="24"/>
                <w:highlight w:val="none"/>
              </w:rPr>
              <w:t>；</w:t>
            </w:r>
          </w:p>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☆A0201060401液晶显示器</w:t>
            </w:r>
            <w:r>
              <w:rPr>
                <w:rFonts w:hint="eastAsia" w:ascii="仿宋" w:hAnsi="仿宋" w:eastAsia="仿宋"/>
                <w:color w:val="auto"/>
                <w:w w:val="90"/>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6</w:t>
            </w:r>
          </w:p>
        </w:tc>
        <w:tc>
          <w:tcPr>
            <w:tcW w:w="1199"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color w:val="auto"/>
                <w:w w:val="90"/>
                <w:sz w:val="24"/>
                <w:highlight w:val="none"/>
              </w:rPr>
              <w:t>A020523制冷空调设备</w:t>
            </w:r>
          </w:p>
        </w:tc>
        <w:tc>
          <w:tcPr>
            <w:tcW w:w="3262"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☆A02052301制冷压缩机：</w:t>
            </w:r>
            <w:r>
              <w:rPr>
                <w:rFonts w:hint="eastAsia" w:ascii="仿宋" w:hAnsi="仿宋" w:eastAsia="仿宋"/>
                <w:color w:val="auto"/>
                <w:w w:val="90"/>
                <w:sz w:val="24"/>
                <w:highlight w:val="none"/>
              </w:rPr>
              <w:t>冷水机组、水源热泵机组、溴化锂吸收式冷水机组；</w:t>
            </w:r>
          </w:p>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☆A02052305空调机组:</w:t>
            </w:r>
            <w:r>
              <w:rPr>
                <w:rFonts w:hint="eastAsia" w:ascii="仿宋" w:hAnsi="仿宋" w:eastAsia="仿宋"/>
                <w:color w:val="auto"/>
                <w:w w:val="90"/>
                <w:sz w:val="24"/>
                <w:highlight w:val="none"/>
              </w:rPr>
              <w:t>多联式空调（热泵）机组(制冷量&gt;14000W)）、单元式空气调节机(制冷量&gt;14000W)；</w:t>
            </w:r>
          </w:p>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☆A02052309专用制冷、空调设备：</w:t>
            </w:r>
            <w:r>
              <w:rPr>
                <w:rFonts w:hint="eastAsia" w:ascii="仿宋" w:hAnsi="仿宋" w:eastAsia="仿宋"/>
                <w:color w:val="auto"/>
                <w:w w:val="90"/>
                <w:sz w:val="24"/>
                <w:highlight w:val="none"/>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9</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☆A020609镇流器</w:t>
            </w:r>
          </w:p>
        </w:tc>
        <w:tc>
          <w:tcPr>
            <w:tcW w:w="3262"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管型荧光灯镇流器</w:t>
            </w:r>
            <w:r>
              <w:rPr>
                <w:rFonts w:hint="eastAsia" w:ascii="仿宋" w:hAnsi="仿宋" w:eastAsia="仿宋"/>
                <w:color w:val="auto"/>
                <w:w w:val="90"/>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10</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A020618生活用电器</w:t>
            </w:r>
          </w:p>
        </w:tc>
        <w:tc>
          <w:tcPr>
            <w:tcW w:w="3262" w:type="pct"/>
            <w:vAlign w:val="center"/>
          </w:tcPr>
          <w:p>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☆A0206180203空调机：</w:t>
            </w:r>
            <w:r>
              <w:rPr>
                <w:rFonts w:hint="eastAsia" w:ascii="仿宋" w:hAnsi="仿宋" w:eastAsia="仿宋"/>
                <w:color w:val="auto"/>
                <w:w w:val="90"/>
                <w:sz w:val="24"/>
                <w:highlight w:val="none"/>
              </w:rPr>
              <w:t>房间空气调节器、多联式空调（热泵）机组（制冷量≤14000W）、单元式空气调节机(制冷量≤14000W)）；</w:t>
            </w:r>
          </w:p>
          <w:p>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A02061808热水器：</w:t>
            </w:r>
            <w:r>
              <w:rPr>
                <w:rFonts w:hint="eastAsia" w:ascii="仿宋" w:hAnsi="仿宋" w:eastAsia="仿宋"/>
                <w:b/>
                <w:color w:val="auto"/>
                <w:w w:val="90"/>
                <w:sz w:val="24"/>
                <w:highlight w:val="none"/>
              </w:rPr>
              <w:t>☆电热水器</w:t>
            </w:r>
            <w:r>
              <w:rPr>
                <w:rFonts w:hint="eastAsia" w:ascii="仿宋" w:hAnsi="仿宋" w:eastAsia="仿宋"/>
                <w:color w:val="auto"/>
                <w:w w:val="90"/>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11</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A020619照明设备</w:t>
            </w:r>
          </w:p>
        </w:tc>
        <w:tc>
          <w:tcPr>
            <w:tcW w:w="3262"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☆普通照明用双端荧光灯</w:t>
            </w:r>
            <w:r>
              <w:rPr>
                <w:rFonts w:hint="eastAsia" w:ascii="仿宋" w:hAnsi="仿宋" w:eastAsia="仿宋"/>
                <w:color w:val="auto"/>
                <w:w w:val="90"/>
                <w:sz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12</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☆A020910电视设备</w:t>
            </w:r>
          </w:p>
        </w:tc>
        <w:tc>
          <w:tcPr>
            <w:tcW w:w="3262"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13</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☆A020911视频设备</w:t>
            </w:r>
          </w:p>
        </w:tc>
        <w:tc>
          <w:tcPr>
            <w:tcW w:w="3262"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15</w:t>
            </w:r>
          </w:p>
        </w:tc>
        <w:tc>
          <w:tcPr>
            <w:tcW w:w="1199"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☆A060805便器</w:t>
            </w:r>
          </w:p>
        </w:tc>
        <w:tc>
          <w:tcPr>
            <w:tcW w:w="3262" w:type="pct"/>
            <w:vAlign w:val="center"/>
          </w:tcPr>
          <w:p>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坐便器、蹲便器、小便器。</w:t>
            </w: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招标文件第四部分评标办法明确具体的扣除比例，未明确的，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4.1在线询问、质疑、投诉</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4.2供应商询问</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4.3供应商质疑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4.3.1提出质疑的供应商应当是参与所质疑项目采购活动的供应商。潜在供应商已依法获取其可质疑的招标文件的，可以对该文件提出质疑。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4.3.3供应商提出质疑应当提交质疑函和必要的证明材料。质疑函应当包括下列内容：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4.3.3.1供应商的姓名或者名称、地址、邮编、联系人及联系电话；</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4.3.3.2质疑项目的名称、编号；</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4.3.3.3具体、明确的质疑事项和与质疑事项相关的请求；</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4.3.3.4事实依据；</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4.3.3.5必要的法律依据；</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4.3.3.6提出质疑的日期。</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4.3.4对同一采购程序环节的质疑，供应商须在法定质疑期内一次性提出。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4.3.6询问或者质疑事项可能影响采购结果的，采购人应当暂停签订合同，已经签订合同的，应当中止履行合同。</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4.4供应商投诉</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4.4.2供应商投诉的事项不得超出已质疑事项的范围，基于质疑答复内容提出的投诉事项除外。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4.4.4以联合体形式参加政府采购活动的，其投诉应当由组成联合体的所有供应商共同提出。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4.5补偿救济</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4"/>
        <w:rPr>
          <w:color w:val="auto"/>
          <w:highlight w:val="none"/>
        </w:rPr>
      </w:pPr>
      <w:r>
        <w:rPr>
          <w:rFonts w:hint="eastAsia"/>
          <w:color w:val="auto"/>
          <w:highlight w:val="none"/>
        </w:rPr>
        <w:t>6.1已获取招标文件的潜在投标人，若有问题需要澄清，应于投标截止时间前，以书面形式向采购代理机构提出。</w:t>
      </w:r>
    </w:p>
    <w:p>
      <w:pPr>
        <w:pStyle w:val="134"/>
        <w:rPr>
          <w:color w:val="auto"/>
          <w:highlight w:val="none"/>
        </w:rPr>
      </w:pPr>
      <w:r>
        <w:rPr>
          <w:rFonts w:hint="eastAsia"/>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84"/>
        <w:adjustRightInd w:val="0"/>
        <w:spacing w:line="360" w:lineRule="auto"/>
        <w:ind w:firstLine="960" w:firstLineChars="400"/>
        <w:rPr>
          <w:rFonts w:ascii="仿宋" w:hAnsi="仿宋" w:eastAsia="仿宋" w:cs="仿宋"/>
          <w:color w:val="auto"/>
          <w:highlight w:val="none"/>
        </w:rPr>
      </w:pPr>
      <w:r>
        <w:rPr>
          <w:rFonts w:hint="eastAsia" w:ascii="仿宋" w:hAnsi="仿宋" w:eastAsia="仿宋" w:cs="仿宋"/>
          <w:color w:val="auto"/>
          <w:sz w:val="24"/>
          <w:szCs w:val="24"/>
          <w:highlight w:val="none"/>
          <w:lang w:val="en-US"/>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0" w:firstLineChars="3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投标人应对投标文件中材料的真实性、合法性负责。</w:t>
      </w:r>
    </w:p>
    <w:p>
      <w:pPr>
        <w:pStyle w:val="134"/>
        <w:rPr>
          <w:color w:val="auto"/>
          <w:highlight w:val="none"/>
        </w:rPr>
      </w:pPr>
      <w:r>
        <w:rPr>
          <w:rFonts w:hint="eastAsia"/>
          <w:color w:val="auto"/>
          <w:highlight w:val="none"/>
        </w:rPr>
        <w:t>12</w:t>
      </w:r>
      <w:r>
        <w:rPr>
          <w:rFonts w:hint="eastAsia"/>
          <w:color w:val="auto"/>
          <w:kern w:val="0"/>
          <w:highlight w:val="none"/>
          <w:lang w:val="zh-CN"/>
        </w:rPr>
        <w:t>.</w:t>
      </w:r>
      <w:r>
        <w:rPr>
          <w:rFonts w:hint="eastAsia"/>
          <w:color w:val="auto"/>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4"/>
        <w:rPr>
          <w:color w:val="auto"/>
          <w:highlight w:val="none"/>
        </w:rPr>
      </w:pPr>
      <w:r>
        <w:rPr>
          <w:rFonts w:hint="eastAsia"/>
          <w:color w:val="auto"/>
          <w:highlight w:val="none"/>
        </w:rPr>
        <w:t>13.1投标文件按照招标文件第六部分格式要求进行签署、盖章。▲投标人的投标文件未按照招标文件要求签署、盖章的，其投标无效。</w:t>
      </w:r>
    </w:p>
    <w:p>
      <w:pPr>
        <w:pStyle w:val="134"/>
        <w:rPr>
          <w:color w:val="auto"/>
          <w:highlight w:val="none"/>
        </w:rPr>
      </w:pPr>
      <w:r>
        <w:rPr>
          <w:rFonts w:hint="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rPr>
          <w:color w:val="auto"/>
          <w:highlight w:val="none"/>
        </w:rPr>
      </w:pPr>
      <w:r>
        <w:rPr>
          <w:rFonts w:hint="eastAsia"/>
          <w:color w:val="auto"/>
          <w:highlight w:val="none"/>
        </w:rPr>
        <w:t>13.3招标文件对投标文件签署、盖章的要求适用于电子签名。</w:t>
      </w:r>
    </w:p>
    <w:p>
      <w:pPr>
        <w:pStyle w:val="134"/>
        <w:rPr>
          <w:color w:val="auto"/>
          <w:highlight w:val="none"/>
        </w:rPr>
      </w:pPr>
      <w:r>
        <w:rPr>
          <w:rFonts w:hint="eastAsia"/>
          <w:color w:val="auto"/>
          <w:highlight w:val="none"/>
        </w:rPr>
        <w:t>14.投标文件的提交、补充、修改、撤回</w:t>
      </w:r>
    </w:p>
    <w:p>
      <w:pPr>
        <w:pStyle w:val="134"/>
        <w:rPr>
          <w:color w:val="auto"/>
          <w:highlight w:val="none"/>
        </w:rPr>
      </w:pPr>
      <w:r>
        <w:rPr>
          <w:rFonts w:hint="eastAsia"/>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rPr>
          <w:color w:val="auto"/>
          <w:highlight w:val="none"/>
        </w:rPr>
      </w:pPr>
      <w:r>
        <w:rPr>
          <w:rFonts w:hint="eastAsia"/>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rPr>
          <w:color w:val="auto"/>
          <w:highlight w:val="none"/>
        </w:rPr>
      </w:pPr>
      <w:r>
        <w:rPr>
          <w:rFonts w:hint="eastAsia"/>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4"/>
        <w:rPr>
          <w:color w:val="auto"/>
          <w:highlight w:val="none"/>
        </w:rPr>
      </w:pPr>
      <w:r>
        <w:rPr>
          <w:rFonts w:hint="eastAsia"/>
          <w:color w:val="auto"/>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4"/>
        <w:rPr>
          <w:color w:val="auto"/>
          <w:highlight w:val="none"/>
        </w:rPr>
      </w:pPr>
      <w:r>
        <w:rPr>
          <w:rFonts w:hint="eastAsia"/>
          <w:color w:val="auto"/>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4"/>
        <w:rPr>
          <w:color w:val="auto"/>
          <w:highlight w:val="none"/>
        </w:rPr>
      </w:pPr>
      <w:r>
        <w:rPr>
          <w:rFonts w:hint="eastAsia"/>
          <w:color w:val="auto"/>
          <w:highlight w:val="none"/>
        </w:rPr>
        <w:t>17.2投标文件合格投递后，自投标截止日期起，在投标有效期内有效。</w:t>
      </w:r>
    </w:p>
    <w:p>
      <w:pPr>
        <w:pStyle w:val="134"/>
        <w:rPr>
          <w:rFonts w:hint="eastAsia"/>
          <w:color w:val="auto"/>
          <w:highlight w:val="none"/>
        </w:rPr>
      </w:pPr>
      <w:r>
        <w:rPr>
          <w:rFonts w:hint="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rPr>
          <w:color w:val="auto"/>
          <w:highlight w:val="none"/>
        </w:rPr>
      </w:pPr>
      <w:r>
        <w:rPr>
          <w:rFonts w:hint="eastAsia"/>
          <w:color w:val="auto"/>
          <w:highlight w:val="none"/>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邮箱地址：2845551562@qq.com，联系人：方锐，电话：18258914900），未发送视为对开标过程及结果无异议。</w:t>
      </w:r>
    </w:p>
    <w:p>
      <w:pPr>
        <w:pStyle w:val="556"/>
        <w:spacing w:before="0" w:line="360" w:lineRule="auto"/>
        <w:ind w:left="0"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pPr>
        <w:pStyle w:val="134"/>
        <w:rPr>
          <w:color w:val="auto"/>
          <w:highlight w:val="none"/>
        </w:rPr>
      </w:pPr>
      <w:r>
        <w:rPr>
          <w:rFonts w:hint="eastAsia"/>
          <w:color w:val="auto"/>
          <w:kern w:val="0"/>
          <w:highlight w:val="none"/>
        </w:rPr>
        <w:t>19.2投标人未按照招标文件要求提供与</w:t>
      </w:r>
      <w:r>
        <w:rPr>
          <w:rFonts w:hint="eastAsia"/>
          <w:color w:val="auto"/>
          <w:highlight w:val="none"/>
        </w:rPr>
        <w:t>资格条件相应的</w:t>
      </w:r>
      <w:r>
        <w:rPr>
          <w:rFonts w:hint="eastAsia"/>
          <w:color w:val="auto"/>
          <w:kern w:val="0"/>
          <w:highlight w:val="none"/>
        </w:rPr>
        <w:t>有效资格证明材料的，视为</w:t>
      </w:r>
      <w:r>
        <w:rPr>
          <w:rFonts w:hint="eastAsia"/>
          <w:color w:val="auto"/>
          <w:highlight w:val="none"/>
        </w:rPr>
        <w:t>投标人不具备招标文件中规定的资格要求，其投标无效。</w:t>
      </w:r>
    </w:p>
    <w:p>
      <w:pPr>
        <w:pStyle w:val="134"/>
        <w:rPr>
          <w:color w:val="auto"/>
          <w:highlight w:val="none"/>
        </w:rPr>
      </w:pPr>
      <w:r>
        <w:rPr>
          <w:rFonts w:hint="eastAsia"/>
          <w:color w:val="auto"/>
          <w:kern w:val="0"/>
          <w:highlight w:val="none"/>
        </w:rPr>
        <w:t>19.</w:t>
      </w:r>
      <w:r>
        <w:rPr>
          <w:rFonts w:hint="eastAsia"/>
          <w:color w:val="auto"/>
          <w:highlight w:val="none"/>
        </w:rPr>
        <w:t>3对未通过资格审查的投标人，采购人或采购代理机构告知其未通过的原因。</w:t>
      </w:r>
    </w:p>
    <w:p>
      <w:pPr>
        <w:pStyle w:val="134"/>
        <w:rPr>
          <w:color w:val="auto"/>
          <w:highlight w:val="none"/>
        </w:rPr>
      </w:pPr>
      <w:r>
        <w:rPr>
          <w:rFonts w:hint="eastAsia"/>
          <w:color w:val="auto"/>
          <w:kern w:val="0"/>
          <w:highlight w:val="none"/>
        </w:rPr>
        <w:t>19.</w:t>
      </w:r>
      <w:r>
        <w:rPr>
          <w:rFonts w:hint="eastAsia"/>
          <w:color w:val="auto"/>
          <w:highlight w:val="none"/>
        </w:rPr>
        <w:t>4合格投标人不足3家的，不再评标。</w:t>
      </w:r>
    </w:p>
    <w:p>
      <w:pPr>
        <w:pStyle w:val="134"/>
        <w:rPr>
          <w:color w:val="auto"/>
          <w:highlight w:val="none"/>
        </w:rPr>
      </w:pPr>
      <w:r>
        <w:rPr>
          <w:rFonts w:hint="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4"/>
        <w:rPr>
          <w:color w:val="auto"/>
          <w:highlight w:val="none"/>
        </w:rPr>
      </w:pPr>
      <w:r>
        <w:rPr>
          <w:rFonts w:hint="eastAsia"/>
          <w:color w:val="auto"/>
          <w:highlight w:val="none"/>
        </w:rPr>
        <w:t>20、信用信息查询</w:t>
      </w:r>
    </w:p>
    <w:p>
      <w:pPr>
        <w:pStyle w:val="134"/>
        <w:rPr>
          <w:color w:val="auto"/>
          <w:highlight w:val="none"/>
        </w:rPr>
      </w:pPr>
      <w:r>
        <w:rPr>
          <w:rFonts w:hint="eastAsia"/>
          <w:color w:val="auto"/>
          <w:highlight w:val="none"/>
        </w:rPr>
        <w:t>20.1信用信息查询渠道及截止时间：采购代理机构将在资格审查时通过“信用中国”网站(www.creditchina.gov.cn)、中国政府采购网(www.ccgp.gov.cn)渠道查询投标人接受资格审查时的信用记录。</w:t>
      </w:r>
    </w:p>
    <w:p>
      <w:pPr>
        <w:pStyle w:val="134"/>
        <w:rPr>
          <w:color w:val="auto"/>
          <w:highlight w:val="none"/>
        </w:rPr>
      </w:pPr>
      <w:r>
        <w:rPr>
          <w:rFonts w:hint="eastAsia"/>
          <w:color w:val="auto"/>
          <w:highlight w:val="none"/>
        </w:rPr>
        <w:t>20.2信用信息查询记录和证据留存的具体方式：现场查询的投标人的信用记录、查询结果经确认后将与采购文件一起存档。</w:t>
      </w:r>
    </w:p>
    <w:p>
      <w:pPr>
        <w:pStyle w:val="134"/>
        <w:rPr>
          <w:color w:val="auto"/>
          <w:highlight w:val="none"/>
        </w:rPr>
      </w:pPr>
      <w:r>
        <w:rPr>
          <w:rFonts w:hint="eastAsia"/>
          <w:color w:val="auto"/>
          <w:highlight w:val="none"/>
        </w:rPr>
        <w:t>20.3信用信息的使用规则：经查询列入失信被执行人名单、重大税收违法案件当事人名单、政府采购严重违法失信行为记录名单的投标人将被拒绝参与政府采购活动。</w:t>
      </w:r>
    </w:p>
    <w:p>
      <w:pPr>
        <w:pStyle w:val="134"/>
        <w:rPr>
          <w:rFonts w:hint="eastAsia"/>
          <w:color w:val="auto"/>
          <w:szCs w:val="20"/>
          <w:highlight w:val="none"/>
        </w:rPr>
      </w:pPr>
      <w:r>
        <w:rPr>
          <w:rFonts w:hint="eastAsia"/>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4"/>
        <w:rPr>
          <w:color w:val="auto"/>
          <w:highlight w:val="none"/>
        </w:rPr>
      </w:pPr>
      <w:r>
        <w:rPr>
          <w:rFonts w:hint="eastAsia"/>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4"/>
        <w:rPr>
          <w:color w:val="auto"/>
          <w:highlight w:val="none"/>
        </w:rPr>
      </w:pPr>
      <w:r>
        <w:rPr>
          <w:rFonts w:hint="eastAsia"/>
          <w:color w:val="auto"/>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pStyle w:val="134"/>
        <w:rPr>
          <w:color w:val="auto"/>
          <w:sz w:val="21"/>
          <w:szCs w:val="21"/>
          <w:highlight w:val="none"/>
        </w:rPr>
      </w:pPr>
      <w:r>
        <w:rPr>
          <w:rFonts w:hint="eastAsia"/>
          <w:color w:val="auto"/>
          <w:highlight w:val="none"/>
        </w:rPr>
        <w:t>23.4由于中标、成交供应商原因导致重新采购的，应当承担支付代理费和专家评审费等费用在内的赔偿责任。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rPr>
          <w:color w:val="auto"/>
          <w:highlight w:val="none"/>
        </w:rPr>
      </w:pPr>
      <w:r>
        <w:rPr>
          <w:rFonts w:hint="eastAsia"/>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rPr>
          <w:color w:val="auto"/>
          <w:highlight w:val="none"/>
        </w:rPr>
      </w:pPr>
      <w:r>
        <w:rPr>
          <w:rFonts w:hint="eastAsia"/>
          <w:color w:val="auto"/>
          <w:highlight w:val="none"/>
        </w:rPr>
        <w:t>25.3如签订合同并生效后，供应商无故拒绝或延期，除按照合同条款处理外，列入不良行为记录一次，并给予通报。</w:t>
      </w:r>
    </w:p>
    <w:p>
      <w:pPr>
        <w:pStyle w:val="134"/>
        <w:rPr>
          <w:color w:val="auto"/>
          <w:highlight w:val="none"/>
        </w:rPr>
      </w:pPr>
      <w:r>
        <w:rPr>
          <w:rFonts w:hint="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rPr>
          <w:color w:val="auto"/>
          <w:highlight w:val="none"/>
        </w:rPr>
      </w:pPr>
      <w:r>
        <w:rPr>
          <w:rFonts w:hint="eastAsia"/>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4"/>
        <w:rPr>
          <w:color w:val="auto"/>
          <w:highlight w:val="none"/>
        </w:rPr>
      </w:pPr>
      <w:r>
        <w:rPr>
          <w:rFonts w:hint="eastAsia"/>
          <w:bCs/>
          <w:color w:val="auto"/>
          <w:szCs w:val="20"/>
          <w:highlight w:val="none"/>
        </w:rPr>
        <w:t>2</w:t>
      </w:r>
      <w:r>
        <w:rPr>
          <w:rFonts w:hint="eastAsia"/>
          <w:bCs/>
          <w:color w:val="auto"/>
          <w:highlight w:val="none"/>
        </w:rPr>
        <w:t>8</w:t>
      </w:r>
      <w:r>
        <w:rPr>
          <w:rFonts w:hint="eastAsia"/>
          <w:color w:val="auto"/>
          <w:highlight w:val="none"/>
        </w:rPr>
        <w:t>.电子交易活动的中止。采购过程中出现以下情形，导致电子交易平台无法正常运行，或者无法保证电子交易的公平、公正和安全时，采购代理机构可中止电子交易活动：</w:t>
      </w:r>
    </w:p>
    <w:p>
      <w:pPr>
        <w:pStyle w:val="134"/>
        <w:rPr>
          <w:color w:val="auto"/>
          <w:highlight w:val="none"/>
        </w:rPr>
      </w:pPr>
      <w:r>
        <w:rPr>
          <w:rFonts w:hint="eastAsia"/>
          <w:color w:val="auto"/>
          <w:highlight w:val="none"/>
        </w:rPr>
        <w:t>28.1电子交易平台发生故障而无法登录访问的；</w:t>
      </w:r>
    </w:p>
    <w:p>
      <w:pPr>
        <w:pStyle w:val="134"/>
        <w:rPr>
          <w:color w:val="auto"/>
          <w:highlight w:val="none"/>
        </w:rPr>
      </w:pPr>
      <w:r>
        <w:rPr>
          <w:rFonts w:hint="eastAsia"/>
          <w:color w:val="auto"/>
          <w:highlight w:val="none"/>
        </w:rPr>
        <w:t>28.2电子交易平台应用或数据库出现错误，不能进行正常操作的；</w:t>
      </w:r>
    </w:p>
    <w:p>
      <w:pPr>
        <w:pStyle w:val="134"/>
        <w:rPr>
          <w:color w:val="auto"/>
          <w:highlight w:val="none"/>
        </w:rPr>
      </w:pPr>
      <w:r>
        <w:rPr>
          <w:rFonts w:hint="eastAsia"/>
          <w:color w:val="auto"/>
          <w:highlight w:val="none"/>
        </w:rPr>
        <w:t>28.3电子交易平台发现严重安全漏洞，有潜在泄密危险的；</w:t>
      </w:r>
    </w:p>
    <w:p>
      <w:pPr>
        <w:pStyle w:val="134"/>
        <w:rPr>
          <w:color w:val="auto"/>
          <w:highlight w:val="none"/>
        </w:rPr>
      </w:pPr>
      <w:r>
        <w:rPr>
          <w:rFonts w:hint="eastAsia"/>
          <w:color w:val="auto"/>
          <w:highlight w:val="none"/>
        </w:rPr>
        <w:t>28.4病毒发作导致不能进行正常操作的；</w:t>
      </w:r>
    </w:p>
    <w:p>
      <w:pPr>
        <w:pStyle w:val="134"/>
        <w:rPr>
          <w:color w:val="auto"/>
          <w:highlight w:val="none"/>
        </w:rPr>
      </w:pPr>
      <w:r>
        <w:rPr>
          <w:rFonts w:hint="eastAsia"/>
          <w:color w:val="auto"/>
          <w:highlight w:val="none"/>
        </w:rPr>
        <w:t>28.5其他无法保证电子交易的公平、公正和安全的情况。</w:t>
      </w:r>
    </w:p>
    <w:p>
      <w:pPr>
        <w:pStyle w:val="134"/>
        <w:rPr>
          <w:rFonts w:hint="eastAsia"/>
          <w:color w:val="auto"/>
          <w:highlight w:val="none"/>
        </w:rPr>
      </w:pPr>
      <w:r>
        <w:rPr>
          <w:rFonts w:hint="eastAsia"/>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68073093"/>
      <w:bookmarkEnd w:id="14"/>
      <w:bookmarkStart w:id="15" w:name="_Hlt68072990"/>
      <w:bookmarkEnd w:id="15"/>
      <w:bookmarkStart w:id="16" w:name="_Hlt74730295"/>
      <w:bookmarkEnd w:id="16"/>
      <w:bookmarkStart w:id="17" w:name="_Hlt75236101"/>
      <w:bookmarkEnd w:id="17"/>
      <w:bookmarkStart w:id="18" w:name="_Hlt75236290"/>
      <w:bookmarkEnd w:id="18"/>
      <w:bookmarkStart w:id="19" w:name="_Hlt74707468"/>
      <w:bookmarkEnd w:id="19"/>
      <w:bookmarkStart w:id="20" w:name="_Hlt68403820"/>
      <w:bookmarkEnd w:id="20"/>
      <w:bookmarkStart w:id="21" w:name="_Hlt75236011"/>
      <w:bookmarkEnd w:id="21"/>
      <w:bookmarkStart w:id="22" w:name="_Hlt68057669"/>
      <w:bookmarkEnd w:id="22"/>
      <w:bookmarkStart w:id="23" w:name="_Hlt74714665"/>
      <w:bookmarkEnd w:id="23"/>
      <w:bookmarkStart w:id="24" w:name="_Hlt68072998"/>
      <w:bookmarkEnd w:id="24"/>
      <w:bookmarkStart w:id="25" w:name="_Hlt74729768"/>
      <w:bookmarkEnd w:id="25"/>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4"/>
        <w:rPr>
          <w:rFonts w:ascii="仿宋" w:hAnsi="仿宋" w:eastAsia="仿宋" w:cs="仿宋"/>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181"/>
          <w:kern w:val="0"/>
          <w:sz w:val="36"/>
          <w:szCs w:val="36"/>
          <w:highlight w:val="none"/>
          <w:fitText w:val="1083" w:id="-993875712"/>
        </w:rPr>
        <w:t>分</w:t>
      </w:r>
      <w:r>
        <w:rPr>
          <w:rFonts w:hint="eastAsia" w:ascii="仿宋" w:hAnsi="仿宋" w:eastAsia="仿宋" w:cs="仿宋"/>
          <w:b/>
          <w:color w:val="auto"/>
          <w:spacing w:val="0"/>
          <w:kern w:val="0"/>
          <w:sz w:val="36"/>
          <w:szCs w:val="36"/>
          <w:highlight w:val="none"/>
          <w:fitText w:val="1083" w:id="-993875712"/>
        </w:rPr>
        <w:t>采</w:t>
      </w:r>
      <w:r>
        <w:rPr>
          <w:rFonts w:hint="eastAsia" w:ascii="仿宋" w:hAnsi="仿宋" w:eastAsia="仿宋" w:cs="仿宋"/>
          <w:b/>
          <w:color w:val="auto"/>
          <w:sz w:val="36"/>
          <w:szCs w:val="36"/>
          <w:highlight w:val="none"/>
        </w:rPr>
        <w:t>购需求</w:t>
      </w:r>
    </w:p>
    <w:p>
      <w:pPr>
        <w:adjustRightInd/>
        <w:spacing w:line="360" w:lineRule="auto"/>
        <w:rPr>
          <w:rFonts w:ascii="仿宋" w:hAnsi="仿宋" w:eastAsia="仿宋"/>
          <w:b/>
          <w:bCs/>
          <w:color w:val="auto"/>
          <w:sz w:val="24"/>
          <w:szCs w:val="32"/>
          <w:highlight w:val="none"/>
        </w:rPr>
      </w:pPr>
      <w:bookmarkStart w:id="26" w:name="_Toc138673012"/>
      <w:r>
        <w:rPr>
          <w:rFonts w:hint="eastAsia" w:ascii="仿宋" w:hAnsi="仿宋" w:eastAsia="仿宋"/>
          <w:b/>
          <w:bCs/>
          <w:color w:val="auto"/>
          <w:sz w:val="24"/>
          <w:szCs w:val="32"/>
          <w:highlight w:val="none"/>
        </w:rPr>
        <w:t>一、项目概述</w:t>
      </w:r>
      <w:bookmarkEnd w:id="26"/>
    </w:p>
    <w:p>
      <w:pPr>
        <w:adjustRightInd/>
        <w:spacing w:line="360" w:lineRule="auto"/>
        <w:ind w:firstLine="482" w:firstLineChars="200"/>
        <w:rPr>
          <w:rFonts w:ascii="仿宋" w:hAnsi="仿宋" w:eastAsia="仿宋"/>
          <w:b/>
          <w:bCs/>
          <w:color w:val="auto"/>
          <w:sz w:val="24"/>
          <w:szCs w:val="32"/>
          <w:highlight w:val="none"/>
        </w:rPr>
      </w:pPr>
      <w:r>
        <w:rPr>
          <w:rFonts w:hint="eastAsia" w:ascii="仿宋" w:hAnsi="仿宋" w:eastAsia="仿宋"/>
          <w:b/>
          <w:bCs/>
          <w:color w:val="auto"/>
          <w:sz w:val="24"/>
          <w:szCs w:val="32"/>
          <w:highlight w:val="none"/>
        </w:rPr>
        <w:t>（1）项目现状</w:t>
      </w:r>
    </w:p>
    <w:p>
      <w:pPr>
        <w:adjustRightInd/>
        <w:spacing w:line="360" w:lineRule="auto"/>
        <w:ind w:firstLine="480" w:firstLineChars="200"/>
        <w:rPr>
          <w:rFonts w:ascii="仿宋" w:hAnsi="仿宋" w:eastAsia="仿宋"/>
          <w:color w:val="auto"/>
          <w:sz w:val="24"/>
          <w:szCs w:val="32"/>
          <w:highlight w:val="none"/>
        </w:rPr>
      </w:pPr>
      <w:r>
        <w:rPr>
          <w:rFonts w:hint="eastAsia" w:ascii="仿宋" w:hAnsi="仿宋" w:eastAsia="仿宋"/>
          <w:color w:val="auto"/>
          <w:sz w:val="24"/>
          <w:szCs w:val="32"/>
          <w:highlight w:val="none"/>
        </w:rPr>
        <w:t>上城区</w:t>
      </w:r>
      <w:r>
        <w:rPr>
          <w:rFonts w:hint="eastAsia" w:ascii="仿宋" w:hAnsi="仿宋" w:eastAsia="仿宋"/>
          <w:color w:val="auto"/>
          <w:sz w:val="24"/>
          <w:szCs w:val="32"/>
          <w:highlight w:val="none"/>
          <w:lang w:val="en-US" w:eastAsia="zh-CN"/>
        </w:rPr>
        <w:t>人民检察院</w:t>
      </w:r>
      <w:r>
        <w:rPr>
          <w:rFonts w:hint="eastAsia" w:ascii="仿宋" w:hAnsi="仿宋" w:eastAsia="仿宋"/>
          <w:color w:val="auto"/>
          <w:sz w:val="24"/>
          <w:szCs w:val="32"/>
          <w:highlight w:val="none"/>
        </w:rPr>
        <w:t>即将搬迁到新大楼，新址总建筑面积约为</w:t>
      </w:r>
      <w:r>
        <w:rPr>
          <w:rFonts w:hint="eastAsia" w:ascii="仿宋" w:hAnsi="仿宋" w:eastAsia="仿宋"/>
          <w:color w:val="auto"/>
          <w:sz w:val="24"/>
          <w:szCs w:val="32"/>
          <w:highlight w:val="none"/>
          <w:lang w:val="en-US" w:eastAsia="zh-CN"/>
        </w:rPr>
        <w:t>16700</w:t>
      </w:r>
      <w:r>
        <w:rPr>
          <w:rFonts w:hint="eastAsia" w:ascii="仿宋" w:hAnsi="仿宋" w:eastAsia="仿宋"/>
          <w:color w:val="auto"/>
          <w:sz w:val="24"/>
          <w:szCs w:val="32"/>
          <w:highlight w:val="none"/>
        </w:rPr>
        <w:t>平方米，因新大楼需要配置完善的信息化配套建设，满足日常工作人员的办事</w:t>
      </w:r>
      <w:r>
        <w:rPr>
          <w:rFonts w:hint="eastAsia" w:ascii="仿宋" w:hAnsi="仿宋" w:eastAsia="仿宋"/>
          <w:color w:val="auto"/>
          <w:sz w:val="24"/>
          <w:szCs w:val="32"/>
          <w:highlight w:val="none"/>
          <w:lang w:val="en-US" w:eastAsia="zh-CN"/>
        </w:rPr>
        <w:t>需求</w:t>
      </w:r>
      <w:r>
        <w:rPr>
          <w:rFonts w:hint="eastAsia" w:ascii="仿宋" w:hAnsi="仿宋" w:eastAsia="仿宋"/>
          <w:color w:val="auto"/>
          <w:sz w:val="24"/>
          <w:szCs w:val="32"/>
          <w:highlight w:val="none"/>
        </w:rPr>
        <w:t>。本项目</w:t>
      </w:r>
      <w:r>
        <w:rPr>
          <w:rFonts w:hint="eastAsia" w:ascii="仿宋" w:hAnsi="仿宋" w:eastAsia="仿宋"/>
          <w:color w:val="auto"/>
          <w:sz w:val="24"/>
          <w:szCs w:val="32"/>
          <w:highlight w:val="none"/>
          <w:lang w:val="en-US" w:eastAsia="zh-CN"/>
        </w:rPr>
        <w:t>主要包含</w:t>
      </w:r>
      <w:r>
        <w:rPr>
          <w:rFonts w:hint="eastAsia" w:ascii="仿宋" w:hAnsi="仿宋" w:eastAsia="仿宋"/>
          <w:color w:val="auto"/>
          <w:sz w:val="24"/>
          <w:szCs w:val="32"/>
          <w:highlight w:val="none"/>
        </w:rPr>
        <w:t>办案工作区、数字化档案室、检委会会议室</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党组会议室</w:t>
      </w:r>
      <w:r>
        <w:rPr>
          <w:rFonts w:hint="eastAsia" w:ascii="仿宋" w:hAnsi="仿宋" w:eastAsia="仿宋"/>
          <w:color w:val="auto"/>
          <w:sz w:val="24"/>
          <w:szCs w:val="32"/>
          <w:highlight w:val="none"/>
          <w:lang w:eastAsia="zh-CN"/>
        </w:rPr>
        <w:t>、综合指挥中心、阶梯会议室、网络系统、监控、门禁、闸机、考勤系统、停车监管监控、消控室、未检展示区、听证室、检察大厅背景大屏布线、案管大厅、办案区搬迁、广播系统、餐厅系统、物联感知系统、报警及巡更系统、上城检察工作网网站信创改造、周界报警系统、网络信息点位、主机房改造(不含涉密机房，不含机房区域承重评估、承重加固)、主机房装修硬装、机房搬迁、公益诉讼快速检测实验室设施设备添置及拆卸搬运安装弱电相关设备及家具拆卸搬运安装、电子实验室设施设备添置和拆卸搬运安装</w:t>
      </w:r>
      <w:r>
        <w:rPr>
          <w:rFonts w:hint="eastAsia" w:ascii="仿宋" w:hAnsi="仿宋" w:eastAsia="仿宋"/>
          <w:color w:val="auto"/>
          <w:sz w:val="24"/>
          <w:szCs w:val="32"/>
          <w:highlight w:val="none"/>
        </w:rPr>
        <w:t>等功能。根据以上建设要求，将采购一批信息化及硬件设备，实现功能区域能兼顾多种使用需求。</w:t>
      </w:r>
    </w:p>
    <w:p>
      <w:pPr>
        <w:adjustRightInd/>
        <w:spacing w:line="360" w:lineRule="auto"/>
        <w:ind w:firstLine="482" w:firstLineChars="200"/>
        <w:rPr>
          <w:rFonts w:ascii="仿宋" w:hAnsi="仿宋" w:eastAsia="仿宋"/>
          <w:b/>
          <w:bCs/>
          <w:color w:val="auto"/>
          <w:sz w:val="24"/>
          <w:szCs w:val="32"/>
          <w:highlight w:val="none"/>
        </w:rPr>
      </w:pPr>
      <w:r>
        <w:rPr>
          <w:rFonts w:hint="eastAsia" w:ascii="仿宋" w:hAnsi="仿宋" w:eastAsia="仿宋"/>
          <w:b/>
          <w:bCs/>
          <w:color w:val="auto"/>
          <w:sz w:val="24"/>
          <w:szCs w:val="32"/>
          <w:highlight w:val="none"/>
        </w:rPr>
        <w:t>（2）项目背景及建设要求</w:t>
      </w:r>
    </w:p>
    <w:p>
      <w:pPr>
        <w:adjustRightInd/>
        <w:spacing w:line="360" w:lineRule="auto"/>
        <w:ind w:firstLine="480" w:firstLineChars="200"/>
        <w:rPr>
          <w:rFonts w:ascii="仿宋" w:hAnsi="仿宋" w:eastAsia="仿宋"/>
          <w:color w:val="auto"/>
          <w:sz w:val="24"/>
          <w:szCs w:val="32"/>
          <w:highlight w:val="none"/>
        </w:rPr>
      </w:pPr>
      <w:r>
        <w:rPr>
          <w:rFonts w:hint="eastAsia" w:ascii="仿宋" w:hAnsi="仿宋" w:eastAsia="仿宋"/>
          <w:color w:val="auto"/>
          <w:sz w:val="24"/>
          <w:szCs w:val="32"/>
          <w:highlight w:val="none"/>
        </w:rPr>
        <w:t>本项目根据智慧检察院推进要求，完善检察院指挥体系建设。主要内容包括办案工作区、未检展示区、会议室、综合指挥中心、听证室、检委会系统和数字化档案系统建设，同时建设机房、弱电网络、监控系统等，为办公办案、出庭公</w:t>
      </w:r>
      <w:r>
        <w:rPr>
          <w:rFonts w:hint="eastAsia" w:ascii="仿宋" w:hAnsi="仿宋" w:eastAsia="仿宋"/>
          <w:color w:val="auto"/>
          <w:sz w:val="24"/>
          <w:szCs w:val="32"/>
          <w:highlight w:val="none"/>
          <w:lang w:val="en-US" w:eastAsia="zh-CN"/>
        </w:rPr>
        <w:t>诉</w:t>
      </w:r>
      <w:r>
        <w:rPr>
          <w:rFonts w:hint="eastAsia" w:ascii="仿宋" w:hAnsi="仿宋" w:eastAsia="仿宋"/>
          <w:color w:val="auto"/>
          <w:sz w:val="24"/>
          <w:szCs w:val="32"/>
          <w:highlight w:val="none"/>
        </w:rPr>
        <w:t>等提供更好的便利条件。</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rPr>
        <w:t>各供应商</w:t>
      </w:r>
      <w:r>
        <w:rPr>
          <w:rFonts w:ascii="仿宋" w:hAnsi="仿宋" w:eastAsia="仿宋"/>
          <w:color w:val="auto"/>
          <w:sz w:val="24"/>
          <w:szCs w:val="32"/>
          <w:highlight w:val="none"/>
        </w:rPr>
        <w:t>应根据</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招标文件</w:t>
      </w:r>
      <w:r>
        <w:rPr>
          <w:rFonts w:ascii="仿宋" w:hAnsi="仿宋" w:eastAsia="仿宋"/>
          <w:color w:val="auto"/>
          <w:sz w:val="24"/>
          <w:szCs w:val="32"/>
          <w:highlight w:val="none"/>
        </w:rPr>
        <w:t>》所提出的技术</w:t>
      </w:r>
      <w:r>
        <w:rPr>
          <w:rFonts w:hint="eastAsia" w:ascii="仿宋" w:hAnsi="仿宋" w:eastAsia="仿宋"/>
          <w:color w:val="auto"/>
          <w:sz w:val="24"/>
          <w:szCs w:val="32"/>
          <w:highlight w:val="none"/>
        </w:rPr>
        <w:t>、</w:t>
      </w:r>
      <w:r>
        <w:rPr>
          <w:rFonts w:ascii="仿宋" w:hAnsi="仿宋" w:eastAsia="仿宋"/>
          <w:color w:val="auto"/>
          <w:sz w:val="24"/>
          <w:szCs w:val="32"/>
          <w:highlight w:val="none"/>
        </w:rPr>
        <w:t>服务</w:t>
      </w:r>
      <w:r>
        <w:rPr>
          <w:rFonts w:hint="eastAsia" w:ascii="仿宋" w:hAnsi="仿宋" w:eastAsia="仿宋"/>
          <w:color w:val="auto"/>
          <w:sz w:val="24"/>
          <w:szCs w:val="32"/>
          <w:highlight w:val="none"/>
        </w:rPr>
        <w:t>和商务等相关</w:t>
      </w:r>
      <w:r>
        <w:rPr>
          <w:rFonts w:ascii="仿宋" w:hAnsi="仿宋" w:eastAsia="仿宋"/>
          <w:color w:val="auto"/>
          <w:sz w:val="24"/>
          <w:szCs w:val="32"/>
          <w:highlight w:val="none"/>
        </w:rPr>
        <w:t>要求，综合考虑</w:t>
      </w:r>
      <w:r>
        <w:rPr>
          <w:rFonts w:hint="eastAsia" w:ascii="仿宋" w:hAnsi="仿宋" w:eastAsia="仿宋"/>
          <w:color w:val="auto"/>
          <w:sz w:val="24"/>
          <w:szCs w:val="32"/>
          <w:highlight w:val="none"/>
        </w:rPr>
        <w:t>产品</w:t>
      </w:r>
      <w:r>
        <w:rPr>
          <w:rFonts w:ascii="仿宋" w:hAnsi="仿宋" w:eastAsia="仿宋"/>
          <w:color w:val="auto"/>
          <w:sz w:val="24"/>
          <w:szCs w:val="32"/>
          <w:highlight w:val="none"/>
        </w:rPr>
        <w:t>的适应性，选择具有最佳性能价格比的</w:t>
      </w:r>
      <w:r>
        <w:rPr>
          <w:rFonts w:hint="eastAsia" w:ascii="仿宋" w:hAnsi="仿宋" w:eastAsia="仿宋"/>
          <w:color w:val="auto"/>
          <w:sz w:val="24"/>
          <w:szCs w:val="32"/>
          <w:highlight w:val="none"/>
        </w:rPr>
        <w:t>产品</w:t>
      </w:r>
      <w:r>
        <w:rPr>
          <w:rFonts w:ascii="仿宋" w:hAnsi="仿宋" w:eastAsia="仿宋"/>
          <w:color w:val="auto"/>
          <w:sz w:val="24"/>
          <w:szCs w:val="32"/>
          <w:highlight w:val="none"/>
        </w:rPr>
        <w:t>前来投标</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lang w:val="en-US" w:eastAsia="zh-CN"/>
        </w:rPr>
        <w:t>并</w:t>
      </w:r>
      <w:r>
        <w:rPr>
          <w:rFonts w:ascii="仿宋" w:hAnsi="仿宋" w:eastAsia="仿宋"/>
          <w:color w:val="auto"/>
          <w:sz w:val="24"/>
          <w:szCs w:val="32"/>
          <w:highlight w:val="none"/>
        </w:rPr>
        <w:t>以精良的</w:t>
      </w:r>
      <w:r>
        <w:rPr>
          <w:rFonts w:hint="eastAsia" w:ascii="仿宋" w:hAnsi="仿宋" w:eastAsia="仿宋"/>
          <w:color w:val="auto"/>
          <w:sz w:val="24"/>
          <w:szCs w:val="32"/>
          <w:highlight w:val="none"/>
        </w:rPr>
        <w:t>产品</w:t>
      </w:r>
      <w:r>
        <w:rPr>
          <w:rFonts w:ascii="仿宋" w:hAnsi="仿宋" w:eastAsia="仿宋"/>
          <w:color w:val="auto"/>
          <w:sz w:val="24"/>
          <w:szCs w:val="32"/>
          <w:highlight w:val="none"/>
        </w:rPr>
        <w:t>、优良的服务和优惠的价格，充分显示</w:t>
      </w:r>
      <w:r>
        <w:rPr>
          <w:rFonts w:hint="eastAsia" w:ascii="仿宋" w:hAnsi="仿宋" w:eastAsia="仿宋"/>
          <w:color w:val="auto"/>
          <w:sz w:val="24"/>
          <w:szCs w:val="32"/>
          <w:highlight w:val="none"/>
          <w:lang w:val="en-US" w:eastAsia="zh-CN"/>
        </w:rPr>
        <w:t>各自</w:t>
      </w:r>
      <w:r>
        <w:rPr>
          <w:rFonts w:ascii="仿宋" w:hAnsi="仿宋" w:eastAsia="仿宋"/>
          <w:color w:val="auto"/>
          <w:sz w:val="24"/>
          <w:szCs w:val="32"/>
          <w:highlight w:val="none"/>
        </w:rPr>
        <w:t>的竞争实力</w:t>
      </w:r>
      <w:r>
        <w:rPr>
          <w:rFonts w:hint="eastAsia" w:ascii="仿宋" w:hAnsi="仿宋" w:eastAsia="仿宋"/>
          <w:color w:val="auto"/>
          <w:sz w:val="24"/>
          <w:szCs w:val="32"/>
          <w:highlight w:val="none"/>
        </w:rPr>
        <w:t>。</w:t>
      </w:r>
    </w:p>
    <w:p>
      <w:pPr>
        <w:adjustRightInd/>
        <w:spacing w:line="360" w:lineRule="auto"/>
        <w:ind w:firstLine="482" w:firstLineChars="200"/>
        <w:rPr>
          <w:rFonts w:hint="default" w:ascii="仿宋" w:hAnsi="仿宋" w:eastAsia="仿宋"/>
          <w:b/>
          <w:bCs/>
          <w:color w:val="auto"/>
          <w:sz w:val="24"/>
          <w:szCs w:val="32"/>
          <w:highlight w:val="none"/>
          <w:lang w:val="en-US" w:eastAsia="zh-CN"/>
        </w:rPr>
      </w:pPr>
      <w:r>
        <w:rPr>
          <w:rFonts w:hint="eastAsia" w:ascii="仿宋" w:hAnsi="仿宋" w:eastAsia="仿宋"/>
          <w:b/>
          <w:bCs/>
          <w:color w:val="auto"/>
          <w:sz w:val="24"/>
          <w:szCs w:val="32"/>
          <w:highlight w:val="none"/>
        </w:rPr>
        <w:t>（</w:t>
      </w:r>
      <w:r>
        <w:rPr>
          <w:rFonts w:hint="eastAsia" w:ascii="仿宋" w:hAnsi="仿宋" w:eastAsia="仿宋"/>
          <w:b/>
          <w:bCs/>
          <w:color w:val="auto"/>
          <w:sz w:val="24"/>
          <w:szCs w:val="32"/>
          <w:highlight w:val="none"/>
          <w:lang w:val="en-US" w:eastAsia="zh-CN"/>
        </w:rPr>
        <w:t>3</w:t>
      </w:r>
      <w:r>
        <w:rPr>
          <w:rFonts w:hint="eastAsia" w:ascii="仿宋" w:hAnsi="仿宋" w:eastAsia="仿宋"/>
          <w:b/>
          <w:bCs/>
          <w:color w:val="auto"/>
          <w:sz w:val="24"/>
          <w:szCs w:val="32"/>
          <w:highlight w:val="none"/>
        </w:rPr>
        <w:t>）</w:t>
      </w:r>
      <w:r>
        <w:rPr>
          <w:rFonts w:hint="eastAsia" w:ascii="仿宋" w:hAnsi="仿宋" w:eastAsia="仿宋"/>
          <w:b/>
          <w:bCs/>
          <w:color w:val="auto"/>
          <w:sz w:val="24"/>
          <w:szCs w:val="32"/>
          <w:highlight w:val="none"/>
          <w:lang w:val="en-US" w:eastAsia="zh-CN"/>
        </w:rPr>
        <w:t>建设规范依据</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rPr>
        <w:t>1</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《关于加强新时代检察机关法律监督工作的意见》 </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rPr>
        <w:t>2</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《“十四五”时期检察工作发展规划》 </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3.</w:t>
      </w:r>
      <w:r>
        <w:rPr>
          <w:rFonts w:hint="eastAsia" w:ascii="仿宋" w:hAnsi="仿宋" w:eastAsia="仿宋"/>
          <w:color w:val="auto"/>
          <w:sz w:val="24"/>
          <w:szCs w:val="32"/>
          <w:highlight w:val="none"/>
        </w:rPr>
        <w:t>《人民检察院办案用房和专业技术用房建设标准》</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4</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《中华人民共和国网络安全法》 </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5</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《人民检察院询问职务犯罪证人实行全程同步录音录像系统建设规范》 </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6</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《人民检察院询问职务犯罪证人实行全程同步录音录像的规定（试行）》 </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7</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rPr>
        <w:t xml:space="preserve">《人民检察院询问职务犯罪证人实行全程同步录音录像的技术工作流程（试行）》 </w:t>
      </w:r>
    </w:p>
    <w:p>
      <w:pPr>
        <w:adjustRightInd/>
        <w:spacing w:line="360" w:lineRule="auto"/>
        <w:ind w:firstLine="480" w:firstLineChars="200"/>
        <w:rPr>
          <w:rFonts w:hint="eastAsia" w:ascii="仿宋" w:hAnsi="仿宋" w:eastAsia="仿宋"/>
          <w:color w:val="auto"/>
          <w:sz w:val="24"/>
          <w:szCs w:val="32"/>
          <w:highlight w:val="none"/>
          <w:lang w:val="en-US" w:eastAsia="zh-CN"/>
        </w:rPr>
      </w:pPr>
      <w:r>
        <w:rPr>
          <w:rFonts w:hint="eastAsia" w:ascii="仿宋" w:hAnsi="仿宋" w:eastAsia="仿宋"/>
          <w:color w:val="auto"/>
          <w:sz w:val="24"/>
          <w:szCs w:val="32"/>
          <w:highlight w:val="none"/>
          <w:lang w:val="en-US" w:eastAsia="zh-CN"/>
        </w:rPr>
        <w:t>8</w:t>
      </w:r>
      <w:r>
        <w:rPr>
          <w:rFonts w:hint="eastAsia" w:ascii="仿宋" w:hAnsi="仿宋" w:eastAsia="仿宋"/>
          <w:color w:val="auto"/>
          <w:sz w:val="24"/>
          <w:szCs w:val="32"/>
          <w:highlight w:val="none"/>
          <w:lang w:eastAsia="zh-CN"/>
        </w:rPr>
        <w:t>.《</w:t>
      </w:r>
      <w:r>
        <w:rPr>
          <w:rFonts w:hint="eastAsia" w:ascii="仿宋" w:hAnsi="仿宋" w:eastAsia="仿宋"/>
          <w:color w:val="auto"/>
          <w:sz w:val="24"/>
          <w:szCs w:val="32"/>
          <w:highlight w:val="none"/>
          <w:lang w:val="en-US" w:eastAsia="zh-CN"/>
        </w:rPr>
        <w:t>人民检察院听证室设置规范》</w:t>
      </w:r>
    </w:p>
    <w:p>
      <w:pPr>
        <w:adjustRightInd/>
        <w:spacing w:line="360" w:lineRule="auto"/>
        <w:ind w:firstLine="480" w:firstLineChars="200"/>
        <w:rPr>
          <w:rFonts w:hint="eastAsia" w:ascii="仿宋" w:hAnsi="仿宋" w:eastAsia="仿宋"/>
          <w:color w:val="auto"/>
          <w:sz w:val="24"/>
          <w:szCs w:val="32"/>
          <w:highlight w:val="none"/>
          <w:lang w:val="en-US" w:eastAsia="zh-CN"/>
        </w:rPr>
      </w:pPr>
      <w:r>
        <w:rPr>
          <w:rFonts w:hint="eastAsia" w:ascii="仿宋" w:hAnsi="仿宋" w:eastAsia="仿宋"/>
          <w:color w:val="auto"/>
          <w:sz w:val="24"/>
          <w:szCs w:val="32"/>
          <w:highlight w:val="none"/>
          <w:lang w:val="en-US" w:eastAsia="zh-CN"/>
        </w:rPr>
        <w:t>9.最高检关于《人民检察院诉讼档案管理办法》</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10.</w:t>
      </w:r>
      <w:r>
        <w:rPr>
          <w:rFonts w:hint="eastAsia" w:ascii="仿宋" w:hAnsi="仿宋" w:eastAsia="仿宋"/>
          <w:color w:val="auto"/>
          <w:sz w:val="24"/>
          <w:szCs w:val="32"/>
          <w:highlight w:val="none"/>
        </w:rPr>
        <w:t>《浙江省人民检察院信息化项目管理办法（试行）》</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11.</w:t>
      </w:r>
      <w:r>
        <w:rPr>
          <w:rFonts w:hint="eastAsia" w:ascii="仿宋" w:hAnsi="仿宋" w:eastAsia="仿宋"/>
          <w:color w:val="auto"/>
          <w:sz w:val="24"/>
          <w:szCs w:val="32"/>
          <w:highlight w:val="none"/>
        </w:rPr>
        <w:t>《浙江省检察机关检委会会议室建设指南》</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lang w:val="en-US" w:eastAsia="zh-CN"/>
        </w:rPr>
        <w:t>12.</w:t>
      </w:r>
      <w:r>
        <w:rPr>
          <w:rFonts w:hint="eastAsia" w:ascii="仿宋" w:hAnsi="仿宋" w:eastAsia="仿宋"/>
          <w:color w:val="auto"/>
          <w:sz w:val="24"/>
          <w:szCs w:val="32"/>
          <w:highlight w:val="none"/>
        </w:rPr>
        <w:t>其它有关规定。</w:t>
      </w:r>
    </w:p>
    <w:p>
      <w:pPr>
        <w:adjustRightInd/>
        <w:spacing w:line="360" w:lineRule="auto"/>
        <w:ind w:firstLine="480" w:firstLineChars="200"/>
        <w:rPr>
          <w:rFonts w:hint="eastAsia" w:ascii="仿宋" w:hAnsi="仿宋" w:eastAsia="仿宋"/>
          <w:color w:val="auto"/>
          <w:sz w:val="24"/>
          <w:szCs w:val="32"/>
          <w:highlight w:val="none"/>
        </w:rPr>
      </w:pPr>
      <w:r>
        <w:rPr>
          <w:rFonts w:hint="eastAsia" w:ascii="仿宋" w:hAnsi="仿宋" w:eastAsia="仿宋"/>
          <w:color w:val="auto"/>
          <w:sz w:val="24"/>
          <w:szCs w:val="32"/>
          <w:highlight w:val="none"/>
        </w:rPr>
        <w:t>若设计人使用的标准在本标书的规定外，则应明确说明用于替代的标准或使用规范，并提供所使用的标准，该标准必须是检察机关、行业行规或国家认可的标准。</w:t>
      </w:r>
    </w:p>
    <w:p>
      <w:pPr>
        <w:adjustRightInd/>
        <w:spacing w:line="360" w:lineRule="auto"/>
        <w:ind w:firstLine="482" w:firstLineChars="200"/>
        <w:rPr>
          <w:rFonts w:hint="default" w:ascii="仿宋" w:hAnsi="仿宋" w:eastAsia="仿宋"/>
          <w:b/>
          <w:bCs/>
          <w:color w:val="auto"/>
          <w:sz w:val="24"/>
          <w:szCs w:val="32"/>
          <w:highlight w:val="none"/>
          <w:lang w:val="en-US" w:eastAsia="zh-CN"/>
        </w:rPr>
      </w:pPr>
      <w:r>
        <w:rPr>
          <w:rFonts w:hint="eastAsia" w:ascii="仿宋" w:hAnsi="仿宋" w:eastAsia="仿宋"/>
          <w:b/>
          <w:bCs/>
          <w:color w:val="auto"/>
          <w:sz w:val="24"/>
          <w:szCs w:val="32"/>
          <w:highlight w:val="none"/>
        </w:rPr>
        <w:t>（</w:t>
      </w:r>
      <w:r>
        <w:rPr>
          <w:rFonts w:hint="eastAsia" w:ascii="仿宋" w:hAnsi="仿宋" w:eastAsia="仿宋"/>
          <w:b/>
          <w:bCs/>
          <w:color w:val="auto"/>
          <w:sz w:val="24"/>
          <w:szCs w:val="32"/>
          <w:highlight w:val="none"/>
          <w:lang w:val="en-US" w:eastAsia="zh-CN"/>
        </w:rPr>
        <w:t>4</w:t>
      </w:r>
      <w:r>
        <w:rPr>
          <w:rFonts w:hint="eastAsia" w:ascii="仿宋" w:hAnsi="仿宋" w:eastAsia="仿宋"/>
          <w:b/>
          <w:bCs/>
          <w:color w:val="auto"/>
          <w:sz w:val="24"/>
          <w:szCs w:val="32"/>
          <w:highlight w:val="none"/>
        </w:rPr>
        <w:t>）</w:t>
      </w:r>
      <w:r>
        <w:rPr>
          <w:rFonts w:hint="eastAsia" w:ascii="仿宋" w:hAnsi="仿宋" w:eastAsia="仿宋"/>
          <w:b/>
          <w:bCs/>
          <w:color w:val="auto"/>
          <w:sz w:val="24"/>
          <w:szCs w:val="32"/>
          <w:highlight w:val="none"/>
          <w:lang w:val="en-US" w:eastAsia="zh-CN"/>
        </w:rPr>
        <w:t>建设内容</w:t>
      </w:r>
    </w:p>
    <w:p>
      <w:pPr>
        <w:numPr>
          <w:ilvl w:val="0"/>
          <w:numId w:val="0"/>
        </w:numPr>
        <w:adjustRightInd/>
        <w:spacing w:line="360" w:lineRule="auto"/>
        <w:ind w:firstLine="480" w:firstLineChars="200"/>
        <w:rPr>
          <w:rFonts w:hint="default"/>
          <w:color w:val="auto"/>
          <w:sz w:val="24"/>
          <w:szCs w:val="32"/>
          <w:highlight w:val="none"/>
          <w:lang w:val="en-US" w:eastAsia="zh-CN"/>
        </w:rPr>
      </w:pPr>
      <w:r>
        <w:rPr>
          <w:rFonts w:hint="eastAsia" w:ascii="仿宋" w:hAnsi="仿宋" w:eastAsia="仿宋"/>
          <w:color w:val="auto"/>
          <w:sz w:val="24"/>
          <w:szCs w:val="32"/>
          <w:highlight w:val="none"/>
          <w:lang w:val="en-US" w:eastAsia="zh-CN"/>
        </w:rPr>
        <w:t>1.检察机关办案区建设的规划建设本着规范化检察办案、保护办案人员和嫌疑人合法权益的原则，以办案为业务核心，以全程化、智能化为设计理念，以检察院检察办案区综合管理系统为软件载体，综合集成了人员管理、场所管理、审讯、案件管理、视频监控、门禁管理、紧急报警、智能显示等多个应用模块，统一协调将各基层模块以及硬件设备打通，实现办案区的全程统一化管理。对办案区进行数字化、全高清、无死角、全覆盖的视频监控，确保嫌疑人等从进入办案区到离开办案区全程可监控。支持紧急报警信号的部署与接入，确保相关人员在第一时间对异常事件进行处理。</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2.数字化档案库房管理系统的总体设计以档案实体管理为出发点， 围绕实体档案的各方面进行档案的日常管理建设以及多重防护建设，建立档案管理备份系统，保证数据库的备份要求。实现档案入库后的数据录入、档案的借出归还、日常盘点的数字化，实现查阅利用情况的自动统计。实现进入库房人员权限认证、异常告警等，每一环节每一步骤都可管可控可追溯。预留接口，实现档案库房管理系统与我院OA系统的有效对接，实现文档一体化，真正做到安全、高效、便捷， 大幅度减少档案保管工作的繁琐程度，提升档案保管工作人员的工作效率。</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根据《浙江省检察机关检察委员会会议室建设指南》的建设新标准，新建检委会会议室需要符合最高人民检察院推进智慧检务工程建设的总体部署和“全要素智慧管理”的现实要求。检委会会议系统：每个席位单独控制和使用的席位升降显示器，实现会议内容桌面投屏、桌面共享，并且可以在公共信号的同步显示或异步显示之间一键切换。需配备有线话筒、阵列音柱，确保声场稳定。配备电子桌签，可以蓝牙连接，随时能修改背景及参会人员名称、单位。</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4.党组会议室需采用先进成熟的技术，满足举行党组会议的使用要求，并兼顾其它相关的管理要求。需配备有线话筒、阵列音柱，确保声场稳定。</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5.综合指挥室是为本院开展智慧检务工作提供有力技术支撑，实现综合指挥、数据采集、传输、共享、检察社会综合治理法律监督等工作需求的重要场所。为保证最前排指挥人员的观看质量，本项目选用LED 屏。需配置无线话筒、阵列音柱，确保声场稳定。通过改变会场三基色顶灯的亮度比例实现任意色彩的照明效果。</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建设一个大会议室，同时是视频会议室，所承担的不仅仅是全院会议召开、培训等内部职能，还要肩负举办全院检察文化活动、岗位练兵等功能。采用LED大屏，以保证图像清晰稳定。主席台上装1排三基色灯，每排9个，观众席前两排上装两排双基色灯，每排9个（嵌入式），色温3000-6500K之间，灯光系统全场通用。需配置无线话筒、有线固定位话筒、阵列音柱，确保声场稳定。</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7.将检察院原有的LED大屏进行利旧使用，搬迁安装至新大楼的大厅左侧墙上，用于信息发布。</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8.基于物联网技术，对空调系统运行、能耗管理等数据进行整合分析，并进行远程控制。实现远程空调控制，通过硬件物联、网络互通实现远程控制空调开关操作、支持控制空调温度，实时监控空调状态。实现对用水、用电、燃气使用情况的自动采集、生成日志。通过日志及前端采集大数据分析，对异常用水情况进行报警。</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9.安防监控系统在整座大楼建设中是必不可少的一环。本次监控系统新配置普通半球摄像机、人脸识别摄像头、智能球机，利用老大楼原有摄像头，覆盖整个大楼的各个角落，不留下任何监控死角。内部组网，本地存储，以减少安全风险。配置硬盘录像机和录像存储设备，支持监控录像的点播、回放；按时间、按事件等多种方式进行录像的检索、回放、备份，支持图片本地回放与查询。支持周界防范。</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10.结合“未检职能属性，未检特色文化”等要素，运用超短焦投影仪和信息发布屏展示具有上城检察特色的未检品牌内容。采用超短焦投影仪进行双画面融合展示。如果一个投影机故障，另一个仍可以单独工作，给予备用保障，不影响正常使用。配备信息发布屏，能支持有线、无线网，支持远程控制播出视频、pdf、照片，支持现场演示翻页功能等。</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11.进行听证室一体化建设，实现听证过程管控、听证远程视频接入、听证互联网直播、听证设备联动、听证数据汇聚等功能，整体提升听证业务的公开化、规范化、智能化水平。系统平台符合最高人民检察院的《全程同步录音录像相关设备评测要求、办法》的测评要求。</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12.</w:t>
      </w:r>
      <w:r>
        <w:rPr>
          <w:rFonts w:hint="eastAsia" w:ascii="仿宋" w:eastAsia="仿宋"/>
          <w:b w:val="0"/>
          <w:bCs w:val="0"/>
          <w:color w:val="auto"/>
          <w:sz w:val="24"/>
          <w:szCs w:val="24"/>
          <w:highlight w:val="none"/>
          <w:lang w:val="en-US" w:eastAsia="zh-CN"/>
        </w:rPr>
        <w:t>大厅、食堂、包厢和各功能区的吊顶上请多预留一些网线和电源线，延伸至井道，</w:t>
      </w:r>
      <w:r>
        <w:rPr>
          <w:rFonts w:hint="eastAsia" w:ascii="仿宋" w:hAnsi="仿宋" w:eastAsia="仿宋" w:cs="仿宋"/>
          <w:color w:val="auto"/>
          <w:sz w:val="24"/>
          <w:szCs w:val="32"/>
          <w:highlight w:val="none"/>
          <w:lang w:val="en-US" w:eastAsia="zh-CN"/>
        </w:rPr>
        <w:t>南楼二楼左侧走廊尽头请预留网线和插座面板，以便后期扩展使用。</w:t>
      </w:r>
    </w:p>
    <w:p>
      <w:pPr>
        <w:numPr>
          <w:ilvl w:val="0"/>
          <w:numId w:val="0"/>
        </w:numPr>
        <w:adjustRightInd/>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13.电子门牌采用poe供电，需在各办公室门口预留网线。</w:t>
      </w:r>
    </w:p>
    <w:p>
      <w:pPr>
        <w:numPr>
          <w:ilvl w:val="0"/>
          <w:numId w:val="0"/>
        </w:numPr>
        <w:adjustRightInd/>
        <w:spacing w:line="360" w:lineRule="auto"/>
        <w:ind w:firstLine="480" w:firstLineChars="200"/>
        <w:rPr>
          <w:rFonts w:hint="eastAsia" w:ascii="仿宋" w:hAnsi="仿宋" w:eastAsia="仿宋"/>
          <w:color w:val="auto"/>
          <w:highlight w:val="none"/>
        </w:rPr>
      </w:pPr>
      <w:r>
        <w:rPr>
          <w:rFonts w:hint="eastAsia" w:ascii="仿宋" w:hAnsi="仿宋" w:eastAsia="仿宋" w:cs="仿宋"/>
          <w:color w:val="auto"/>
          <w:sz w:val="24"/>
          <w:szCs w:val="32"/>
          <w:highlight w:val="none"/>
          <w:lang w:val="en-US" w:eastAsia="zh-CN"/>
        </w:rPr>
        <w:t>14.实现办案区、听证室、检委会、综合指挥中心等与公安、法院、看守所、区矛调中心及省市检察机关乃至最高检的互联互通，无缝衔接。</w:t>
      </w:r>
    </w:p>
    <w:p>
      <w:pPr>
        <w:numPr>
          <w:ilvl w:val="0"/>
          <w:numId w:val="2"/>
        </w:numPr>
        <w:adjustRightInd/>
        <w:spacing w:line="360" w:lineRule="auto"/>
        <w:rPr>
          <w:rFonts w:hint="eastAsia" w:ascii="仿宋" w:hAnsi="仿宋" w:eastAsia="仿宋"/>
          <w:b/>
          <w:bCs/>
          <w:color w:val="auto"/>
          <w:sz w:val="24"/>
          <w:szCs w:val="24"/>
          <w:highlight w:val="none"/>
          <w:lang w:val="en-US" w:eastAsia="zh-CN"/>
        </w:rPr>
      </w:pPr>
      <w:bookmarkStart w:id="27" w:name="_Toc138673013"/>
      <w:r>
        <w:rPr>
          <w:rFonts w:hint="eastAsia" w:ascii="仿宋" w:hAnsi="仿宋" w:eastAsia="仿宋"/>
          <w:b/>
          <w:bCs/>
          <w:color w:val="auto"/>
          <w:sz w:val="24"/>
          <w:szCs w:val="24"/>
          <w:highlight w:val="none"/>
        </w:rPr>
        <w:t>采购标的和技术要求</w:t>
      </w:r>
      <w:bookmarkEnd w:id="27"/>
    </w:p>
    <w:p>
      <w:pPr>
        <w:numPr>
          <w:ilvl w:val="0"/>
          <w:numId w:val="3"/>
        </w:numPr>
        <w:adjustRightInd/>
        <w:spacing w:line="360" w:lineRule="auto"/>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采购标的和技术要求清单</w:t>
      </w:r>
    </w:p>
    <w:tbl>
      <w:tblPr>
        <w:tblStyle w:val="62"/>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418"/>
        <w:gridCol w:w="1"/>
        <w:gridCol w:w="726"/>
        <w:gridCol w:w="3"/>
        <w:gridCol w:w="5995"/>
        <w:gridCol w:w="520"/>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停车监管监控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车牌识别道闸显示一体机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国产自研处理器芯片，集道闸、车牌识别、室外高亮LCD大屏、语音播报功能一体；</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道闸：直流无刷快速电机，电机自备阻力检测，具备遇阻反弹功能；含地感检测器及线圈，标配4米直杆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车牌识别，支持无牌车车脸识别，解决无牌车快速收费问题；支持非机动车鉴别；300万高清像素、网络型;含地感检测器、相机防护罩、镜头、外置补光灯；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室外高亮LCD显示：室外高亮LCD大屏，显示余位、收费、收款码、车牌、提示、自定义等信息；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异常车牌识别功能检查：支持对部分污损车牌、部分遮挡车牌进行识别。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大角度车牌识别功能检查：支持相机法线与行车方向角度小于70度以内的大角度畸变成像的车牌识别功能。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虚假车牌过滤功能检查：支持对打印车牌，车牌照片进行过滤功能。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内置LCD屏幕，支持过车信息显示、自定义无牌车扫码进出，支持二维码显示、图片视频广告播放。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停车入口信息屏</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工作电源：220VAC</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下行通讯方式：RS485、RS232、RJ45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可带模块数：视灯箱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通讯速率：57600波特率/网络通信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最大通讯距离：（串口1200米）/（网络120m，延长需使用辅助设备）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模组像素组成：1R1G双色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功能特性：双基色，二模组，立柜式安装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配套设备</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包含磁感线圈、地磁检测器（单向）、防砸雷达、道闸遥控器、停车场管理软件、安全岛</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镀锌管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镀锌管材，含配套的直接、86盒</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搭载国产自研处理器芯片，千兆以太网交换机,实配≥28个10/100/1000BASE-T端口，≥8个10G/1G BASE-X SFP+端口</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停车监管监控集成服务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包含停车监管监控系统对接至相应平台，楼内走线，停车监管监控设备采购、运输、安装、调试、测试及系统配置等系统集成服务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消控室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55寸LCD屏</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尺寸：55英寸；</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分辨率：1920x1080；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视角：178°(水平)/ 178°(垂直)；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响应时间：8ms(G to 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对比度：1400:1；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亮度：500cd/㎡；</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物理拼缝：3.5mm；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输入接口：HDMI × 1, DVI × 1, VGA × 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功耗：≤185W；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电源要求：AC 100-240V, 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寿命：≥60000 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工作温度和湿度：0℃～40℃，10%～90% RH（无冷凝水）;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测试温度：Tmia-5℃~Tmra45℃； 保持时间：每个温度点保持2h，总共进行4个循环； 测试结果：设备工作正常，性能功能无异常。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用白电平幅度调到50%作为输入，输出设置为单画面，肉眼观测CVBS信号输出，图像显示无水平、倾斜的水波纹现象。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液晶显示单元支持HDMI环通拼接功能，接入4K 60Hz信号时，自环通能力达到35级，且最后一级正常显示无噪点。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大屏支架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定制钢结构，高强度不变形</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视频拼接器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液晶拼接屏处理器解码分辨率最高2400W像素，支持6 路2400W，或12 路1200W，或24 路800W，或36 路500W，或60 路300W，或96 路，1080P 及以下分辨率同时实时解码；单口画面分割数：1,2,4,6,8,9,12,16,25,36；视频输出接口类型：12路HDMI 1.4，支持4K</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显控系统支持通过自动识别屏幕的行列号信息，并能根据行列号信息，自动生成对应的电视墙规模和绑定输出口关系，避免手动一对一设置输出口和LCD屏幕的对应关系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显控系统支持自动检测输入源的信号类型，根据信号源类型和显示位置，自动配置信号源所在屏幕的显示场景模式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控制键盘</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触控式液晶屏/四维摇杆控制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电视墙控制软件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配套电视墙软件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DVI线缆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视频综合平台到大屏的连接线缆，DVI高清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消控室集成服务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包含消控室设备采购、运输、安装、调试、测试等系统集成服务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公开听证室系统（80平听证室）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（1）公开听证系统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一体化听证工作站</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体化听证工作站需与最高人民检察院的公开听证平台实现无缝对接；一体化听证工作站需与上城区人民检察院视频会议系统实现无缝对接，互联互通，不得采用模拟背靠背方式实现；一体化听证工作站需与上城区人民检察院远程提讯系统实现无缝对接，互联互通，不得采用模拟背靠背方式实现；（提供供应商出具的无缝对接承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★系统包含一体化设备柜体、液晶显示终端、高清听证主机、智能中控主机、高清摄像机、扩声系统、一体化结构以及定制线缆，支持整机一键开关功能，支持本地、远程开关机。（提供检测报告证明）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集成不少于四台高清液晶显示终端，支持1080p60全高清显示，尺寸不小于55英寸；集成不少于四台高清摄像机，可采集不少于4个方位的等比例“面对面”画面，包括主持人、双方当事人及听证人员。高清摄像机支持1080p60fps高清视频采集及输出，支持12倍光学变焦、水平视角不低于72°。（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支持H.264和H.265，视频编码码率：支持在32kbps-16Mbps范围内设置；支持G.711、G.722、AAC_LC、ADPCM和Opus；音频采样率：支持8KHz、16KHz、32KHz、48KHz、可设置；音频编码率：支持在32kbps-128kbps范围内设置。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★支持转动性能，支持水平转动、垂直转动，单机控制实现微调，连续按住加速转动，水平转动角度：-160°至+160°，垂直转动角度：-90°至+50°。（提供检测报告证明）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★射频遥控支持360°控制，有遮挡物时能正常控制。（提供检测报告证明）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w:t>
            </w:r>
            <w:r>
              <w:rPr>
                <w:rStyle w:val="149"/>
                <w:color w:val="auto"/>
                <w:sz w:val="18"/>
                <w:szCs w:val="18"/>
                <w:highlight w:val="none"/>
                <w:lang w:val="en-US" w:eastAsia="zh-CN" w:bidi="ar"/>
              </w:rPr>
              <w:t>6路HDMI和4路DVI接入，支持4路远程点接入，最大接入带宽285Mbps</w:t>
            </w:r>
            <w:r>
              <w:rPr>
                <w:rStyle w:val="332"/>
                <w:color w:val="auto"/>
                <w:sz w:val="18"/>
                <w:szCs w:val="18"/>
                <w:highlight w:val="none"/>
                <w:lang w:val="en-US" w:eastAsia="zh-CN" w:bidi="ar"/>
              </w:rPr>
              <w:t>。</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★设备具备不少于3路串口，支持RS422/RS485/RS232串口控制功能；具备1路射频天线接口、1路红外学习端口、2路红外发射端口、2路I/O控制接口、4路网络</w:t>
            </w:r>
            <w:r>
              <w:rPr>
                <w:rStyle w:val="149"/>
                <w:color w:val="auto"/>
                <w:sz w:val="18"/>
                <w:szCs w:val="18"/>
                <w:highlight w:val="none"/>
                <w:lang w:val="en-US" w:eastAsia="zh-CN" w:bidi="ar"/>
              </w:rPr>
              <w:t>接口</w:t>
            </w:r>
            <w:r>
              <w:rPr>
                <w:rStyle w:val="332"/>
                <w:color w:val="auto"/>
                <w:sz w:val="18"/>
                <w:szCs w:val="18"/>
                <w:highlight w:val="none"/>
                <w:lang w:val="en-US" w:eastAsia="zh-CN" w:bidi="ar"/>
              </w:rPr>
              <w:t>、1路AC电源输入接口和3路AC电源输出接口；（提供检测报告证明）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支持8个SATA接口，每个SATA口可以支持8TB硬盘。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设备应支持16路IP摄像机（H.264或H.265摄像机）和SDI摄像机混合接入，支持16路4K接入。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★系统内置双刻录光驱，支持光驱热插拔，支持便携拆卸光驱，可实现在不拆卸设备机箱情况下更换光驱。（提供检测报告证明）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支持调节画面合成尺寸，支持4K、2K、1080P、720P、D1、分辨率编码，合成画面帧率支持30fps、45fps和60fps可设置，合成画面任意两幅画面之间同步时间无延时。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支持外接证据展台功能，支持两路证据展台（HDMI、DVI）接入并编码，支持两路证据编码独立录像，可同时将两路证据画面加入到合同画面中。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支持混音功能，支持35路音频输入，能够实现远程声音和本地声音混音刻录，支持5组混音器设置，每路音频输入通道自定义加入不同混音器混音。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光盘刻录功能，支持合成画面的双光盘同步刻录、循环刻录和只录像不刻录，中途更换新光盘，可以识别上一张光盘停止的时间点，在新光盘中继续刻录；支持光盘刻录出错后，放入新的光盘会自动重刻，支持刻录出错原因提示，如光盘类型不一致、光盘剩余容量不足等。（提供检测报告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支持统一管理功能，支持接入平台统一管理，可通过平台远程刻录或远程调阅录像等，具有VSIP、GB/T 28181平台的接入设置选项；支持SNMP协议，支持接入运维平台，支持客户端对接入设备统一管理，可远程刻录或远程调阅录像。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证人保护功能，支持但画面不少于4个人脸动态马赛克处理（马赛克随人脸移动），支持自定义设置马赛克等级（薄码，中码，厚码）和区域大小。支持证人视频通道30fps逐帧检测，实时打码，支持证人声音变声功能，支持31种变声等级可选；支持2路证人通道实时马赛克处理，多人场景下可锁定证人实现动态马赛克追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设备应支持8路SDI、6路HDMI、4路DVI视频输入，支持8路DVI、5路HDMI输出，支持16路Mic In(支持48V幻想供电)、5路Line In(包含1路3.5mm双声道)，3路Line Out （2路莲花，1路3.5mm双声道）、2路XLR Out，支持8路RS485串行接口，6路RS232串行接口，支持1路红外输入，6路红外输出，支持2路告警输入，2路告警输出，支持1路ANTENNA接口，支持WIFI、蓝牙通信。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听证中控系统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触控屏尺寸：10.1英寸IPS电容触控屏；</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触控屏分辨率：1280×800；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USB接口：1×USB2.0 Type-C，设备供电口；1x USB 2.0 Type-A 数据接口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网络接口：1×RJ45，10M/100M/1000M自适应以太网口，支持POE供电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整机功耗：＜15W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电源：DC 5V/3A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工作温度：0°C ~ 40°C (工作状态), -40°C ~ 70°C (非工作状态)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工作湿度：10% ~ 80% (工作状态), 0% ~ 95% (非工作状态)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全景摄像机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全景摄像机需与一体化听证工作站适配。</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设备图像分辨率不小于3072×1728，设备内置GPU芯片；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设备传感器尺寸不小于1/2.7英寸，最低照度不大于0.0005Lux(彩色)，不大于 0.0001Lux(黑白)；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设备应内置2.8mm定焦镜头；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镜头水平视场角应满足-120°- +120°，垂直视场角满足0°- 90°调节；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设备应支持H.264、H.265和MJPEG视频编码，支持G.711a、G.711u、G.726、G.722、AAC_LC、ADPCM、G722.1c音频编码，支持AEC回声消除、混音录像功能；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设备应支持三码流：主码流分辨率为3072×1728，帧率为30fps；子码流分辨率为720P，帧率为30fps；第三码流分辨率为D1，帧率为30fps。各码流的视频分辨率、帧率、编码格式可单独设置；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设备应满足图像信噪比大于等于58dB，动态范围大于等于120dB，图像水平中心分辨力不小于1500TVL，灰度等级不小于11级；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设备支持多用户并发访问，能满足不少于25个用户同时访问并正常调用图像；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设备红外补光距离100米，支持SmartIR功能，可根据所摄目标距离自动调节补光辐射功率，使物体不过曝；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设备支持3D数字降噪、电子防抖、畸变矫正、远端放大、强光抑制、自动增益、自动曝光、背光补偿图像增强，透雾、语音对讲、远程管理、数字水印、断电保护功能；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移动侦测，遮挡报警，警戒线，虚焦检测，场景变更，区域进入，区域离开，区域入侵，物品遗留，物品拿取，人员聚集，声音异常，起雾检测行为分析智能功能和磁盘满、网线断开、磁盘错误等异常侦测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设备支持ANR断网续传功能；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设备支持TCP/IP、SIP、RTSP、组播、DHCP、DNS、DDNS、PPPoE、NAT、802.1X、QoS、UPnP、SMTP、RTP、RTCP网络协议；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设备应具备20%抗丢包能力；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设备应具备1×RJ45、1×RS485、1×LineIn、1×LineOut、1×mic IN、1×speaker out、2×告警输入、1×告警输出、1×TF卡槽、1×DC12V电源接口（支持POE供电）；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设备应能满足在DC12V±30%宽电压环境下正常工作，支持POE及电源热备份；具备IP67防护等级，工作温度-40°~70°；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全数字会议话筒单元</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听证专用鹅颈话筒，电容式,心型指向；</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频率响应：20Hz-18KHz;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输出阻抗（欧姆）：75Ω;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灵敏度：-40dB±2dB;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供电电压：DC3V/幻象48V;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有效适音距离: 45cm;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咪管长度≥410mm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咪线长度、配置：≥8米单芯、卡龙母+卡龙公;</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电池连续使用时间≥24小时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抗手机、电磁、高频干扰。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示证展台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设备应具备不小于800万像素，整机不小于180倍放大;</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设备应支持自动/手动对焦和白平衡;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设备应支持HDMI接口1进1出，VGA接口2进2出，RCA视频接口1进1出，S-VIDEO接口1出，3.5mm音频接口2进1出，6.3mm麦克风接口1进。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功放音箱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有源无线专业会议音响套装。含1个功放、1对音箱。</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液晶显示</w:t>
            </w:r>
            <w:r>
              <w:rPr>
                <w:rFonts w:hint="eastAsia" w:ascii="仿宋" w:hAnsi="仿宋" w:eastAsia="仿宋" w:cs="仿宋"/>
                <w:color w:val="auto"/>
                <w:kern w:val="0"/>
                <w:sz w:val="18"/>
                <w:szCs w:val="18"/>
                <w:highlight w:val="none"/>
                <w:u w:val="none"/>
                <w:lang w:bidi="ar"/>
              </w:rPr>
              <w:t>终端设备</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媒体格式：支持视频 H.265、AVS2、H.264、MPEG-4、WMV、VC-1、AVS、MPEG-2 MPEG-1等；音频 WMA/AC3/AAC/DTS等格式；图片 JPEG/PNG/BMP等。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HDMI 接口2 HDMI2.1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 接口 2 USB2.0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 LAN 1 网络LAN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数字音频输出 SPDIF  1 同轴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屏与背光 尺寸 65 分辨率 4K 屏显比例 16:9 亮度（Min/Typ） 250/280nit 对比度 5000:1(Typ)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屏体刷新率60HZ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响应速度6.5ms(Typ)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灰度级10bit(8bit+FRC)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屏色数1.07G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色域NTSC min68%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可视角度H/V 60/60min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背光方式直下式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屏寿命30000 Hr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屏幕类型VA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色彩模式RGB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声音 伴音制式  D/K、I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音效模式 标准、智能、影院、音乐、新闻、体育、自定义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输出功率 10W*2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喇叭配置 全频单元*2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数字功放 是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编解码 DTS 、Dolby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音响方案 2.0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音响认证 DTS 、Dolby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挂架孔距 200x200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挂架型号 WMB234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功率/功耗 整机额定功率95W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待机功耗 0.3W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工作电压 AC 220 -50Hz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工作湿度 20%RH-80%RH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 5°C-45°C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交换容量：36Gbps，包转发率：26.8Mpps；16个10/100/1000Mbps自适应电口，固化2个SFP千兆光口；支持广播风暴抑制、MAC地址过滤、端口限速等功能</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（2）听证后台系统平台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音视频管理平台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设备采用嵌入式设计，安全可靠，稳定性高；</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设备不少于2个千兆网口，支持多网段接入，可实现多个相互独立的网络接入同一平台；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设备支持不少于4个USB接口。支持USB备份盘，可定时对系统进行数据备份，支持通过备份盘恢复系统数据；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单台设备支持单纯录像不小于72Mbps或单纯转发不小于160Mbps的能力；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支持平台堆叠和级联混合组网；支持至少8级级联，单级域可堆叠至少10台主从平台；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设备支持H.264、H.265等编码格式；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支持视频拼接功能，通过平台客户端对视频源进行剪切、上下位移、放大、缩小等操作，将多个视频源图像拼接为单路图像，并支持录像存储和电视墙上墙功能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支持平台录像、前端录像、客户端本地录像等多种录像策略；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支持单路录像分多时段回放，支持录像点播按秒定位；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支持录像下载按秒定位，支持录像批量下载，支持下载录像为MP4格式；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支持将监控点的录像绑定到指定磁盘分区；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设备支持前端故障、平台故障、告警及用户日志查询；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支持报警联动功能，如客户端告警联动、平台告警联动、前端告警联动等；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支持标准的RTSP实时流媒体服务，可使用标准的流媒体播放软件进行实时浏览；</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支持当监控业务平台故障或下线后，录像业务不受影响，当平台恢复正常工作后，系统恢复正常、录像数据不丢失；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支持智能丢包恢复，支持重传缓冲和精确重传功能；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支持设备干线管理，在带宽有限的情况下，控制设备发送的媒体流量；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支持NTP时间服务器同步功能；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支持故障自恢复机制，当系统出现数据损坏时，系统可自动恢复备份数据；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磁盘存储阵列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信创处理器；36个SATA盘位，支持iSCSI，RAID0/1/5/6/10，RAIDX，2个千兆网口，2个万兆光口，支持网卡绑定，双冗余电源，含1块2T硬盘</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（3）听证后台系统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高清解码器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设备为高清解码器，应采用工业级嵌入式架构，采用专用芯片和嵌入式操作系统，稳定可靠。</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Style w:val="149"/>
                <w:color w:val="auto"/>
                <w:sz w:val="18"/>
                <w:szCs w:val="18"/>
                <w:highlight w:val="none"/>
                <w:lang w:val="en-US" w:eastAsia="zh-CN" w:bidi="ar"/>
              </w:rPr>
              <w:t>HDMI2分辨率最高支持4K（3840*2160），HDMI1和VGA分辨率最高支持1080P（1920*1080）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设备支持解码4K码流图像，性能应支持：4路（3840*2160）@25fps，8路（2592*1520）@25fps，18路（1920*1080）@25fps，32路（704*576）@25fps"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支持1、3、4、9、16等分画面格显示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支持3竖屏画面解码，解码分辨率2160*4096，帧率25fps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设备支持H.264\H.265，支持G.711、G.722、G726、ADPCM、AACLC音频解码标准，支持G.711A、ADPCM音频编码标准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支持将本地显示输出画面编码成一路1080P分辨率、H.264码流，方便远程浏览</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支持点对点即编码设置和解码器直连解码，支持RTSP，GB、onvif协议接入IPC，最大接入32路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支持GB、WebRTC接平台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支持自动检测设备通道状态，健康状态。其中健康状态包括记录掉电关机、异常重启、正常关机和正常重启次数。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设备应具备1路100M/1000M自适应网口、1个RS485接口，1个USB2.0接口，1路VGA视频输出接口、2路HDMI接口，1路音频输入/1路音频输出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导播盒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将信号以RTMP 协议推流的方式推送至云端直播服务器中，在中国检察听证网中公开直播</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（4）公开听证室系统（80平听证室）集成服务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公开听证室系统（80平听证室）集成服务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包含公开听证室系统（80平听证室）设备采购、运输、安装、调试、测试等系统集成服务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办案工作区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（1）服务设备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同步录音录像系统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系统平台符合人民检察院全程同步录音录像相关设备评测要求办法满足使用。操作系统需要满足功能系统使用要求。</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全程监控功能：采用数字监控方式实现对谈话整个过程的监控和管理，可以通过计算机和模拟矩阵键盘对摄像机控制，切换显示、数字硬盘录像/回放等功能；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步录音录像功能：从被谈话人员进入谈话场所开始录像，以被谈话人核对谈话笔录、签字捺印手印结束后停止。录像过程中因更换存储介质需要暂停录制时，应当告知谈话人员。因其他原因需要停止录制时，应当立即告知讯问人员。排除故障继续录制时，在录音录像中反映讯问人员对中断录制的语言补正；全程进行录音录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摄像机云台、镜头控制功能：要求鼠标和矩阵键盘完成对云台和镜头的控制，实现镜头的全方位转向以及光圈、聚焦、焦距的调节，满足讯问过程中由于光线、录制角度变化以及记录嫌疑人在辨认物证、讯问笔录签字等过程的特定画面的需要。有预置位设置和调用功能，控制速度可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画中画控制功能：采用画中画方式，通过同步录音录像主机可直接设置画中画图像的位置和角度调节，大小画面切换、小画面位置和大小切换。一大一小，一大多小的模式。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水印加密功能：借助高强度加密算法，对存储的音视频文件进行加密，水印标记，杜绝用户窜改，要求播放器集成水印校验功能。特别要求在进行网络传输时要有连接认证，和音视频文件的加密和解密处理，确保信息安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系统支持双光盘同期刻录生成、双光盘事后刻录，每个讯问室都支持双光盘直录，采用普通DVD刻录机，支持DVD±R、DVD±RW等多种盘片双光盘直刻，系统互换性强；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硬盘存储功能：要求设备具有硬盘存储功能，是为防止采用光盘直接刻录方式的设备，由于其光盘或光驱故障造成刻制失败，能够通过硬盘备份实施补救，并且刻录不小于4.7G的资料文件不超过10分钟；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光盘容量快满或异常时需要有语音提示功能，应预留一定的换盘时间，且换盘期间录像文件不丢失；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数据文件大小：要求4小时录制资料形成的数据文件不大于一张DVD光盘的有效容量。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卷宗信息视频叠加功能，系统支持把讯问信息叠加到视频中，如卷宗名称、被讯问人员姓名、讯问人员姓名、录制人员等相关信息，被合成的信息不可再次修改；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自定义重点标记功能，支持在讯问过程中对生成的音视频文件自定义重点标记，在同步录音录像主机、讯问端、指挥端等自定义重点标记，播放时支持基于重点标记的视频检索和快速定位；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电子地图功能：借助电子地图组织和管理讯问室、摄像头，便于快速切换和查看讯问室相关信息；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录像主机具有音频、视频丢失告警功能，并伴有语音提示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系统具有多级密码保护功能，有针对业主单位组织结构的权限管理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台帐管理功能，会为每次讯问自动生成详细的台帐流水，便于日后的查询和统计，讯问结束停止录像系统自动会打印台帐表格；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录像文件连续性播放要求，要求录制文件能够连续播放、时间进度条必须持续记录播放时间，且播放过程无断点现象，结合资料上的“连续时间码显示”，体现“全程同步原则”的要求；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支持磁盘阵列存储模式，海量信息存储，存储空间可扩容，以满足讯问录像存储的要求。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讯问终端功能：支持在询问终端的卷宗登记，同步双光盘直录，相关信息设置，办案人员在讯问端可接收和应答领导指挥信息，进行多媒体即时指挥，支持指挥端和讯问端的多方文字交流，音视频对话功能，录音录像资料的传输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支持在同步录音录像主机、指挥端、讯问端都能实现对画中画、云台的切换和控制，包括画中画大小和位置切换控制，摄像机云台控制、预置位设置和快速定位；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支持联合谈话、对比谈话、交叉谈话等多种谈话方式；在讯问过程中对原因录像资料、示证图片、录音录像文件进行展示和回放；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为体现人性化的工作方式，讯问和指挥，特别是指挥要求支持智能语音翻译功能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支持讯问、指挥用户端的重点标记设置，和基于重点标记的视频检索和快速定位；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基于电子地图的讯问室组织和管理方式，并可在指挥端根据权限和需求切换讯问室，实现监控和指挥；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用户管理功能：要求根据组织结构和职责分工设计用户管理，相互之间非经允许不可以调看视频图像和卷宗文件；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参数设置和管理功能：对录像主机、讯问室、控制权限、部门、云台画中画控制信息的配置和管理；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卷宗管理功能：要求支持多种形式的卷宗文件检索方式，便于快速检索和定位。按卷宗查询、按讯问人、被讯问人，按时间查询，组合查询等多种方式；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数据备份功能：对检索到的卷宗文件可以选择U盘，移动硬盘、光盘刻录等多种可选择方式备份；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支持多种方式的电子笔录、文字交流信息的检索和定位；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系统日志：能详细记录每个用户操作本系统运行的工作状况、操作记录，以备查阅，包括所有登陆到中心平台的用户和时间、以及其接收观看的讯问室内容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48口汇聚交换机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搭载国产自研处理器芯片，L2以太网交换机主机，支持48个10/100/1000BASE-T电口,6个1G/10G BASE-X SFP Plus端口,支持AC交流电源供电</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网络报警主机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一路10M以太网口；</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一个标准的带光电隔离的RS485/RS232复用串口，波特率1200-19200bps；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8路光电隔离开关量输入（干接点信号或TTL电平信号，准确度：100%）；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16路开关量输出（带DC12V电压输出，可直接接入报警指示灯等）。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（2）办案区讯问室3间+询问（谈话）室1间+未检工作室1间+未检心理咨询室1间+未检讯问室1间+宣告室1间+未检宣告室1间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LCD电子门牌</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功能：单面LCD屏，壁装，尺寸不小于660mm×175mm；厚度不大于40mm；显示内容（房间名、人员姓名等）。通讯接口：RJ45网口。</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智能控制终端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功能：对摄像头、温湿度屏、拾音器等设备的电源进行控制；实现对房间状态指示器进行动态管理和房间的预先分配；提供报警输入接入等扩展功能。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通讯接口：RJ45网口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带远程控制交流220V输出2路,各10A;带远程控制直流DC12V输出2路，共5A;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开关量输入：4路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继电器输出：6路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RS232串口：1路RS232串口，波特率、数据位、停止位、检验位可设置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RS485串口：2路带光电隔离的RS485串口，波特率、数据位、停止位、检验位可设置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空开数量：6个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全金属外壳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底盒尺寸(mm)不小于宽400*高300*深115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门板尺寸（mm）不小于宽425*高345*厚20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安装方式：暗装（埋墙式）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审讯主机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支持4路HD-SDI/CVBS自适应视频输入</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默认支持4路1080P网络视频接入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禁用1路模拟增加1路网络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最大支持8路1080P网络接入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支持1路VGA输入和1路HDMI输入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支持全路数H.265编解码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支持视频信息上叠加温湿度传感器信息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自带7寸触摸屏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标配2个DVD光驱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支持4个SATA接口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支持容量最大为8TB的硬盘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3U机箱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2个RJ45 10M/100M/1000M自适应以太网口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多音频发生器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功能：自动检查当前拾音器是否正常运行的设备，若发现异常，系统自动报警。</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工作电源：DC12V；通讯接口：RS485串口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比特率：1200-19200可设置；设备地址：1-32可设置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最大功率：2W；声音频率：双频（低频，高频）。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灯光控制：有；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安装方式：吸顶安装；工作温度：-20℃—+60℃；存储温度：-40℃～+80℃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主机硬盘</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与高清同步录音录像主机配套使用，3.5英寸 4TB  64M SATA3</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语音自动播报终端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人员信息语音自动播报，可以自定义语音播报人员进入办案区或播报办案区相应规章制度。</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语音播报器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工作电压：12VDC安全电压供电，具有电源反极性保护功能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通讯接口：RJ45网口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输出接口：标准3.5音频接口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启动时间：小于2S；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功能特点：支持任意中文文本、英文文本的合成，并且支持中英文混读；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软件功能：支持网络参数读取/设置；设备查找功能；远程设备重启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外形尺寸不小于118mm×75mm×38mm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特写摄像终端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200万像素3寸数字高清摄像终端</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图像传感器:1/2.8＂ progressive scan CMOS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最低照度:彩色：0.005Lux @ (F1.6，AGC ON)；黑白：0.001Lux @ (F1.6，AGC ON)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分辨率及帧率:主码流 50Hz:25fps (1920×1080);60Hz: 30fps(1920×1080)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视频压缩:H.265/H.264/MJPEG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焦距:2.8-12mm，4倍光学变倍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水平视角:105-33度(广角-望远)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Smart图像增强:120db超宽动态、透雾、强光抑制、电子防抖</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水平及垂直范围:水平350°监控无死角；垂直0°-90°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水平速度:水平键控速度：0.1°-60°/s,速度可设;水平预置点速度：60°/s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垂直速度:垂直键控速度：0.1°-50°/s,速度可设;垂直预置点速度：50°/s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电源接口:DC12V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网络接口:RJ45网口，自适应10M/100M网络数据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音频输入/输出:1路音频输入；1路音频输出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HD-SDI输出接口:1080P@25fps/30fps，720P@50fps/60fps，1080I@50fps/60fps，1080P@50fps/60fps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具有RS485控制接口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报警输入/输出:1路报警输入；1路报警输出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SD卡接口:内置Micro SD卡插槽，支持Micro SD(即TF卡)/Micro SDHC/Micro SDXC卡（最大支持256G）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功耗:8W max</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工作温度和湿度:-10℃-50℃；湿度小于90%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防护等级:IP66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防暴等级:IK10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安装方式:根据应用环境进行选择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尺寸不小于Φ140.7×107.2mm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全景摄像终端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400万1/1.8” CMOSAI抓拍半球型网络摄像终端</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传感器类型：1/1.8” Progressive Scan CMOS最低照度：彩色: 0.0005Lux @ (F1.2, AGC ON)  黑白: 0.0001 Lux @ (F1.2, AGC ON), 0 Lux with IR快门：1秒至1/100,000秒镜头：（变焦）2.8-12mm @ F1.2,水平视场角：114.0°~42.0°，垂直视场角：59.0°~24.0°，对角线视场角：141.0°~48.0°（变焦）8-32mm @ F1.8,水平视场角：40.0°~16.0°，垂直视场角：22.0°~9°，对角线视场角：46°~18°光圈类型：2.8-12mm：固定光圈8-32mm：自动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光圈日夜转换模式：ICR红外滤片式ICR蓝玻璃：支持数字降噪：3D数字降噪三轴调节角度：P:0-355°, Tilt: 0-75°, Rotation: 0-355°宽动态：超宽动态范围达120dB，室内逆光环境下监控压缩标准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视频压缩标准：H.265/H.264 / MJPEGH.265编码类型：Main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H.264编码类型：BaseLine Profile / Main Profile / High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视频压缩码率：32 Kbps~16Mbps音频压缩标准：G.711/G.722.1/G.726/MP2L2/PCM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音频压缩码率：64Kbps(G.711) / 16Kbps(G.722.1) / 16Kbps(G.726) / 32-192Kbps(MP2L2)/16-64kpbs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图像最大图像尺寸：2688×1520主码流分辨率与帧率：50Hz: 25fps（2688*1520,2560*1440,1920*1080,1280*720）60Hz: 30fps（2688*1520,2560*1440,1920*1080,1280*720）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子码流分辨率与帧率不低于50Hz: 25fps（704*576,640*480）   60Hz: 30fps（1920*1080,1280*720，704*480,640*480）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图像设置：饱和度,亮度,对比度,锐度，AGC，白平衡通过客户端或者浏览器可调图像增强：背光补偿，强光抑制，透雾，电子防抖，畸变校正，3D降噪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日夜转换方式：白天、夜晚、自动、定时、报警触发区域裁剪：支持图片叠加：支持128x128 24位BMP 图像叠加,可选择区域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感兴趣区域：ROI支持主码流、子码流、第三码流、第四码流、第五码流分别设置4个固定区域，支持车牌动态跟踪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网络功能存储功能：支持Micro SD/Micro SDHC /Micro SDXC卡(128GB或者256GB)断网本地存储及断网续传,NAS(NFS,SMB/CIFS均支持),支持SD卡加密及SD状态检测功能智能报警：移动侦测,遮挡报警,网线断,IP地址冲突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非法登录，存储器满,存储器错联动方式：FTP、上传中心、Email、报警输出、录像、抓图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支持协议：TCP/IP,ICMP,HTTP,HTTPS,FTP,DHCP,DNS,DDNS,RTP,RTSP,RTCP, PPPoE,NTP,UPnP,SMTP,SNMP,IGMP,802.1X,QoS,IPv6，UDP，Bonjour，SSL/TLS接口协议：ONVIF(PROFILE S,PROFILE G),ISAPI,SDK,Ehome,GB28181,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通用功能：一键恢复,防闪烁,五码流,心跳,镜像,密码保护,视频遮盖,水印技术,IP地址过滤,flash日志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人脸抓拍人脸检测性能：最多可以同时支持30个人脸，支持检测、跟踪、评分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支持上传背景大图以及人脸小图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人脸识别：支持人脸库个数不少于3个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每个人脸库支持的人脸数量不少于30000个，单张人脸不超过300Kb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6"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道路监控：车辆检测：支持车牌识别并抓拍，车型/车标/车身颜色/车牌颜色识别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混行检测：检测正向或逆向行驶的车辆以及行人和非机动车，自动对车辆牌照进行识别，可以抓拍无车牌的车辆图片。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人体脸属性支持：年龄、性别、戴眼镜、表情、戴口罩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人体属性支持：运动方向、上衣颜色、下装颜色、上衣类型、下衣类型、是否背包、是否拎东西、戴帽子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车辆属性支持：车身颜色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摄像机支架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嵌入式安装配套支架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拾音范围：5-150平方米</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音频传输距离：3000米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灵敏度：-30dB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频率响应：100Hz～16KHz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指向特性：全指向性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信噪比：80dB（1米40 dB音源SPL）50dB(10米40 dB 音源SPL)1KHz at 1 Pa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动态范围：104dB(1KHz at Max dB SPL)</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最大承受音压：120dB SPL（1KHz，THD 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输出阻抗：最大600欧姆非平衡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输出信号幅度：2.5Vpp</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麦克风：震膜电容咪头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咪头数量：双咪头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信号处理电路：ANC环境噪声消除技术，AGC处理技术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保护电路：8KV Air contact ESD、雷击保护、电源极性反接保护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驱动能力：可直接驱动耳机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连接方式：3条引线（电源、音频、公共地）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传输线缆：3芯0.5mm</w:t>
            </w:r>
            <w:r>
              <w:rPr>
                <w:rStyle w:val="208"/>
                <w:color w:val="auto"/>
                <w:sz w:val="18"/>
                <w:szCs w:val="18"/>
                <w:highlight w:val="none"/>
                <w:lang w:val="en-US" w:eastAsia="zh-CN" w:bidi="ar"/>
              </w:rPr>
              <w:t>²</w:t>
            </w:r>
            <w:r>
              <w:rPr>
                <w:rStyle w:val="332"/>
                <w:color w:val="auto"/>
                <w:sz w:val="18"/>
                <w:szCs w:val="18"/>
                <w:highlight w:val="none"/>
                <w:lang w:val="en-US" w:eastAsia="zh-CN" w:bidi="ar"/>
              </w:rPr>
              <w:t xml:space="preserve"> RVVP屏蔽电缆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电源电压：直流稳压电源DC 18、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电源电流：60mA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工作环境温度：0℃～50℃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外壳材质：金属</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外形尺寸：不小于Φ80mm×20mm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整机功率：不小于 1.5W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工作环境温度：-25℃～60℃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安装方式：吸顶、侧墙明装或嵌入式安装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同步环境监测器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实时显示时间，系统服务器、审讯电脑、温湿度屏、摄像头录音录像等时间自动校准统一，有效避免以往经常出现的案卷时间与办案区时钟、录像显示时间不一致的问题。实时采集当前坏境的温湿度信息，显示并叠加到视频画面上。</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工作环境：温度-10℃～75℃,相对湿度0～95%；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工作电源：DC12V；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额定最小功率：15W；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时间制：24小时制；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时钟精度：日误差不大于±1秒；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测温范围：-19℃～70℃；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测温精度：误差不大于环境温度±1℃；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湿度测量范围：10%～95%RH；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湿度精度：误差不大于环境湿度±5%；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支持RS485串口通讯和RJ45网络通讯，支持红外遥控功能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安装：壁挂式，葫芦孔挂装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紧急报警按钮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报警按钮开关，钥匙复位；电压：12V/24V</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电流：0.3A；报警方式：常开/常闭；直接安装在墙面上或桌子上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报警网络模块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具有10M以太网口接口；具有标准的光电隔离RS485通讯接口</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具有4路光电隔离开关量输入（干接点信号或TTL电平信号）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具有4路开关量输出（带DC12V电压输出，可直接接入报警指示灯等）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具有过流保护与电源防反接保护；可与同步录音录像软件网络联动报警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门禁一体机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采用LCD触摸显示屏；</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设备容量：支持6000张卡片，50000条记录；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认证方式：支持刷卡、指纹、密码（超级密码）及其组合的认证方式；可读取Mifare卡（IC卡）卡号、CPU序列号、身份证序列号；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通讯方式：上行通讯为TCP/IP；支持外接RS485，Wiegand副读卡器（不支持外接指纹读卡器）；基线支持标准韦根34/26；支持与消防系统联动；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语音对讲：支持与客户端、主副室内分机、管理机的语音对讲功能；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输入接口：LAN*1、RS485*1、wiegand * 1、USB*1、门磁*1、报警输入*2、防拆*1、开门按钮*1；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输出接口：电锁*1个，报警输出*1个；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 DC 12V/3A，不自带电源；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使用环境：室内外环境，室外使用需要配遮阳罩，避免阳光直射；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安装方式：标配金属安装挂板，支持明装、86底盒安装；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工作温度：-30~65℃。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双门磁力锁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最大静态直线拉力：280kg ± 15%  * 2</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断电开锁，满足消防要求；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具有电锁状态指示灯（红灯为开锁状态， 绿灯为上锁状态）；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支持锁状态侦测信号(门磁)输出：NO/NC/COM接点；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工作电压：12V/840mA 或 24V/420mA；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适用门型：木门、玻璃门、金属门、防火门。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审讯打印刻录一体机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光盘自动化刻录、烧录、补录、打印封面</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打印方式:热转印技术，非喷墨技术;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打印分辨率:400dpi。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光盘驱动器:一个DVD,一个BD-R。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入盘槽:3个,每个槽容量50张共150张。 1个出盘槽容量5张。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双刻录机和三个输入光盘槽大大提高了提高性能，最多允许同时放置CD，DVD和蓝光光盘各50片，或单一种类型150片。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配套软件能够兼容PC和其他平台。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支持软件开发工具包（SDK）和应用程序编程接口（API）。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完全封闭式的机械手确保安静、无尘操作，支持外部输出槽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具有LCD显示。提供支持国产系统SDK包，接入系统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280Kg磁力锁LZ支架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L型支架尺寸不小于长240*宽47*厚28.5mm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Z型支架尺寸不小于长180*宽50*厚50mm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开门角度：90°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适用门类型：内开式木门/金属门/窄框门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闭门器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适用于55~75公斤单扇门；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双扇门配2个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录音录像服务终端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用于同步录音录像讯问服务管理，满足信创要求；信创处理器*2个/内存4个*32G/硬盘2个*480G RSSD/3个*2T SATA/4G阵列卡/双口10G光纤网卡/双口千兆/2个*800W电源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国产化操作系统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信创操作系统服务器版</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（3）公共区域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高清摄像终端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400万像素1/1.8” CMOSAI抓拍半球型网络摄像终端</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传感器类型：1/1.8” Progressive Scan CMOS最低照度：彩色: 0.0005Lux @ (F1.2, AGC ON)  黑白: 0.0001 Lux @ (F1.2, AGC ON), 0 Lux with IR快门：1秒至1/100,000秒镜头：（变焦）2.8-12mm @ F1.2,水平视场角：114.0°~42.0°，垂直视场角：59.0°~24.0°，对角线视场角：141.0°~48.0°（变焦）8-32mm @ F1.8,水平视场角：40.0°~16.0°，垂直视场角：22.0°~9°，对角线视场角：46°~18°光圈类型：2.8-12mm：固定光圈8-32mm：自动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光圈日夜转换模式：ICR红外滤片式ICR蓝玻璃：支持数字降噪：3D数字降噪三轴调节角度：P:0-355°, Tilt: 0-75°, Rotation: 0-355°宽动态：超宽动态范围达120dB，室内逆光环境下监控压缩标准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视频压缩标准：H.265/H.264 / MJPEGH.265编码类型：Main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H.264编码类型：BaseLine Profile / Main Profile / High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视频压缩码率：32 Kbps~16Mbps音频压缩标准：G.711/G.722.1/G.726/MP2L2/PCM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音频压缩码率：64Kbps(G.711) / 16Kbps(G.722.1) / 16Kbps(G.726) / 32-192Kbps(MP2L2)/16-64kpbs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图像最大图像尺寸：2688×1520主码流分辨率与帧率：50Hz: 25fps（2688*1520,2560*1440,1920*1080,1280*720）60Hz: 30fps（2688*1520,2560*1440,1920*1080,1280*720）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子码流分辨率与帧率不低于50Hz: 25fps（704*576,640*480）   60Hz: 30fps（1920*1080,1280*720，704*480,640*480）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图像设置：饱和度,亮度,对比度,锐度，AGC，白平衡通过客户端或者浏览器可调图像增强：背光补偿，强光抑制，透雾，电子防抖，畸变校正，3D降噪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日夜转换方式：白天、夜晚、自动、定时、报警触发区域裁剪：支持图片叠加：支持128x128 24位BMP 图像叠加,可选择区域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感兴趣区域：ROI支持主码流、子码流、第三码流、第四码流、第五码流分别设置4个固定区域，支持车牌动态跟踪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网络功能存储功能：支持Micro SD/Micro SDHC /Micro SDXC卡(128GB或者256GB)断网本地存储及断网续传,NAS(NFS,SMB/CIFS均支持),支持SD卡加密及SD状态检测功能智能报警：移动侦测,遮挡报警,网线断,IP地址冲突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非法登录，存储器满,存储器错联动方式：FTP、上传中心、Email、报警输出、录像、抓图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支持协议：TCP/IP,ICMP,HTTP,HTTPS,FTP,DHCP,DNS,DDNS,RTP,RTSP,RTCP, PPPoE,NTP,UPnP,SMTP,SNMP,IGMP,802.1X,QoS,IPv6，UDP，Bonjour，SSL/TLS接口协议：ONVIF(PROFILE S,PROFILE G),ISAPI,SDK,Ehome,GB28181,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通用功能：一键恢复,防闪烁,五码流,心跳,镜像,密码保护,视频遮盖,水印技术,IP地址过滤,flash日志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人脸抓拍人脸检测性能：最多可以同时支持30个人脸，支持检测、跟踪、评分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支持上传背景大图以及人脸小图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人脸识别：支持人脸库个数不小于3个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每个人脸库支持的人脸数量不小于30000个，单张人脸不超过300Kb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智慧城管：支持1-24小时检测周期，支持非法摆摊事件检测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道路监控：车辆检测：支持车牌识别并抓拍，车型/车标/车身颜色/车牌颜色识别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混行检测：检测正向或逆向行驶的车辆以及行人和非机动车，自动对车辆牌照进行识别，可以抓拍无车牌的车辆图片。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人体脸属性支持：年龄、性别、戴眼镜、表情、戴口罩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人体属性支持：运动方向、上衣颜色、下装颜色、上衣类型、下衣类型、是否背包、是否拎东西、戴帽子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车辆属性支持：车身颜色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拾音范围：5-150平方米</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音频传输距离：3000米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灵敏度：-30dB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频率响应：100Hz～16KHz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指向特性：全指向性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信噪比：80dB（1米40 dB音源SPL）50dB(10米40 dB 音源SPL)1KHz at 1 Pa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动态范围：104dB(1KHz at Max dB SPL)</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最大承受音压：120dB SPL（1KHz，THD 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输出阻抗：最大600欧姆非平衡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输出信号幅度：2.5Vpp</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麦克风：震膜电容咪头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咪头数量：双咪头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信号处理电路：ANC环境噪声消除技术，AGC处理技术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保护电路：8KV Air contact ESD、雷击保护、电源极性反接保护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驱动能力：可直接驱动耳机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连接方式：3条引线（电源、音频、公共地）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传输线缆：3芯0.5mm</w:t>
            </w:r>
            <w:r>
              <w:rPr>
                <w:rStyle w:val="208"/>
                <w:color w:val="auto"/>
                <w:sz w:val="18"/>
                <w:szCs w:val="18"/>
                <w:highlight w:val="none"/>
                <w:lang w:val="en-US" w:eastAsia="zh-CN" w:bidi="ar"/>
              </w:rPr>
              <w:t>²</w:t>
            </w:r>
            <w:r>
              <w:rPr>
                <w:rStyle w:val="332"/>
                <w:color w:val="auto"/>
                <w:sz w:val="18"/>
                <w:szCs w:val="18"/>
                <w:highlight w:val="none"/>
                <w:lang w:val="en-US" w:eastAsia="zh-CN" w:bidi="ar"/>
              </w:rPr>
              <w:t xml:space="preserve"> RVVP屏蔽电缆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电源电压：直流稳压电源DC 18、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电源电流：60mA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工作环境温度：0℃～50℃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外壳材质：金属</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外形尺寸：不小于Φ80mm×20mm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重量：不小于170g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整机功率：1.5W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工作环境温度：-25℃～60℃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安装方式：吸顶、侧墙明装或嵌入式安装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安全出口指示灯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LED光源，不小于90分钟</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应急疏散照明</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双头应急灯，不小于90分钟</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（4）法警执勤室、受理登记室/区域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全景摄像终端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400万1/1.8” CMOSAI抓拍半球型网络摄像终端</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传感器类型：1/1.8” Progressive Scan CMOS最低照度：彩色: 0.0005Lux @ (F1.2, AGC ON)  黑白: 0.0001 Lux @ (F1.2, AGC ON), 0 Lux with IR快门：1秒至1/100,000秒镜头：（变焦）2.8-12mm @ F1.2,水平视场角：114.0°~42.0°，垂直视场角：59.0°~24.0°，对角线视场角：141.0°~48.0°（变焦）8-32mm @ F1.8,水平视场角：40.0°~16.0°，垂直视场角：22.0°~9°，对角线视场角：46°~18°光圈类型：2.8-12mm：固定光圈8-32mm：自动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光圈日夜转换模式：ICR红外滤片式ICR蓝玻璃：支持数字降噪：3D数字降噪三轴调节角度：P:0-355°, Tilt: 0-75°, Rotation: 0-355°宽动态：超宽动态范围达120dB，室内逆光环境下监控压缩标准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视频压缩标准：H.265/H.264 / MJPEGH.265编码类型：Main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H.264编码类型：BaseLine Profile / Main Profile / High Profile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视频压缩码率：32 Kbps~16Mbps音频压缩标准：G.711/G.722.1/G.726/MP2L2/PCM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音频压缩码率：64Kbps(G.711) / 16Kbps(G.722.1) / 16Kbps(G.726) / 32-192Kbps(MP2L2)/16-64kpbs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图像最大图像尺寸：2688×1520主码流分辨率与帧率：50Hz: 25fps（2688*1520,2560*1440,1920*1080,1280*720）60Hz: 30fps（2688*1520,2560*1440,1920*1080,1280*720）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子码流分辨率与帧率：50Hz: 25fps（704*576,640*480）   60Hz: 30fps（1920*1080,1280*720，704*480,640*480）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图像设置：饱和度,亮度,对比度,锐度，AGC，白平衡通过客户端或者浏览器可调图像增强：背光补偿，强光抑制，透雾，电子防抖，畸变校正，3D降噪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日夜转换方式：白天、夜晚、自动、定时、报警触发区域裁剪：支持图片叠加：支持128x128 24位BMP 图像叠加,可选择区域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感兴趣区域：ROI支持主码流、子码流、第三码流、第四码流、第五码流分别设置4个固定区域，支持车牌动态跟踪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网络功能存储功能：支持Micro SD/Micro SDHC /Micro SDXC卡(128GB或者256GB)断网本地存储及断网续传,NAS(NFS,SMB/CIFS均支持),支持SD卡加密及SD状态检测功能智能报警：移动侦测,遮挡报警,网线断,IP地址冲突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非法登录，存储器满,存储器错联动方式：FTP、上传中心、Email、报警输出、录像、抓图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支持协议：TCP/IP,ICMP,HTTP,HTTPS,FTP,DHCP,DNS,DDNS,RTP,RTSP,RTCP, PPPoE,NTP,UPnP,SMTP,SNMP,IGMP,802.1X,QoS,IPv6，UDP，Bonjour，SSL/TLS接口协议：ONVIF(PROFILE S,PROFILE G),ISAPI,SDK,Ehome,GB28181,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通用功能：一键恢复,防闪烁,五码流,心跳,镜像,密码保护,视频遮盖,水印技术,IP地址过滤,flash日志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人脸抓拍人脸检测性能：最多可以同时支持30个人脸，支持检测、跟踪、评分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支持上传背景大图以及人脸小图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人脸识别：支持人脸库个数不小于3个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每个人脸库支持的人脸数量不小于30000个，单张人脸不超过300Kb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智慧城管：支持1-24小时检测周期，支持非法摆摊事件检测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道路监控：车辆检测：支持车牌识别并抓拍，车型/车标/车身颜色/车牌颜色识别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混行检测：检测正向或逆向行驶的车辆以及行人和非机动车，自动对车辆牌照进行识别，可以抓拍无车牌的车辆图片。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人体脸属性支持：年龄、性别、戴眼镜、表情、戴口罩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人体属性支持：运动方向、上衣颜色、下装颜色、上衣类型、下衣类型、是否背包、是否拎东西、戴帽子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含支架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拾音范围：5-150平方米</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音频传输距离不小于3000米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灵敏度：-30dB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频率响应：100Hz～16KHz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指向特性：全指向性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信噪比：80dB（1米40 dB音源SPL）50dB(10米40 dB 音源SPL)1KHz at 1 Pa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动态范围：104dB(1KHz at Max dB SPL)</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最大承受音压：120dB SPL（1KHz，THD 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输出阻抗：最大600欧姆非平衡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输出信号幅度：2.5Vpp</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麦克风：震膜电容咪头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咪头数量：双咪头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信号处理电路：ANC环境噪声消除技术，AGC处理技术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保护电路：8KV Air contact ESD、雷击保护、电源极性反接保护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驱动能力：可直接驱动耳机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连接方式：3条引线（电源、音频、公共地）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传输线缆：3芯0.5mm</w:t>
            </w:r>
            <w:r>
              <w:rPr>
                <w:rStyle w:val="208"/>
                <w:color w:val="auto"/>
                <w:sz w:val="18"/>
                <w:szCs w:val="18"/>
                <w:highlight w:val="none"/>
                <w:lang w:val="en-US" w:eastAsia="zh-CN" w:bidi="ar"/>
              </w:rPr>
              <w:t>²</w:t>
            </w:r>
            <w:r>
              <w:rPr>
                <w:rStyle w:val="332"/>
                <w:color w:val="auto"/>
                <w:sz w:val="18"/>
                <w:szCs w:val="18"/>
                <w:highlight w:val="none"/>
                <w:lang w:val="en-US" w:eastAsia="zh-CN" w:bidi="ar"/>
              </w:rPr>
              <w:t xml:space="preserve"> RVVP屏蔽电缆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电源电压：直流稳压电源DC 18、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电源电流：60mA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工作环境温度：0℃～50℃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外壳材质：金属</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外形尺寸不小于：Φ80mm×20mm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整机功率：1.5W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工作环境温度：-25℃～60℃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安装方式：吸顶、侧墙明装或嵌入式安装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紧急报警按钮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报警按钮开关，钥匙复位；电压：12V/24V</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电流：0.3A；报警方式：常开/常闭；直接安装在墙面上或桌子上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报警网络模块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具有10M以太网口接口；具有标准的光电隔离RS485通讯接口</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具有4路光电隔离开关量输入（干接点信号或TTL电平信号）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具有4路开关量输出（带DC12V电压输出，可直接接入报警指示灯等）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具有过流保护与电源防反接保护；可与同步录音录像软件网络联动报警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高清解码器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超高清解码器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基于嵌入式硬件平台开发的一款解码设备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支持HDMI、BNC输出口解码输出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支持H.265、H.264、MPEG4、MJPEG等多种编码码流解码，解码性能强劲，支持4K超高清输出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HDMI（奇数口）输出分辨率支持4K（3840 × 2160@30 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支持H.265、H.264、MPEG4、MJPEG等主流的编码格式的解码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支持PS、RTP、TS、ES等主流的封装格式的解码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支持H.265、H.264的Baseline、Main、High-profile编码级别的解码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支持G.722、G.711A、G.726、G.711U、MPEG2-L2、AAC音频格式的解码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多元化的解码控制模式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支持主动解码和被动解码两种解码模式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支持VGA、DVI本地输入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支持开窗、窗口漫游、窗口分屏功能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支持远程录像文件的解码输出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支持DDNS前端解码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支持直连前端设备解码上墙和通过流媒体转发的方式解码上墙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支持使用RTSP URL方式从编码设备取流解码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支持ONVIF标准协议接入设备，支持GB28181协议接入设备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支持RTP\RTSP协议进行网络源预览</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支持平台以SDK方式集成设备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完备的运维管理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支持Web方式访问、配置和管理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支持远程获取和配置参数，支持远程导出和导入参数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支持远程获取系统运行状态、系统日志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支持远程重启、恢复默认配置、升级等日常维护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网口：2个 RJ45  10M/100M/1000Mbps 自适应以太网接口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2个光口 100base-FX/1000base-X</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支持光电自适应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语音对讲输入：1个输入，3.5mm音频接口（电平：2.0Vp-p，阻抗：1K欧姆）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报警输出接口数不小于8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空调控制网关</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须要与大楼空调适配</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功率容量：上送风空调总制冷量≥5kw。系统室内循环风量不小于1800立方米/小时，尺寸为不小于400*330*1500</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能效比：产品应高效节能，全年能效比≥3.0。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运行寿命要求：24小时365天不间断运行设计，设计寿命不小于10年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空调需要极强的电源适应能力，满足电压适应范围220±15%，具备缺相保护、提示和告警功能。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空调需要维护方便：100%全正面维护；主要部件可拆卸维护。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空调采用高效后倾离心直联风机，具备风压调整范围宽的特点，且不需皮带传动，无需例行维护及更换皮带。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空调采用正温度系数电子再热器，热量温度负反馈调节，实现温度电流双保护；插拔更换，维护简单。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蒸发器表面采用亲水膜涂层工艺，提高换热效率，减少绝热损失；室外风机采用变频无极调速，可根据室外温度变化变频无极调节风机转速，节能、降噪、寿命长；室外机采用金属叶片，可靠性更强，可长期运行而不变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空调需标准配置RS485监控接口，支持Modbus和YD/T1363.3双通讯协议，可现场选择协议类型。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（5）办案工作区集成服务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办案工作区集成服务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包含办案工作区设备采购、运输、安装、调试、测试等系统集成服务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案管大厅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公文签印安全管控高速输出设备</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★输出设备须与国产操作系统完全兼容，须提供本产品通过国产芯片认证证书</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在公文的任意页面中添加防伪水印、二维码，水印及二维码内容可自定义编辑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针对公文需要盖章可通过软件实现多签章管理，签章位置可自行设置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实现自动添加预印好的封面、封底，或单独设定封面、封底的打印内容，可以在指定的页码插入预印好的纸张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监控管理，可登录设备监控界面。通过简单易用的网页浏览器界面，对系统签印设备状态进行常规监控以及查看设备的作业打印状况，方便管理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实现印刷输出系统使用权限管理，身份验证输出，实施分个人、部门监控核算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可变输出，文件编号、部门、姓名、地址、职称等都可以作为可变对象出现在文件上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统计功能，包括统计时间段、打印输出量总计、按纸型分类统计、按黑白\彩色分类统计、按单双面分类统计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★打印原理：采用油墨印刷原理，须提供第三方检测报告复印件加盖原厂公章。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★打印色彩：红黑双色或彩色印刷，须提供第三方检测报告复印件加盖原厂公章。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速度：单台设备印刷速度A4单面≥140页每分钟（A4长边进纸），不接受多台设备改装或者并联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印刷面积：≥310mmx480mm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分辨率：≥300x300dpi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纸张重量：50gsm至200gsm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用纸尺寸：≥330mmx485mm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供纸容量：标配不少于2000张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文件处理：单双面复印打印、自动分页成组成套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装订要求：边订、角订、骑马订；打2孔、4孔；收纸部分具有电子自动分页、错位堆叠功能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扫描方式：双面扫描，可实现复印功能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扫描速度：速度不低于100面/分钟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扫描光学分辨率：600×600dpi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保存格式：至少支持TIFF、JPEG、PDF</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保存方式：可扫描至电脑、电子邮件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功率要求：主机工作功率不超过1KW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★产品质量认证：所投产品需提供中国质量认证中心的CQC证书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安装调试完毕起一年限150万印刷数保修，每个月需对机器进行保养活动，7×24小时维修响应，2小时内到达现场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案管大厅集成服务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包含案管大厅设备采购、运输、安装、调试、测试等系统集成服务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未检展示区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激光投影终端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亮度≥6800lm（中心亮度），≥6500（ISO21118标准）。</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支持分辨率：≥1920×1200兼容4096x2160，3840x2160，1920×1080，1280×800，1024×768。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对比度：5500000:1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投射比0.44:1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光学引擎技术，采用高精度研磨技术。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多模组结技术，设备性能稳定耐用。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电源节能技术，输入信号0秒自动开机,无信号10秒内自动关机，设备高效节能。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配套投影控制器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纯硬件架构，1U高度，运行稳定，免维护；内置32G存储和4K播放器，5S开机自运行，支持7*24小时运行；具备超强几何校正功能，可调节平面、弧面、球面、90度角等不同形状投影幕的显示效果；支持多种异形开窗（心型、菱形、海豚、飞鹰、星型、矩形等），最多可开16个窗口，可跨屏、叠加、漫游；具备循环播放、随即播放、定时播放多种播放模式；与点歌机、灯光无缝对接，歌曲与灯光和背景素材联动切换；支持手机、平板无线控制；具备分屏显示和分屏控制功能，单台设备可控制两组屏幕显示效果；支持扩展级联，具备U盘播放功能，支持照片、视频资源的播放；节能环保：12V电源输入，35W功率，0℃~40℃工作温度；</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信息发布屏1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43寸信息发布屏，支持有线、无线网，支持远程控制播出视频、pdf、照片等</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实现一键切换至安卓系统环境下信发系统功能。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实现一键切换至照片视频、PDF、视频翻页播控功能。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信息发布屏2</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55寸信息发布屏，支持有线、无线网，支持远程控制播出视频、pdf、照片等</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实现一键切换至安卓系统环境下信发系统功能。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实现一键切换至照片视频、PDF、视频翻页播控功能。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未检展示区集成服务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包含未检展示区设备采购、运输、安装、调试、测试等系统集成服务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办案区搬迁（详见办案区搬迁详细清单）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办案区搬迁集成服务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对办案区的设备进行拆除、运输及安装调试等服务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检察大厅背景大屏布线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检察大厅背景大屏布线集成服务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包含检察大厅背景大屏设备线缆、辅材及插件，老大楼LED屏的运输和安装调试、测试等系统集成服务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数字化档案室系统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（1）系统软件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智能库房管理系统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国产化系统的适配，不含中间件及数据库</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档案基础管理：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1.收集整理、归档著录</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2.档案保管：归档正式库、档案销毁、日常记录</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3.档案利用：档案借阅</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4.实物管理：档案盒管理、任务管理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5.数据统计</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6.回收站</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7.档案配置：元数据，数据字典，全宗，模型，门类，磁盘</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8.运行参数：库房配置，系统参数</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9.系统管理：角色，用户，日志，备份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环境监控管理模块：监测环境温湿度、二氧化碳、PM值、甲醛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视频监控模块：实时监控库房工作人员出入情况，实时监控火警、漏水报警信息，通过声光报警器、短信报警器等方式进行报警。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高频盒定位管理模块：实现标签登记、档案装盒、档案盘点、档案领用等功能；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电子档案管理模块：实现对实体档案的目录信息、盒号管理、档案借阅、档案检索等管理与维护。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引导屏系统模块：实现温湿度、档案借阅、库房容量数据的可视化显示。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系统软件集成服务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包含安装部署、培训、数据迁移、更换电脑；包含系统软件设备采购、运输、安装、调试、测试等系统集成服务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次</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（2）智能密集架系统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智能密集架固定列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不小于15.6寸+5位列显，标配</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智能密集架移动列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不小于8寸+5位列显，标配</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智能电动密集架控制系统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配套控制软件，实现所有列的液晶显示设备的背光能在指定空闲时间后自动黑屏，黑屏后点击任意列任意位置后所在团体(单独运动的区域)同步启动。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智能密集架系统集成服务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包含根据配置确定具体服务人员；包含智能密集架系统设备采购、运输、安装、调试、测试等系统集成服务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（3）密集架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密集架移动列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四节型不小于长4110mm*宽600mm*高2550mm*13列、七节型不小于长6990mm*宽600mm*高2550mm*10列</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固定列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凭证固定列不小于长6990mm*宽600mm*高2550mm*1列（12层）</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防磁柜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 W525*D480*H1500mm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配置:8抽屉(7个标准光盘抽，1个资料抽)。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功能要求:抗震、暗藏式门铰链、防磁、防潮、防静电。抵御来自外界的磁场、湿气和灰尘的入侵，有效防止资料褪磁、霉变、锈蚀和质变。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密集架集成服务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包含密集架设备采购、运输、安装、调试、测试等系统集成服务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（4）RFID盒定位管理系统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盒定位管理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1464个盒定位射频板，15路，净长度90厘米，档案盒每5厘米定位一个盒位，每一盒位带独立RFID天线，一个LED指示灯，以及塑料外壳，带PVC位置薄膜。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23个RFID采集板，RFID列采集器、串口服务器、串口转网口于一体，每列一片。</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21960个RFID塑料插片，每一盒位配置一个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23列的盒定位配套附件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21960个档案标签，规格为40*25mm</w:t>
            </w:r>
          </w:p>
        </w:tc>
        <w:tc>
          <w:tcPr>
            <w:tcW w:w="306"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RFID通道门禁（高频）</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多通道 RFID 安全通道门，根据采购人实际需要在多处进出口安装安全通道，各安装点通道数量在安装时由采购人确定。</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主材为国标亚克力、钣金。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 ISO18000-3/ISO15693 等协议。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尺寸：约 570*120*1600mm±10%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通道宽度：1200±50mm，可选配内宽 90cm 和 120cm 踏板底座。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读取性能：标签读取范围半径不低于 450 mm、读取速度不低于 20 个标签每秒。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设备具有高侦测性能，能够进行三维监测，支持按用户需求设置 EAS、AFI、EAS+AFI、AFI+DSFID 等报警检测模式。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对用户单位的书籍印刷品、视听出版物、CD 及 DVD 等流通资料进行安全扫描操作时，不损坏粘贴在流通资料中的磁性介质的资料。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具有音频语音喇叭和视觉报警信号，信号源可设置，报警音量可调控、语音播报声音可定制；支持通过蜂鸣器或者语音播报报警功能， 区分不同事件。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具备单通道独立报警亮灯和多通道同步报警亮灯提示功能。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安全门配备显示屏，支持实时显示进出流量数据、显示主副门编号信息、显示日期时间信息，以及报警提示图文信息，支持显示安全门报警模式和 IP 地址。</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人员流量统计功能：支持对进出读者人次的双向统计，进、出读者人次计数正确，配置主门显示屏显示所有通道流量信息，副门显示屏显示本通道流量信息。汇总分析方便，数据可下载获取、可重置，进出方向自由配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UID 卡号读取、四路以上继电器联动输出、支持环境电磁干扰检测功能、射频输出功率可调。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多通道具备上位机接入一片门 RJ45 网口，配置好参数后，自动智能下发配置到其他所有门。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多通道组合具备智能匹配同步功能，无须每个门单独进行软件同步配置。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16、各安全门之间采用最新的公母头串口线作为数据总线，进行数据通讯和供电处理，方便安装插拔。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多通道安全门各片门之间的天线连接线从两条线简配到一条线， 且接线头都采用一公一母模式，方便安装插拔。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安全门支持保存标签 UID 卡号和数据块功能，可以在报警同时获取标签数据块，上位机软件通过数据块和后台系统进行数据联动和屏显功能。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高频的简版馆员</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 不小于372*280*20mm(长*宽*厚) ,误差不超过10mm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材质：表面为玻璃钢材质，周边为铝型材质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工作频率：13.56MHz。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支持：15693协议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读写距离：可调整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标签识别输出功率：最大33dBm（可通过软件设置）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供电电压：DC 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高频手持机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支持操作系统： Android 7.0及以上版本。</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工作频率为13.56Mhz，支持ISO15693标准。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射频功率可调（0.25~1.5W），具有防碰撞算法。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无线：蓝牙、WIFI、2G/3G/4G。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支持128GB TF卡扩展，存储容量大，运行速度快，性能稳定。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集成4G全网通、WiFi、蓝牙等多种无线通讯功能。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电池容量：不小于4500mAh。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RFID盒定位管理系统集成服务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包含RFID盒定位管理系统设备采购、运输、安装、调试、测试等系统集成服务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（5）库房环境监控系统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区域控制器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屏幕尺寸 采用15.6寸一体触摸主机，嵌入式平面设计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支持报警输出 声光报警提示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支持人体感应探测器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供电电源 220V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具有USB接口和PC端获取数据功能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支持温湿度记录，可以根据月，周，日产生温湿度报表。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支持温湿度查询和报警器报警查询。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支持报警器根据时间段布防与撤防。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支持电源管理和库房灯光智能控制。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温湿度变送器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具有屏显功能。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湿度探测范围：0-99.99%，准确度：2%RH，温度探测范围：-40-80°C，准确度：0.3°C；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空气质量云测仪</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颗粒物数据实时采集，PM2.5、pm10；TVCO数据实时采集；</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二氧化碳数据实时采集；温湿度数据实时采集；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湿度测量分辨率：0.03％RH；精度: ±3.0％RH（典型值）；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湿度测量量程：1％～99％RH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温度测量分辨率：0.01℃；精度：±0.3℃；</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工作温度范围：－25℃～＋60℃；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PM1.0，PM2.5：测量分辨率：±10%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TVOC的测量量程 ：125-600ppb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CO2 的测量量程 ：450-2000ppm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功耗:12V/2.0mA。以上传感器传感器实时响应时间必须≤10秒（s）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除湿加湿一体机(120L)</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除湿量（L/24h） 70-90</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加湿量（kg/h） 6-8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适用面积（㎡） 120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微生物净化效率 ≥99.90%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风量(m</w:t>
            </w:r>
            <w:r>
              <w:rPr>
                <w:rStyle w:val="208"/>
                <w:color w:val="auto"/>
                <w:sz w:val="18"/>
                <w:szCs w:val="18"/>
                <w:highlight w:val="none"/>
                <w:lang w:val="en-US" w:eastAsia="zh-CN" w:bidi="ar"/>
              </w:rPr>
              <w:t>³</w:t>
            </w:r>
            <w:r>
              <w:rPr>
                <w:rStyle w:val="332"/>
                <w:color w:val="auto"/>
                <w:sz w:val="18"/>
                <w:szCs w:val="18"/>
                <w:highlight w:val="none"/>
                <w:lang w:val="en-US" w:eastAsia="zh-CN" w:bidi="ar"/>
              </w:rPr>
              <w:t>/h) 0-1600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功率(KW) 0.15/1.2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电源(10A) 220V（50Hz）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净化配置（五级净化） G3无菌初效滤网+H12低阻高效过滤器+HPHITC4-212双波段纳米光氢离子净化装置+湿式除尘过滤器+银离子抑菌触媒过滤网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触屏控制器 7寸屏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空气质量显示 温度、湿度、PM2.5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内置水箱容积（L） 不小于35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通讯接口 RS485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预留输出 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水箱四级净水装置（90L）</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水车具备自动补水与排水功能，水实际容量不低于90升。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水车整机外形尺寸不低于长500×宽400×高600mm。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水满报警提示，声光传输。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具备高扬程排水接口，最低扬程12米（方便地下室环境高排水使用）。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进水接口与排水接口配置便于移动的助力拆装一体化工具。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水箱必须具备移动静音模式。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红外空调控制器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工作电压：12V，工作温度： -35℃～+75℃，工作电流：6MA，串口通讯：波特率9600，无线红外控制；支持多种品牌，多方向控制、不少于4个控制探头。</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标准RS485接口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LED指示工作状态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环控主机箱（有线）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额定电压(Un) 220VAC。</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 ARM Cortex-M3控制器；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输入信号 ：信号输入（6路，可外接门禁、报警器等开关量信号）；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输出信号： 信号输出（4路，继电器控制开关量  10A 250VAC，可外接声光报警器或电磁阀、风机等设备）；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通讯接口：TCP/IP以太网协议及市场上现有的部分私有协议 ，标准的Modbus-RTU现场总线协议，支持6路同时工作通讯；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无线通信方式： LORA ；同时支持6路无线通讯，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无线通讯采用多信道方式，无线信号互补干扰。配公牛定时开关插座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驱鼠器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超声波频率：22khz-60khz；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喇叭类型：超声波式喇叭；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消耗功率：6W；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供电方式：5V/2A。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漏水传感器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检测线缆：可以兼容连接各类检测线缆或者检测电极；</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塑料外壳：防火ABS材料，DIN35MM导轨安装；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外形尺寸不小于 L90*W58*H52MM;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检测灵敏度  0-20K无级调节，响应时间小于1秒（灵敏度为最高时）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电源要求 12DC直流供电，待机电流魏70MA,报警电流120MA;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继电器输出  ISPDT常开常闭输出，额定功率60VDC/1A,或者220VAC/1A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漏水感应线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两芯螺旋检测线缆（5米）,采用HDPE塑料，直径DM5.5毫米，外层为导电材料，内芯为导线铜线，直径DM1.0毫米。</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条</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烟雾探测器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输出形式：继电器无源触点输出，输出形式：继电器无源触点输出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烟雾灵敏度 ：0.15~1.3dB/m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三监红外探测器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工作电压：10-24V；</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探测方向：360度；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自检时间：60S；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探测器范围;安装高度3米时，最大探测半径6米圆形区域；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探测方式：红外（采用双元低噪声热释电红外传感器）、微波；微波+红外+智能数码分析；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继电器输出：常开、常闭可选；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声光报警器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12V声光喇叭音量大小连续可调,独立配置</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POE网络控制模块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单个设备网络控制和采集：包括恒湿一体机、红外空调、壁挂消毒净化机、智能空开、空气质量传感器等；不超过6路总线挂接温湿度传感器。带铝合金外壳。</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bottom"/>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具有网口和485总线接口，支持节点通讯、DC12V；接口转换、协议转换、数据收集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短信模块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支持移动手机卡，发送短信;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数据接口UART：300bps ～460800bps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工作电压：DC 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工作电流：平均55mA～100mAzui大：138mA 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工作温度：-25℃～85℃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存储温度：-40℃～125℃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库房环境监控系统集成服务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包含库房环境监控系统设备采购、运输、安装、调试、测试等系统集成服务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档案室门禁系统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普通门禁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办公室门禁，支持自动生成数据、远程录入和查询、光学指纹、防拆报警、IP防冲突、独立门铃、U盘下载、消息推送。认证方式：支持指纹、刷卡（IC卡）、密码认证方式。</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门禁系统集成服务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包含门禁系统设备采购、运输、安装、调试、测试等系统集成服务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检委会会议室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（1）显示系统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屏幕显示尺寸≥108英寸</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点间距不大于1.25mm；像素点密度不小于640000点/㎡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分辨率≥1920*1080；画面显示比例为16:9</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显示屏亮度≥400cd/m2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刷新率≥3840Hz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最大对比度≥5000:1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亮度均匀性≥98%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亮度均匀性：±0.003Cx，Cy 之内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水平/垂直视角≥160°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色温2300~9500K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色域范围≥110% ，NTSC色域标准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箱体平整度≤0.1mm，可调精度0.01mm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设备内置主板不低于安卓8.0操作系统，四核64位CPU，运行内存、存储内存不低于4GB+32GB。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整机外置不少于以下接口类型与数量：Audio out×1;HDMI IN ×3; USB2.0×2；USB3.0×1;RJ45×1；RS232×1； SPDIFx1;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整机设计前置接口至少HDMI IN 1个，USB接口1个。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支持2.4GHZ/5GHZ独立双热点，实现共享热点的同时，又能接入网络，两者互不干扰。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整机支持遥控器全向无死角操作，实现对屏幕亮度调节、音响加减、信号源切换、待机、功能选择等操作。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箱体为压铸铝合金材质，为一次性整体压铸成型，自然散热结构，无风扇，防尘、静音设计。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内部电源采用注塑一体IEC连接，无内部走线，接触端子具有保护盖，支持模组级DC供电方式，增强电源设计安全稳定性。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支持单点亮度校正、单点颜色校正，灯板可储存校正系数，换灯板后校正系数可自动读取，无需软件上传。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模组与主板采用硬连接，板对板设计，支持直接热拔插，采用浮动式接插件，接插件镀金≥50μ厚度，具有纠偏功能。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支持多平台、跨终端无线投屏，包含不限于电脑软件投屏，手机投屏，投屏器投屏。支持8台设备同时在线，4设备同时上屏。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为满足活动场景需求，设备可自定义欢迎墙背景、文字等，欢迎墙可以设置负一屏，方便用户快速调取显示。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支持图片轮播， 可设置播放间隔、播放顺序。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支持手机扫码快速发送图片、视频、文本等文件至大屏；支持电脑直接发送文件至屏幕设备。发送文件单独存储，在文件管理主页中显示。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设备内置使用说明，方便阅读，支持手机扫码反馈问题到后台。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可进行开机信号设置，每次开机可自动进入上次关机时的通道，避免每次需要对输入信号进行调节。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无线投屏器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与显示屏配套</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（2）超薄触控升降器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纯国产超薄17.3寸触控升降一体机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采用17.3寸全贴合超窄边2.5D液晶终端，外壳为铝合金一体成型方式俯仰角：屏幕升起后可自动后仰 0~60度，自动后仰停止角度任意可调，相对桌面仰角90 - 150度任意可调；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升降器面板为铝合金材料，外壳部分采用航空铝材CNC压铸工艺一次成型，极致超薄机身，极窄边框，铝一体成型保证了产品的散热、牢固度、稳定性都具有极高的水准，铝合金外框彰显高端，大气，动感电动超控，升降自如，可内嵌发言系统，保持桌面整洁，使用灵活，稳定性好，抗震性能好。升降器自动开合铝面板，银色或黑色，超薄设计，外形美观大方，角度自动调节，支持任意分组控制升降，需自带USB接口和电源按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17.3寸10点触摸电容液晶终端升降一体机，屏幕尺寸：17.3英寸，液晶分辨率为1920*1080dpi，屏幕比例：16：9（宽屏），采用高清高亮屏；需支持国产操作系统；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多点电容触摸液晶升降屏一体机，带10点电容触摸功能；动态对比度：100000：1；升降精度：水平±0.2mm、垂直±0.2mm；黑白响应时间YH±5MS；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设备接口：USB，HDMI，VGA，COM，AC；输出接口：VGA、HDMI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采用由IO脉冲信号的频率和脉冲数控制超静音直流电机；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支持串口方式控制升降屏一体机统一或单一升降、仰俯、电源管理等中控操作；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支持信号源通过电容触摸屏或会议软件远程一键切换。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带有模拟VGA和数字HDMI两种接口，可以同时连接模拟和数字两种信号，HDMI信号可以满足全高清的动态显示；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升降器面板为铝合金材料，需自带USB接口和电源按钮；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显示屏可以一键同步显示会议室拼接大屏等大屏幕显示的图像。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嵌入式纯国产系统主机：信创CPU，内存容量：16GB，速率：2666MT/s，扩展：最大支持16GB、硬盘类型：SATA SSD/HDD，容量：标配256G，扩展：最大可扩展1TB SSD+4TB HDD硬盘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支持HDMI,VGA信号源输入，并可支持信号源通过电容触摸屏或会议软件远程一键切换。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升降器桌面开孔尺寸不大于492*52mm（发言升降式开孔不大于672*52mm）；升降器桌面开口尺寸宽度不小大52mm；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透过整合在晶片内特别设计的电晶体直接监测晶片的温度，以低功耗实现最佳散热性能，以便系统的工作温度可更接近于要求维持的LVIK所需要的温度。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参会人员通过无纸化会议系统的“活动目录（Active Directory）域账号”紧密结合的帐户密码鉴权机制，验证后解锁对应加密检委会系统文件；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屏幕共享：委员间、委员共享至大屏等共享控制、调度单元；与现有检委会系统进行适配。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系统安全管控：可选配U盾/IP/MAC验证等安全接入控制，安全验证策略、合法域、接入策略等；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安装方式：升降器安装方式由下向上落地式安装，桌面不受力，以防止桌面受力，引起桌面下沉、变形；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客户端桌面操作系统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客户端桌面操作系统：信创操作系统；</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基于国产操作系统的会议系统软件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可以跨平台运行同时支持android终端、windows终端、 鸿蒙系统、信创操作系统终端混合组网运行，同一台服务器可以控制升降无纸化 、翻转无纸化 、电子桌牌 、移动平板等，支持文件阅读、批注分享、同步阅读、异步阅读等功能；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b/>
                <w:bCs/>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同步显示参会人信息，包括与会者姓名/职务/单位名称/单位LOGO/会徽会标等,支持背景颜色/模板/文字大小颜色/字体/语种等自定义编辑；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带触摸屏功能的会议终端，支持人员签到、可触控切换会议服务模式，通过触摸相关图标查看支持会议人员签到服务，个性化呼叫服务，会议信息显示，短消息查看，时间和日期显示、个性化呼叫、投票表决等服务，支持电子白板、手写批注等功能；支持同步阅读、异步阅读功能：异步阅读模式指会议参加者屏幕内容可以与主持人完全不同，可阅读不同文件、自由阅读不同的页数及短消息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服务器中相关会议资料查看、编辑修改、保存，并可将自己画面共享给其他终端同步显示，支持上网服务；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支持在客户终端上，播放原生PPT，展现PPT原汁原味的转场效果、声音播放，支持PPT插入视频的播放；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支持演示模式，实现发言人与每位参会人员的桌面同步共享。同步时，支持手写批注、圈注功能；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支持会中不安装ofd软件情况下可以查看、批注、协同批注ofd文件，打开后提供缩略图功能，可以通过缩略图快速定位文件页，文件在一屏显示不全可以用缩略图可以微调滑动； 支持全办公格式（doc、docx、xCGL、xCGLx、ppt、pptx、pdf、png、jpg、html、htm、mht、tif、tiff、txt）；</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支持功能：会议一旦结束，断开本网络，系统实现自动删除驻留信息功能，各终端不保存任何会议内容，确保终端不泄密；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支持多会议管理功能，支持多会议室合并召开同一会议，支持分组召开不同会议，支持多会议预设，支持预先将不同会议按时间安排在不同会议室，支持按时间自动切换会议;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视频播放支持全格式视频播放,支持查看远程视频信号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管理功能采用b/s模式，只要有浏览器，任意一台电脑均可管理会议，方便快捷;会场座位布局模式操作会议功能，大部分操作可通过拖拽完成，所见即所得;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可多种终端接入会议，平板与笔记本共同参加一个会议;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可以与视频会议、内部网站、OA系统做系统对接，支持二次系统开发；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三员分立:管理后台默认提供三员分立（系统管理员，安全保密员，安全审计员），不可删除和修改角色权限；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本系统可原生态模式切换至国产操作硬件，无缝兼容；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支持同时打开多文件查看，可以不退出当前查看的文件切换查看其他文件，查看文件支持最小化到任务栏，不退出文件下可以呼叫、通知查看、投票等其它操作功能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无纸化超高清十亿像素图片浏览技术： 查看方式：客户端软件内部打开（不调用操作系统图片处理软件）；响应时间：小于1分钟；支持功能：缩略图、双指缩放、批注保存；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管理后台会议管理中，会议列表模块可提供会议复制功能，通过一键复制已存在的历史会议，自动创建新的会议、会议议题、资料、参会人员投票全部与历史会议相同；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拓展控制器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尺寸不小于深400mm × 宽482mm × 高84mm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最大功耗：100W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工作温度：0℃-50℃，工作湿度: 5﹪-95﹪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功能及特点：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1路RJ45控制输入端口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支持22路数据输出，用于与会议终端供电通讯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支持2路RS-485输出，用于控制升降器等设备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大屏同步控制器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输入220V AC，输入接口：RJ45，输出接口：VGA、HDMI、AUDIO。</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支持接收多台客户端的投影请求显示，支持遵循先入先出的投影显示模式，支持最多四画面同时显示。静态显示界面可定制。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自动提示信号来源，包括：投影者姓名、外部电脑编号、互动大屏幕等。支持自适应投影分辨率，支持强制输出分辨率。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支持HTTP/RTSP/RTP/RTMP/UDP等协议传输，可与服务器、控制终端产品及编码器产品配套使用。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支持功能：把信号广播到大屏上显示,不存在和电脑硬件兼容性问题。让会议实现多媒体、多功能化，实时交互更加多元化，提高会议效率及质量。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支持功能：参会人员通过本设备可自行将讲稿内容投影到会议室大屏幕，或者有秘书终端管理后再投影。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支持功能：会议秘书还可根据本单位的要求选择宣传片、音乐进行投影播放。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4"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交互式大屏控制软件（国产化操作系统版本）</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合大屏控制主机，实现专业上大屏功能。可将升降一体机的桌面投放到显示大屏上，支持4分屏，有外部信号时显示外部信号，否则显示会议相关信息，画面清晰。每个投影仪或大屏幕需要一台此控制器。支持接收客户端的投影请求，并将投影请求通过VGA/HDMI接口输出。运用于将客户端的同步内容输出到投影仪及大屏幕，未有输出信号时，可显示当前会议内容以及时间，也可自定义输出内容；需适配信创操作系统；</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（3）后台服务器端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会议控制主机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一台服务软件可同时支持80个会议室同时召开会议并有效管理；</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为了稳定服务器和终端直接通信不需要第三方通信转接；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无纸化设备间通信可以跨网段运行；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会中可以对终端进行欢迎页面、会议信息、显示人名、会议标语等画面的切换，同时支持统一升降机控制、统一开关机；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支持不同权限管理模式，含普通管理账户、系统管理员、不同管理账户创建的会议互相保密，系统管理员有管理所有会议的权限；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多会议管理，不同用户可以预先预置多场会议，不同会议可以添加不同会议终端，可以分组控制升降终端升降或翻转。可以远程访问服务器和控制会议进程。不同会议可以定制不同的欢迎页界面，可以定制不同的会议标语；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提供日历，周历模式下展示预约会议的状态（审批中、未开始、进行中、过时、已结束），展示会议室类型（智能会议室、普通会议室等等）；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配置高效节能电源、动态冷却机制，在保持其性能的同时，大大节省能源成本；采用智能散热系统，根据热关键器件温度综合调节风扇转速，节能的同时降低了噪音并提高风扇的可靠性；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自主可控的信息产业体系，有助于消除电子政务、国防等众多战略领域的安全隐患；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支持信创服务器操作系统。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会议管理，不同用户可以预先预置多场会议，不同会议可以添加不同会议终端，可以分组控制升降终端升降或翻转。可以远程访问服务器和控制会议进程。不同会议可以定制不同的欢迎页界面，可以定制不同的会议标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同一系统可支持扩展会议预约审批发布系统。同时满足一体或者独立使用。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同一系统可支持扩展会议扫码，密码，原笔迹手写系统。同时满足一体或者独立使用。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同一系统可支持扩展会议指纹，身份证，人脸识别安全系统。同时满足一体或者独立使用。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集中控制：会中可以对终端进行欢迎页面、会议信息、显示人名、会议标语等画面的切换，同时支持统一升降机控制、统一开关机。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会议投票：对于已启用的投票，参会人员可以进行投票，也可以实时查看结果，支持会议投票列表，历史投票记录。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会议交流：可以进行系统通知或与单个或多个参会人员进行会议交流。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会议服务：会中及时接收会议服务信息并进行处理。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服务器配置：符合信创要求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CPU：信创64位处理器、主频2.2GHz；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内存≥双通道 DDR3,支持 8 个 DDR3 内存槽（每个 CPU 4个），标配16G，最大支持 64GB 内存(8GB x8)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硬盘≥512G固态硬盘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板载接口：4*USB2.0接口；4*千兆自适应网口，1*系统管理网口；1*VGA 接口；6*SATA接口；1*PCIEX16插槽、2*PCIEX8插槽、1*PCIEX4插槽；1*32 位33MHz PCI 插槽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电源：1+1 冗余电源、热插拔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SATA：板载6个SATA接口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国产操作系统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符合信创要求，信创服务器版</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数据库</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符合信创要求，信创数据库</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后台管理软件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支持国产系统，具备国产操作系统环境中运行无纸化会议系统的功能。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种会议功能，可现实会场布局，信息编辑、修改及背景自定义，可自定升级。友好的后台操作管理平台，具有历史服务申请记录、历史消息记录；支持实时批注、原迹保存等实用功能；可通过服务器端软件开启、关闭需要使用的本系统终端软件、可通过服务器端软件控制会议终端的开机、关机、重启;会议中控控制功能模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安装在控制主机上，提供无纸化系统会前、会中、会后所有功能的后台操作，系统含会议服务软件、文件管理软件；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支持多会议室管理，可根据实际需要对每个会议室单独设置是否需要审批，可设置会议室审批人员，可设置多个审批人员进行会议室审批管理；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支持客户端访问模式、WEB访问模式，支持管理员登陆、参会人登录，支持参会人会前预览会议资料，支持历史会议资料检索归档；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支持多管理员管理（三员分权管理），不同管理员创建的会议互相保密。系统管理员有管理所有会议的权限，有效提高系统安全性；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支持会议全过程自动保存操作日志（建会日志、修改密码日志、登陆日志、下载文档日志、阅览文档日志、上传文档日志等等）；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支持分布式后台部署，任一台服务器可作为主服务器，随时任意切换本地会议与上联会议；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支持NAT内网穿透，可跨网段跨地域联动开会；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数据接口遵循webservice标准，支持功能自定义及与办公OA系统对接；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支持根据不同会议需求客户端界面功能图标自定义开放与隐藏。子政务、国防等众多战略领域的安全隐患；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符合信创要求，适配信创服务器操作系统。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模拟排位：为了稳定界面中可直接支持模拟排位，不需要调用第三方程序，支持会前模拟会议室对参会人员进行排位，并导出排位图。同时支持在模拟排位图上直接更改参会人员信息，支持参会人员的临时增加人员和临时减少人员，增加删减后人员自动按规律重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视频播放：支持对服务器中的视频进行任意点播，支持实时观看视频流直播，可全屏显示视频。支持播放4K高清视频，视频帧率达到25帧，延时小于0.3ms。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智能流媒体终端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上架机箱，低功耗无风扇静音设计；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支持的接口：DVI、VGA、YpbPr、HDMI、BNC；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编码路数：1路；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支持的最高分辨率：1080P、60fps；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电源输入220V、45W；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输出接口：RJ45；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输出码流：2Mbps；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支持动态修改分辨率，支持断电、断线自动重连 ；适配国产服务器操作系统。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支持将会场的视频网络信号转换为高清HDMI信号输出到外部视频接口，如远处信号输入接口，投影幕接口，大屏接口，矩阵输入接口等；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支持信号格式自动转换功能，网络数据信号转换成数字信号，数字信号自动转换成网络信号传输。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支持外部信号的接入，可以将外部高清视频信号画面给到无纸化升降器。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嵌入式流媒体分享控制系统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支持无纸化会议系统外部高清视频信号输入和视频信号同步输出的同步、异步处理转换处理，实现无纸化会议系统与其他视频设备的无缝对接。</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内嵌高清、标清视频信号处理模块，同步、异步处理视频信号输入、输出。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支持HDMI、VGA、AV信号输入，外部信号通过此接口实时广播画面到所有会议终端并同步显示。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符合信创要求；适配国产服务器操作系统。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（4）发言系统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发言独立升降器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功能：发言咪杆一体式独立升降，无需人工扶正麦克杆，升降可独立自动拉直麦克杆并下降隐藏，不碰触麦克风，自动保证麦克在孔位正中心，升起设备不顶到隐藏面板，保证麦克杆安全平稳的升起，可通过中控独立设置话筒升降或液晶终端升降或话筒及液晶屏同时升降、独立升降。</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嵌入式会议发言</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言单元采用可嵌入式鹅颈话筒，具有发言控制功能，单元具有发言单键与指示灯,会议发言支持自由讨论功能，支持先进先出功能，支持主席机单元全权控制会场发言开关及秩序优先功能等多种功能。话筒按键配有多色显示的指示,提示使用者当前发言状态。使用可插拔的话筒杆，拾音头对手机等无线信号具有抗干扰的的功能，有啸叫抑制功能，具有高灵敏度、高清晰度、稳定、纯正的声音效果,设有高、低音数码调节电路，独立调整系统音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有线会讨主机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主控机与会议系统单体连接之数位控制及声音信号采用同一电缆传送（八芯）</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可独立运作或是外接电脑结合软体同步联动操作，实现多种会务管理功能(会议模式或操作：指定发言、自由发言、申请发言及先进先出发言等)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单机可实现下列几个会议功能：开放式会议、限制发言、先进先出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发言6芯双公头延长电缆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6芯双公头延长电缆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条</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（5）扩声系统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全频扬声器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采用阵列技术，120 </w:t>
            </w:r>
            <w:r>
              <w:rPr>
                <w:rStyle w:val="289"/>
                <w:color w:val="auto"/>
                <w:sz w:val="18"/>
                <w:szCs w:val="18"/>
                <w:highlight w:val="none"/>
                <w:lang w:val="en-US" w:eastAsia="zh-CN" w:bidi="ar"/>
              </w:rPr>
              <w:t>º</w:t>
            </w:r>
            <w:r>
              <w:rPr>
                <w:rStyle w:val="149"/>
                <w:color w:val="auto"/>
                <w:sz w:val="18"/>
                <w:szCs w:val="18"/>
                <w:highlight w:val="none"/>
                <w:lang w:val="en-US" w:eastAsia="zh-CN" w:bidi="ar"/>
              </w:rPr>
              <w:t>宽广水平扩散角；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线性阵列声音特性（垂直角度控制严密，声音衰减缓慢）；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适合具有声学设计挑战的场所，满足较高语言清晰度和音乐播放的需求；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4英寸中低频单元2只+1英寸高频单元1只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扬声器覆盖角度：水平120</w:t>
            </w:r>
            <w:r>
              <w:rPr>
                <w:rStyle w:val="289"/>
                <w:color w:val="auto"/>
                <w:sz w:val="18"/>
                <w:szCs w:val="18"/>
                <w:highlight w:val="none"/>
                <w:lang w:val="en-US" w:eastAsia="zh-CN" w:bidi="ar"/>
              </w:rPr>
              <w:t>º×</w:t>
            </w:r>
            <w:r>
              <w:rPr>
                <w:rStyle w:val="149"/>
                <w:color w:val="auto"/>
                <w:sz w:val="18"/>
                <w:szCs w:val="18"/>
                <w:highlight w:val="none"/>
                <w:lang w:val="en-US" w:eastAsia="zh-CN" w:bidi="ar"/>
              </w:rPr>
              <w:t>垂直90</w:t>
            </w:r>
            <w:r>
              <w:rPr>
                <w:rStyle w:val="289"/>
                <w:color w:val="auto"/>
                <w:sz w:val="18"/>
                <w:szCs w:val="18"/>
                <w:highlight w:val="none"/>
                <w:lang w:val="en-US" w:eastAsia="zh-CN" w:bidi="ar"/>
              </w:rPr>
              <w:t>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频率响应：80 Hz - 18 kHz ± 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扬声器功率(持续/节目/峰值)：80/160/320 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灵敏度：90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分频点：3 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最大声压级：112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额定阻抗：8Ω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采用高效率的D类电路,转换率高达95%；消耗小电源利用率高。</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所有均采用1U高度设计；电源部分采用了高效率的开关电源;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输出功率：2×150W 8Ω，2×250W 4Ω.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信号输入： 平衡接口和非平衡接口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频响范围： 20 Hz—20 KHz (-1dB)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失真：&lt;0.01%@8Ω1KHz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＞60dB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转换数率：30V/us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阻尼系数：  &gt;600@8ohm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输入阻抗：平衡20K，非平衡10K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输入灵敏度：0 dB /0.775V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数字音频处理器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48bit/96khz DSP处理A/D、D/A转换，高达96k取样率；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用AES67网络音频标准，POE供电方式，支持和符合AES67网络音频标准的协议互联互通如Dante，Q-LAN，Ravenna 等协议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4路平衡线路输入，4路平衡线路输出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高质量数控前置话放，增益范围0-36dB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最高输入电平：线路+15dBu （0dB增益），话筒-39dBu（30dB增益）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输出参考电平+4dBu，最高电平+24dBu</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双100M/1000M网络接口，支持交换机模式和主备冗余模式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内置DSP处理，可在PC 端远程参数调节，包含分频、均衡、动态、延时、音量、混音、 话放增益等控制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DSP参数控制均能通过网络完成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支持网络POE供电及外置电源适配器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面板自带LED点阵，直观显示电平表及整机工作状态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 20Hz-20kHz,±0.5dB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采样率： ≥48khz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总谐波失真THD+N：&lt;0.003%@4dBu,1KHz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阻抗：20kΩ（平衡式）10kΩ（非平衡式）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最高信号电平（平衡）：-45dBu</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讯燥比:  ≥110dB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电源：PoE IEEE802.3af 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时序电源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单路的动作延时时间不大于1mS；</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额定输出电压：交流220V/50Hz；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可控制电源不小于 8路；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电源：AC 50/60Hz ，25A；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每路带指示灯；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锁匙开关控制电源；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单路额定输出电流：30A。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壁托音箱支架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壁托音箱支架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调音台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均衡：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中低：80Hz－1.9kHz±15dB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中高：550Hz－13KHz±15dB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高：12KHz±15dB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增益控制：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单声道：-38dB-0dB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磁带：-8dB-0dB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频率响应：20Hz-20 KHz (+1dB, -3dB)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总谐泼失真：≤0.0065% (1KHz, 0.775V)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剩余噪声输出：-88dB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串音：-80dB邻近通道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峰值指示灯：-3dB限幅电平时亮灯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工作温度：0℃~ +45℃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存放温度：-10℃ ~ +60℃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电源：90～240V AC，50/60Hz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12路单声道，两立体声；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配置GB30前置放大器；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2路辅助输出;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（6）其他设备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会议桌、会议椅</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定制（包括1张标准19人会议桌和52张标准会议椅，会议桌需开槽安装19台升降一体机）</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桌插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国产22U标准网络机柜</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辅材线材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国产线缆，包含六类网线、HDMI线、电源线、音频线、音箱线及辅材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（7）检委会会议室集成服务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检委会会议室集成服务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包含检委会会议室设备采购、运输、安装、调试、测试等系统集成服务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党组会议室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（1）音频扩声系统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发言主机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包括18只有线鹅颈话筒（1只主席单元，17只列席单元）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单元容量： 多功能会议单元180台,可扩展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 20~20kHz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102dB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动态范围： 106dB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总谐波失真：&lt;0.05%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通道分离度： 102dB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通道数： 可扩展8/16/32/64 CH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控制类型： RS－232/RS－485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单元连接头： 大6芯 DIN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桌面式会议单元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系统容量：视主机数量而定，≤4096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频率响应：18-20kHz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麦克风类型：电容式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连接方式：一线式“手拉手”连接方式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视频跟踪功能：具备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采用高效率的D类电路,转换率高达95%；消耗小电源利用率高。</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所有均采用1U高度设计；电源部分采用了高效率的开关电源;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输出功率：2×150W 8Ω，2×250W 4Ω.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信号输入： 平衡接口和非平衡接口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频响范围： 20 Hz—20 KHz (-1dB)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失真：&lt;0.01%@8Ω1KHz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＞60dB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转换数率：30V/us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阻尼系数：  &gt;600@8ohm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输入阻抗：平衡20K，非平衡10K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输入灵敏度：0 dB /0.775V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线型阵列扬声器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采用阵列技术，120 </w:t>
            </w:r>
            <w:r>
              <w:rPr>
                <w:rStyle w:val="289"/>
                <w:color w:val="auto"/>
                <w:sz w:val="18"/>
                <w:szCs w:val="18"/>
                <w:highlight w:val="none"/>
                <w:lang w:val="en-US" w:eastAsia="zh-CN" w:bidi="ar"/>
              </w:rPr>
              <w:t>º</w:t>
            </w:r>
            <w:r>
              <w:rPr>
                <w:rStyle w:val="149"/>
                <w:color w:val="auto"/>
                <w:sz w:val="18"/>
                <w:szCs w:val="18"/>
                <w:highlight w:val="none"/>
                <w:lang w:val="en-US" w:eastAsia="zh-CN" w:bidi="ar"/>
              </w:rPr>
              <w:t>宽广水平扩散角；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线性阵列声音特性（垂直角度控制严密，声音衰减缓慢）；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适合具有声学设计挑战的场所，满足较高语言清晰度和音乐播放的需求；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4英寸中低频单元2只+1英寸高频单元1只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扬声器覆盖角度：水平120</w:t>
            </w:r>
            <w:r>
              <w:rPr>
                <w:rStyle w:val="289"/>
                <w:color w:val="auto"/>
                <w:sz w:val="18"/>
                <w:szCs w:val="18"/>
                <w:highlight w:val="none"/>
                <w:lang w:val="en-US" w:eastAsia="zh-CN" w:bidi="ar"/>
              </w:rPr>
              <w:t>º×</w:t>
            </w:r>
            <w:r>
              <w:rPr>
                <w:rStyle w:val="149"/>
                <w:color w:val="auto"/>
                <w:sz w:val="18"/>
                <w:szCs w:val="18"/>
                <w:highlight w:val="none"/>
                <w:lang w:val="en-US" w:eastAsia="zh-CN" w:bidi="ar"/>
              </w:rPr>
              <w:t>垂直90</w:t>
            </w:r>
            <w:r>
              <w:rPr>
                <w:rStyle w:val="289"/>
                <w:color w:val="auto"/>
                <w:sz w:val="18"/>
                <w:szCs w:val="18"/>
                <w:highlight w:val="none"/>
                <w:lang w:val="en-US" w:eastAsia="zh-CN" w:bidi="ar"/>
              </w:rPr>
              <w:t>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频率响应：80 Hz - 18 kHz ± 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扬声器功率(持续/节目/峰值)：80/160/320 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灵敏度：90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分频点：3 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最大声压级：112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额定阻抗：8Ω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调音台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16路单声道，两立体声；</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配置GB30前置放大器；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2路辅助输出;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数字音频处理器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48bit/96khz DSP处理A/D、D/A转换，高达96k取样率；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用AES67网络音频标准，POE供电方式，支持和符合AES67网络音频标准的协议互联互通如Dante，Q-LAN，Ravenna 等协议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4路平衡线路输入，4路平衡线路输出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高质量数控前置话放，增益范围0-36dB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最高输入电平：线路+15dBu （0dB增益），话筒-39dBu（30dB增益）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输出参考电平+4dBu，最高电平+24dBu</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双100M/1000M网络接口，支持交换机模式和主备冗余模式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内置DSP处理，可在PC 端远程参数调节，包含分频、均衡、动态、延时、音量、混音、 话放增益等控制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DSP参数控制均能通过网络完成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支持网络POE供电及外置电源适配器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面板自带LED点阵，直观显示电平表及整机工作状态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 20Hz-20kHz,±0.5dB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采样率： ≥48khz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总谐波失真THD+N：&lt;0.003%@4dBu,1KHz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阻抗：20kΩ（平衡式）10kΩ（非平衡式）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最高信号电平（平衡）：-45dBu</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讯燥比:  ≥110dB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电源：PoE IEEE802.3af 标准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8路时序器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工业级宽电压开关电源(具有高可靠性，高抗干扰能力，真正宽电压“国家宽电压工业标准85V-265V”的特点)</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采用双面板+SMT表面贴片工艺，大电流继电器，高精度磷铜输出万能插座，确保产品超高品质。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8路电源时序控制，每路延时1秒，更好保护的设备正常运行。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整机容量50A ，进线采用符合CCC要求的国标4平方RVV软电缆，内部设计保留20%电流余量，机器继电器线路板用2MM直径的铜棒加粗保证大电流的良好通过性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共提供8个插座输出，高精度磷铜铜片，万能插座适合各种插头。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面板配2路常开电源座，方便临时用电。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MCU控制的智能化设计，更好的保证机器稳定、高效率运行。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配置RS232和RS485接口（可以通过外部中控设置发送指令对机器动作进行控制）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 AC 85V-265V/50Hz，单相3线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总容量 Maximal 35A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 Channel 1~8,共8个万能插座，每个插座13A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面板控制 时序控制开关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配置高分辨率LCD显示屏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20米会议专用电缆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6芯配套20米会议延长线缆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（2）周边辅材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国产22U标准网络机柜</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多媒体插座</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多媒体插座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4进4出HDMI矩阵</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HDMI4进4出矩阵</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最高分辨率：4K*2K/30HZ、1920*1080/60HZ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最大传输距离：输入20米，输出20米（4K*2K/30HZ）；输入30米，输出30米（1920*1080/60HZ）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支持蓝光、3D格式传输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切换速度：≤150ns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（3）党组会议室集成服务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党组会议室集成服务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包含党组会议室设备采购、运输、安装、调试、测试等系统集成服务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综合指挥中心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（1）显示系统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全彩LED终端（核心产品）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要求显示箱体尺寸不小于600mm*337.5mm；LED显示终端箱体为压铸铝合金材质, 一次性整体压铸成型，全金属自然散热结构，箱体内部无风扇，无孔，防尘，静音设计。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10.935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点间距≤点间距：0.9375mm；像素密度：1137777点/㎡；采用RGB晶片全倒装技术，发光晶片单边尺寸≤100μm，COB封装，无引线，支持巨量转移技术，箱体分辨率≥640×360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表面工艺：采用多层光学结构设计，提升对比度，解决黑屏一致性问题，过滤蓝光，健康护眼；发光面光泽度≤10GU；反光率≤1.5%；墨色一致性△ECIE&lt;0.5；色准△E&lt;0.9；有效抑制90%摩尔纹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箱体设计：超轻薄箱体设计，箱体厚度不大于30mm；箱体采用完全前维护设计；满足JIS K 5400和GB/T230.1-2018金属材料洛氏硬度试验第1部分试的HRC8级；箱体抗拉强度＞200Mpa，屈服强度＞200Mpa，硬度＞80HBS；抗拉力测试数值＞4800N/㎡，抗压力测试数值＞49000N/㎡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模组设计：高集成三合一板卡设计，电源、接收卡、HUB板一体化，板内无线连接；支持直接热插拔；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显示终端亮度支持≥600 cd/m</w:t>
            </w:r>
            <w:r>
              <w:rPr>
                <w:rStyle w:val="208"/>
                <w:color w:val="auto"/>
                <w:sz w:val="18"/>
                <w:szCs w:val="18"/>
                <w:highlight w:val="none"/>
                <w:lang w:val="en-US" w:eastAsia="zh-CN" w:bidi="ar"/>
              </w:rPr>
              <w:t>²</w:t>
            </w:r>
            <w:r>
              <w:rPr>
                <w:rStyle w:val="332"/>
                <w:color w:val="auto"/>
                <w:sz w:val="18"/>
                <w:szCs w:val="18"/>
                <w:highlight w:val="none"/>
                <w:lang w:val="en-US" w:eastAsia="zh-CN" w:bidi="ar"/>
              </w:rPr>
              <w:t>，色温1000K~10000K(可调)，视角水平170°/垂直170°，支持单点亮度色度校正，发光点中心距偏差＜1%，对比度20000:1，换帧频率≥60Hz，画面刷新率≥3840Hz；灰度等级0~22bit可调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箱体间平整度/缝隙：≤0.1mm；像素点失控率:≤1/1000000,无连续失控点；亮度均匀性 ≥98%；色度均匀性：Cx,Cy± 0.002；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视觉健康舒适度符合CSAO35.2-2017 VICO 指数1级要求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LED显示终端经济节能，要求峰值功耗：≤230W/m</w:t>
            </w:r>
            <w:r>
              <w:rPr>
                <w:rStyle w:val="208"/>
                <w:color w:val="auto"/>
                <w:sz w:val="18"/>
                <w:szCs w:val="18"/>
                <w:highlight w:val="none"/>
                <w:lang w:val="en-US" w:eastAsia="zh-CN" w:bidi="ar"/>
              </w:rPr>
              <w:t>²</w:t>
            </w:r>
            <w:r>
              <w:rPr>
                <w:rStyle w:val="332"/>
                <w:color w:val="auto"/>
                <w:sz w:val="18"/>
                <w:szCs w:val="18"/>
                <w:highlight w:val="none"/>
                <w:lang w:val="en-US" w:eastAsia="zh-CN" w:bidi="ar"/>
              </w:rPr>
              <w:t>，平均功耗：≤110W/m</w:t>
            </w:r>
            <w:r>
              <w:rPr>
                <w:rStyle w:val="208"/>
                <w:color w:val="auto"/>
                <w:sz w:val="18"/>
                <w:szCs w:val="18"/>
                <w:highlight w:val="none"/>
                <w:lang w:val="en-US" w:eastAsia="zh-CN" w:bidi="ar"/>
              </w:rPr>
              <w:t>²</w:t>
            </w:r>
            <w:r>
              <w:rPr>
                <w:rStyle w:val="332"/>
                <w:color w:val="auto"/>
                <w:sz w:val="18"/>
                <w:szCs w:val="18"/>
                <w:highlight w:val="none"/>
                <w:lang w:val="en-US" w:eastAsia="zh-CN" w:bidi="ar"/>
              </w:rPr>
              <w:t>；具备智能（黑屏）节电功能，开启智能节电功能比没有开启节能80%以上；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LED显示终端温升：要求环境温度在25℃时，屏体在600nits白屏状态下，运行3小时，屏体表面温升≤10℃;LED显示屏正常使用达到热平衡后，屏体结构金属部分、绝缘材料温升≤10℃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防火要求：所投产品符合BS476-7标准Class 2等级；UL94标准 V-0级；GBT5169.16-2017标准 V-0级；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产品符合GBT20145-2006灯和灯系统的光生物安全性辐亮度无危险标准及GBT20145-2006灯和灯系统蓝光危害无危害测试要求；视网膜蓝光危害LB∶≤1W/（m2·sr）；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LED显示终端防护等级达到IP65级别，防霉符合GBT2423.16-2017测试要求 0级；防腐蚀符合GB/T 6461-2002测试要求10级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设备在正常工作条件下，连续工作7x24h(168h)，不应出现电、机械或操作系统的故障；使用寿命≥120,000小时；MTBF≥120,000小时；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烟气毒性测试：箱体单元烟气毒性测试符合BS6853标准，R(max.)≤1；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LED显示终端能效：依据GB21520-2015，能效一级；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具有以多种不同LED矩形显示单元为基础的任意不规则拼接，具有每块LED显示单元自定义有效显示区。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具有在任一输出通道打开多个窗口，显示图像内容。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具有已开窗窗口任意互相叠加。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具有窗口在多个输出通道共同显示区域内的位置任意移动。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具有窗口大小改变，具有比例任意调整。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图像信号无压缩、无失真传输。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具有整墙画面拼接同步显示功能，快速移动画面无撕裂、错位现象。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具有图像无缝切换功能，图像切换无黑场现象，切换时间&lt;20ms。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具有2路HDMI2.0、2路HDMI1.3、2路HDMI1.4信号输入，32路RJ45网口输出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平均无故障时间 &gt;90000小时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单台设备功耗小于500W。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显示终端配套控制软件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登录功能：具有单一客户端、多个客户端登录功能，支持默认认布局登录。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场景轮循功能：支持添加、修改、删除场景轮循功能，支持场景循环分组功能。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拼接控制器设置功能：支持添加、修改、删除拼接控制器及拼接控制器信息查看功能。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显示屏设置功能：支持添加、修改、删除LED显示终端。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主体钢架及包边</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根据现场情况定制钢结构及装饰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10.935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智能配电柜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15KW定制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通讯线缆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控制室到显示屏：CAT6*30根</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配电箱进线电缆：YJV5*6mm</w:t>
            </w:r>
            <w:r>
              <w:rPr>
                <w:rStyle w:val="208"/>
                <w:color w:val="auto"/>
                <w:sz w:val="18"/>
                <w:szCs w:val="18"/>
                <w:highlight w:val="none"/>
                <w:lang w:val="en-US" w:eastAsia="zh-CN" w:bidi="ar"/>
              </w:rPr>
              <w:t>²</w:t>
            </w:r>
            <w:r>
              <w:rPr>
                <w:rStyle w:val="332"/>
                <w:color w:val="auto"/>
                <w:sz w:val="18"/>
                <w:szCs w:val="18"/>
                <w:highlight w:val="none"/>
                <w:lang w:val="en-US"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（2）音频扩声系统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一拖四无线主机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流动发言，含4只无线手持话筒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采用分集式接收技术. 信号更稳定. 接收距离更远 . 适用更广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采用2U标准机箱. 系统菜单彩色大屏显示,内容更清楚 . 每通道射频与音频工作状态由独立的LED灯显示,更直观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四通道音量独立可调. SQ独立可调. IR红外对频独立控制. 提供4+2音频输出模式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发射器电池电量实时监控. 系统菜单内存了6组叠机频率可以调取使用. 发射器会议/手持/领夹可以混搭使用.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系统工作频率设定为4 X 100频点. 每个通道均设有100个频点可调 . 系统频率范围默认为640-690 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专业演出级别的相位锁定电路,配合杂讯锁定静噪控制与数码导频技术, 当发射器关闭时，导频控制将AF信号静音以抑制噪声，同时将对应的接收机静音。保证了对干忧信号的有效阻隔.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发射规格：</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1、管身材质：全铝金属管体。</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2、振荡模式：PLL相位锁定频率合成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3、载波频段：UHF640~690MHz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4、频带宽度：50MHz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5、频率调整：自动追锁接收机工作频道/手动调节</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6、输出功率：15mW</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7、谐波幅射：＜55dBc</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8、最大偏移度：±48KHz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9、音头：动圈式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10、使用电池：5号（AA）电池两只</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kern w:val="0"/>
                <w:sz w:val="18"/>
                <w:szCs w:val="18"/>
                <w:highlight w:val="none"/>
                <w:u w:val="none"/>
                <w:lang w:val="en-US" w:eastAsia="zh-CN" w:bidi="ar"/>
              </w:rPr>
              <w:t>11、操作显示：LCD同时显示电池容量，频道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接收机规格：</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1、振荡模式：PLL相位锁定频率合成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2、射频稳定度：±0.005%（-10~50℃）</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3、载波频率：UHF740~790MHz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4、频率宽度：50MHz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5、信道：200CH（以250KHz步进）</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6、操作方式：手动调整</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7、灵敏度：在偏移度等于25KHz。输入–95dBm时，S/N＞80Db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8、最大偏移度：±48KHz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9、综合S/N比：＞102Db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10、综合T.H.D：＜0.5%@1KHz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11、频率响应：60Hz~15KHz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12、最大输出电压：0dbV@45KHz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13、输出插座：XLR平衡式及6.3不平衡式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14、音量输出调整：电位器式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15、静音控制模式：音码及杂讯双重静音控制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16、静音调整：-65dB~-100dB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17、SQ可调: SQ可调（约30米~200米离距离可调）</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18、电源供应：DC12~15V/1000-2000mA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一拖二无线主机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流动发言，含2只无线鹅颈话筒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高稳定/鹅颈座式会议话筒。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双通道UHF无线系统，每通道100个频率可选。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背光式LED显示终端指示了RF和AF信号强度，电池状态，分集通道指示（A/B），频率，频率组/频道等工作状态。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采用数字音码锁定技术，有效阻隔使用环境中的杂讯干扰。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采用最新红外线自动对频（IR）技术，设定和操作更简便。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2支话筒可互换使用，通用性强。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综合参数：</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1、频率范围：610MHz-670MHz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2、信道数目: 200个</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3、信道间隔:  300KHZ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4、频率稳定度:  ±0.005%</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5、动态范围:  100db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6、最大偏移:  ±45KHZ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7、音频频率响应:  40HZ-18KHZ(±2db)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8、综合信噪比: &gt;105db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kern w:val="0"/>
                <w:sz w:val="18"/>
                <w:szCs w:val="18"/>
                <w:highlight w:val="none"/>
                <w:u w:val="none"/>
                <w:lang w:val="en-US" w:eastAsia="zh-CN" w:bidi="ar"/>
              </w:rPr>
              <w:t>9、综合失真：≤0.5%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接收机：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1、中频：110MHZ. 10.7MHZ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2、天线接入：TNC/50Ω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3、灵敏度：12dBuV(80db S/N)</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4、灵敏度调节范围：12-32dBuV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5、杂散抑制：≥75db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6、最大输出电平：+10dbv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7、供电方式： 直流12V 400mA输入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发射机：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1、输出功率：15MW</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2、音频频率响应：40~18,000Hz，（+1 dB，-3 dB）.整体系统频率响应取决于选取的话筒单元</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3、杂散抑制： -60db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4、电池寿命： 正常功率发射时，可使用超过20小时。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kern w:val="0"/>
                <w:sz w:val="18"/>
                <w:szCs w:val="18"/>
                <w:highlight w:val="none"/>
                <w:u w:val="none"/>
                <w:lang w:val="en-US" w:eastAsia="zh-CN" w:bidi="ar"/>
              </w:rPr>
              <w:t>5、使用距离: 理想工况下有效使用距离为50米.复杂环境下有效使用距离不小于30米.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无线信号放大器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频率范围：500-900MHz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输入截断点：+22dBm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噪声比：4.0dB Type(Center Band)</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增益：+6-9dB(Center Band)</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输出阻抗：15dB min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阻抗：50Ω  指向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频宽：300MHz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插座：TNC female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电源供应：100-240V/50/60Hz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电源消耗：170mA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主要特点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提供使用2~4台UHF无线系列或其他系列各种自动选讯接收机的多頻道系统，共用一对天线，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以简化天线装配工程，提升接收距离及效能。采用高动态低难讯之主动元件及主动回馈稳流偏压的最新设计，具有超低內调失真特性，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能在多頻道同时使用排除混頻干扰，其输出增益约等于1。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天线输入插座可以直接配置适用頻帶范围內的各种单竿天线、同軸天线、延长天线组及对数定向天线组。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天线输入接座具有供应强波器的电源，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可直接连接具有天线强波器的延长天线组及內建强波器的对数定向天线组。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四组电源输出：12V/600~1000mA。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8寸同轴扬声器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高品质8寸同轴吸顶会议音箱；</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单元组成：LF：1x8"低音单元 / HF：1x1.0"高音单元；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额定功率：100W/8Ω；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频率范围：60Hz-20KHz；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灵敏度(1m/1W)：91dB。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输出功率：2*400W/8Ω，2*750W/4Ω，2*1100W/2Ω，桥接8Ω 800W，桥接4Ω 1100W；</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信号输入：平衡插座，XLR插脚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信噪比：103dB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失真：&lt;0.03%@8Ω1KHz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输入阻抗：20KΩ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频响范围：35Hz—20KHz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阻尼系数:&gt;400@8ohm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线型阵列扬声器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驱动单元：4x3"铁氧体；</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额定阻抗：8Ω；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额定功率：100W（400W，PEAK）；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特性灵敏度级（m/W）：89dB；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指定频带内的声压级：107dB；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有效频率范围：80Hz~18kHz；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外壳材料：ABS混合玻璃纤维强化箱体；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网罩材料：铝；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扩散角度：垂直20°，水平120°；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安装孔：10个M6；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安装系统：智能安装支架/嵌入式安装支架；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调音台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20通道设计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12单声道，4立体声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平衡XLR输出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4辅助编组，2推子前折返，1衰减后辅助，1衰减后效果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9段立体声均衡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24DSP效果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外接立体声效果输入与内部效果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USB录音功能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LR主要TRS输出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可机架安装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数字音频矩阵</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16路模拟音频输入16路模拟音频输出，支持麦克风输入和线路输入自由切换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带AEC回声消除功能和ANC噪声消除功能，适用于互动录播远程会议场合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每路麦克风输入带9级灵敏度调节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每路输入带48V幻相电源开关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每路输入带反馈抑制功能开关，两档调节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带AUTOMIX自动混音和矩阵混音功能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输入31段PEQ可调，输出10段PEQ可调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带视像跟踪控制功能，支持绝大多数国内外摄像头控制协议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USB免驱自动连接软件，另外支持RS232中控控制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支持触控屏线控控制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USB声卡，录音和音乐播放;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（3）灯光系统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触屏手绘1024控台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DMX512/1990标准，最大1024个DMX控制通道，两路光电隔离信号输出。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最大控制96台电脑灯或96路调光。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使用珍珠灯库（R20格式灯库），且控台上可自行编写灯库。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带背光的LCD显示屏，首创的中英文显示可切换界面。面板中英文可选。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内置图形轨迹发生器，有135个内置图形，方便用户对电脑灯进行图形轨迹控制，如画圆、螺旋、彩虹、追逐等多种效果。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图形参数（如：振幅、速度、间隔、波浪、方向）均可独立设置，更方便快捷的做出想要的造型和场景。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每个场景可保存图形数量5个；同时可运行图形数量10个。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可储存60个素材，支独享素材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可储存60个重演场景，用于储存多步场景和单步场景。每个多步场景最多可储存600个单步。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可同时输出和运行10个重演场景。带10根集控推杆。按键点控和推杆集控兼容。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支持重新配节地址码、垂直水平交换、通道输出反向等功能。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关机或者突发断电等情况数据可记忆保持。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U盘可备份控台数据，并支持重新导入到控台使用，同型号控台数据可共享。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支持远程软件升级，随时随地增加新的能。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预置推杆可控制电脑灯的属性，属性控制更方便快捷。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支持立即黑场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8路信号放大器</w:t>
            </w:r>
          </w:p>
        </w:tc>
        <w:tc>
          <w:tcPr>
            <w:tcW w:w="3531" w:type="pct"/>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适用于DMX512接口信号的扩展、分配及信号的放大，同时起到信号隔离作用，避免因控制电气线路、灯具损坏造成的问题导致损毁灯光控制台；</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可将灯光控制台的单通道输出扩展至8通道输出，同时兼备DMX512控制协议，8通道输出信号隔离进行及信号同步放大，各通道互不干扰；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对长距离DMX512信号传输进行放大后传输至各种灯具，提升灯光控制系统的可靠性；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接口类型：1通道三芯信号卡侬头输入，1通道三芯信号卡侬头直通信号输出，8通道三芯信号卡侬头隔离信号输出；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电源连接：三芯品字形三插电源输入；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外壳材质：钢材；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电压:AC100- 240V/50-60Hz；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12路电源直通箱</w:t>
            </w:r>
          </w:p>
        </w:tc>
        <w:tc>
          <w:tcPr>
            <w:tcW w:w="3531" w:type="pct"/>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接口类型：1套犀牛插座（三相五线）输入，1个品字形插座输出，12个胶木插座输出；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总功率：48KW，单通道功率：4KW；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6"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外壳材质：铝材；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电压:三相五线AC380±10%，50HZ±%；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w:t>
            </w:r>
          </w:p>
        </w:tc>
        <w:tc>
          <w:tcPr>
            <w:tcW w:w="428" w:type="pct"/>
            <w:gridSpan w:val="2"/>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LED三基色</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领导席2排，每排4个三基色顶灯，嵌入式安装</w:t>
            </w:r>
          </w:p>
        </w:tc>
        <w:tc>
          <w:tcPr>
            <w:tcW w:w="306"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台</w:t>
            </w:r>
          </w:p>
        </w:tc>
        <w:tc>
          <w:tcPr>
            <w:tcW w:w="488" w:type="pct"/>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额定功率不小于200W；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灯珠数量不小于432颗；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色温:3200k-6500K；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颜色:暖白、正白、双色温；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显色指数：Ra≥95；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光照角度：120°；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通道数量：2个通道；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控制方式；DMX512,手动；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调光功能：0%-100%线性调光；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控制设定：数码显示管调节地址码；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信号连接：三芯XLR信号输入输出手拉手连接；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电源连接：三芯品头电源连接；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冷却系统：铝合金铸铝箱体自然散热；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外壳材质：铝合金；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电压:AC100- 240V/50-60Hz；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开孔尺寸不小于510mm（L）*305mm（W）。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（4）环境管理系统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集中控制系统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配有10个串口（RS232\RS485\422）、8个红外口、8个继电器口、8个IO口、1个双向网口（可对外控制UDP/TCP网络设备）、1个NET口、1个TF卡接口、13个状态指示灯、8个按键或触摸屏，大量的控制接口作为后备和备份使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支持5台主机相互热备份，前一台主机死机或烧坏后，会自动切换到下一台继续工作。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控制软件同时支持IPAD平板电脑、安卓平板电脑、射频触摸屏、windows电脑，并且它们的界面完全相同，方便用户使用。可同时使用多种方式，互为备份。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支持万能双向网口，可控制带网口的设备，整台设备只用1个网口，1条网线，就可同时使用TCP和UDP方式。 TCP方式，可同时连接100多台被控设备，也可分时连接上万台网络受控设备。UDP方式，可广播发送，也可指定目标IP一对一发送，可支持数百个目标IP(UDP受控设备)。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支持双向反馈，界面可显示串口及网口被控设备的状态，支持脚本代码程序，可用代码程序处理被控设备的反馈协议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屏联动同步，支持多台平板电脑及windows电脑同时控制，一台终端(电脑)的操作结果会自动同时更新显示到别的终端（电脑）上，状态值由主机保存，控制终端（平板电脑）关闭后重新打开时，软件自动和主机同步，保证显示的开关状态、数值等为当前的实际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支持在平板电脑（安卓和IPAD）操作界面嵌入网页，嵌入视频播放组件，可播放常见种类的视频文件，也可以显示摄像头等的 RTSP\RTMP\HTTP视频流图像。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主机内置红外学习器，可把红外数据保存到电脑成为红外库文件，供后续工程或后续维护升级使用。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支持电脑脚本语言，用户可在现场编写和下载脚本程序，以实现更高级的逻辑控制功能，比如实现校验和计算。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支持端口间的数据相互转发，比如串口1收到的数据，可以从其它串口或网络输出，网络收到的数据也可从串口输出。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主机前面板带蓝光液晶显示终端，显示工作状态，显示主机的IP地址，</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前面板带8个可自定义功能的按键；可作为应急操作选项。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内置万年历电路，可让中控在指定时间自动执行控制操作。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非串口分配器式中控，串口等所有控制代码和程序保存在主机上，主机可执行逻辑控制，触摸屏仅保存一个控制ID号，减少网络通讯，提高响应速度和稳定性。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主机带有网口，不需配置接收器（转换器），以提高稳定性。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可通过互联网对主机进行编程和升级。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处理器：32位ARM处理器。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指令存储器：FLASH，大容量FLASH存储器，可保存高达3000条控制指令，满足任何场合的控制存储要求，支持扩展。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智能中控管理软件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配套控制软件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实现设备一键启动关闭、信号切换、电源管理；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无线交互终端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控制终端，11.5英寸，8+256GB，国产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8路时序器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电力输入条件(单相3线)：AC190-250V 50-60HZ两相（三线：零，火，地）</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支持通道数量：8路万用插座继电器受控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继电器受控输出最大承受单路功率/总功率(无功功率）：6000W/10000W最大承受无功功率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输出电源插座规格：阻燃ABS材料，最大可承受13A电流磷铜材质，标准万用插座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功能特点：1：点阵功能显示 2：液晶电压显示 3：支持面板LOCK锁定功能，防止人为误触 4：顺序开启逆序关闭，自由设定通道 6：COM中控控制（指令控制）或自带软件控制7：时间间隔可调8：自由通道关闭9：级联叠机ID:0-255 10：中控外控11：面板通道独立关闭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每路开关间隔时间/定时时间：默认1秒（可以自由设置）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输出继电器触点电流：30A 277VAC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电路板规格：双面纤维板，主电源走线二次加厚加粗处理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供电规格：内置开关电源，适用全球电压AC90-260V 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主电缆线规格：不小于3*4平方电缆线，总长度不小于1.5米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开启类型：按键式轻触开关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单路独立开关功能：支持面板独立控制（可软件设定控制）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功能显示电压显示表类型：点阵功能显示电压表与功能菜单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高清混合矩阵</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16路输入及16路输出，支持12路2K输入，4路4K输入，支持12路2K输出，4路4K输出。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无缝瞬间切换，不黑屏，不存在缓慢的过度动画，快如电影换镜头；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插卡式结构，混合输入输出，一卡四路，支持DVI、VGA、AV、HDMI、SDI、HDBaseT、YPbPr、光纤、网络等板卡。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支持多种控制接口，兼容性强，支持第三方（如中控）同时通过串口RS-232或RS485、红外、网络TCP、网络UDP对矩阵进行控制，硬件上提供2个串口，1个网口；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平台控制软件，适应性强，提供安卓app、苹果IOS的app、电脑控制软件，三种方式可同时使用。可在现场修改界面上所有通道的名称，方便用户记忆，可随意修改app的背景图片和颜色，可随意添加删除按钮，支持任何形状的按钮外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除app外，同时支持鸿蒙、Linux、Windows、苹果IOS等系统的浏览器Web网页控制，用户可自行在网页上修改输入输出通道的名称，方便记忆。打开网页时，必须先输入密码，提供密码管理修改功能。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面板上有15个硬件按钮和3个工作状态指示灯，通过这些可直接实现切换控制操作。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装有蓝色液晶显示终端，显示矩阵的工作状态（如查看输出输入通道的对应关系）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输入卡支持音频加嵌合成，输出卡支持音频解嵌，可同时输出模拟音频和数字音频，即声音可同时在HDMI接口和3.5音频接头输出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输出分辨率可调，以适应多种不同的显示屏。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输出刷新率可调，支持30HZ、50HZ、60HZ，以提高兼容性。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支持字幕，可通过网络和串口直接更改字幕内容，每路输入视频都可有独立不同的字幕，支持中文及英文两种语言；字幕可静止或滚动，可更改背景颜色，也可设置为透明背景，字体可调节颜色、大小；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可拼接，兼容了拼接处理器功能，支持普通电视、液晶显示器及DLP等实现大屏幕拼接功能；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自带音量控制器功能，每路输出音频可独立调节音量，提供串口协议，支持电脑、中控等第三方设备对它进行音量控制，音量大小可在电视、投影等显示设备上进行数字提示；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每个输出通道，可独立调节亮度、对比度、饱和度、锐利度，可对色温进行增益调节及补偿调节；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（5）周边辅材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多媒体插座</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多媒体插座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（6）综合指挥中心集成服务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综合指挥中心集成服务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包含综合指挥中心设备采购、运输、安装、调试、测试等系统集成服务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阶梯会议室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（1）显示系统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全彩LED终端（核心产品）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要求显示箱体尺寸不小于600mm*337.5mm；LED显示终端箱体为压铸铝合金材质, 一次性整体压铸成型，全金属自然散热结构，箱体内部无风扇，无孔，防尘，静音设计。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点间距≤1.25mm；像素密度：≥640000点/㎡；采用RGB晶片全倒装技术，发光晶片单边尺寸≤100μm，COB封装，无引线，支持巨量转移技术，箱体分辨率≥480×270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表面工艺：采用多层光学结构设计，提升对比度，解决黑屏一致性问题，过滤蓝光，健康护眼；发光面光泽度≤10GU；反光率≤1.5%；墨色一致性△ECIE&lt;0.5；色准△E&lt;0.9；有效抑制90%摩尔纹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箱体设计：超轻薄箱体设计，箱体厚度不大于30mm；箱体采用完全前维护设计；满足JIS K 5400和GB/T230.1-2018金属材料洛氏硬度试验第1部分试的HRC8级；箱体抗拉强度＞200Mpa，屈服强度＞200Mpa，硬度＞80HBS；抗拉力测试数值＞4800N/㎡，抗压力测试数值＞49000N/㎡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模组设计：高集成三合一板卡设计，电源、接收卡、HUB板一体化，板内无线连接；支持直接热插拔；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显示屏亮度支持≥600 cd/m</w:t>
            </w:r>
            <w:r>
              <w:rPr>
                <w:rStyle w:val="208"/>
                <w:color w:val="auto"/>
                <w:sz w:val="18"/>
                <w:szCs w:val="18"/>
                <w:highlight w:val="none"/>
                <w:lang w:val="en-US" w:eastAsia="zh-CN" w:bidi="ar"/>
              </w:rPr>
              <w:t>²</w:t>
            </w:r>
            <w:r>
              <w:rPr>
                <w:rStyle w:val="332"/>
                <w:color w:val="auto"/>
                <w:sz w:val="18"/>
                <w:szCs w:val="18"/>
                <w:highlight w:val="none"/>
                <w:lang w:val="en-US" w:eastAsia="zh-CN" w:bidi="ar"/>
              </w:rPr>
              <w:t>，色温1000K~10000K(可调)，视角水平170°/垂直170°，支持单点亮度色度校正，发光点中心距偏差＜1%，对比度20000:1，换帧频率≥60Hz，画面刷新率≥3840Hz；灰度等级0~22bit可调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箱体间平整度/缝隙：≤0.1mm；像素点失控率:≤1/1000000,无连续失控点；亮度均匀性 ≥98%；色度均匀性：Cx,Cy± 0.002；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LED显示屏能展现丰富的色域，NTSC色域覆盖率应≥110% ；视觉健康舒适度符合CSAO35.2-2017 VICO 指数1级要求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LED显示终端经济节能，要求峰值功耗：≤230W/m</w:t>
            </w:r>
            <w:r>
              <w:rPr>
                <w:rStyle w:val="208"/>
                <w:color w:val="auto"/>
                <w:sz w:val="18"/>
                <w:szCs w:val="18"/>
                <w:highlight w:val="none"/>
                <w:lang w:val="en-US" w:eastAsia="zh-CN" w:bidi="ar"/>
              </w:rPr>
              <w:t>²</w:t>
            </w:r>
            <w:r>
              <w:rPr>
                <w:rStyle w:val="332"/>
                <w:color w:val="auto"/>
                <w:sz w:val="18"/>
                <w:szCs w:val="18"/>
                <w:highlight w:val="none"/>
                <w:lang w:val="en-US" w:eastAsia="zh-CN" w:bidi="ar"/>
              </w:rPr>
              <w:t>，平均功耗：≤110W/m</w:t>
            </w:r>
            <w:r>
              <w:rPr>
                <w:rStyle w:val="208"/>
                <w:color w:val="auto"/>
                <w:sz w:val="18"/>
                <w:szCs w:val="18"/>
                <w:highlight w:val="none"/>
                <w:lang w:val="en-US" w:eastAsia="zh-CN" w:bidi="ar"/>
              </w:rPr>
              <w:t>²</w:t>
            </w:r>
            <w:r>
              <w:rPr>
                <w:rStyle w:val="332"/>
                <w:color w:val="auto"/>
                <w:sz w:val="18"/>
                <w:szCs w:val="18"/>
                <w:highlight w:val="none"/>
                <w:lang w:val="en-US" w:eastAsia="zh-CN" w:bidi="ar"/>
              </w:rPr>
              <w:t>；具备智能（黑屏）节电功能，开启智能节电功能比没有开启节能80%以上；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LED显示终端温升：要求环境温度在25℃时，屏体在600nits白屏状态下，运行3小时，屏体表面温升≤10℃;LED显示终端正常使用达到热平衡后，屏体结构金属部分、绝缘材料温升≤10℃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防火要求：所投产品符合BS476-7标准Class 2等级；UL94标准 V-0级；GBT5169.16-2017标准 V-0级；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产品符合GBT20145-2006灯和灯系统的光生物安全性辐亮度无危险标准及GBT20145-2006灯和灯系统蓝光危害无危害测试要求；视网膜蓝光危害LB∶≤1W/（m2·sr）；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LED显示屏终端防护等级达到IP65级别，防霉符合GBT2423.16-2017测试要求 0级；防腐蚀符合GB/T 6461-2002测试要求10级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设备在正常工作条件下，连续工作7x24h(168h)，不应出现电、机械或操作系统的故障；使用寿命≥120,000小时；MTBF≥120,000小时；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烟气毒性测试：箱体单元烟气毒性测试符合BS6853标准，R(max.)≤1；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LED显示终端能效：一级；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具有以多种不同LED矩形显示单元为基础的任意不规则拼接，具有每块LED显示单元自定义有效显示区。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具有在任一输出通道打开多个窗口，显示图像内容。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具有已开窗窗口任意互相叠加。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具有窗口在多个输出通道共同显示区域内的位置任意移动。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具有窗口大小改变，具有比例任意调整。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图像信号无压缩、无失真传输。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具有整墙画面拼接同步显示功能，快速移动画面无撕裂、错位现象。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具有图像无缝切换功能，图像切换无黑场现象，切换时间&lt;20ms。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具有4路HDMI2.0、2路HDMI1.3、2路HDMI1.4信号输入，52路RJ45网口输出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平均无故障时间 &gt;90000小时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单台设备功耗小于500W。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控制软件</w:t>
            </w:r>
          </w:p>
        </w:tc>
        <w:tc>
          <w:tcPr>
            <w:tcW w:w="3531" w:type="pct"/>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登录功能：具有单一客户端、多个客户端登录功能，支持默认认布局登录。</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场景轮循功能：支持添加、修改、删除场景轮循功能，支持场景循环分组功能。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拼接控制器设置功能：支持添加、修改、删除拼接控制器及拼接控制器信息查看功能。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显示屏设置功能：支持添加、修改、删除LED显示终端。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主体钢架及包边</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根据现场情况定制钢结构及装饰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智能配电柜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产品要求：30KW定制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为了方便对LED显示终端的使用，进一步提高系统的智能化管理和动力电源的集成度与稳定性，采用“显示屏智能上电系统”。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通过该系统可以实现对LED显示终端的远程有线控制上电，实现定时开关屏体。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同时，支持功能：屏体采用“分步加电”的上电方式，既要避免大负载对电网瞬间的冲击，又要有效地保护显示屏体的工作组件，延长屏体的使用寿命。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通讯线缆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主屏幕 CAT6*38根，辅屏各10根</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YJV5*10mm</w:t>
            </w:r>
            <w:r>
              <w:rPr>
                <w:rStyle w:val="208"/>
                <w:color w:val="auto"/>
                <w:sz w:val="18"/>
                <w:szCs w:val="18"/>
                <w:highlight w:val="none"/>
                <w:lang w:val="en-US" w:eastAsia="zh-CN" w:bidi="ar"/>
              </w:rPr>
              <w:t>²</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HDMI分配器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1进8出</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音控室监视器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27寸、含鼠标键盘</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（2）音频扩声系统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9"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一拖四无线主机</w:t>
            </w: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流动发言，含4只无线鹅颈话筒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振荡模式：PLL相位锁定频率合成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射频稳定度：±0.005%（-10~50℃）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载波频率：UHF740~790MHz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频率宽度：50MHz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信道：200CH（以250KHz步进）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3"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操作方式：手动调整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kern w:val="0"/>
                <w:sz w:val="18"/>
                <w:szCs w:val="18"/>
                <w:highlight w:val="none"/>
                <w:u w:val="none"/>
                <w:lang w:val="en-US" w:eastAsia="zh-CN" w:bidi="ar"/>
              </w:rPr>
              <w:t>灵敏度：在偏移度等于25KHz。输入–95dBm时，S/N＞80Db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最大偏移度：±48KHz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综合S/N比：＞102Db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综合T.H.D：＜0.5%@1KHz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频率响应：60Hz~15KHz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最大输出电压：0dbV@45KHz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输出插座：XLR平衡式及6.3不平衡式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音量输出调整：电位器式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静音控制模式：音码及杂讯双重静音控制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静音调整：-65dB~-100dB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SQ可调: SQ可调（约30米~200米离距离可调）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电源供应：DC12~15V/1000-2000mA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9"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一拖二无线主机</w:t>
            </w: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流动发言，含2只无线手持话筒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综合参数：</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1、频率范围：610MHz-670MHz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2、信道数目: 200个</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3、信道间隔:  300KHZ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4、频率稳定度:  ±0.005%</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5、动态范围:  100db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6、最大偏移:  ±45KHZ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7、音频频率响应:  40HZ-18KHZ(±2db)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8、综合信噪比: &gt;105db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kern w:val="0"/>
                <w:sz w:val="18"/>
                <w:szCs w:val="18"/>
                <w:highlight w:val="none"/>
                <w:u w:val="none"/>
                <w:lang w:val="en-US" w:eastAsia="zh-CN" w:bidi="ar"/>
              </w:rPr>
              <w:t>9、综合失真：≤0.5%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9"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2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接收机：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1、中频：110MHZ. 10.7MHZ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2、天线接入：TNC/50Ω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3、灵敏度：12dBuV(80db S/N)</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4、灵敏度调节范围：12-32dBuV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5、杂散抑制：≥75db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6、最大输出电平：+10dbv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7、供电方式： 直流12V 400mA输入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无线信号放大器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无线话筒信号增强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专用多频道天线分配器， 采用高动能低杂信号之主动元件及主动回馈稳流偏压的最新设计，具有超低内调失真特性，能在多频道同时使用排除混频干扰，输出增益约等于1。使自动选讯接收机共用一对天线。以简化天线装配工程，提升接收距离及效能。 天线输入插座可直接装置室内天线，亦可连接延长天线组及强波器，天线输入插座直接供应强波器的电源。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发言主机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包括7只有线鹅颈话筒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color w:val="auto"/>
                <w:highlight w:val="none"/>
              </w:rPr>
            </w:pPr>
            <w:r>
              <w:rPr>
                <w:rFonts w:hint="eastAsia" w:ascii="仿宋" w:hAnsi="仿宋" w:eastAsia="仿宋" w:cs="仿宋"/>
                <w:i w:val="0"/>
                <w:iCs w:val="0"/>
                <w:color w:val="auto"/>
                <w:sz w:val="18"/>
                <w:szCs w:val="18"/>
                <w:highlight w:val="none"/>
                <w:u w:val="none"/>
              </w:rPr>
              <w:t>单元容量： 多功能会议单元180台,可扩展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频率响应： 20~20kHz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信噪比： 102dB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动态范围： 106dB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总谐波失真：&lt;0.05%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通道分离度： 102dB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通道数： 可扩展8/16/32/64 CH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控制类型： RS－232/RS－485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单元连接头： 大6芯 DIN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桌面式会议单元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系统容量：视主机数量而定，≤4096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频率响应：18-20kHz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麦克风类型：电容式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连接方式：一线式“手拉手”连接方式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rPr>
              <w:t>视频跟踪功能：具备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视频跟踪功能 具备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反馈抑制器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现场回声啸叫处理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网络数字音频矩阵</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16进16出网络音频矩阵，具备16路模拟和16路网络输入输出</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主扩功率放大器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采用Class D技术，转换效率可达90%以上；</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1U设计、机身轻、方便携带和安装；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额定功率：2×2000W/8欧，2×3400W/4欧，2×4760W/2欧；桥接：1×4000W/16欧，1×6800W/8欧，1×11560W/4欧；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频率响应：20Hz-20kHz（±0.2dB）；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总谐波失真(THD)：≤0.01%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输入灵敏度可选： 41dB，38dB，35dB，32dB；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输入阻抗：20kΩ（平衡)，10kΩ（非平衡)；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信噪比：≥109dB；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阻尼系数(20Hz-200Hz)：≥500；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全频音柱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 :600W；长期功率：1200W；峰值功率：2400W；</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标称阻抗:6Ω±20%；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灵敏度:102dB±2dB/1W/1m；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最大声压级:128dB±2dB持续，138dB±2dB峰值；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频率响应（-10dB）:100~18000Hz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低音单元:12x4.5"；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高音:3 x1.7"；</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覆盖角:100°x30°（±5°），垂直指向性+5°~-10°可调；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输入连接器:2×NL4音箱插座；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箱体尺寸（宽x高x深）:不小于278x1200x278mm；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嵌入式辅助音箱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额定功率:400W；长期功率：800W；峰值功率：1600W；</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标称阻抗:6Ω±20%；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灵敏度:101dB±2dB/1W/1m；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最大声压级:126dB±2dB持续，136dB±2dB峰值；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频率响应（-10dB）:112-18000Hz；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低音单元:8x4.5"；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高音:2 x1.7"；</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覆盖角:100°x20°（±5°）垂直指向性±10°可调；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输入连接器:2×NL4音箱插座；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箱体尺寸（宽x高x深）:不小于278x820x278mm；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2"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辅助功率放大器</w:t>
            </w: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采用ClassD技术，转换效率可达90%以上；</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1U设计、机身轻、方便携带和安装；</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自动限幅输出、短路、欠压、直流、过载、过温、开机延时等保护功能；</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功放配备延时启动系统，保护音箱不受冲击而损坏；</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后板配备双通道、单通道、桥接输出转换；</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8"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平衡输入接口，SPEAKON输出；</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2"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功放开关电源带有单独的冷却系统；</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散热风扇采用先进的无级变速电路控制；</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8"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技术参数：</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1.额定功率：2×1500W/8欧，2×2550W/4欧，2×4335W/2欧；桥接：1×3000W/16欧，1×5100W/8欧，1×8670W/4欧；</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2.频率响应：20Hz-20kHz（±0.2dB）；</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3.总谐波失真(THD)：≤0.01%；</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4.互调失真(IMD)：≤0.01%；</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5.输入灵敏度可选：41dB，38dB，35dB，32dB；</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6.输入阻抗：20kΩ（平衡)，10kΩ（非平衡)；</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7.信噪比：≥109dB；</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8.阻尼系数(20Hz-200Hz)：≥500；</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9.串扰抑制（低于额定功率，20Hz-1kHz）：≥90dB；</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10.连接端子：</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输入(CH1-2)：XLR输入连接器；</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输出(CH1-2)：SPEAKON输出端；</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11.电源电压：90~260VAC，50~60Hz；</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12.1/8额定动作时消耗功率：50W；</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13.使用环境的温度范围：0~50℃；</w:t>
            </w:r>
          </w:p>
          <w:p>
            <w:pPr>
              <w:pStyle w:val="19"/>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14.使用环境的湿度范围：90%RH以下（但不可结露）；</w:t>
            </w:r>
          </w:p>
          <w:p>
            <w:pPr>
              <w:pStyle w:val="19"/>
              <w:keepNext w:val="0"/>
              <w:keepLines w:val="0"/>
              <w:widowControl/>
              <w:suppressLineNumbers w:val="0"/>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15.尺寸(W×H×D)：483×44×370mm；</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监听音箱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2路双功放有源工作室监听音箱</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频率响应(-10dB)54Hz - 30kHz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高音单元尺寸1寸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低音单元尺寸5寸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总功率70W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吸顶补声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类型：8"同轴吸顶天花音箱；</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低音单元：8"；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高音单元：1"；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功率：持续80W，节目160W，峰值320W；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连接特性：定阻；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阻抗：8Ω；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频率响应：50Hz- 20kHz（-10dB）；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灵敏度：90±2dB；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最大声压级：RMS109±2dB，Peak115±2dB；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指向角度：H90°×V90°；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输入接口：4pin凤凰端子；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箱体材料：ABS+铁氧腔体；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开孔尺寸：不小于Φ290mm；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尺寸：不小于Φ320×245mm；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吸顶功放</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1.采用ClassD技术，转换效率可达90%以上；</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2.1U设计、机身轻、方便携带和安装；</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3.自动限幅输出、短路、过载、过温、开机延时等保护功能；</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4.功放配备延时启动系统，保护音箱不受冲击而损坏；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5.后板配备双通道、单通道、桥接输出转换；</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6.平衡输入接口，SPEAKON输出；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7.功放开关电源带有单独的冷却系统；</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8.散热风扇采用先进的无级变速电路控制；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1.额定功率：4×150W/8欧，4×250W/4欧；桥接：2×500W/8欧；</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2.频率响应：20Hz-20kHz（±3dB）；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3.总谐波失真(THD)：≤0.01%；</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4.互调失真(IMD)：≤0.01%；</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6.输入灵敏度：+4dB@(1.23V)；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7.输入阻抗：10kΩ(电子平衡式)；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8.信噪比：≥109dB；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9.阻尼系数(20Hz-200Hz)：≥500；</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10.串扰抑制（低于额定功率，20Hz-1KHz）:≥90dB；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11.连接端子：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输入(CH1-4)：XLR输入连接器；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输出(CH1-4)：SPEAKON输出端；</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12.电源:：AC电源；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13.显示灯：</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电源显示灯：×1(绿色)；</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输入显示灯：×2(黄色)；</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峰值显示灯：×2(红色)；</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保护回路动作显示灯：×1(红色)；</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14.电源电压：AC110-120V、50/60HzAC220-240V、50/60Hz(利用内部跳线切换)；</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15.1/8额定动作时消耗功率：50W；</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16.使用环境的温度范围：0~50℃；</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17.使用环境的湿度范围：90%RH以下；</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18.尺寸(W×H×D)：不小于483×45×355(mm)；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20米会议专用电缆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6芯配套20米会议延长线缆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24路网络数字调音台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10寸电阻触摸屏1280x800分辨率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17个100mm电动推子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中英文界面随时切换且无需重启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内置USB录音、放音功能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可以播放APE、FLAC、MP3、WAV无损音频格式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USB播放器可以识别中文歌曲名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内置16个通道独立的反馈抑制器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带8个DCA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iPad触摸屏全功能控制，实时数据同步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支持8个终端同时控制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内置2个效果器模块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可通过网络或者USB电阻盘升级ARM固件、DSP固件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每个输入通道具有4段参数均衡、噪声门、反馈抑制器、高低通、压缩、反相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每个输出通道具有参数均衡、高低通、压缩、反相、1秒延时器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输出通道L/R、10BUS、HeadPhone(L/R)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10BUS混音总线可选择推子前、推子后（PRE/POST）</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支持100组场景预设功能，可导出、导入USB存储器，便于数据备份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32个PEQ模式存储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内置信号发生器：正弦波、粉红噪声、白噪声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通道参数拷贝功能，相同的通道快速复制数据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接线方式：平衡式输入、输出卡侬</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4个推子编组、8个用户自定义按键、4个快速静音组按键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具有面板锁定按键（防止误操作）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 xml:space="preserve">通道名称可自定义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返听音箱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类型:10"两分频全频音箱;</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频率范围:69Hz-20kHz(-10dB);</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特性灵敏度:95dB±2dB/1W/lm;</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阻抗:8Ω±20%;</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最大声压级:117dB±2dB;</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额定功率:250W,长期功率:500W，峰值功率:1000W:</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总谐波失真:0.774%(670Hz)</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覆盖角度:H90°xV60°(±5°);</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低频单元:10"单元x1,2"音圈;</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高频单元:1"喉口,1"音圈;</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箱体材料:高密度板，水性涂料;</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输入连接器:2xNL4 音箱插座;</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吊点:18个M8;</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把手:有;</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颜色:黑色;</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安装方式:壁挂，吊装，地面监听，三角支架安装;</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尺寸(高x宽x深):约520mmx306mmx280mm</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返听功放</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采用Class D技术，转换效率可达90%以上；</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1U设计、机身轻、方便携带和安装；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额定功率：2×650W/8欧，2×1050W/4欧；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频率响应：20Hz-20kHz（±3dB）；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总谐波失真(THD)：≤0.05% (8Ω、650W)；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输入灵敏度：+4dB@(1.23V)；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输入阻抗：10kΩ(电子平衡式)；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信噪比：≥80dB；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阻尼系数(20Hz-200Hz)：≥500；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尺寸(W×H×D)：不小于483×45×355 (mm)；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（3）环境管理系统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智能AV管理中心</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支持麒麟、鸿蒙等国产操作系统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ARM 64位内嵌式处理器，主频≥1.8GHz的；内存≥3G；存储内存≥32G；</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 xml:space="preserve">最大支持16个多功能串口（RS232/485/422），最大支持16个IR红外接口，最大支持16个I/O接口，最大支持20个弱电继电器，最大支持4个以太网网口，最大支持4路24v输出供电。 </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设备支持7×24小时工作；支持双控制卡热备份；散热系统采用双静音风扇设计，工作噪声≤35db，保证现场无噪声干扰。</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支持B/S架构，支持B/S端编程和操控，无需安装软件，直接通过浏览器访问控制主机IP地址进行编程和操控。支持PC/linux/安卓系统/苹果IOS系统/国产系统操控和管理。</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支持对输入源图像进行裁剪，即可支持输入像素点进行精确裁剪，也可支持鼠标拖拽方式进行可视化裁剪。</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9" w:hRule="atLeast"/>
        </w:trPr>
        <w:tc>
          <w:tcPr>
            <w:tcW w:w="2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28" w:type="pct"/>
            <w:gridSpan w:val="2"/>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支持通过RST按键实现系统复位。</w:t>
            </w:r>
          </w:p>
        </w:tc>
        <w:tc>
          <w:tcPr>
            <w:tcW w:w="30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智能编程软件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定制化软件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定制UI界面，实现设备一键启动关闭、信号切换、电源管理；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对接第三方智能监测设备，实现可视化展示。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无线交互终端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控制终端，11.5英寸，8+256GB，国产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8路时序器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工业级宽电压开关电源(具有高可靠性，高抗干扰能力，真正宽电压“国家宽电压工业标准85V-265V”的特点)</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采用双面板+SMT表面贴片工艺，大电流继电器，高精度磷铜输出万能插座，确保产品超高品质。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8路电源时序控制，每路延时1秒，更好保护的设备正常运行。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整机容量50A ，进线不小于4平方RVV软电缆，内部设计保留20%电流余量，机器继电器线路板用2MM直径的铜棒加粗保证大电流的良好通过性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支持提供8个插座输出，高精度磷铜铜片，万能插座适合各种插头。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面板配2路常开电源座，方便临时用电。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MCU控制的智能化设计，更好的保证机器稳定、高效率运行。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配置RS232和RS485接口（可以通过外部中控设置发送指令对机器动作进行控制）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 AC 85V-265V/50Hz，单相3线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总容量 Maximal 35A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支持输出 Channel 1~8,共8个万能插座，每个插座13A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面板控制 时序控制开关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配置高分辨率LCD显示屏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高清混合矩阵图像控制系统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16*16混合矩阵，1个300W电源槽位，不支持冗余电源。按键面板，带字符屏显示。1个 RJ-45 10/100M自适应以太网口、1个RS-232 串口输入口（DB9母头）、1个RS232串口输出口（DB9公头），支持网络、RS232控制</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采用国产化自主可控平台，设备硬件和软件采用国产化自主可控技术，支持国产操作系统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对会议室音视频设备进行统一管控，整个系统中的信号在操作人员间共享，快速完成信息调取、推送等操作，形成信息交互网，提升工作效率；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跨地域共享的音视频，能够进行统一管理，形成资源池，保障信息安全，便于排查维护；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机箱支持4K@60图像处理和传输能力；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内置ESD静电保护电路，全方位保护系统安全。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（4）智能录播系统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普通球机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400万球机，变焦大于15倍，可以将画面接入设备间</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（5）舞台灯光系统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触屏手绘1024控台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输入电压/频率：AC100-240V，50/60Hz；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支持电脑灯重新配接地址码；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支持灯具水平垂直交换；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支持灯具通道反倒输出；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支持灯具通道滑步模式切换；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每台电脑灯最多可用控制方式40主通道+40微调通道；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灯库支持珍珠R20灯库；可保存的场景数量 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可同时运行的场景数量 10；多步场景的总步数 600；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场景的时间控制方式 淡入、淡出、LTP滑步；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每个场景可存储图形数量 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支持推杆启动场景并进行调光 ，支持互锁场景，支持点控场景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图形生成器 可生成Dimmer, P/T, RGB, CMY, Color, Gobo, Iris, Focus图形；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可同时运行图形数量5；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主控推杆：全局、重演、灯具；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支持立即黑场，支持转盘调整通道数值 ，支持推杆调整通道数值 ，支持推杆调光 ，U盘读取 支持FAT32格式；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DMX512 通道数1024，电脑灯的配接数量96；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8路信号放大器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输入电压/频率：AC100-240V 50/60Hz；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DMX512信号分配功能，多路DMX后级共享一套控制系统；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独立电感电源,独立DMX信号地线，标准DMX的独立分配放大；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独立光电隔离功能，避免后级对系统DMX信号控制的干扰和破坏；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2路输入，2路直通输出，八路独立DMX信号放大输出；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独立电源指示灯，独立信号输入指示灯；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加强输入线路DMX信号功能；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上机柜固定，安装方便；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输出标准DMX512数字信号；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DMX512信号放大功能，延长DMX信号传输距离；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数字信号：DMX512/1990；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各输入输出接口之间的电气隔离电压：&gt;1000V；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DMX信号分配输出连接器：XLR-D3F；</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DMX信号输入连接器：XLR-D3/5M / XLR-D3/5F；</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12路电源直通箱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输入电压/频率：三相五线制AC380V±10％，频率50Hz±5％；</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输入额定电流：200A ，最大可做12路×4KW可用于任何负载；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设有总开关，过载与短路双重保护高分断空气开关；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三相独立电压，电流，监测，三相A.B.C 指示灯指示；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额定功率：12路×4KW，每个回路最大输出功率可达4kW；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输出方式：16A；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LED调焦成像灯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聚光灯，输入电压/频率：AC100-240V，50/60Hz；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额定功率：210W；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光源：LED 200W；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光源寿命:约50000小时；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色温：6500，5600，3200K可选；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电子变焦范围：15-50°；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显色指数：CRI≥90；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调光：0-100% 线性调节；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调焦方式：自动调焦,手动调焦；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LED三基色1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主席台1排，每排9个</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光源：432颗，进口高亮度2835LED</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光源寿命:80000-100000小时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色温：3200K-6500K可线性调节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投光角度：35-90°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显色指数: CRI≥90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通道模式： 2/4CH 两种通道模式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控制方式：DMX512信号，自走，声控模式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LED三基色2</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前2排，每排9个（嵌入式）</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输入电压/频率：AC100-240V，50/60Hz；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额定功率：200W；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光源：进口高亮度2835LED，暖光+冷光LED：3200K--216PCS ，6500K--216PCS；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光源寿命:80000-100000小时；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色温：3200K-6500K可线性调节；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显色指数: CRI≥90；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调光: 0~100% 线性调节；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频闪：1-25次/秒；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光束角度：120°。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灯钩</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铝合金灯钩</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保险绳</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保险绳</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灯光桁架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每道10米</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3*2.5电缆线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3*2.5</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信号线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3芯信号线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（6）舞台机械系统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电动升降横侧幕吊杆系统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吊点数：五吊点，载荷：400KG（含杆重）；噪音≤48dB；电机功率：2.2KW，五卷盘式，速比50：1，配备上下限位装置、冲顶保护、断电保护、过载保护、防跳绳保护等保护装置。≥12米</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吊杆杆体</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现场制作</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道</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吊杆控制台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控制电动吊杆升降及幕布对开，模拟控制，上下限位</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路</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钢结构</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5#角钢做吊筋，10#槽钢做电机梁及吊点梁，10#槽钢做承重梁</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电线，线槽，五金配件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（7）电子桌签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墨水屏电子桌签</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支持各国文字、字体、字号调整，可自定义编辑背景模板</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外壳材质：铝合金材质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外壳工艺：磨砂、拉丝、氧化等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屏幕尺寸不小于7.5寸高分辨率电子墨水屏，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支持7色像素颜色：黑/白/红/黄/绿/蓝/澄色；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工作和储存环境温度：0度-50度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T型外观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双面高清电子墨水屏，超低功耗，采用电池持续供电，开机状态下不少于1年以上供电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可长时间显示，无闪烁，不伤害眼睛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无辐射，使用安全，避免普通led液晶屏辐射对身体伤害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显示效果接近纸张，可视角度接近180度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支持无线联网加密方式，专网专用，保密性强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（8）周边辅材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三位多媒体地插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组合型六位多媒体地插</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壁挂音响支架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音箱头地插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音箱头地插</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含设备线缆、辅材及插件，不含施工布线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（9）阶梯会议室集成服务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阶梯会议室集成服务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包含综合指挥中心设备采购、运输、安装、调试、测试等系统集成服务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广播系统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（1）主要设备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IP网络广播软件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控制软件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网络管理服务器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国产，广播对讲网络系统是将计算机网络、PSTN电信网络、移动通讯网络三者融合在一起的综合音视频通讯系统。</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系统中的设备可在局域网、广域网中与PSTN网络、移动通讯网络中的设备互联互通，借助网络融合的优势，以较低的成本实现便捷的语音、视频对讲及广播功能。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采用工业级主机，系统稳定可靠，内置SSD固态硬盘，铝合金面板。全天24小时工作，能在低温和高温的环境下长期稳定运行，借助于成熟的以太网络硬件，整套系统无需额外的线路维护。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通过此主机可对所有同一网络中的终端设备进行配置、管理、维护。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成熟的IP融合技术，支持互联网与电信网融合，支持固话/移动号码与IP网络终端间的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高清HD语音会话；提供广域网环境下的低延迟广播、对讲、会议、录音、监听等功能。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强大的VOIP中继服务器，支持与Cisco、Avaya、HUAWEI、3CX等国内外知名VOIP服务器无缝桥接，实现多系统间语音、视频、文本信息交互。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支持与海康、大华等主流摄像头联动，实现事件触发、事件播报等广播功能；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基于LInux系统，B/S架构，任意PC、移动平台的浏览器均可登录操作。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具有背景广播、紧急广播、语音对讲、视频对讲、监听、监控功能。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可对所有分区进行自定义分组操作，对分区进行广播、调节音量操作。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显示分组信息、分区状态（开关/音量/实时节目名称）、节目列表、定时点信息。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主机自带SIP系统协议，所有终端设备/分机的SIP账号实施密码管理，安全可靠。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可创建无限个定时方案，每个定时方案可包括无限个定时点，定时方案支持备份存储，可直接导入/导出使用。可添加/修改/删除定时点，把定时点下发给指定分区。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支持EQ调节和低音增强功能。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可集中管理所有网络终端设备，可对终端设备的节目源、定时方案和设备的升级维护。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支持USB型加密设备控制功能。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升级维护方便快捷（支持云升级、远程升级、本地升级）。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10/100M自适应，支持DHCP/IP设定，支持局域网与广域网。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支持PSTN电话扩展卡。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具有单双声道音频采集功能，采样率可选，至少包含16K、22.05K、32K、44.1K、48K等多种选择；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支持≥6个USB接口、≥1个VGA接口、≥1个短路触发开关机接口、≥2个PS/2接口、≥1个网络接口、≥2个COM控制接口、≥1个打印接口、≥1路音频输入接口、≥1路话筒输入接口、≥1路音频输出接口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采用17.3英寸工业级触摸显示屏，内置大容量固态硬盘，具有触控灵敏、读写速度快、功耗低等特点。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配置有隐藏式推拉键盘和触控板，无需外接键盘鼠标即可操作。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专业机架式机箱体设计，采用铝合金结构，有较高防磁、防尘、防冲击能力。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单路机架式网络编码终端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1U机身设计，阳极氧化铝合金面板，美观耐用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内置独立控制模块，支持2路立体声音源实时采集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支持每路模块同时运行，互不干扰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支持通过管理软件自定义每路音源输入的名称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支持DHCP/静态IP，10/100M自适应，支持局域网与广域网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频率响应：20HZ-20KHZ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支持协议：TCP/IP、UDP、ICMP、IGMP（组播）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音频模式：16位立体声CD音质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网络消防报警器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每台机支持32路消防报警信号接入，支持短路和5V-24V信号，可自行编程。</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32路独立控制，支持邻区告警。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强行激活区可局限于事故区，也可伸展至若干个邻区，由网络化主机预编程确定。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可通过管理软件定制告警播放声音。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同一系统可以有多台机连接于网络，可任意扩展控制区域。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10/100M自适应，支持DHCP/静态IP，支持局域网与广域网。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面板设有32路电平指示灯显示工作状态。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1U机身设计，占用空间小，重量更轻；阳极氧化铝合金面板，美观耐用。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7寸触摸屏网络话筒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7寸TFT真彩液晶显示终端+电容触摸屏，支持五点触控。</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最多可控制200个分区，具有分区一键全开功能。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具有分区寻呼和分组寻呼功能。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可根据需求只显示关注的分区和分组。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可查看分区状态信息。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具有多段电平指示功能，寻呼声压更直观。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可向分区广播主机节目库歌曲。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具有保存每一次寻呼记录的功能。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话筒在设定时间内无信号输入，可自动关闭。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屏幕背光点亮时间与亮度可调，实现节能运行。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具有用户密码与权限管理。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支持由主机推送的远程升级。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支持多语言切换：简体中文、英文。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2"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网络有源音箱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10/100M自适应，支持DHCP/静态IP设定，支持局域网与广域网。</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具有≥1路立体声音频信号输入，≥1路100V音频信号输入，支持100V备份切换。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箱体采用优质纤维板和桦木冷压皮制作，有效防止谐振音。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采用主副箱，立体声设计。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配有安装支架，安装便捷。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性能规格：</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喇叭单元 4.5"×1</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灵敏度（1m,1W） 91±2dB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最大声压级（1m） 99±2dB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频率响应 80Hz-18kHz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额定功率（RMS） 8W</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频率响应 20Hz-20KHz</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信噪比 ≥81dB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失真度 ≤0.1％</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声道分离度 ＞60dB</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输入阻抗 ＞10kΩ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灵敏度 1.0V</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解码格式 MP3、WAV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合并式播放器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CD/MP3/MP4/VCD/DVD/WAV 播放功能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高亮度动态 VFD 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具有曲目直选功能；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具有通电后自动播放功能；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 20Hz-20kHz（±3dB）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90dB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动态范围 90dB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谐波失真 0.005%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抖晃 可测极限之下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输出电平 0dBV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 AC 保险丝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 AC220V/50Hz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数字调谐器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接收范围 FM 87.0MHz-108.0MHz/AM 522kHz-1620kHz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 FM 26dBμ/AM 52dBμ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FM 单声道76dB，立体声70dB/AM 40dB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调谐频率步距 FM 50kHz/AM 9kHz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中频频率 FM 10.7MHz/AM 450kHz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输出电平 0dBV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 AC保险丝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 AC220V/50Hz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前置放大器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最小源电动势 Mic：≤3.2mV， 不平衡/Aux：≤300mV 不平衡/EMC：≤450mV</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输出电平 0dBV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频率响应 Line：30Hz-20KHz （±3dB）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总谐波失真 Aux：≤0.1%（1KHz，额定正常工作条件）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信噪比 Aux input：≥66dB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音调调节范围 Bass：±10dB（100Hz）/Treble：±10dB（10kHz）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 AC保险丝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 AC 220V/50Hz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16路电源时序器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按顺序开启或关闭16路受控设备的电源。</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可以通过定时器自动控制或人工控制。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插座总容量达 3.5kVA。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电源插座输出总容量3.5kVA，16A，16通道；每个插座最大输出为220V，10A；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定时器控制信号 交流220伏，0.01A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动作间隔时间 0.4秒-0.5秒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保护 AC保险丝</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耗电 AC220V/50Hz/16A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（2）地下室区域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清晰显示信号，5个状态指示灯工作状态一目了然。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1U机身设计，阳极氧化铝合金面板，美观耐用。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壁挂音箱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工作电压70/100V，功率1.5-10W（多个配接端子），适应不同场合；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最大声压级达100±2dB，有效频率范围宽达160Hz-18kHz;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自备悬挂孔，安装方便；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扬声器悬边阻尼处理，寿命长，灵敏度高（达92±2dB），声音清晰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（3）一层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 w:hRule="exac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额定功率：120W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清晰显示信号，5个状态指示灯工作状态一目了然。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1U机身设计，阳极氧化铝合金面板，美观耐用。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（4）二层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清晰显示信号，不少于5个状态指示灯。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（5）三层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清晰显示信号，5个状态指示灯工作状态一目了然。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（6）四层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额定功率：250W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清晰显示信号，5个状态指示灯工作状态一目了然。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1U机身设计，阳极氧化铝合金面板，美观耐用。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（7）五层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IP网络功率放大器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基于TCP/IP协议，网络广播数字功放，可跨网段工作。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支持SIP2.0（RFC3261）以及相关的RFC，融合集团通信功能。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宽带ADC/DAC16KHz采样；窄带编码：G.711a/u；宽带编码：G.722。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高级保护电路，具有输出短路保护，过载保护，过热保护等多种保护和警告功能。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内置高效率数字功放，70V/100V定压输出，效率高达90%以上。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具有背景广播、业务广播、紧急广播等功能。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可脱离网络和主机单独运行。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支持网页模式配置参数。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内置大容量存储器，内置节目源，具有定时功能。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支持音频格式：MP3，WAV，FLAC，APE等。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额定功率：120W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可通过网络广播管理软件控制、播放。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具有日志功能，能够自动保存到本地和服务器中。</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1路AUX立体声输入、2路单声道输出，方便扩展本地其它音源广播，与本地功率扩展。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具有高低音音效调节及低音增强。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EMCOUT24V与短路触点两种强播输出接口，可连接扬声器音控器使用。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清晰显示信号，5个状态指示灯工作状态一目了然。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1U机身设计，阳极氧化铝合金面板，美观耐用。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吸顶喇叭</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工作电压70/100V，100V功率3~6W（多个配接端子），适应不同场合；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最大声压级97±2dB，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有效频率范围75Hz~17kHz;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强力活动夹设计，安装方便；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铝合金材质网罩，永不生锈；优质工程塑料注塑成型，经久耐用，不变形，不褪色；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扬声器悬边阻尼处理，寿命长，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灵敏度高（91±2dB），声音清晰、音质好，明亮；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单元尺寸不小于4.5"x1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开孔尺寸不小于</w:t>
            </w:r>
            <w:r>
              <w:rPr>
                <w:rStyle w:val="208"/>
                <w:color w:val="auto"/>
                <w:sz w:val="18"/>
                <w:szCs w:val="18"/>
                <w:highlight w:val="none"/>
                <w:lang w:val="en-US" w:eastAsia="zh-CN" w:bidi="ar"/>
              </w:rPr>
              <w:t>Ø</w:t>
            </w:r>
            <w:r>
              <w:rPr>
                <w:rStyle w:val="332"/>
                <w:color w:val="auto"/>
                <w:sz w:val="18"/>
                <w:szCs w:val="18"/>
                <w:highlight w:val="none"/>
                <w:lang w:val="en-US" w:eastAsia="zh-CN" w:bidi="ar"/>
              </w:rPr>
              <w:t>154-</w:t>
            </w:r>
            <w:r>
              <w:rPr>
                <w:rStyle w:val="208"/>
                <w:color w:val="auto"/>
                <w:sz w:val="18"/>
                <w:szCs w:val="18"/>
                <w:highlight w:val="none"/>
                <w:lang w:val="en-US" w:eastAsia="zh-CN" w:bidi="ar"/>
              </w:rPr>
              <w:t>Ø</w:t>
            </w:r>
            <w:r>
              <w:rPr>
                <w:rStyle w:val="332"/>
                <w:color w:val="auto"/>
                <w:sz w:val="18"/>
                <w:szCs w:val="18"/>
                <w:highlight w:val="none"/>
                <w:lang w:val="en-US" w:eastAsia="zh-CN" w:bidi="ar"/>
              </w:rPr>
              <w:t>164mm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尺寸不小于80x</w:t>
            </w:r>
            <w:r>
              <w:rPr>
                <w:rStyle w:val="208"/>
                <w:color w:val="auto"/>
                <w:sz w:val="18"/>
                <w:szCs w:val="18"/>
                <w:highlight w:val="none"/>
                <w:lang w:val="en-US" w:eastAsia="zh-CN" w:bidi="ar"/>
              </w:rPr>
              <w:t>Ø</w:t>
            </w:r>
            <w:r>
              <w:rPr>
                <w:rStyle w:val="332"/>
                <w:color w:val="auto"/>
                <w:sz w:val="18"/>
                <w:szCs w:val="18"/>
                <w:highlight w:val="none"/>
                <w:lang w:val="en-US" w:eastAsia="zh-CN" w:bidi="ar"/>
              </w:rPr>
              <w:t>180mm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（8）周边辅材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管线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预估3000米广播线缆ZR-RVVS2*1.5</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（9）广播系统集成服务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广播系统集成服务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包含广播系统设备采购、运输、安装、调试、测试等系统集成服务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餐厅系统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多媒体播放盒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支持带载230万；输入:1xHDMI；输出:1xAudio、4x网口、1xUSB、1xHDMI(环出)；单WIFI（AP&amp;STA可切换）、U盘节目导入、网口备份</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LED显示终端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点间距 4mm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3.5328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封装方式 SMD2121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模组尺寸 mm W320×H160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模组分辨率(W×H) 点80×40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整屏尺寸7.36米(23列)×0.48米（3行）=3.5328平方米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整屏分辨率 (W×H) 点1840×120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维护方式  前维护</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配套接收卡、电源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结构</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根据现场情况定制屏体安装结构</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3.5328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专用线材及辅材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电源线及网线等辅材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餐厅系统集成服务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包含餐厅系统设备采购、运输、安装、调试、测试等系统集成服务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物联感知平台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导轨式三相拉合闸电能表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电流规格：3*10(40)A，3*20(80)A</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通信接口：RS485总线通信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通信协议：Modbus-RTU协议、DL/T645-1997协议、DL/T645-2007协议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准确度等级：有功1.0级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电路回路功耗：≤1W，＜7VA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支持读取：支持有功电量，内置继电器，支持远程拉合闸功能及状态读取</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光电直读阀控式冷水表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通信接口：RS485</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供电方式：DC12V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通信协议CJ/ T188</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温度等级：T30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防护等级：IP65 压力等级：MAP10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测量范围(Q3/Q1)：R80 精度等级：2级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 H（水平安装）表阀一体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安装环境：B级（安装在室内）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敏感度等级：U10,D5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电磁环境：E1级（住宅、商业和轻工业）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区域管理器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配合云能源管理软件使用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额定电压：DC24V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额定功率：3.5W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每台支持3路RS485的仪表采集通道，每路通道最多管理32个仪表；每路通道协议可单独配置；每路通道的仪表必须为同一类型仪表（仪表厂家、仪表种类和仪表协议相同）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上行支持总线和TCP连接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下行Rs485通信接口，下行总线支持柏诚一体化协议、Modbus RTU、DL/T645-1997、DL/T645-2007、CJ/T 188-2004、En1434等通信协议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采集控制箱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500*400*160；含空气开关及电源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门牌互联智能终端设备</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互联终端设备智能机机器，CPU为RK3568四核cortex A55 RAM 2GB</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内存 16GB 操作系统 Android 11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触摸屏 10点电容式触摸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LCD屏 13.3"高清屏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分辨率 190*1080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显示模式 常黑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可视角度 85/85/85/85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对比度 800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亮度250cd/m2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屏幕比例16:9</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WiFi 802.11b/g/n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蓝牙4.0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以太网 100M/1000M网口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SD卡，最大支持到64GB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SIM Slot流量卡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 3，0 host</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Micro USB OTG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USB USB用于串口TTL电平，UART 0可选USB Host</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RJ45  以太网接凵标配POE功能IEEE802.3at,POE+,class 4，25.5W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DC DC电源12v输入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耳麦 3.5mm立体声耳机输出+麦克风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视频格式 MPEG-I，MPEG-2，MPEG-4 H，265，H，264vc．1 VP8，VP9，etc.支持最大到4K视频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音频格式 MP3/WMA/AAC etc.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图片格式 Jpeg/png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VESA 75x75mm    单麦克风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喇叭2*3W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工作温度0--40度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OSD语言中英文等多语言OSD操作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使用说明书 标配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电源适配器 12v/1.5A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云能源管理软件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于B/S架构的区域级云能源管理系统基础平台软件，具有设备监控、能源计量计费、报表管理、权限管理、日志管理等功能，提供能耗分析方案组态模块和能耗分析功能模块，支持能耗分析公式编辑，支持能耗分类分项能耗数据分项，支持能耗数据图表展示。计费系统对采暖季、供冷季、过度季分别单价计费</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其它配件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控制台配件、TYPE-C转网口等等配件一批</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55寸电视支架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国产，55寸电视定制支架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物联感知平台集成服务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包含物联感知平台设备采购、运输、安装、调试、测试等系统集成服务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报警及巡更系统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紧急按钮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紧急按钮面板式（86底盒）</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外壳防护等级IP30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自锁式，满足被触发后立即产生紧急报警信号并保持报警状态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具备防误触发措施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被触发报警后，应能通过机械方式或电子方式进行恢复操作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耐久性：探测器在正常环境条件下，承受频率为30次/min，共计5000次的触发-恢复循环后，应无机械故障，也不应有器件损坏或触点粘连</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八防区报警模块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总线网络报警主机八防区扩展模块/8个扩展防区数/31最大级联数/2.7mA</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分线报警主机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分线式网络报警主机（支持新国标GB12663-2019）；</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8个板载有线防区，最大支持扩展至48防区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4路继电器输出，最大可扩展至48路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支持40000条日志记录，包括32000条报警事件记录，5000条操作日志和3000条管理记录，支持事件带日期功能,支持远程搜索查询事件日志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支持定时布撤防（日常计划、优先计划）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支持32个控制键盘接入，遥控器回控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支持外置蓄电池，蓄电池电压实时监测，主辅电源可自动切换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支持远程升级,远程导入导出配置参数</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防拆：支持本地8个基础防区和无线防区探测器防拆报警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配置方式：键盘编程和软件配置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协议：SDK、NAL2300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用户：网络用户32个，包括管理员、操作员、安装员，制造商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电源：AC220V；功耗：≤40W；工作温度：–10℃～+55℃；工作湿度：10％--90％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控制键盘</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LCD报警键盘;</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支持连接遥控器进行远程布撤防，支持双向遥控器，遥控器LED显示操作结果；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支持刷卡布撤防;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遥控器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支持布防、撤防、周界、紧急、消警</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工作频率433MHz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遥控距离100m(空旷无遮挡)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支持滚动码DES加密模式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警号警灯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警号（红白色）；支持关闭报警声音输出，实现声光报警模式和光闪模式切换;</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主机备用电池</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充电后备电池（报警主机专用）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室内双鉴探测器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探测方式：被动红外+微波;</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探测范围：不低于12m / 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测速范围：0.2～3m/s;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灵敏度：自动;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微波频段：24GHz(24.15～24.25GHz);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外壳防护等级IP51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报警持续时间≥1s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防拆保护：探测器具备防拆功能，打开外壳时探测器应输出报警信号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入侵报警管理软件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支持报警子系统管理能力，包含布防、撤防、消警控制操作；</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支持防区管理能力，包含旁路、旁路恢复操作；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支持实时入侵报警能力；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支持历史入侵报警事件查询及导出能力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报警管理工作站</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屏幕尺寸≥23英寸；宽高比：16:9；分辨率：不低于1920*1080；</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4G/1T/2G独显/串口)+键鼠一套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数据采集器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应用RFID技术自动感应无须接触，一体胶胆设计防水，震，尘等，耐低温超低功耗设计，可存储1万条记录（可扩容）程序设计可具备人为破坏/电池自检/更换时间错误等记忆和记录等功能；</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智能无线通讯座</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稳定快速下载并传输智能巡检器数据到PC机，可实现近程USB/232接口上传数据传输模式，兼容性强；</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人员钮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非接触式读卡，125Khz EMID格式，工作温度：-40℃～85℃</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产品材质：工程塑料封装，内置芯片；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读卡技术：感应式读卡，感应距离3-5cm无需接触；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区分方式：内置不可修改的ID码，ID卡序列号具有唯一性，区分巡逻人员。方便查阅巡检考核数据；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巡更功能：与感应式巡更器配合使用，识别巡逻人员信息；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信息钮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巡更功能：用作在标记地点位置巡更；</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张</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读卡技术：感应式射频读卡，内置唯一ID卡号，防止作弊；</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产品材质：工程塑料封装，内置芯片；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外观特点：自带夜光功能，提示标贴；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安装方式：可埋入墙体，隐蔽式安装；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标识牌+夜光标签</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86面板型标识牌，夜光标签</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智能应用软件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巡查设定功能，包括巡更人员登记、巡查时间设置、巡查班次安排、巡更路线设定、巡查点编辑与设置；巡更流水纪录、显示、读取及查询统计功能.操作简单人性化设计依据现场可多种计划查询、分析、浏览、图形分析、打印表格等设置等功能也可加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配套安装配件，底座等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报警及巡更系统集成服务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包含报警及巡更系统设备采购、运输、安装、调试、测试等系统集成服务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上城检察工作网网站信创改造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符合信创要求；信创处理器2个，32G内存4个，480G RSSD硬盘2个，2T SATA硬盘3个，4G阵列卡1块，双口10G光纤网卡，双口千兆网卡，800W电源2个。</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国产操作系统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符合信创要求；信创操作系统服务器版；</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工作网二级等保测评、信创测评、信创适配和第三方测评服务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工作网二级等保测评，信创测评，信创适配，第三方功能测评。</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上城检察工作网网站信创改造集成服务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包含工作网网站(信创)改造、信息发布系统信创改造、全新网站改版设计、适配国产服务器环境、客户端国产环境、原网站数据迁移服务。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周界报警系统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单防区脉冲主机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防区脉冲主机/显示每个防区的工作电压值/电压值可无级调控/显示每个防区的工作电流值/防区报警显示/实时监控每个防区情况/脉冲频率可调控/报警响应时间调控/继电器报警输出时间可调控/采用3.5寸真彩屏设计/内置拨码式单地址码模块，自带拨码开关，使用多防区时无须另外增加地址码模块，可以直接接入485总线与中心控制设备通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包含：4线制单防区脉冲主机:1台/避雷器:1个/室外声光报警器:1个/涂塑主机防雨箱:1个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支持防区电压无级调控，最小颗粒度100v；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主机应支持1路报警输入，应可外接1路继电器报警输入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主机应支持1路DC12V 1A输出，应可给防区警灯以及其他外设供电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支持在防护区域进行设防时，设备应具备延时报警功能，进入/退出延时时间可调(不大于300s)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智能终端应支持告警图像应及时上报至告警中心，同时可设定上报告警前的抓拍图像，支持连抓设置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双防区脉冲主机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防区脉冲主机/显示每个防区的工作电压值/电压值可无级调控/显示每个防区的工作电流值/防区报警显示/实时监控每个防区情况/脉冲频率可调控/报警响应时间调控/继电器报警输出时间可调控/采用3.5寸真彩屏设计/内置拨码式单地址码模块，自带拨码开关，使用多防区时无须另外增加地址码模块，可以直接接入485总线与中心控制设备通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包含：4线制双防区脉冲主机:1台/避雷器:2个/室外声光报警器:2个/涂塑主机防雨箱:1个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支持防区电压无级调控，最小颗粒度100v；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主机应支持1路报警输入，应可外接1路继电器报警输入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主机应支持1路DC12V 1A输出，应可给防区警灯以及其他外设供电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智能终端应支持4路IPC接入，并将报警联动短视频推送给APP或发送邮件，报警时自动截取事前和事后视频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中间杆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软性玻璃纤维；6线，口径10mm，杆长850mm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中间杆附件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含中间杆帽子（口径10）1个、中间杆绝缘子4个、中间杆底座（热镀锌）1个</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承力杆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含4个终端杆绝缘子（套管型）；1个终端杆帽子（32口径）；1个承力杆底座（热镀锌）</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承力杆附件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含终端杆绝缘子（套管型）4只；终端杆帽子（32口径）1个；终端杆底座（热镀锌）1套；收紧器4个；线线连接器8个</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通用杆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经济型通用终端、承力杆；  4线终端杆，直径32mm,2.0mm 厚，高度：850mm；材质：铝合金管；表面处理：表面氧化；</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合金线1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20#合金线，优良导电率，抗氧化、耐腐蚀,去火功能，多股，每100米一欧姆阻值，400m一盘</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盘</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合金线2</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20#合金线，优良导电率，抗氧化、耐腐蚀,去火功能，多股，每100米一欧姆阻值，100m一盘。</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盘</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高压绝缘导线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高压绝缘导线；合金线为内芯/高压绝缘层抗脉冲电压&gt;20KV/考虑现场可能有出入口、或围墙不连续处，100米/盘</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盘</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警示牌</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警示牌；尺寸不小于100*200MM/采用稀土发光材料制造/在阴雨天气同样可吸光/双面印刷/夜光显示/每10米挂一块</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电子围栏接地桩</w:t>
            </w:r>
          </w:p>
        </w:tc>
        <w:tc>
          <w:tcPr>
            <w:tcW w:w="3531" w:type="pct"/>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可用于将电子围栏主机和避雷器的接地；角钢，厚度不小于2mm，长不小于1.5米</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扩展模块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警号（红白色）；</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报警音量: 105dB at 30cm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防护等级不小于IP54，室外防水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内置水平仪，便于辅助安装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支持关闭报警声音输出，实现声光报警模式和光闪模式切换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工作湿度：10％～90％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工作温度：-20℃～＋60℃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功耗：静态功耗: 0.96W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报警功耗：2.7W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电源：DC 8~16V 0.22A Max</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电子围栏控制键盘：LCD键盘主机一体化结构，支持不小于40个485方式防区输入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蓄电池</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标准电压：12V；</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额定容量：7.0Ah；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报警管理软件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入侵报警应用基于前端防区探测器进行园区范围内的入侵行为或意外事件的迅速感知和处理，实现针对园区内部的高效安全防范。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路</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支持报警子系统管理能力，包含布防、撤防、消警控制操作；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支持防区管理能力，包含旁路、旁路恢复操作；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支持实时入侵报警能力；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支持历史入侵报警事件查询及导出能力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其他辅材及接插件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配套安装配件，底座等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周界报警系统集成服务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包含周界报警系统设备采购、运输、安装、调试、测试等系统集成服务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网络信息点位清单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86面板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信息插座与面板采用90度安装方式</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 单口/双口面板均带有弹簧式自动回弹防尘门设计，防止灰尘等异物侵入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带有标识纸和标识盖</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材料：ABS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六类网络模块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屏蔽：锌合金压铸， 360°屏蔽,阻燃级别：V-0</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IDC：磷青铜，45°金针：磷青铜表面镀金，异形的金针空间排列，有效提升近端串音余量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卡线后座及线缆保护盖：PC 材料,卡接导体规格：0.5mm～0.65mm，24AWG~22AWG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打线方式：免打线工具，T568A/T568B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IDC与金针方向：180度,插头与插座插合次数：≥1000次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导线端接次数：≥250次,最高传输频率：250MHz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六类网络非屏蔽模块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产品传输性能支持两节点5米短信道，三节点9米短信道和四节点14米短信道</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IDC材料：磷青铜，金针：磷青铜表面镀金，防尘盖：透明PC材料,提供白色、红色、黑色可供区分网络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插头与插座插合次数：≥1000次，导线端接次数：≥250次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六类屏蔽双绞线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导体规格：4×2×0.57，导体名称：软圆铜线，绝缘：HDPE</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305米/箱</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屏蔽方式: F/UTP，整体屏蔽：单面复合铝箔纵包和排流线TXR0.50mm，线对采用异形“十”字骨架隔离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护套材料：PVC，护套外径：7.4±0.3mm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六类非屏蔽双绞线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额定传输速率(NVP)：68%,单根导体直流电阻：≤8.0Ω/100m,导体：软圆铜线、0.57±0.015mm，绝缘：HDPE 1.00±0.008mm，线对：4对</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305米/箱</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六类24口非屏蔽网络配线架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标准19英寸机架式安装，高度：1U，采用全塑料面板，端口数量：24口，采用模块化设计，8口插座一组，每个模块都可以单独拆卸</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后端自带线缆管理单元，完善清晰的标识系统，自带标识纸和标识盖</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IDC：磷青铜,金针：磷青铜表面镀金,线缆保护盖：PC 材料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进线方式：180°进线，45°卡线设计,卡接导体规格：0.5mm～0.65mm，24AWG~22AWG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插头与插座插合次数：≥1000次,导线端接次数：≥250次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最高传输频率：250MHz，在250MH情况下最小远端串音衰减：≥39.5，最小回波损耗：≥18.9，传播时延：≤1.1，时延差：≤0.22,工作环境温度：-10℃～+60℃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插头与插座插合次数：≥1000次,导线端接次数：≥250次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最高传输频率：250MHz，在250MH情况下最小远端串音衰减：≥39.5，最小回波损耗：≥18.9，传播时延：≤1.1，时延差：≤0.22,工作环境温度：-10℃～+60℃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六类24口屏蔽网络配线架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平面型配线架，采用模块化设计，24口</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平面型金属框架可与机架直接接地配合接地线可形成双重可靠接地，具有优良的电磁兼容性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平面型模块内部有可靠的自动接地装置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线缆管理：自带后部线缆管理单元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阻燃级别：V-0，金针：磷青铜表面镀金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插头与插座插合次数：≥1000次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导线端接次数：≥250次，最高传输频率：250MHz</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2米六类非屏蔽跳线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长度2米</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 多股绞合，软圆铜线,导体线规：24AWG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屏蔽方式: U/UTP,护套材料：PVC，护套外径：6.0±0.3mm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 RJ45，8P8C,插头护套： PVC,塑胶壳：透明聚碳酸酯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簧片材料：铜表面镀金,插拔次数：≥1000次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最高传输频率：250MHz,工作环境温度：-10℃～+60℃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2米六类屏蔽跳线</w:t>
            </w:r>
          </w:p>
        </w:tc>
        <w:tc>
          <w:tcPr>
            <w:tcW w:w="3531" w:type="pct"/>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 多股绞合，软圆铜线,导体线规：24AWG</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屏蔽方式: FTP,护套材料：LSZH，护套外径：6.0±0.3mm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插头: RJ45，8P8C,插头护套： PVC,塑胶壳：透明聚碳酸酯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簧片材料：铜表面镀金,插拔次数：≥1000次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最高传输频率：250MHz,工作环境温度：-10℃～+60℃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3米六类跳线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3米六类跳线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25对大对数电缆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单根导体直流电阻：≤14.8Ω/100m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导体材料：软圆铜线，0.4mm±0.008mm,绝缘：HDPE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屏蔽方式：U/UTP,电缆对数：25P,护套材料：PVC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电缆外径：9.0±0.5（25P）,最小弯曲半径：10倍电缆外径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温度范围：安装时0℃～+50℃，运行时-20℃～+60℃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50对大对数电缆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单根导体直流电阻：≤14.8Ω/100m,导体材料：软圆铜线，0.4mm±0.008mm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绝缘：HDPE,屏蔽方式：U/UTP,电缆对数：50P,护套材料：PVC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电缆外径：12.0±0.5（50P）,最小弯曲半径：10倍电缆外径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温度范围：安装时0℃～+50℃，运行时-20℃～+60℃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电话跳线定制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RJ11-RJ45或RJ11-RJ11</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 多股绞合，软圆铜线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导体线规：24AWG,屏蔽方式: U/UTP</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插拔次数：RJ45≥1000次，110≥200次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最高传输频率：16MHz,工作环境温度：-10℃～+60℃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100对110配线架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标准19英寸机架式安装，高度：1U,规格：100对</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采用IDC技术上下两排均在正面端接，提供标识单元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塑料件：ABS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卡接导体线径：0.4mm~0.65mm，26AWG~22AWG,工作温度：-10℃～+60℃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光纤熔接</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光纤熔接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芯</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RVV4*1.0</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12V门禁电源线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RVV2*1.0</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100*50桥架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国标100*50桥架，厚度1.0，镀锌，含直弯、三通、横档、吊杆等。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200*100桥架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国标200*100桥架，厚度1.0，镀锌，含直弯、三通、横档、吊杆等。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300*150桥架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国标300*150桥架，厚度1.5，镀锌，含直弯、三通、横档、吊杆等。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PVC管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轻型20-215厚1毫米，含直接、杯梳、直弯等配置</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86型底盒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86型标配底盒</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其他耗材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RJ45头、扎带、机打标签等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网络机柜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42U (600mm*600mm*2000mm)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理线架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1U理线器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1U高度，支持标准机柜安装；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采用封闭式管理跳线，使得安装后的配线机柜更整齐美观；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金属材料，表面采用粉末涂层，防止氧化，可靠持久。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接线盒</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86型金属接线盒</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电视接入</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阶梯会议室、综合指挥中心、值班室、检察大厅、领导接待室、食堂接入电视，4K机顶盒、铜轴电缆线、网线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网络信息点位集成服务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包含网络信息点位桥架、开槽、打孔、补槽、管道、穿线、打配线架、卡模块、信息点测试、标签、信息点位图、竣工资料等。包含网络信息点位清单设备采购、运输、安装、调试、测试等系统集成服务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网络系统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（1）工作网及安全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48口交换机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★设备CPU及交换芯片采用国产化芯片，提供CMA或CNAS认证的权威第三方机构出具的检测报告复印件证明</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★交换容量≥670Gbps，包转发率≥200Mpps，实配≥48个10/100/1000BASE-T端口，≥6个10G/1G BASE-X SFP+端口，提供官网公开链接及官网截图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2us，提供CMA或CNAS认证的权威第三方机构出具的检测报告复印件证明</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24口交换机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★设备CPU及交换芯片采用国产化芯片,交换容量≥670Gbps，包转发率≥170Mpps，提供官网公开链接及官网截图（若官网有多个值则以最小值为准）</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★实配≥28个10/100/1000BASE-T端口，≥8个10G/1G BASE-X SFP+端口，提供官网公开链接及官网截图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万兆单模模块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速率：10G；模式：单模；中心波长：1310nm；传输距离：10km。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（2）设备网及安全（监控及门禁等，核心与办公网通过防火墙隔离）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设备网核心交换机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★设备CPU及交换芯片采用国产化芯片，提供CMA或CNAS认证的权威第三方机构出具的检测报告复印件证明</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★交换容量≥670Gbps，包转发率≥170Mpps；实配≥28个SFP以太网光接口(其中Combo 10/100/1000Base-T自适应以太网接口≥4个)，≥8个万兆SFP+接口；提供官网公开链接及官网截图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24口千兆交换机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实配≥28个10/100/1000BASE-T端口，≥8个10G/1G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24口POE千兆交换机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 PoE+电口，≥8个10G/1G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POE功耗≥370W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千兆单模模块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速率：1G；模式：单模；中心波长：1310nm；传输距离：10km。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（3）政务网及安全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政务网48口千兆交换机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交换容量≥670Gbps，包转发率≥200Mpps，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实配≥48个10/100/1000BASE-T端口，≥6个10G/1G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政务网24口POE千兆交换机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 PoE+电口，≥8个10G/1G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POE功耗≥370W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政务网24口千兆交换机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实配≥28个10/100/1000BASE-T端口，≥8个10G/1G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政务网核心交换机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 PoE+电口，≥8个10G/1G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POE功耗≥370W，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千兆单模模块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速率：1G；模式：单模；中心波长：1310nm；传输距离：10km。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千兆防火墙</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处理器是信创CPU,信创系统,2U,1个管理口、1个HA口、6个千兆电口、4个千兆光口（满配千兆多模模块）和2个万兆光口（满配万兆多模模块）,双冗余电源,1个扩展槽位,网络层吞吐量(双向)：IPv4：大于等于11843.951Mbps，IPv6：大于等于11843.946Mbps 应用层吞吐量(单向)：IPv4：大于等于8064Mbps，IPv6：大于等于8211Mbps TCP新建连接速率：IPv4：大于等于99.9万/秒，IPv6：大于等于99.9万/秒 TCP并发连接数：IPv4：大于等于2000万，IPv6：大于等于2000万。默认包含应用识别功能，含1年应用特征库升级许可。 默认带36个月硬件维保。扩展带3年IPS入侵防御功能。</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（4）外网及安全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无线网核心交换机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实配≥28个SFP以太网光接口(其中Combo 10/100/1000Base-T自适应以太网接口≥4个)，≥8个万兆SFP+接口，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无线网24口POE千兆交换机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 PoE+电口，≥8个10G/1G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POE功耗≥370W，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无线控制器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要求所投产品支持常规AP最大数量≥512，要求所投产品集中转发性能≥10Gbps，实配128个AP管理授权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提供≥8个千兆GE端口，≥2个万兆SFP+端口，≥2个2.5GE端口，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满足标准IETF 5415 CAPWAP协议，AP和AC之间满足L2/L3层网络拓扑，为提高网络安全，AP与控制器之间能够满足DTLS对CAPWAP隧道进行加密处理。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支持具备仿冒终端检查的能力，并且识别仿冒终端所接入SSID、AP以及终端设备型号、终端操作系统等信息，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为使得网络管理员实时感知网络状态，所投产品需要在网络发生异常时，可利用短信、微信、邮件等三种不同方式推送告警信息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支持对异常终端的IP地址变更时间、MAC地址、IP地址、接入SSID以及接入AP信息予以记录及显示，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能够有效拦截Protal用户重定向攻击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无线AP</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采用整机双频4流设计，可同时工作在802.11a/b/g/n/ac/ac wave2/ax模式。</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整机协商速率≥2.975Gbps，其中5G射频速率≥2.4G，2.4G射频速率≥0.575G。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固化接口数≥2个，包括1个100/1000M/2.5G光口，1个10M/100M/1000M电口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满足壁挂、吸顶和面板安装方式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⽀持内置BLE5.1功能模块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支持5GHz和2.4GHz射频上行ping包1000个测试，5GHz平均时延≤3.1ms，2.4GHz平均时延≤4.6ms，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在自动功率调整基础上，支持检测信号覆盖黑洞功能，并对AP功率做出修正，保证处于特殊位置的终端接收到增强的AP信号，保证体验。</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支持在网络拥塞情况下，通过对终端发送的报文进行识别，在多业务并行处理时，可以对关键业务（如视频会议、时延敏感类游戏等）优先处理从而实现应用加速，同时双WiFi功能对链路可靠性的提升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千兆单模模块</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速率：1G；模式：单模；中心波长：1310nm；传输距离：10km。</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互联网24口接入交换机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实配≥28个10/100/1000BASE-T端口，≥8个10G/1G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互联网48口接入交换机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交换容量≥670Gbps，包转发率≥200Mpps，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实配≥48个10/100/1000BASE-T端口，≥6个10G/1G BASE-X SFP+端口，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互联网核心交换机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设备CPU及交换芯片采用国产化芯片，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交换容量≥670Gbps，包转发率≥170Mpps，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实配≥28个SFP以太网光接口(其中Combo 10/100/1000Base-T自适应以太网接口≥4个)，≥8个万兆SFP+接口，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MAC≥32K，路由表≥12K；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支持双电源，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支持IPv4静态路由、RIP、OSPF;支持IPv6静态路由、OSPFv3及加密;</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支持IP分片和重组，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支持端口镜像/流镜像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端口平均时延小于 2us，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支持802.1Q（VLAN），数目不小于4k；支持802.1ad（QinQ）</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硬件BFD 3ms最小间隔，</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（5）网络系统集成服务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包含网络系统设备采购、运输、安装、调试、测试等系统集成服务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主机房改造（不含涉密机房，不含机房区域承重评估、承重加固）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（1）机柜系统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机柜通用导轨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机柜通用导轨</w:t>
            </w:r>
            <w:r>
              <w:rPr>
                <w:rFonts w:hint="eastAsia" w:ascii="仿宋" w:hAnsi="仿宋" w:eastAsia="仿宋" w:cs="仿宋"/>
                <w:color w:val="auto"/>
                <w:kern w:val="0"/>
                <w:sz w:val="18"/>
                <w:szCs w:val="18"/>
                <w:highlight w:val="none"/>
                <w:lang w:bidi="ar"/>
              </w:rPr>
              <w:t>，用于主机房。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PDU电源（左）</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32A输入，18位10A新国标+2位16A国标输出，带防雷，1.5米电源线，32A航空插头，支持功率不少于6000W</w:t>
            </w:r>
            <w:r>
              <w:rPr>
                <w:rFonts w:hint="eastAsia" w:ascii="仿宋" w:hAnsi="仿宋" w:eastAsia="仿宋" w:cs="仿宋"/>
                <w:color w:val="auto"/>
                <w:kern w:val="0"/>
                <w:sz w:val="18"/>
                <w:szCs w:val="18"/>
                <w:highlight w:val="none"/>
                <w:lang w:bidi="ar"/>
              </w:rPr>
              <w:t>，用于主机房。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PDU电源（右）</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32A输入，18位10A新国标+2位16A国标输出，带防雷，1.5米电源线，32A航空插头，支持功率不少于6000W</w:t>
            </w:r>
            <w:r>
              <w:rPr>
                <w:rFonts w:hint="eastAsia" w:ascii="仿宋" w:hAnsi="仿宋" w:eastAsia="仿宋" w:cs="仿宋"/>
                <w:color w:val="auto"/>
                <w:kern w:val="0"/>
                <w:sz w:val="18"/>
                <w:szCs w:val="18"/>
                <w:highlight w:val="none"/>
                <w:lang w:bidi="ar"/>
              </w:rPr>
              <w:t>，用于主机房。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机柜承重支架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根据机柜尺寸定制长宽，高度一致</w:t>
            </w:r>
            <w:r>
              <w:rPr>
                <w:rFonts w:hint="eastAsia" w:ascii="仿宋" w:hAnsi="仿宋" w:eastAsia="仿宋" w:cs="仿宋"/>
                <w:color w:val="auto"/>
                <w:kern w:val="0"/>
                <w:sz w:val="18"/>
                <w:szCs w:val="18"/>
                <w:highlight w:val="none"/>
                <w:lang w:bidi="ar"/>
              </w:rPr>
              <w:t>，用于主机房。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包含采购和已有的机柜设备的运输、安装、调试、测试等系统集成服务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（2）动环监控系统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温湿度传感器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液晶温湿度传感器，支持LCD本地显示智能温湿度传感器。内置处理芯片，自带RS-485接口。属精密网络型温湿度传感器，可以设定通讯地址和波特率。经可溯源标准检验，精度高，并具备程序校准精度功能，低功耗、高稳定性。</w:t>
            </w:r>
            <w:r>
              <w:rPr>
                <w:rStyle w:val="208"/>
                <w:color w:val="auto"/>
                <w:sz w:val="18"/>
                <w:szCs w:val="18"/>
                <w:highlight w:val="none"/>
                <w:lang w:val="en-US" w:eastAsia="zh-CN" w:bidi="ar"/>
              </w:rPr>
              <w:t>Ø</w:t>
            </w:r>
            <w:r>
              <w:rPr>
                <w:rStyle w:val="332"/>
                <w:color w:val="auto"/>
                <w:sz w:val="18"/>
                <w:szCs w:val="18"/>
                <w:highlight w:val="none"/>
                <w:lang w:val="en-US" w:eastAsia="zh-CN" w:bidi="ar"/>
              </w:rPr>
              <w:t>提供RS-485输出，供主机采集。通讯协议采用标准MODBUS协议。阻燃绝缘纤维外壳，采用快速端子，安全可靠 。配备相应封装的温湿度探头，可测量各种管道及特殊场合的温湿度</w:t>
            </w:r>
            <w:r>
              <w:rPr>
                <w:rFonts w:hint="eastAsia" w:ascii="仿宋" w:hAnsi="仿宋" w:eastAsia="仿宋" w:cs="仿宋"/>
                <w:color w:val="auto"/>
                <w:kern w:val="0"/>
                <w:sz w:val="18"/>
                <w:szCs w:val="18"/>
                <w:highlight w:val="none"/>
                <w:lang w:bidi="ar"/>
              </w:rPr>
              <w:t>，用于主机房和UPS机房。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环控漏水监测</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漏水控制器以及漏水感应绳，能记录32条泄漏告警记录。具有2个LED状态指示，能迅速直观了解漏液检测系统的工作状态。 端口具有EMC设计，抗干扰能力强，长期稳定性高。 DIN导轨安装方式,施工安装方便</w:t>
            </w:r>
            <w:r>
              <w:rPr>
                <w:rFonts w:hint="eastAsia" w:ascii="仿宋" w:hAnsi="仿宋" w:eastAsia="仿宋" w:cs="仿宋"/>
                <w:color w:val="auto"/>
                <w:kern w:val="0"/>
                <w:sz w:val="18"/>
                <w:szCs w:val="18"/>
                <w:highlight w:val="none"/>
                <w:lang w:bidi="ar"/>
              </w:rPr>
              <w:t>，用于主机房和UPS机房。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一体化监控主机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上行网络接口 4个网口，100/10M自适应；配套鼠键套装。</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下行串口 10个下行RS485串口。每个RS485采用单独RJ45接口，具备DC12V供电能力，最大输出电流500mA。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DI输入 10个DI输入端口，每个DI采用单独RJ45接口，具备DC12V供电能力，最大输出电流100mA。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DO输出 4个DO输出端口，每个DO采用单独RJ45接口，C型继电器。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其它接口 1路HDMI显示输出，3个USB2.0接口，电源输出 3组， DC12V/3A，电源输入 两路，AC220/DC240V；功耗 小于10W，不含对外供电功耗。过流保护 DC12V电源:3A；DO：1350mA；RS485：电源500mA/信号200mA；DI：电源100mA/信号50mA；过压保护 485/DI：30V；DO：30V；防雷保护 网络/RS485/DI：600W；工作温度 -40℃~ 85℃；相对湿度 5% ~ 95%（无凝结）器。</w:t>
            </w:r>
            <w:r>
              <w:rPr>
                <w:rFonts w:hint="eastAsia" w:ascii="仿宋" w:hAnsi="仿宋" w:eastAsia="仿宋" w:cs="仿宋"/>
                <w:color w:val="auto"/>
                <w:kern w:val="0"/>
                <w:sz w:val="18"/>
                <w:szCs w:val="18"/>
                <w:highlight w:val="none"/>
                <w:lang w:bidi="ar"/>
              </w:rPr>
              <w:t>用于主机房。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数据转换采集主机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提供8口RS-232/422/485串口，标准的19寸机架安装方式。允许6台PC同时打开此设备的同一串口。电量仪、ups等485或232输出智能设备需串口服务器转换成网络，通过协议开发接入集中监控平台。 </w:t>
            </w:r>
            <w:r>
              <w:rPr>
                <w:rFonts w:hint="eastAsia" w:ascii="仿宋" w:hAnsi="仿宋" w:eastAsia="仿宋" w:cs="仿宋"/>
                <w:color w:val="auto"/>
                <w:kern w:val="0"/>
                <w:sz w:val="18"/>
                <w:szCs w:val="18"/>
                <w:highlight w:val="none"/>
                <w:lang w:bidi="ar"/>
              </w:rPr>
              <w:t>用于</w:t>
            </w:r>
            <w:r>
              <w:rPr>
                <w:rFonts w:hint="eastAsia" w:ascii="仿宋" w:hAnsi="仿宋" w:eastAsia="仿宋" w:cs="仿宋"/>
                <w:color w:val="auto"/>
                <w:kern w:val="0"/>
                <w:sz w:val="18"/>
                <w:szCs w:val="18"/>
                <w:highlight w:val="none"/>
                <w:lang w:val="en-US" w:eastAsia="zh-CN" w:bidi="ar"/>
              </w:rPr>
              <w:t>UPS</w:t>
            </w:r>
            <w:r>
              <w:rPr>
                <w:rFonts w:hint="eastAsia" w:ascii="仿宋" w:hAnsi="仿宋" w:eastAsia="仿宋" w:cs="仿宋"/>
                <w:color w:val="auto"/>
                <w:kern w:val="0"/>
                <w:sz w:val="18"/>
                <w:szCs w:val="18"/>
                <w:highlight w:val="none"/>
                <w:lang w:bidi="ar"/>
              </w:rPr>
              <w:t>机房。</w:t>
            </w:r>
            <w:r>
              <w:rPr>
                <w:rFonts w:hint="eastAsia" w:ascii="仿宋" w:hAnsi="仿宋" w:eastAsia="仿宋" w:cs="仿宋"/>
                <w:i w:val="0"/>
                <w:iCs w:val="0"/>
                <w:color w:val="auto"/>
                <w:kern w:val="0"/>
                <w:sz w:val="18"/>
                <w:szCs w:val="18"/>
                <w:highlight w:val="none"/>
                <w:u w:val="none"/>
                <w:lang w:val="en-US" w:eastAsia="zh-CN" w:bidi="ar"/>
              </w:rPr>
              <w:t xml:space="preserve">  </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环控动环平台软件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UPS监测：实现1台环控UPS监测功能</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精密空调监测：实现4台环控精密空调监测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温湿度监测：监控界面以电子云图的方式直观的显示机房的温度湿度分布点，可在软件上显示各参数的实时数据及历史曲线；可设置各参数的越限值，超过设置的阀值系统发出报警。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"集中监控：可以集中监控机房内动力、环境、安防等系统。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远程管理：支持IE远程查看、管理。多种报警方式：可提供声光、语音、手机短信、E-mail等多种报警方式。报警管理：可按用户管理需要，分组分级别发送报警信息；通过智能语音组合对分布在不同区域和设备的警情进行准确定位。智能联动：易于操作的联动，快速实现系统间联动控制。日志管理：对操作人员、操作内容、操作时间、故障点、故障内容、故障处理、时间等信息进行完整记录，可对这些记录进行智能组合查询。定时巡视：可按需要设定页面定时巡视。权限管理：对用户进行分组权限管理。辅助分析：系统可根据需要对各设备、系统的运行状态提供实时曲线和历史曲线，方便管理者借助图形手段，直观分析系统运行状况。稳定性：系统预留双机冗余热备功能，确保系统的稳定性。扩展性：扩展性优秀，可向上向下集成，提供WEBSERVICE、SNMP数据接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短信报警功能，支持电话和短信的方式通知告警，全网通，需要客户自备4G sim卡</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E远程访问授权，实现远程监测，系统还可以采用WEB浏览的方式，不需要另装其他任何软件进行远程监测，所监测的对象可以和监测中心具有等同的功能，亦可针对不同的监测对象实现不同的远程监测，以实现机房科学管理。</w:t>
            </w:r>
            <w:r>
              <w:rPr>
                <w:rFonts w:hint="eastAsia" w:ascii="仿宋" w:hAnsi="仿宋" w:eastAsia="仿宋" w:cs="仿宋"/>
                <w:color w:val="auto"/>
                <w:kern w:val="0"/>
                <w:sz w:val="18"/>
                <w:szCs w:val="18"/>
                <w:highlight w:val="none"/>
                <w:lang w:bidi="ar"/>
              </w:rPr>
              <w:t>用于主机房。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动环监控系统集成服务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包含动环监控系统设备采购、运输、安装、调试、测试等系统集成服务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（3）空调系统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主机房精密空调</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总制冷量≥27KW，上送风，风机标准风量≧7300 m3/h；</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专用空调机组的适应环境，温度：室内-10℃~+30℃，室外-34℃~+45℃，湿度≤95%RH；机房专用空调应具有高效节能性，压缩机选用具有较高的能效比的涡旋压缩机；应具有LCD大屏幕触摸式显示器，能显示温湿度曲线，具有图形显示机组内各组件的运行状态的功能。具有先进的微处理控制器，可存储500条历史告警信息。机组应具有过压 、欠压等报警及故、障诊断，告警记录功能，自动保护，自动恢复等功能。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设备包含空调搬运、空调承重架、空调安装所需的铜管、制冷剂、外机托架等。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精密空调（电池机房）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送风空调总制冷量≥12.5kw。系统室内循环风量不小于3200立方米/小时。空调需要极强的电源适应能力，满足电压适应范围380±15%，具备缺相保护、提示和告警功能。空调需要维护方便：100%全正面维护；主要部件可拆卸维护。空调采用高效后倾离心直联风机，具备风压调整范围宽的特点，且不需皮带传动，无需例行维护及更换皮带。空调需标准配置RS485监控接口，支持Modbus和YD/T1363.3双通讯协议，可现场选择协议类型。</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设备包含空调运输、搬运、空调承重架定制，以及空调安装所需的铜管、制冷剂、外机托架等。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新风系统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国产全热交换器 800m3/h，包含新风系统安装必须的管路材料及施工。</w:t>
            </w:r>
            <w:r>
              <w:rPr>
                <w:rFonts w:hint="eastAsia" w:ascii="仿宋" w:hAnsi="仿宋" w:eastAsia="仿宋" w:cs="仿宋"/>
                <w:color w:val="auto"/>
                <w:kern w:val="0"/>
                <w:sz w:val="18"/>
                <w:szCs w:val="18"/>
                <w:highlight w:val="none"/>
                <w:lang w:bidi="ar"/>
              </w:rPr>
              <w:t>用于</w:t>
            </w:r>
            <w:r>
              <w:rPr>
                <w:rFonts w:hint="eastAsia" w:ascii="仿宋" w:hAnsi="仿宋" w:eastAsia="仿宋" w:cs="仿宋"/>
                <w:color w:val="auto"/>
                <w:kern w:val="0"/>
                <w:sz w:val="18"/>
                <w:szCs w:val="18"/>
                <w:highlight w:val="none"/>
                <w:lang w:val="en-US" w:eastAsia="zh-CN" w:bidi="ar"/>
              </w:rPr>
              <w:t>主</w:t>
            </w:r>
            <w:r>
              <w:rPr>
                <w:rFonts w:hint="eastAsia" w:ascii="仿宋" w:hAnsi="仿宋" w:eastAsia="仿宋" w:cs="仿宋"/>
                <w:color w:val="auto"/>
                <w:kern w:val="0"/>
                <w:sz w:val="18"/>
                <w:szCs w:val="18"/>
                <w:highlight w:val="none"/>
                <w:lang w:bidi="ar"/>
              </w:rPr>
              <w:t>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空调系统集成服务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包含设备吊装服务；包含空调系统设备采购、运输、安装、调试、测试等系统集成服务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（4）气体灭火系统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UPS机房七氟丙烷灭火装置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无管网灭火装置，由灭火剂钢瓶、容器阀、电磁型驱动装置、金属软管、信号反馈装置、喷嘴、柜体等组，灌装七氟丙烷药剂不低于105公斤。</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主机房七氟丙烷灭火装置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无管网灭火装置，由灭火剂钢瓶、容器阀、电磁型驱动装置、金属软管、信号反馈装置、喷嘴、柜体等组成，每套灌装七氟丙烷药剂不低于80公斤。</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办案机房七氟丙烷灭火装置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无管网灭火装置，由灭火剂钢瓶、容器阀、电磁型驱动装置、金属软管、信号反馈装置、喷嘴、柜体等组成，灌装七氟丙烷药剂不低于25公斤。</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气体灭火控制主机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规格要求：主电源交流220V、备用电池12V/12Ah两节、系统采用480*272TFT彩色4.3寸液晶显示、外形尺寸410mm*135mm*500mm（长*宽*高) ；2个回路、每个回路242点；联动24V:3路，每路1A。</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放气指示灯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规格要求：工作电压15V-28V、无极性二总线、电子编码、温度-10℃-55℃。</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紧急启停装置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规格要求：可重复使用型启动按片、无极性二总线、电子编码、温度-10℃-55℃、启动按键1s、停止按键2s</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声光报警器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规格要求：工作电压15V-28V、无极性二总线、电子编码、变调周期3.0s-4.5s、闪光频率1.0Hz-1.6Hz、声压级75-100dB(A计权）。</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烟感探测器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规格要求：无极性二总线、电子编码、相对湿度≤95%RH，不凝露。</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温感探测器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规格要求：无极性二总线、电子编码、相对湿度≤95%RH，不凝露。</w:t>
            </w:r>
            <w:r>
              <w:rPr>
                <w:rFonts w:hint="eastAsia" w:ascii="仿宋" w:hAnsi="仿宋" w:eastAsia="仿宋" w:cs="仿宋"/>
                <w:color w:val="auto"/>
                <w:kern w:val="0"/>
                <w:sz w:val="18"/>
                <w:szCs w:val="18"/>
                <w:highlight w:val="none"/>
                <w:lang w:bidi="ar"/>
              </w:rPr>
              <w:t>用于主机房、UPS机房、办案机房。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泄压阀</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300*300泄压阀</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泄压阀</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200*200泄压阀</w:t>
            </w:r>
            <w:r>
              <w:rPr>
                <w:rFonts w:hint="eastAsia" w:ascii="仿宋" w:hAnsi="仿宋" w:eastAsia="仿宋" w:cs="仿宋"/>
                <w:color w:val="auto"/>
                <w:kern w:val="0"/>
                <w:sz w:val="18"/>
                <w:szCs w:val="18"/>
                <w:highlight w:val="none"/>
                <w:lang w:bidi="ar"/>
              </w:rPr>
              <w:t>，用于UPS机房、办案机房。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气体灭火系统集成服务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包含气体灭火系统设备采购、运输、安装、调试、测试等系统集成服务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（5）强弱电系统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服务器机柜电缆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RVV-3*6mm2</w:t>
            </w:r>
            <w:r>
              <w:rPr>
                <w:rFonts w:hint="eastAsia" w:ascii="仿宋" w:hAnsi="仿宋" w:eastAsia="仿宋" w:cs="仿宋"/>
                <w:color w:val="auto"/>
                <w:kern w:val="0"/>
                <w:sz w:val="18"/>
                <w:szCs w:val="18"/>
                <w:highlight w:val="none"/>
                <w:lang w:bidi="ar"/>
              </w:rPr>
              <w:t>主机房</w:t>
            </w:r>
            <w:r>
              <w:rPr>
                <w:rFonts w:hint="eastAsia" w:ascii="仿宋" w:hAnsi="仿宋" w:eastAsia="仿宋" w:cs="仿宋"/>
                <w:i w:val="0"/>
                <w:iCs w:val="0"/>
                <w:color w:val="auto"/>
                <w:kern w:val="0"/>
                <w:sz w:val="18"/>
                <w:szCs w:val="18"/>
                <w:highlight w:val="none"/>
                <w:u w:val="none"/>
                <w:lang w:val="en-US" w:eastAsia="zh-CN" w:bidi="ar"/>
              </w:rPr>
              <w:t>服务器机柜电缆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YJV-4*16+1*10mm2</w:t>
            </w:r>
            <w:r>
              <w:rPr>
                <w:rFonts w:hint="eastAsia" w:ascii="仿宋" w:hAnsi="仿宋" w:eastAsia="仿宋" w:cs="仿宋"/>
                <w:color w:val="auto"/>
                <w:kern w:val="0"/>
                <w:sz w:val="18"/>
                <w:szCs w:val="18"/>
                <w:highlight w:val="none"/>
                <w:lang w:bidi="ar"/>
              </w:rPr>
              <w:t>主机房</w:t>
            </w:r>
            <w:r>
              <w:rPr>
                <w:rFonts w:hint="eastAsia" w:ascii="仿宋" w:hAnsi="仿宋" w:eastAsia="仿宋" w:cs="仿宋"/>
                <w:i w:val="0"/>
                <w:iCs w:val="0"/>
                <w:color w:val="auto"/>
                <w:kern w:val="0"/>
                <w:sz w:val="18"/>
                <w:szCs w:val="18"/>
                <w:highlight w:val="none"/>
                <w:u w:val="none"/>
                <w:lang w:val="en-US" w:eastAsia="zh-CN" w:bidi="ar"/>
              </w:rPr>
              <w:t>精密空调电缆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办案机房UPS输入电缆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YJV-4*25+1*16mm2办案机房UPS输入电缆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办案机房市电输入电缆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YJV-4*35+1*16mm2办案机房市电输入电缆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主机房UPS输入电缆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YJV-4*70+1*35mm2主机房UPS输入电缆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主机房市电输入电缆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YJV-4*95+1*50mm2主机房市电输入电缆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UPS总输入输出电缆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YJV-4*120+1*70mm2 UPS总输入输出电缆</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机房市电柜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采用落地式安装结构，1个300A 4P断路器、1个250A 3P断路器、2个125A断路器、4个80A 3P断路器、4个32A 3P断路器、6个32A 1P断路器、1套三相四线电流电压多功能数显仪表，包括配套的电流互感器等配电柜内其他相应的电力配件、附件。</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机房机柜配电柜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采用落地式安装结构，2个4P 250A断路器，42个1P 32A空开，2套三相四线电流电压多功能数显仪表，包括配套的电流互感器等，配电柜内其他相应的电力配件、附件。</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UPS机房市电柜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采用落地式安装结构，1个4P 绝缘电压AC 400V，负载400A双路切换器，1个4P 400A断路器，1个4P 350A断路器，1个4P 300A断路器，1个160A 4P断路器，3个1P 32A空开，1套三相四线电流电压多功能数显仪表，包括配套的电流互感器等，配电柜内其他相应的电力配件、附件，含底座。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UPS机房输出柜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采用落地式安装结构，1个4P 350A断路器，1个250A 4P断路器，1个120A 4P断路器，3个1P 32A空开，1套三相四线电流电压多功能数显仪表，包括配套的电流互感器等，配电柜内其他相应的电力配件、附件，含底座。</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办案机房配电柜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采用落地式安装结构，2个4P 160A断路器，18个1P 32A空开，2套三相四线电流电压多功能数显仪表，包括配套的电流互感器等，配电柜内其他相应的电力配件、附件。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消控中心配电柜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采用落地式安装结构，1个4P 160A断路器，4个3P 63A空开，12个1P 32A空开，1套三相四线电流电压多功能数显仪表，包括配套的电流互感器等，配电柜内其他相应的电力配件、附件。</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主机房光纤布线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12个机柜MPO光配系统（每机柜48芯MPO定制光纤），包括网格弱电桥架及桥架安装、MPO光纤等。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工业连接器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bidi="ar"/>
              </w:rPr>
              <w:t>主机房</w:t>
            </w:r>
            <w:r>
              <w:rPr>
                <w:rFonts w:hint="eastAsia" w:ascii="仿宋" w:hAnsi="仿宋" w:eastAsia="仿宋" w:cs="仿宋"/>
                <w:i w:val="0"/>
                <w:iCs w:val="0"/>
                <w:color w:val="auto"/>
                <w:kern w:val="0"/>
                <w:sz w:val="18"/>
                <w:szCs w:val="18"/>
                <w:highlight w:val="none"/>
                <w:u w:val="none"/>
                <w:lang w:val="en-US" w:eastAsia="zh-CN" w:bidi="ar"/>
              </w:rPr>
              <w:t>220V 32A 工业连接器。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机房内镀锌槽式桥架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机房内镀锌槽式桥架:规格200*100，含桥架所需辅材，</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val="en-US" w:eastAsia="zh-CN" w:bidi="ar"/>
              </w:rPr>
              <w:t>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市电及UPS主电缆桥架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bidi="ar"/>
              </w:rPr>
              <w:t>镀锌桥架，规格按需，主要利用大楼装修方强电桥架，装修方强电桥架不到机房和UPS电池机房的延长部分，总长度不超过20米。用于主机房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供配电辅材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bidi="ar"/>
              </w:rPr>
              <w:t>机房电缆铺设、连接所必须得辅材，</w:t>
            </w:r>
            <w:r>
              <w:rPr>
                <w:rFonts w:hint="eastAsia" w:ascii="仿宋" w:hAnsi="仿宋" w:eastAsia="仿宋" w:cs="仿宋"/>
                <w:i w:val="0"/>
                <w:iCs w:val="0"/>
                <w:color w:val="auto"/>
                <w:kern w:val="0"/>
                <w:sz w:val="18"/>
                <w:szCs w:val="18"/>
                <w:highlight w:val="none"/>
                <w:u w:val="none"/>
                <w:lang w:val="en-US" w:eastAsia="zh-CN" w:bidi="ar"/>
              </w:rPr>
              <w:t>包含铜鼻子，扎带，电工胶布等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强弱电系统集成服务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bidi="ar"/>
              </w:rPr>
              <w:t>机房强弱电系统</w:t>
            </w:r>
            <w:r>
              <w:rPr>
                <w:rFonts w:hint="eastAsia" w:ascii="仿宋" w:hAnsi="仿宋" w:eastAsia="仿宋" w:cs="仿宋"/>
                <w:i w:val="0"/>
                <w:iCs w:val="0"/>
                <w:color w:val="auto"/>
                <w:kern w:val="0"/>
                <w:sz w:val="18"/>
                <w:szCs w:val="18"/>
                <w:highlight w:val="none"/>
                <w:u w:val="none"/>
                <w:lang w:val="en-US" w:eastAsia="zh-CN" w:bidi="ar"/>
              </w:rPr>
              <w:t>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主机房装修硬装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顶面天花龙骨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主材U38龙骨，DU38*12*1.0mm</w:t>
            </w:r>
            <w:r>
              <w:rPr>
                <w:rFonts w:hint="eastAsia" w:ascii="仿宋" w:hAnsi="仿宋" w:eastAsia="仿宋" w:cs="仿宋"/>
                <w:color w:val="auto"/>
                <w:kern w:val="0"/>
                <w:sz w:val="18"/>
                <w:szCs w:val="18"/>
                <w:highlight w:val="none"/>
                <w:lang w:bidi="ar"/>
              </w:rPr>
              <w:t>，涉及主机房、消控室、办案机房和U</w:t>
            </w:r>
            <w:r>
              <w:rPr>
                <w:rFonts w:ascii="仿宋" w:hAnsi="仿宋" w:eastAsia="仿宋" w:cs="仿宋"/>
                <w:color w:val="auto"/>
                <w:kern w:val="0"/>
                <w:sz w:val="18"/>
                <w:szCs w:val="18"/>
                <w:highlight w:val="none"/>
                <w:lang w:bidi="ar"/>
              </w:rPr>
              <w:t>PS</w:t>
            </w:r>
            <w:r>
              <w:rPr>
                <w:rFonts w:hint="eastAsia" w:ascii="仿宋" w:hAnsi="仿宋" w:eastAsia="仿宋" w:cs="仿宋"/>
                <w:color w:val="auto"/>
                <w:kern w:val="0"/>
                <w:sz w:val="18"/>
                <w:szCs w:val="18"/>
                <w:highlight w:val="none"/>
                <w:lang w:bidi="ar"/>
              </w:rPr>
              <w:t>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顶面铝板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主材600*600*0.8mm,材质为铝合金板材</w:t>
            </w:r>
            <w:r>
              <w:rPr>
                <w:rFonts w:hint="eastAsia" w:ascii="仿宋" w:hAnsi="仿宋" w:eastAsia="仿宋" w:cs="仿宋"/>
                <w:color w:val="auto"/>
                <w:kern w:val="0"/>
                <w:sz w:val="18"/>
                <w:szCs w:val="18"/>
                <w:highlight w:val="none"/>
                <w:lang w:bidi="ar"/>
              </w:rPr>
              <w:t>，涉及主机房、消控室、办案机房和U</w:t>
            </w:r>
            <w:r>
              <w:rPr>
                <w:rFonts w:ascii="仿宋" w:hAnsi="仿宋" w:eastAsia="仿宋" w:cs="仿宋"/>
                <w:color w:val="auto"/>
                <w:kern w:val="0"/>
                <w:sz w:val="18"/>
                <w:szCs w:val="18"/>
                <w:highlight w:val="none"/>
                <w:lang w:bidi="ar"/>
              </w:rPr>
              <w:t>PS</w:t>
            </w:r>
            <w:r>
              <w:rPr>
                <w:rFonts w:hint="eastAsia" w:ascii="仿宋" w:hAnsi="仿宋" w:eastAsia="仿宋" w:cs="仿宋"/>
                <w:color w:val="auto"/>
                <w:kern w:val="0"/>
                <w:sz w:val="18"/>
                <w:szCs w:val="18"/>
                <w:highlight w:val="none"/>
                <w:lang w:bidi="ar"/>
              </w:rPr>
              <w:t>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顶面收边条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天花四周用L型收边条</w:t>
            </w:r>
            <w:r>
              <w:rPr>
                <w:rFonts w:hint="eastAsia" w:ascii="仿宋" w:hAnsi="仿宋" w:eastAsia="仿宋" w:cs="仿宋"/>
                <w:color w:val="auto"/>
                <w:kern w:val="0"/>
                <w:sz w:val="18"/>
                <w:szCs w:val="18"/>
                <w:highlight w:val="none"/>
                <w:lang w:bidi="ar"/>
              </w:rPr>
              <w:t>，涉及主机房、消控室、办案机房和U</w:t>
            </w:r>
            <w:r>
              <w:rPr>
                <w:rFonts w:ascii="仿宋" w:hAnsi="仿宋" w:eastAsia="仿宋" w:cs="仿宋"/>
                <w:color w:val="auto"/>
                <w:kern w:val="0"/>
                <w:sz w:val="18"/>
                <w:szCs w:val="18"/>
                <w:highlight w:val="none"/>
                <w:lang w:bidi="ar"/>
              </w:rPr>
              <w:t>PS</w:t>
            </w:r>
            <w:r>
              <w:rPr>
                <w:rFonts w:hint="eastAsia" w:ascii="仿宋" w:hAnsi="仿宋" w:eastAsia="仿宋" w:cs="仿宋"/>
                <w:color w:val="auto"/>
                <w:kern w:val="0"/>
                <w:sz w:val="18"/>
                <w:szCs w:val="18"/>
                <w:highlight w:val="none"/>
                <w:lang w:bidi="ar"/>
              </w:rPr>
              <w:t>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轻钢龙骨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主材QC75×45×0.6，含QU38、QU75配件等</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保温岩棉</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主材厚50mm防火岩棉，主要原料为玄武岩；</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r>
              <w:rPr>
                <w:rFonts w:ascii="仿宋" w:hAnsi="仿宋" w:eastAsia="仿宋" w:cs="仿宋"/>
                <w:color w:val="auto"/>
                <w:sz w:val="18"/>
                <w:szCs w:val="18"/>
                <w:highlight w:val="none"/>
              </w:rPr>
              <w:t xml:space="preserve"> </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单面彩钢板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规格0.6mm厚热熔镀锌钢板，内衬12mm厚石膏板，燃烧性能：A1级，</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墙面腻子粉</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腻子粉，含施工，</w:t>
            </w:r>
            <w:r>
              <w:rPr>
                <w:rFonts w:hint="eastAsia" w:ascii="仿宋" w:hAnsi="仿宋" w:eastAsia="仿宋" w:cs="仿宋"/>
                <w:color w:val="auto"/>
                <w:kern w:val="0"/>
                <w:sz w:val="18"/>
                <w:szCs w:val="18"/>
                <w:highlight w:val="none"/>
                <w:lang w:bidi="ar"/>
              </w:rPr>
              <w:t>涉及办案机房、消控室、UPS机房。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墙面乳胶漆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乳胶漆，含一底两面施工，</w:t>
            </w:r>
            <w:r>
              <w:rPr>
                <w:rFonts w:hint="eastAsia" w:ascii="仿宋" w:hAnsi="仿宋" w:eastAsia="仿宋" w:cs="仿宋"/>
                <w:color w:val="auto"/>
                <w:kern w:val="0"/>
                <w:sz w:val="18"/>
                <w:szCs w:val="18"/>
                <w:highlight w:val="none"/>
                <w:lang w:bidi="ar"/>
              </w:rPr>
              <w:t>涉及办案机房、消控室、UPS机房。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不锈钢踢脚线</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主材1.2mm拉丝不锈钢，高度100mm，</w:t>
            </w:r>
            <w:r>
              <w:rPr>
                <w:rFonts w:hint="eastAsia" w:ascii="仿宋" w:hAnsi="仿宋" w:eastAsia="仿宋" w:cs="仿宋"/>
                <w:color w:val="auto"/>
                <w:kern w:val="0"/>
                <w:sz w:val="18"/>
                <w:szCs w:val="18"/>
                <w:highlight w:val="none"/>
                <w:lang w:bidi="ar"/>
              </w:rPr>
              <w:t>涉及主机房、消控室、办案机房。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玻璃窗隐蔽</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玻璃内侧隔热膜或遮阳窗帘</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用于主机房</w:t>
            </w:r>
            <w:r>
              <w:rPr>
                <w:rFonts w:hint="eastAsia" w:ascii="仿宋" w:hAnsi="仿宋" w:eastAsia="仿宋" w:cs="仿宋"/>
                <w:color w:val="auto"/>
                <w:kern w:val="0"/>
                <w:sz w:val="18"/>
                <w:szCs w:val="18"/>
                <w:highlight w:val="none"/>
                <w:lang w:eastAsia="zh-CN" w:bidi="ar"/>
              </w:rPr>
              <w:t>。</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地面防尘漆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环氧地坪漆</w:t>
            </w:r>
            <w:r>
              <w:rPr>
                <w:rFonts w:hint="eastAsia" w:ascii="仿宋" w:hAnsi="仿宋" w:eastAsia="仿宋" w:cs="仿宋"/>
                <w:color w:val="auto"/>
                <w:kern w:val="0"/>
                <w:sz w:val="18"/>
                <w:szCs w:val="18"/>
                <w:highlight w:val="none"/>
                <w:lang w:bidi="ar"/>
              </w:rPr>
              <w:t>，涉及主机房、UPS机房。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地板墙边支撑</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墙边支撑</w:t>
            </w:r>
            <w:r>
              <w:rPr>
                <w:rFonts w:hint="eastAsia" w:ascii="仿宋" w:hAnsi="仿宋" w:eastAsia="仿宋" w:cs="仿宋"/>
                <w:color w:val="auto"/>
                <w:kern w:val="0"/>
                <w:sz w:val="18"/>
                <w:szCs w:val="18"/>
                <w:highlight w:val="none"/>
                <w:lang w:bidi="ar"/>
              </w:rPr>
              <w:t>，涉及主机房、消控室、办案机房。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门口台阶制作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机房主入台阶，防静电地板饰面，L收边条</w:t>
            </w:r>
            <w:r>
              <w:rPr>
                <w:rFonts w:hint="eastAsia" w:ascii="仿宋" w:hAnsi="仿宋" w:eastAsia="仿宋" w:cs="仿宋"/>
                <w:color w:val="auto"/>
                <w:kern w:val="0"/>
                <w:sz w:val="18"/>
                <w:szCs w:val="18"/>
                <w:highlight w:val="none"/>
                <w:lang w:bidi="ar"/>
              </w:rPr>
              <w:t>，涉及主机房、消控室、办案机房。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钢制消防子母门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甲级钢质消防防火门，1200×2100mm，包含附材</w:t>
            </w:r>
            <w:r>
              <w:rPr>
                <w:rFonts w:hint="eastAsia" w:ascii="仿宋" w:hAnsi="仿宋" w:eastAsia="仿宋" w:cs="仿宋"/>
                <w:color w:val="auto"/>
                <w:kern w:val="0"/>
                <w:sz w:val="18"/>
                <w:szCs w:val="18"/>
                <w:highlight w:val="none"/>
                <w:lang w:bidi="ar"/>
              </w:rPr>
              <w:t>，涉及主机房、消控室、办案机房和U</w:t>
            </w:r>
            <w:r>
              <w:rPr>
                <w:rFonts w:ascii="仿宋" w:hAnsi="仿宋" w:eastAsia="仿宋" w:cs="仿宋"/>
                <w:color w:val="auto"/>
                <w:kern w:val="0"/>
                <w:sz w:val="18"/>
                <w:szCs w:val="18"/>
                <w:highlight w:val="none"/>
                <w:lang w:bidi="ar"/>
              </w:rPr>
              <w:t>PS</w:t>
            </w:r>
            <w:r>
              <w:rPr>
                <w:rFonts w:hint="eastAsia" w:ascii="仿宋" w:hAnsi="仿宋" w:eastAsia="仿宋" w:cs="仿宋"/>
                <w:color w:val="auto"/>
                <w:kern w:val="0"/>
                <w:sz w:val="18"/>
                <w:szCs w:val="18"/>
                <w:highlight w:val="none"/>
                <w:lang w:bidi="ar"/>
              </w:rPr>
              <w:t>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挡水围堰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精密空调底下做挡水围堰，高度10CM</w:t>
            </w:r>
            <w:r>
              <w:rPr>
                <w:rFonts w:hint="eastAsia" w:ascii="仿宋" w:hAnsi="仿宋" w:eastAsia="仿宋" w:cs="仿宋"/>
                <w:color w:val="auto"/>
                <w:kern w:val="0"/>
                <w:sz w:val="18"/>
                <w:szCs w:val="18"/>
                <w:highlight w:val="none"/>
                <w:lang w:bidi="ar"/>
              </w:rPr>
              <w:t>，涉及主机房、UPS机房。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进排水管道</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主材PPR管，空调加湿器进水G1/2mm，冷凝器排水20mm</w:t>
            </w:r>
            <w:r>
              <w:rPr>
                <w:rFonts w:hint="eastAsia" w:ascii="仿宋" w:hAnsi="仿宋" w:eastAsia="仿宋" w:cs="仿宋"/>
                <w:color w:val="auto"/>
                <w:kern w:val="0"/>
                <w:sz w:val="18"/>
                <w:szCs w:val="18"/>
                <w:highlight w:val="none"/>
                <w:lang w:bidi="ar"/>
              </w:rPr>
              <w:t>，涉及主机房、UPS机房。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600×600mm LED灯</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安全出口指示灯</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LED光源，大于等于90分钟</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应急疏散照明</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双头应急灯，大于等于90分钟</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灯开关</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10A</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墙插座</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10A，五孔</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照明和插座线缆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BVR2.5mm2</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PVC管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直径20 PVC管，含辅材</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金属软管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G25</w:t>
            </w:r>
            <w:r>
              <w:rPr>
                <w:rFonts w:hint="eastAsia" w:ascii="仿宋" w:hAnsi="仿宋" w:eastAsia="仿宋" w:cs="仿宋"/>
                <w:color w:val="auto"/>
                <w:kern w:val="0"/>
                <w:sz w:val="18"/>
                <w:szCs w:val="18"/>
                <w:highlight w:val="none"/>
                <w:lang w:bidi="ar"/>
              </w:rPr>
              <w:t>，涉及主机房、消控室、办案机房、UPS机房。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机房静电接地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机房静电地板及设备接地系统，含接地辅材</w:t>
            </w:r>
            <w:r>
              <w:rPr>
                <w:rFonts w:hint="eastAsia" w:ascii="仿宋" w:hAnsi="仿宋" w:eastAsia="仿宋" w:cs="仿宋"/>
                <w:color w:val="auto"/>
                <w:kern w:val="0"/>
                <w:sz w:val="18"/>
                <w:szCs w:val="18"/>
                <w:highlight w:val="none"/>
                <w:lang w:bidi="ar"/>
              </w:rPr>
              <w:t>，涉及主机房、消控室、办案机房。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供配电辅材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含铜鼻子，扎带，绝缘管等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机房搬迁（不含涉密机房）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精密空调移机服务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上送风精密空调移机、搬运，包括拆机、安装、铜管、制冷液、上楼搬运等服务。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机柜搬运服务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机柜搬运、安装、固定、PDU安装、电源接入等服务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系统调研服务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现有网络拓扑、SAN存储网、存储空间分配、网络及安全配置、机房硬件资产调研等服务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搬迁设计服务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搬迁计划、搬迁技术方案、搬迁人员组成、搬迁应急预案等服务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服务器搬运服务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业务服务器关机、下架、包装、搬运、安装等服务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存储系统搬运服务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业务存储、SAN网络关机、下架、包装、搬运、安装等服务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核心交换机搬运服务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核心交换机搬运和网络联调服务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外部网络割接和调试服务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网络割接调试，包括提供光配、尾纤、跳纤、联调等服务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内部网络互连和调试服务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约20台交换机、安全设备等搬运、联调等服务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存储网互连和调试服务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19套存储系统连接、服务器与存储业务联调和测试等服务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六类网络跳线服务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200根六类成品跳线，长度2米、3米或5米，包括标签制作等服务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光纤跳线服务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80对各种类型单模、多模光纤跳线，长度包括3、5、10米等，包括标签制作等服务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防静电地板迁移服务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180平方拆除、搬运、安装服务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监控、门禁、闸机、考勤系统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普通半球摄像头</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 1/3" CMOS ICR日夜型半球型网络摄像机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支持Smart侦测：10项事件检测，1项异常检测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宽动态: 120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最大图像尺寸: 2688 × 1520（默认2560 × 1440）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 主码流：H.265/H.264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人脸半球摄像机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400万智能变焦半球网络摄像机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采用深度学习硬件及算法，提供精准的人车分类侦测，支持越界侦测，区域入侵侦测，进入区域侦测和离开区域侦测，支持声音报警联动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支持人脸抓拍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支持电动变焦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1个内置麦克风，1个内置扬声器，支持双向语音对讲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补光距离：最远可达30 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最大图像尺寸：2688 × 1520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视频压缩标准：主码流：H.265/H.264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1路输出（Line out），最大输出幅值：3.3 Vpp，输出阻抗：100 Ω，接口类型：非平衡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1个内置麦克风，1个内置扬声器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支持智能报警防干扰功能，智能分析行为类型为区域入侵、越界入侵、进入区域、离开区域时，报警检测目标设置为人体或车辆时，光线明暗变化，篮球滚动，狗行走，树摇晃，不触发报警。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支持硬件微引导程序、uboot、OS、应用软件逐级校验功能，非法篡改的uboot、OS、应用软件固件包，不能通过命令行、浏览器、客户端方式进行升级。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人脸枪式摄像机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400万智能变焦筒型网络摄像机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采用深度学习硬件及算法，提供精准的人车分类侦测，支持越界侦测，区域入侵侦测，进入区域侦测和离开区域侦测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120 dB宽动态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1个内置麦克风，1个内置扬声器，支持双向语音对讲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支持电动变焦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支持人脸抓拍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最大图像尺寸：2688 × 1520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视频压缩标准：主码流：H.265/H.264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支持智能报警防干扰功能，智能分析行为类型为区域入侵、越界入侵、进入区域、离开区域时，报警检测目标设置为人体或车辆时，光线明暗变化，篮球滚动，狗行走，树摇晃，不触发报警。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支持硬件微引导程序OTP写入保护机制，uboot的FLASH存储空间应采用防篡改功能。若非法修改FLASH中的内容，可提示异常报错，uboot无法正常启动。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室外全彩智能球机1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800万7寸32倍全彩智能球机_交流</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支持最大2560 × 1440 @30 fps高清画面输出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支持切换为人脸抓拍模式，最大同时抓拍5张人脸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支持32倍光学变倍，16倍数字变倍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支持最大256G的 Micro SD/Micro SDHC/Micro SDXC卡存储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宽动态：120dB超宽动态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支持对镜头前盖玻璃加热，去除玻璃上的冰状和水状附着物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支持像素显示功能，可显示监控画面上选定区域的水平像素大小和垂直像素大小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室内全彩智能球机2</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800万1/1.8′′CMOS 3寸4倍红外PTZ半球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内置电动云台和一体化变焦镜头，施工便易，方便运维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智能功能：人脸抓拍、Smart智能、混合目标检测（混合目标下的人脸比对、全结构化）</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用深度学习算法，以海量图片及视频资源为路基，通过机器自身提取目标特征，形成深层可供学习的图像，极大的提升了目标的检出率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支持4倍光学变倍，16倍数字变倍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支持最大256GB的 Micro SD/Micro SDHC/Micro SDXC卡存储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宽动态：120dB超宽动态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内置GPU芯片</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支持声音报警功能，报警声音类型不小于11种，可自定义语音，报警重复次数可设置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高空球机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全景摄像机还集成了先进的视频分析算法和多目标跟踪算法程序，可实现自动或手动对全景区域内的多个目标进行区域入侵、越界、进入区域、离开区域行为的检测，并可输出报警信号和联动球机跟踪，从而满足高等级要求的安保需求;</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全景摄像机：4个1/1.8＂ 2MP Progressive Scan CMOS，最高分辨率及帧率可达 4096×1800@30fps;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视场角：水平180°，垂直85°;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超低照度，0.0005Lux/F1.0（彩色），0.0001Lux/F1.0（黑白）;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细节摄像机：1/1.8＂ 2MP Progressive Scan CMOS，最高分辨率及帧率可达1920x1080@30fps;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超低照度，0.0005Lux/F1.2（彩色），0.0001Lux/F1.2（黑白），0 Lux with IR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48倍光学变倍，16倍数字变倍;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水平360°连续旋转，垂直-15°-90°（自动翻转）;</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采用高效红外阵列，低功耗，照射距离最远可达250m;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产品支持定位联动、自动跟踪、手动跟踪、混合跟踪功能，在辅视频图像中跟踪目标的灵敏度及时间可设；并且自动跟踪模式下，最多对60个目标进行检测并抓拍。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当样机检测到雾的浓度达到设定的阈值时，可自动在算法透雾和光学透雾之间进行切换。具有三种滤光片，在白天、夜晚及有雾情况下可自动切换不同的滤光片进行成像。三片滤光片透过率均不小于95%。</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电梯摄像头</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200万电梯半球，适配随行电缆</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支持区域入侵侦测，越界侦测，进入区域侦测，离开区域侦测等10种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120 dB宽动态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支持1路报警输入，1路报警输出，1路音频输入，1路音频输出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支持最大256 GB MicroSD/MicroSDHC/MicroSDXC卡本地存储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最大图像尺寸：2560 × 1440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支持POE供电</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周界防范摄像机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双光谱筒型摄像机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支持吸烟检测、火点检测、烟雾检测、温度异常</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支持音频异常探测等功能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支持测温功能：支持普通测温，专家测温检测；可以画最多10个点，1条线，10个区域检测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热成像传感器类型：氧化钒非制冷型探测器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热成像像元尺寸：12 μm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热成像分辨率：256 × 192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热成像焦距：3 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热成像视场角：50°×37.2°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测温精度：±2°C或者读数的±2%（取最大值）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测温范围：-20 °C~550 °C</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可见光传感器类型：400万1/2.7" Progressive Scan CMOS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可见光分辨率：2688 × 1520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可见光补光功能：红外补光最远可达30米</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可见光焦距：4mm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可见光视场角：84.0°×43.1°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双光融合显示功能检验：可将热成像视频图像与可见光视频图像进行融合预览，并可在可见光视频图像上的相同比例位置处叠加热成像测温信息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噪声等效温差(NETD)检验：热成像视频图像噪声等效温差(NETD)≤8mK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最小可分辨温差≤200mk</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可通过IE浏览器开启或关闭畸变校正功能，开启后样机视场角应减小，开启畸变校正功能后，样机几何失真率应≤2%</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室内防油污半球摄像机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400万防油污半球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Smart侦测：场景变更侦测，区域入侵侦测，越界侦测，进入区域侦测，离开区域侦测，物品遗留侦测，物品拿取侦测，徘徊侦测，停车侦测，人员聚集侦测，快速移动侦测，音频异常侦测，音频陡升侦测，音频陡降侦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支持背光补偿，强光抑制，3D数字降噪，120 dB宽动态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传感器类型：1/3" Progressive Scan CMOS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最低照度：彩色：0.005 Lux @（F1.2，AGC ON），0 Lux with IR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宽动态：120 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补光灯类型：红外灯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最大图像尺寸：2688 × 1520（默认2560 × 1440）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视频压缩标准：主码流：H.265/H.264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子码流：H.265/H.264/MJPEG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第三码流：H.265/H.264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防护：IP66</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设备镜头前部具有防尘玻璃，玻璃外框采用3个磁吸柱固定。</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室外防水箱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304不锈钢箱体；防水、防潮、隔热；尺寸不小于（W*H*D）：400*600*300mm,板厚：≥1.2mm。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尺寸按箱体内安装的实际产品规格及理线槽、开关电源、断路器等设备的规格为准，选定合适的设备箱体。含空开、漏保、理线槽。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高空球机+大门监控固定杆</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固定杆（长度不低于3.8米，热镀锌钢管，表面静电喷涂）、含基础等</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64路硬盘录像机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（可配置8×8T硬盘），2U标准机架式8盘位网络硬盘录像机，1+1冗余电源，支持前置硬盘热插拔，输入带宽：384Mbps（开启RAID 320Mbps），输出带宽：256Mbps（开启RAID 256Mbps），接入能力：64路H.264、H.265格式高清码流接入</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解码能力：最大支持32×1080P，RAID模式：RAID0、RAID1、RAID5、RAID6、RAID10，支持全局热备盘。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可接入1T、2T、3T、4T、6T、8T、10T、12TB、14TB、16TB容量的SATA接口硬盘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硬盘录像机监控硬盘</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 HDD,8TB,7200RPM, 256MB, SATA 6Gb/s</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高转速：7200rpm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支持RAID应用(搭配NVR)</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高达256MB缓冲区，流畅存储视频有效防止丢帧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MTBF(平均故障间隔时间)：不小于200万小时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年写入负载：不小于550TB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平台服务器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符合信创要求；CPU：配置1颗 信创处理器，核数≥32核，主频≥2.2GHz</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内存：配置64G DDR4；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硬盘：配置2块600G 10K 2.5寸SAS硬盘；</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阵列卡：配置SAS_HBA卡（支持RAID 0/1/10）；</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PCIE扩展：支持6个PCIe扩展插槽；</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网口：板载2个千兆电口；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其他接口：配置1个千兆RJ-45管理接口，4个USB 3.0接口，2个位于机箱后部，2个位于机箱前部；1个VGA口，位于机箱后部；可选1个COM口位于机箱后部；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电源：配置550W（1+1）高效铂金CRPS冗余电源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平台管理软件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化软件，提供系统内的组织、人员、车辆、用户、角色、认证、区域等的配置和管理。已包含：图上监控、事件联动、视频网管。基于人脸识别技术的智能应用，同时能够进行对应配置。支持出入统计、人员报警、来访记录、人员轨迹、报警记录、重点人员识别、陌生人识别、高频人员识别、态势统计。考勤排班管理、出勤异常管理、考勤记录和结果查询、考勤数据统计分析；同时能够对考勤相关参数进行设置。对前端编码设备进行集中管理，并提供视频预览、云台控制、录像回放、图片查看等应用。不少于250路授权。门禁权限设置、高级应用参数设置、门禁事件查询；同时能够管理门禁设备和门禁点，并对门禁相关参数进行设置，不少于50路授权</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录像存储</w:t>
            </w:r>
          </w:p>
        </w:tc>
        <w:tc>
          <w:tcPr>
            <w:tcW w:w="353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机架式/8U 48盘位/1536Mbps接入带宽/42块8T企业级SATA硬盘/4GB缓存（可扩展至128GB）/4个千兆数据网口/1个千兆管理网口/冗余电源/网络协议：RTSP/ONVIF/PSIA/（GB/T28181）；64位信创多核处理器</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支持查看硬盘体检报告、硬盘深度体检和磁盘档案；支持下载单个硬盘或批量硬盘的报告，支持按时间显示硬盘的坏扇区、温度、振动变化趋势的曲线图；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可通过硬盘深度体检查看硬盘原始数据读取错误率、上电时间、上电时长计数、意外断电计数、重映射扇区数、磁盘振动等多种硬盘相关健康值；</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设备支持版本回退功能，在当前版本出现故障或操作失误后，可进行回退到历史版本，回退后录像正常回放，且历史录像完整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人脸门禁一体机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设备外观：采用7英寸LCD触摸高清显示终端，200万像素双目摄像头面部识别距离0.3-2m，支持照片、视频防假；可以识别戴口罩的人脸。</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设备容量：支持不少于10000张人脸白名单，1:N人脸比对时间&lt;0.2S/人，支持不少于50000 张卡，不少于150000条事件记录；</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认证方式：支持人脸、刷卡、密码及其组合的认证方式;可读取Mifare卡(C卡)、CPU卡号/内容、身份证序列号；</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工作模式：支持普通模式、广告模式、简洁模式三大主题;每个主题均支持多人及单人识别；</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视频对讲：支持与客户端、主副室内分机管理机的视频对讲功能;支持远程视频预览功能可以通过RTSP协议输出视频码流，编码格式H.264；</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音频接口：3.5mm 音频输出接口*1，设备内置扬声器可与外接音箱同时使用;对讲通话时，自动关闭外接音箱；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输入接口：LAN*1、RS485*1、Wiegand*1(支持双向)typeC类型 USB 接口*1、门磁*1、报警输入2开门按钮*1SD 卡槽1(最大支持 512GB)；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输出接口：电锁*1个，报警输出*1个；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通讯方式：上行通讯为TCP/IP；</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工作电压：DC12V~24V/2A(不带电源，需另配电源)；</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使用环境：室内外环境(室外使用，必须需增加遮阳罩)；</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安装方式：标配壁挂安装挂板，可安装在人员通道上，需搭配通道支架；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开门按钮</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结构：塑料面板86型；</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性能：最大耐电流1.25A，电压250V；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输出：常开；</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类型：适合埋入式电器盒使用；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280Kg单门磁力锁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上锁时NO输出</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开锁时NC输出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最大拉力280kg静态直线拉力</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适用于木门、金属门、防火门/国内中性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输入电压 DC12V或DC24V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支持门磁输出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使用环境：室内</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工作电流  12V/500mA ; 24V/250mA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功耗 6W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双门磁力锁</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最大静态直线拉力：280kg±15% * 2</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断电开锁，满足消防要求；</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具有电锁状态指示灯（红灯为开锁状态，绿灯为上锁状态）；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支持锁状态侦测信号(门磁)输出：NO/NC/COM接点；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工作电压：12V/840mA 或 24V/420mA；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适用门型：木门、玻璃门、金属门、防火门。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门禁管理软件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一、提供门禁权限管理应用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1、支持按组织、人员、人员分组、门禁点维度配置权限；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2、支持设置权限有效期、计划模板、假日计划；</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3、支持按人员特征属性生成人员分组，如证件类型、岗位等级、职称等；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4、支持权限增量下发、初始化下发；</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5、支持按时段配置门的常开常闭状态；</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6、支持认证方式设置，可按不同时段设置不同的认证方式，如刷卡+人脸、刷卡+指纹；</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7、支持首卡常开，刷首卡可使门保持常开至常开时间段结束，若此期间再次刷首卡，门恢复正常状态；</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9、针对刷卡开门方式，即使卡片权限未同步到设备，也可通过中心平台完成权限认证开门。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10、支持调整已超出或即将超出设备容量的人员生物特征；</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11、支持按门禁点、人员、组织、区域等多维度，综合查询权限配置、下发状态等信息；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二、提供门禁事件管理应用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1、支持配置平台接收到事件类型；</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2、支持配置事件保存时长；</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3、支持查询人员出入事件和设备事件；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三、提供门禁状态查看及远程控制应用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1、支持查看门禁状态，包括开关状态、在离线状态；</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2、支持对门禁点反控，包括对门进行开、关、常开、常闭的反控操作；</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3、支持远程呼叫应用，门禁一体机呼叫中心发起开门请求，cs客户端弹窗显示一体机视频，中心可选择接听、拒绝、开门；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四、提供人员出入记录实时展示应用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1、支持人员进出事件实时展示，包括人员基础信息、抓拍图片、进出时间、设备名称等，可全屏展示</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门禁电源</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制机箱，专为门禁工程设计；采用优质元件，更稳定；内置保险管过载及短路保护，更安全；多功能输出接点，适用不同要求；不间断电源，当市电供电时，负载由交流提供电压，停电时由蓄电池供电，内含门禁控制器电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发卡器</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支持发卡类型：ID卡、Mifare卡、身份证物料卡号（序列号）、普通CPU卡、国密CPU卡等多种类型卡片；</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具有不少于2个Sim卡尺寸的PSAM卡座，；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工作电压：DC 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工作电流：0.2A；</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IC卡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IC卡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张</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智能门锁1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面板材质 铝合金</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面板尺寸 不小于355*71*26mm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锁体类型 上提式锁体</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开门方向 左开/右开（支持左右互换）</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游离把手 支持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锁芯级别 C级</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开孔尺寸 门边距60mm，中心距68mm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开锁方式 密码、感应卡、身份证、机械钥匙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用户容量 100个</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单个用户 1张卡，1个密码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密码容量 100组</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感应卡容量 100张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读卡距离 0~8mm、0~3mm(身份证)</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 以太网</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刷卡时间 反应时间&lt; 1S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断电记忆 操作信息自动保存不丢失（本地开门记录存储1000条）</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工作电源 标准POE</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应急电源 Micro USB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断电续传 支持开门记录断点续传</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虚位密码 支持（支持最大20位）</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扬声器 置于外面板</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按键背光灯 白光全亮</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防试开锁定 支持（默认5min内验证连续错误5次，禁试3分钟）</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智能门锁2</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单机版</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开锁方式 指纹、密码、感应卡、身份证、机械钥匙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工作电源 4或8节5号碱性电池，单节额定电压1.5V</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刷卡时间 反应时间&lt; 1S</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指纹识别时间 ＜1秒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指纹头分辨率 160X160（508dpi)</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人员刷脸通道闸机1</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设备采用直流无刷伺服电机，通过自研算法有效保障设备稳定可靠运行，最少支持600万次无故障通行；2.设备可联网运行，支持远程控制管理功能，也可单机离线运行；</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8寸显示屏、200万宽动态摄像头；</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支持储存2万张人脸照片、100万条识别记录、闸机款支架、带触屏；</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闸机通道应具备防外力开门功能，正常情况下设备处于关门状态时门翼自动锁死，当门翼收到外力撞击后，可以快速恢复到正常状态，恢复时间不超过3s（通道内无人的情况下）。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人员刷脸通道闸机2</w:t>
            </w:r>
          </w:p>
        </w:tc>
        <w:tc>
          <w:tcPr>
            <w:tcW w:w="353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设备采用直流无刷伺服电机，通过自研算法有效保障设备稳定可靠运行，最少支持600万次无故障通行；2.设备可联网运行，支持远程控制管理功能，也可单机离线运行；</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left"/>
              <w:rPr>
                <w:rFonts w:hint="eastAsia" w:ascii="仿宋" w:hAnsi="仿宋" w:eastAsia="仿宋" w:cs="仿宋"/>
                <w:i w:val="0"/>
                <w:iCs w:val="0"/>
                <w:color w:val="auto"/>
                <w:sz w:val="18"/>
                <w:szCs w:val="18"/>
                <w:highlight w:val="none"/>
                <w:u w:val="none"/>
              </w:rPr>
            </w:pP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闸机通道应具备防外力开门功能，正常情况下设备处于关门状态时门翼自动锁死，当门翼收到外力撞击后，可以快速恢复到正常状态，恢复时间不超过3s（通道内无人的情况下）。</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其他辅材及接插件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国产操作系统</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符合信创要求；信创服务器版</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监控、门禁、闸机、考勤系统集成服务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包含监控、门禁、闸机、考勤系统设备采购、运输、安装、调试、测试等系统集成服务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公益诉讼快速检测实验室设施设备添置及拆卸搬运安装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数字化勘验取证平台V1.0</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快检勘查管理系统升级为数字化勘验取证平台V1.0：平台具有智能化数据接口，可对接数字化系统和智能终端设备；具有数据采集、分析、研判功能，支持多级数据联动，实现公益诉讼办案一站式管理；具有案件管理、线索管理、仪器管理、试剂耗材管理等功能。（提供快速检测仪器可以实时上传数字化勘验取证平台的证明材料，包括但不限于核心接口代码、功能截图）</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增加操作引导数据系统V1.0：系统采用前后端分离架构，前端预装操作引导APP，后端可远程配置和维护升级；具有操作规程、维护规程、核查留痕等功能，可根据实际需求动态配置；APP内使用查询引擎可精确查询实验室检测常规项目国家标准；具有实验室全景引导模块，指引仪器设备相关信息。</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钢木实验台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主框架、横梁不小于38.5*58.5*1.2～1.5mm，下托料≥20*40mm厚钢管，表面环氧树脂粉末静电喷涂；</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下托件≥10mm不锈钢螺杆，地脚≥12mm不锈钢螺杆底部工程塑料；</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柜体板材采用E1级18mm三聚氰胺饰面板，热熔胶加PVC封边；</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台面采用实芯理化板；配套水槽、滴水架、单口洗眼器、实验椅子、台插等。</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移动废液暂存柜</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整柜、漏斗、抽屉采用钢材构造，无缝钢琴式铰链；</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柜体底部可存放废液桶（废液桶≥20L，采用防腐材质），适用于存放无机/有机废液；</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移动轮：采用移动式万向轮，前置带刹车；</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具有警示标签。</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快检试剂包</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硼砂快速检测盒，50次/盒，1盒；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亚硝酸盐速测试剂，100次/套，1套；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吊白块速测盒，100次/盒，1盒；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铝（明矾）快速检测盒，50次/套，1套；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水发产品中甲醛快速检测盒，50次/盒，1盒。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西布曲明速测盒 ，10次/盒，1盒；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4-氯苯氧乙酸钠速测盒，10次/盒，1盒；</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电热鼓风干燥箱</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控温范围：室温+10-250℃ ；  </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精度：±1℃；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温度均匀性：±3％；   </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内胆尺寸：35*45*45 cm；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功率：≤1.5kw。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纯水机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适用水压：0.15-0.4MPa；</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给水条件：市政自来水(TDS≤200PPM)；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出纯水量：1L/H；</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出水标准：一级标准电导率0.1；</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防触电保护：П类；</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储水量：1吨；</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冲洗方式：自动冲洗。</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台式离心机</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最高转速：≥4000r/min；</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最大离心力：≥2600×g；</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最大容量：≥24×10 ml；</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转速精度：±50r/min；</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定时范围：1-99h59min/连续/短时离心；</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噪音：≤60dB；</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功率：≥120W；</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控制及驱动系统：大力矩直流无刷电机,微机控制；</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外形尺寸：≥500×450×280 mm；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适配转子：18×10ml、24×10ml、12×20ml/15ml。</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功能柱试剂架</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整体≥1.0mm冷扎钢板,表面烤漆膜厚度平均值≥70μm；</w:t>
            </w:r>
          </w:p>
        </w:tc>
        <w:tc>
          <w:tcPr>
            <w:tcW w:w="30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米</w:t>
            </w:r>
          </w:p>
        </w:tc>
        <w:tc>
          <w:tcPr>
            <w:tcW w:w="48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全钢立柱具有走线功能，可在立柱上安装插座、水考克及气考克；全钢层板，双层结构，双柱间距≥1m；</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28" w:type="pct"/>
            <w:gridSpan w:val="2"/>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配套五孔插座电盒≥4个/单柱。</w:t>
            </w:r>
          </w:p>
        </w:tc>
        <w:tc>
          <w:tcPr>
            <w:tcW w:w="306"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c>
          <w:tcPr>
            <w:tcW w:w="488"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公益诉讼快速检测实验室设施设备添置及拆卸搬运安装集成服务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包含安装运维培训服务；包含10.5米利旧钢木实验台拆装服务；包含公益诉讼快速检测实验室设施设备采购、运输、安装、调试、测试等系统集成服务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弱电相关设备及家具拆卸搬运安装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98寸会议平板拆卸服务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3楼电子实验室处拆除</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屏幕保险服务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拆除平板有碎屏风险，需要购买原厂保险</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98寸电视机无法从电梯和楼梯搬运，需要吊机进行吊装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木箱打包，防撞膜等防护材料</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货运车搬运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吊装服务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98寸电视机无法从电梯和楼梯搬运，需要吊机进行吊装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98寸会议平板安装服务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支架安装、屏幕安装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86寸会议平板拆卸服务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拆除平板</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木箱打包，防撞膜等防护材料</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屏幕保险服务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拆除平板有碎屏风险，需要购买原厂保险</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货运车搬运</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86寸会议平板安装服务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支架安装、屏幕安装</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监控摄像头拆装服务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拆装费用，不包含线路铺设费用；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监控摄像机调试服务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调试费用</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监控摄像机打包服务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纸盒加防撞膜等防护材料</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LCD屏幕及支架拆除服务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包含3个支架和3块LCD屏</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木箱打包，防撞膜等防护材料</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货运车搬运服务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屏幕保险服务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拆除LCD屏有碎屏风险，需要购买原厂保险服务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LCD屏幕及支架安装服务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指定地点安装服务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投影仪拆卸搬运安装服务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22</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两个机柜会议系统主机设备拆卸搬运安装服务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23</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一套无纸化系统设备拆卸搬运安装服务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汽车充电桩拆卸搬运安装服务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各式电脑拆卸搬运安装服务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打印机拆卸搬运安装服务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27</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复印机拆卸搬运安装服务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86寸电子白板安装服务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86寸电子白板上墙安装服务</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29</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人脸门禁搬运安装服务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移动玻璃门搬运安装服务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拆除、搬运，指定地点安装，并部署到位能正常办工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电子实验室设施设备添置和拆卸搬运安装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序号</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设备名称</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规格参数</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2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拆卸搬运安装服务</w:t>
            </w:r>
          </w:p>
        </w:tc>
        <w:tc>
          <w:tcPr>
            <w:tcW w:w="3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拆卸搬运安装整个电子实验室的装备，指定地点安装，并部署到位能正常办工</w:t>
            </w:r>
          </w:p>
        </w:tc>
        <w:tc>
          <w:tcPr>
            <w:tcW w:w="3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次</w:t>
            </w:r>
          </w:p>
        </w:tc>
        <w:tc>
          <w:tcPr>
            <w:tcW w:w="48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本次报价包含在线使用的所有终端设备（台式电脑、打印机、碎纸机等设备的拆除、搬运、入网调试等工作），部分利旧设备（投影仪、会议室音响、智能充电设备及原江干法院大楼的部分设备）的拆除、搬运、迁移集成费用。</w:t>
            </w:r>
          </w:p>
        </w:tc>
      </w:tr>
    </w:tbl>
    <w:p>
      <w:pPr>
        <w:rPr>
          <w:rFonts w:hint="eastAsia" w:ascii="仿宋" w:hAnsi="仿宋" w:eastAsia="仿宋"/>
          <w:b/>
          <w:bCs/>
          <w:color w:val="auto"/>
          <w:highlight w:val="none"/>
        </w:rPr>
      </w:pPr>
    </w:p>
    <w:p>
      <w:pPr>
        <w:rPr>
          <w:color w:val="auto"/>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3</w:t>
      </w:r>
      <w:r>
        <w:rPr>
          <w:rFonts w:hint="eastAsia" w:ascii="仿宋" w:hAnsi="仿宋" w:eastAsia="仿宋"/>
          <w:b/>
          <w:bCs/>
          <w:color w:val="auto"/>
          <w:sz w:val="24"/>
          <w:szCs w:val="24"/>
          <w:highlight w:val="none"/>
        </w:rPr>
        <w:t>）</w:t>
      </w:r>
      <w:r>
        <w:rPr>
          <w:rFonts w:hint="eastAsia" w:ascii="仿宋" w:hAnsi="仿宋" w:eastAsia="仿宋"/>
          <w:b/>
          <w:bCs/>
          <w:color w:val="auto"/>
          <w:sz w:val="24"/>
          <w:szCs w:val="24"/>
          <w:highlight w:val="none"/>
          <w:lang w:val="en-US" w:eastAsia="zh-CN"/>
        </w:rPr>
        <w:t>办案区搬迁详细清单</w:t>
      </w:r>
    </w:p>
    <w:tbl>
      <w:tblPr>
        <w:tblStyle w:val="62"/>
        <w:tblW w:w="870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
      <w:tblGrid>
        <w:gridCol w:w="546"/>
        <w:gridCol w:w="1139"/>
        <w:gridCol w:w="1061"/>
        <w:gridCol w:w="5074"/>
        <w:gridCol w:w="400"/>
        <w:gridCol w:w="4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8708" w:type="dxa"/>
            <w:gridSpan w:val="6"/>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办案工作区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序号</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设备及软件名称</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参考品牌型号</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功能描述/具体参数</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数量</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8708" w:type="dxa"/>
            <w:gridSpan w:val="6"/>
            <w:tcBorders>
              <w:tl2br w:val="nil"/>
              <w:tr2bl w:val="nil"/>
            </w:tcBorders>
            <w:shd w:val="clear" w:color="auto" w:fill="FFFFFF" w:themeFill="background1"/>
            <w:noWrap/>
            <w:vAlign w:val="center"/>
          </w:tcPr>
          <w:p>
            <w:pPr>
              <w:spacing w:line="240" w:lineRule="auto"/>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服务设备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网络硬盘录像机</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DS-9632N-M8</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2U标准机架式IP存储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输入/输出带宽：320/256Mbps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2个HDMI，2个VGA，HDMI+VGA组内同源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支持双4K异源输出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可满配8TB/10TB硬盘，支持硬盘热插拔</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支持RAID0、1、5、6、10、50、60、JBOD，支持全局热备盘</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支持16×1080P解码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支持H.265、H.264、SVAC混合解码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2个千兆网口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2个USB2.0接口、2个USB3.0接口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1个eSATA接口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支持图片文件秒级检索，秒级提取硬盘中人脸、车辆、人体等图片文件，用户可快速浏览全部通道中的图片文件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支持重要录像片段秒级检测，秒级检索录像文件中的人脸、车辆、人体等活动目标，并以可视化的形式来展示活动目标关联的录像片段</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硬盘</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ST8000NM0055</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与网络硬盘录像机配套使用，3.5英寸8000G 7200256M SATA3  6Gb/S</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3</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摄像头</w:t>
            </w:r>
          </w:p>
        </w:tc>
        <w:tc>
          <w:tcPr>
            <w:tcW w:w="1061"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海康</w:t>
            </w:r>
          </w:p>
        </w:tc>
        <w:tc>
          <w:tcPr>
            <w:tcW w:w="5074" w:type="dxa"/>
            <w:tcBorders>
              <w:tl2br w:val="nil"/>
              <w:tr2bl w:val="nil"/>
            </w:tcBorders>
            <w:shd w:val="clear" w:color="auto" w:fill="FFFFFF" w:themeFill="background1"/>
            <w:noWrap/>
            <w:vAlign w:val="center"/>
          </w:tcPr>
          <w:p>
            <w:pPr>
              <w:spacing w:line="240" w:lineRule="auto"/>
              <w:jc w:val="left"/>
              <w:rPr>
                <w:rFonts w:hint="eastAsia" w:ascii="仿宋" w:hAnsi="仿宋" w:eastAsia="仿宋" w:cs="仿宋"/>
                <w:b/>
                <w:bCs/>
                <w:i w:val="0"/>
                <w:iCs w:val="0"/>
                <w:color w:val="auto"/>
                <w:sz w:val="18"/>
                <w:szCs w:val="18"/>
                <w:highlight w:val="none"/>
                <w:u w:val="none"/>
              </w:rPr>
            </w:pP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4</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审讯机柜</w:t>
            </w:r>
          </w:p>
        </w:tc>
        <w:tc>
          <w:tcPr>
            <w:tcW w:w="1061"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海康</w:t>
            </w:r>
          </w:p>
        </w:tc>
        <w:tc>
          <w:tcPr>
            <w:tcW w:w="5074" w:type="dxa"/>
            <w:tcBorders>
              <w:tl2br w:val="nil"/>
              <w:tr2bl w:val="nil"/>
            </w:tcBorders>
            <w:shd w:val="clear" w:color="auto" w:fill="FFFFFF" w:themeFill="background1"/>
            <w:noWrap/>
            <w:vAlign w:val="center"/>
          </w:tcPr>
          <w:p>
            <w:pPr>
              <w:spacing w:line="240" w:lineRule="auto"/>
              <w:jc w:val="left"/>
              <w:rPr>
                <w:rFonts w:hint="eastAsia" w:ascii="仿宋" w:hAnsi="仿宋" w:eastAsia="仿宋" w:cs="仿宋"/>
                <w:b/>
                <w:bCs/>
                <w:i w:val="0"/>
                <w:iCs w:val="0"/>
                <w:color w:val="auto"/>
                <w:sz w:val="18"/>
                <w:szCs w:val="18"/>
                <w:highlight w:val="none"/>
                <w:u w:val="none"/>
              </w:rPr>
            </w:pP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5</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审讯主机</w:t>
            </w:r>
          </w:p>
        </w:tc>
        <w:tc>
          <w:tcPr>
            <w:tcW w:w="1061"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海康</w:t>
            </w:r>
          </w:p>
        </w:tc>
        <w:tc>
          <w:tcPr>
            <w:tcW w:w="5074" w:type="dxa"/>
            <w:tcBorders>
              <w:tl2br w:val="nil"/>
              <w:tr2bl w:val="nil"/>
            </w:tcBorders>
            <w:shd w:val="clear" w:color="auto" w:fill="FFFFFF" w:themeFill="background1"/>
            <w:noWrap/>
            <w:vAlign w:val="center"/>
          </w:tcPr>
          <w:p>
            <w:pPr>
              <w:spacing w:line="240" w:lineRule="auto"/>
              <w:jc w:val="left"/>
              <w:rPr>
                <w:rFonts w:hint="eastAsia" w:ascii="仿宋" w:hAnsi="仿宋" w:eastAsia="仿宋" w:cs="仿宋"/>
                <w:b/>
                <w:bCs/>
                <w:i w:val="0"/>
                <w:iCs w:val="0"/>
                <w:color w:val="auto"/>
                <w:sz w:val="18"/>
                <w:szCs w:val="18"/>
                <w:highlight w:val="none"/>
                <w:u w:val="none"/>
              </w:rPr>
            </w:pP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7820" w:type="dxa"/>
            <w:gridSpan w:val="4"/>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远程提审室3间</w:t>
            </w:r>
          </w:p>
        </w:tc>
        <w:tc>
          <w:tcPr>
            <w:tcW w:w="400"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i w:val="0"/>
                <w:iCs w:val="0"/>
                <w:color w:val="auto"/>
                <w:sz w:val="18"/>
                <w:szCs w:val="18"/>
                <w:highlight w:val="none"/>
                <w:u w:val="none"/>
              </w:rPr>
            </w:pPr>
          </w:p>
        </w:tc>
        <w:tc>
          <w:tcPr>
            <w:tcW w:w="488"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b/>
                <w:bCs/>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多功能单、双屏网呈</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科达 NEX1200-50</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50寸双屏网呈产品；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超高性能1080p；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支持移动部署；</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包含核心编解码器、摄像机、显示器、一体化可移动支架、360度数字麦克风、遥控器；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系统支持接入省、市远程提审管理平台；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为确保多功能双屏网呈系统兼容性及稳定性，要求多功能网呈需与云多点控制单元(MCU)同一品牌；</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所投产品应采用一体化集成设计，隐藏内部走线，采用后方出线设计，正面、侧面无明线；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集成高清摄像机、核心编解码器、高清显示器、一体化支架（显示器支架、设备柜、通用接口板）、360°数字麦克风、遥控器，除高清显示器外所有部件均为同一品牌产品；所投产品集成两台高清显示器，尺寸不小于50寸，支持1080p高清显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所投设备集成的高清摄像机支持1080p60fps高清视频采集及输出，支持12倍光学变焦、水平视角不低于72°；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所投产品具备滚轮，可移动，方便部署；</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产品采用结构化设计,易安装、易维护，2人15分钟即可完成安装；在不拆卸主要框架的情况下，可维护设备、更换线缆、观察产品状态；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支持ITU-TH.323和IETFSIP通信标准，会议速率支持128Kbps－8Mbps；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支持H.263、H.264、H.264 High Profile等视频编解码协议；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支持G.711、G.722、G.728、G.722.1AnnexC、G.719、MPEG4-AACLC/LD等音频协议，可达到20KHz以上的宽频效果；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支持H.239标准双流协议；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支持1080p60、1080p30、720p60、720p30高清视频编解码，并向下兼容4CIF、CIF标清图像格式；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在保证主流视频1080p60fps前提下，辅流1080p60fps；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可在低带宽下实现较好的高清效果，支持1M实现1080p60、512K实现1080p30、384K实现720p30，有效节约网络带宽资源；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所投产品需对外提供统一的通用接口板，接口板具备1个电源接口、1个10/100/1000M网口、1个卡侬麦克风输入接口、1个数字麦克风输入接口、1个DVI-I输入接口、1个VGA/YPbPr输入接口、1个VGA/YPbPr输出接口；</w:t>
            </w:r>
          </w:p>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所投产品标配一个全向麦克风，支持360°全向拾音，拾音半径可达6米；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产品具备一键开关，开关位置设计合理，可集中控制产品各部件的电源上下电；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支持一个遥控器控制所投产品编解码器、摄像机的待机、唤醒、会议操作，操作便捷；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系统具有字幕叠加功能，可通过终端控制系统在本地图像上不同位置设置叠加中文会场名、横幅、滚动字幕；</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主席终端支持广播发言会场、主席选看、主席轮询、邀请终端入会、强制终端退会、结束会议等功能；</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实物展示台</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朗悦 配套</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1080P高清光学变焦实物投影；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解像度TV线：1100线；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变焦：光学22倍  数码10倍；</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对焦/白平衡： 自动/手动；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垂直旋转：330度；</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图像特技： 正负片、冻结、旋转、镜像、文本图像切换、两画面；</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图像存储：32幅；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同屏对比： 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USB2.0接口： 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RGB输入输出： DB15FLC  各 2组；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RGB输出分辨率： XGA, SXGA,720P ,1080P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镜头输出像素： 800万；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RS232接口： 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音频输入： 3.5插口2组；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音频输出： 3.5插口1组；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麦克风输入： 麦克风插座；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HDMI输入输出: 2入1出；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侧灯： 2个1.0W  LED；</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底灯： LED背光板；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红,蓝增益： 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亮度调节： 有；</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3</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控制终端</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联想 M420</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1、I5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2、8G；</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3、1T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4、128G SSD；</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5、2G显卡 ；</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6、27寸 显示器；</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4</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数字同步刻录机</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DS-8604SNL-K4</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支持4路HD-SDI/CVBS自适应视频输入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默认支持4路1080P网络视频接入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禁用1路模拟增加1路网络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最大支持8路1080P网络接入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支持1路VGA输入和1路HDMI输入</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支持全路数H.265编解码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支持视频信息上叠加温湿度传感器信息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自带7寸触摸屏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标配2个DVD光驱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支持4个SATA接口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支持容量最大为8TB的硬盘</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3U机箱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2个RJ45 10M/100M/1000M自适应以太网口</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5</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辅材</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 配套</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包含系统所需的各种管材、连接件、固定件等；</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6</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人脸门禁一体机</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DS-K1T671M</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设备外观：采用7英寸LCD触摸显示屏，200万像素双目摄像头，面部识别距离大于2m，支持照片视频防假；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设备容量：支持5000张人脸白名单，1：N人脸比对时间＜0.2S/人，支持6000张卡片，50000条记录；</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认证方式：支持人脸、刷卡、密码（超级密码）及其组合的认证方式；可读取Mifare卡（IC卡）卡号、CPU序列号、身份证序列号；支持二维码识别（需选择8mm焦距镜头型号设备，与门口机可识别二维码类型保持一致）；</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通讯方式：上行通讯为TCP/IP，支持Ehome跨公网传输；支持外接RS485，Wiegand副读卡器（不支持外接指纹读卡器）；基线支持标准韦根34/26；</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视频对讲：支持与云眸、4200客户端、主副室内分机、管理机的视频对讲功能；支持远程视频预览功能，可以通过RTSP协议输出视频码流，编码格式H.264；</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输入接口：LAN*1、RS485*1、wiegand * 1、USB*1、门磁*1、报警输入*2、防拆*1、开门按钮*1；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输出接口：电锁*1个，报警输出*1个；</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工作电压： DC 12V/3A，不自带电源；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使用环境：室内外环境，室外使用需要配遮阳罩，避免阳光直射；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安装方式：标配金属安装挂板，支持明装、86底盒安装；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产品尺寸：239mm*116.5mm*33mm；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工作温度：-30~65℃。</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7</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开门按钮</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精华隆中性 EB29开门按钮</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结构：塑料面板；</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性能：最大耐电流1.25A，电压250V；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输出：常开；</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类型：适合埋入式电器盒使用；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尺寸：86*86mm；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重量：0.07kg；</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8</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280Kg单门磁力锁</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DS-K4H250SC(国内标配)</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上锁时NO输出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开锁时NC输出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最大拉力280kg静态直线拉力</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锁体240x48.5x26.5mm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吸板180x38x11mm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适用于木门、金属门、防火门/国内中性</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输入电压 DC12V或DC24V</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支持门磁输出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使用环境：室内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工作电流  12V/500mA ; 24V/250mA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功耗     6W</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9</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280Kg磁力锁LZ支架</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L型支架尺寸：长240*宽47*厚28.5mm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Z型支架尺寸：长180*宽50*厚50mm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开门角度：90°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适用门类型：内开式木门/金属门/窄框门</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10</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闭门器</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格林 G-713</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适用于55~75公斤单扇门；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双扇门配2个</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7820" w:type="dxa"/>
            <w:gridSpan w:val="4"/>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2间远程庭审室设备</w:t>
            </w:r>
          </w:p>
        </w:tc>
        <w:tc>
          <w:tcPr>
            <w:tcW w:w="400"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i w:val="0"/>
                <w:iCs w:val="0"/>
                <w:color w:val="auto"/>
                <w:sz w:val="18"/>
                <w:szCs w:val="18"/>
                <w:highlight w:val="none"/>
                <w:u w:val="none"/>
              </w:rPr>
            </w:pPr>
          </w:p>
        </w:tc>
        <w:tc>
          <w:tcPr>
            <w:tcW w:w="488"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视频会议终端</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科达SKY X310L V2</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8M,1080p,2个10/100/1000M,HDMI输入/输出,19英寸1U),国密,不带WIFI。</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采用硬件分体式结构，非PC架构、非工控机架构。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终端采用国产嵌入式操作系统。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终端核心芯片如音视频编解码单元、CPU处理单元、电源芯片、电源开关芯片、时钟芯片等均采用国产化器件。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支持ITU-T H.323和IETF SIP通信标准，会议速率支持128Kbps－8Mbps。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支持H.264、H.264 High Profile、H.265视频协议。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支持G.711、G.722、G.728、G.722.1AnnexC、G.719、MPEG4-AAC LC/LD、Opus等音频协议，可达到20KHz以上的宽频效果。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支持H.239、BFCP双流协议标准。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支持1080p30、720p60、720p30高清分辨率，并向下兼容4CIF、CIF标清分辨率。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支持不少于2路高清视频输入接口、2路高清输出接口</w:t>
            </w:r>
          </w:p>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产品集成高清摄像机、核心编解码器、高清显示器、一体化支架（显示器支架、设备柜、通用接口板）、360°数字麦克风、遥控器，除高清显示器外所有部件均为同一品牌产品；</w:t>
            </w:r>
          </w:p>
          <w:p>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所投产品集成两台高清显示器，尺寸不小于50寸，支持1080p高清显示；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所投设备集成的高清摄像机支持1080p60fps高清视频采集及输出，支持12倍光学变焦、水平视角不低于72°；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所投产品具备滚轮，可移动，方便部署；</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产品采用结构化设计,易安装、易维护，2人15分钟即可完成安装；在不拆卸主要框架的情况下，可维护设备、更换线缆、观察产品状态；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支持ITU-TH.323和IETFSIP通信标准，会议速率支持128Kbps－8Mbps；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支持H.263、H.264、H.264 High Profile等视频编解码协议；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支持G.711、G.722、G.728、G.722.1AnnexC、G.719、MPEG4-AACLC/LD等音频协议，可达到20KHz以上的宽频效果；</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支持H.239标准双流协议；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支持1080p60、1080p30、720p60、720p30高清视频编解码，并向下兼容4CIF、CIF标清图像格式；</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在保证主流视频1080p60fps前提下，辅流1080p60fps；</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可在低带宽下实现较好的高清效果，支持1M实现1080p60、512K实现1080p30、384K实现720p30，有效节约网络带宽资源；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所投产品需对外提供统一的通用接口板，接口板具备1个电源接口、1个10/100/1000M网口、1个卡侬麦克风输入接口、1个数字麦克风输入接口、1个DVI-I输入接口、1个VGA/YPbPr输入接口、1个VGA/YPbPr输出接口；</w:t>
            </w:r>
          </w:p>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所投产品标配一个全向麦克风，支持360°全向拾音，拾音半径可达6米；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产品具备一键开关，开关位置设计合理，可集中控制产品各部件的电源上下电；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支持一个遥控器控制所投产品编解码器、摄像机的待机、唤醒、会议操作，操作便捷；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系统具有字幕叠加功能，可通过终端控制系统在本地图像上不同位置设置叠加中文会场名、横幅、滚动字幕；</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主席终端支持广播发言会场、主席选看、主席轮询、邀请终端入会、强制终端退会、结束会议等功能；</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高清摄像机</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科达MOON50-1080P30</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PTZ摄像机,1080P30,12倍光学变焦,最低照度0.1Lx,F1.6,支持HDBaseT输出,支持壁装、三脚架安装或吊顶安装等多种安装方式，可按用户需求进行安装。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镜头图像传感器采用不小于1/2.8" 传感器，支持1080p30、1080p25、720p60、720p50等高清信号输出。</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视频输出接口具备SDI、DVI、HDBaseT接口</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3</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数字麦克风</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科达WIND 3N</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18"/>
                <w:szCs w:val="18"/>
                <w:highlight w:val="none"/>
                <w:u w:val="none"/>
              </w:rPr>
            </w:pPr>
            <w:r>
              <w:rPr>
                <w:rStyle w:val="965"/>
                <w:rFonts w:hint="eastAsia" w:ascii="仿宋" w:hAnsi="仿宋" w:eastAsia="仿宋" w:cs="仿宋"/>
                <w:color w:val="auto"/>
                <w:sz w:val="18"/>
                <w:szCs w:val="18"/>
                <w:highlight w:val="none"/>
                <w:lang w:val="en-US" w:eastAsia="zh-CN" w:bidi="ar"/>
              </w:rPr>
              <w:t>90</w:t>
            </w:r>
            <w:r>
              <w:rPr>
                <w:rFonts w:hint="eastAsia" w:ascii="仿宋" w:hAnsi="仿宋" w:eastAsia="仿宋" w:cs="仿宋"/>
                <w:i w:val="0"/>
                <w:iCs w:val="0"/>
                <w:color w:val="auto"/>
                <w:kern w:val="0"/>
                <w:sz w:val="18"/>
                <w:szCs w:val="18"/>
                <w:highlight w:val="none"/>
                <w:u w:val="none"/>
                <w:lang w:val="en-US" w:eastAsia="zh-CN" w:bidi="ar"/>
              </w:rPr>
              <w:t>°单一锐指向</w:t>
            </w:r>
            <w:r>
              <w:rPr>
                <w:rStyle w:val="965"/>
                <w:rFonts w:hint="eastAsia" w:ascii="仿宋" w:hAnsi="仿宋" w:eastAsia="仿宋" w:cs="仿宋"/>
                <w:color w:val="auto"/>
                <w:sz w:val="18"/>
                <w:szCs w:val="18"/>
                <w:highlight w:val="none"/>
                <w:lang w:val="en-US" w:eastAsia="zh-CN" w:bidi="ar"/>
              </w:rPr>
              <w:t>,</w:t>
            </w:r>
            <w:r>
              <w:rPr>
                <w:rFonts w:hint="eastAsia" w:ascii="仿宋" w:hAnsi="仿宋" w:eastAsia="仿宋" w:cs="仿宋"/>
                <w:i w:val="0"/>
                <w:iCs w:val="0"/>
                <w:color w:val="auto"/>
                <w:kern w:val="0"/>
                <w:sz w:val="18"/>
                <w:szCs w:val="18"/>
                <w:highlight w:val="none"/>
                <w:u w:val="none"/>
                <w:lang w:val="en-US" w:eastAsia="zh-CN" w:bidi="ar"/>
              </w:rPr>
              <w:t>灵敏度</w:t>
            </w:r>
            <w:r>
              <w:rPr>
                <w:rStyle w:val="965"/>
                <w:rFonts w:hint="eastAsia" w:ascii="仿宋" w:hAnsi="仿宋" w:eastAsia="仿宋" w:cs="仿宋"/>
                <w:color w:val="auto"/>
                <w:sz w:val="18"/>
                <w:szCs w:val="18"/>
                <w:highlight w:val="none"/>
                <w:lang w:val="en-US" w:eastAsia="zh-CN" w:bidi="ar"/>
              </w:rPr>
              <w:t>-20dB,</w:t>
            </w:r>
            <w:r>
              <w:rPr>
                <w:rFonts w:hint="eastAsia" w:ascii="仿宋" w:hAnsi="仿宋" w:eastAsia="仿宋" w:cs="仿宋"/>
                <w:i w:val="0"/>
                <w:iCs w:val="0"/>
                <w:color w:val="auto"/>
                <w:kern w:val="0"/>
                <w:sz w:val="18"/>
                <w:szCs w:val="18"/>
                <w:highlight w:val="none"/>
                <w:u w:val="none"/>
                <w:lang w:val="en-US" w:eastAsia="zh-CN" w:bidi="ar"/>
              </w:rPr>
              <w:t>频响</w:t>
            </w:r>
            <w:r>
              <w:rPr>
                <w:rStyle w:val="965"/>
                <w:rFonts w:hint="eastAsia" w:ascii="仿宋" w:hAnsi="仿宋" w:eastAsia="仿宋" w:cs="仿宋"/>
                <w:color w:val="auto"/>
                <w:sz w:val="18"/>
                <w:szCs w:val="18"/>
                <w:highlight w:val="none"/>
                <w:lang w:val="en-US" w:eastAsia="zh-CN" w:bidi="ar"/>
              </w:rPr>
              <w:t>80Hz</w:t>
            </w:r>
            <w:r>
              <w:rPr>
                <w:rFonts w:hint="eastAsia" w:ascii="仿宋" w:hAnsi="仿宋" w:eastAsia="仿宋" w:cs="仿宋"/>
                <w:i w:val="0"/>
                <w:iCs w:val="0"/>
                <w:color w:val="auto"/>
                <w:kern w:val="0"/>
                <w:sz w:val="18"/>
                <w:szCs w:val="18"/>
                <w:highlight w:val="none"/>
                <w:u w:val="none"/>
                <w:lang w:val="en-US" w:eastAsia="zh-CN" w:bidi="ar"/>
              </w:rPr>
              <w:t>～</w:t>
            </w:r>
            <w:r>
              <w:rPr>
                <w:rStyle w:val="965"/>
                <w:rFonts w:hint="eastAsia" w:ascii="仿宋" w:hAnsi="仿宋" w:eastAsia="仿宋" w:cs="仿宋"/>
                <w:color w:val="auto"/>
                <w:sz w:val="18"/>
                <w:szCs w:val="18"/>
                <w:highlight w:val="none"/>
                <w:lang w:val="en-US" w:eastAsia="zh-CN" w:bidi="ar"/>
              </w:rPr>
              <w:t>15KHz,</w:t>
            </w:r>
            <w:r>
              <w:rPr>
                <w:rFonts w:hint="eastAsia" w:ascii="仿宋" w:hAnsi="仿宋" w:eastAsia="仿宋" w:cs="仿宋"/>
                <w:i w:val="0"/>
                <w:iCs w:val="0"/>
                <w:color w:val="auto"/>
                <w:kern w:val="0"/>
                <w:sz w:val="18"/>
                <w:szCs w:val="18"/>
                <w:highlight w:val="none"/>
                <w:u w:val="none"/>
                <w:lang w:val="en-US" w:eastAsia="zh-CN" w:bidi="ar"/>
              </w:rPr>
              <w:t>信噪比</w:t>
            </w:r>
            <w:r>
              <w:rPr>
                <w:rStyle w:val="965"/>
                <w:rFonts w:hint="eastAsia" w:ascii="仿宋" w:hAnsi="仿宋" w:eastAsia="仿宋" w:cs="仿宋"/>
                <w:color w:val="auto"/>
                <w:sz w:val="18"/>
                <w:szCs w:val="18"/>
                <w:highlight w:val="none"/>
                <w:lang w:val="en-US" w:eastAsia="zh-CN" w:bidi="ar"/>
              </w:rPr>
              <w:t>96dB,</w:t>
            </w:r>
            <w:r>
              <w:rPr>
                <w:rFonts w:hint="eastAsia" w:ascii="仿宋" w:hAnsi="仿宋" w:eastAsia="仿宋" w:cs="仿宋"/>
                <w:i w:val="0"/>
                <w:iCs w:val="0"/>
                <w:color w:val="auto"/>
                <w:kern w:val="0"/>
                <w:sz w:val="18"/>
                <w:szCs w:val="18"/>
                <w:highlight w:val="none"/>
                <w:u w:val="none"/>
                <w:lang w:val="en-US" w:eastAsia="zh-CN" w:bidi="ar"/>
              </w:rPr>
              <w:t>最佳拾音距离</w:t>
            </w:r>
            <w:r>
              <w:rPr>
                <w:rStyle w:val="965"/>
                <w:rFonts w:hint="eastAsia" w:ascii="仿宋" w:hAnsi="仿宋" w:eastAsia="仿宋" w:cs="仿宋"/>
                <w:color w:val="auto"/>
                <w:sz w:val="18"/>
                <w:szCs w:val="18"/>
                <w:highlight w:val="none"/>
                <w:lang w:val="en-US" w:eastAsia="zh-CN" w:bidi="ar"/>
              </w:rPr>
              <w:t>10</w:t>
            </w:r>
            <w:r>
              <w:rPr>
                <w:rFonts w:hint="eastAsia" w:ascii="仿宋" w:hAnsi="仿宋" w:eastAsia="仿宋" w:cs="仿宋"/>
                <w:i w:val="0"/>
                <w:iCs w:val="0"/>
                <w:color w:val="auto"/>
                <w:kern w:val="0"/>
                <w:sz w:val="18"/>
                <w:szCs w:val="18"/>
                <w:highlight w:val="none"/>
                <w:u w:val="none"/>
                <w:lang w:val="en-US" w:eastAsia="zh-CN" w:bidi="ar"/>
              </w:rPr>
              <w:t>～</w:t>
            </w:r>
            <w:r>
              <w:rPr>
                <w:rStyle w:val="965"/>
                <w:rFonts w:hint="eastAsia" w:ascii="仿宋" w:hAnsi="仿宋" w:eastAsia="仿宋" w:cs="仿宋"/>
                <w:color w:val="auto"/>
                <w:sz w:val="18"/>
                <w:szCs w:val="18"/>
                <w:highlight w:val="none"/>
                <w:lang w:val="en-US" w:eastAsia="zh-CN" w:bidi="ar"/>
              </w:rPr>
              <w:t>50cm,Micro USB</w:t>
            </w:r>
            <w:r>
              <w:rPr>
                <w:rFonts w:hint="eastAsia" w:ascii="仿宋" w:hAnsi="仿宋" w:eastAsia="仿宋" w:cs="仿宋"/>
                <w:i w:val="0"/>
                <w:iCs w:val="0"/>
                <w:color w:val="auto"/>
                <w:kern w:val="0"/>
                <w:sz w:val="18"/>
                <w:szCs w:val="18"/>
                <w:highlight w:val="none"/>
                <w:u w:val="none"/>
                <w:lang w:val="en-US" w:eastAsia="zh-CN" w:bidi="ar"/>
              </w:rPr>
              <w:t>数字音频接口供电</w:t>
            </w:r>
          </w:p>
        </w:tc>
        <w:tc>
          <w:tcPr>
            <w:tcW w:w="400"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4</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三脚架、电视机架</w:t>
            </w:r>
          </w:p>
        </w:tc>
        <w:tc>
          <w:tcPr>
            <w:tcW w:w="1061"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i w:val="0"/>
                <w:iCs w:val="0"/>
                <w:color w:val="auto"/>
                <w:sz w:val="18"/>
                <w:szCs w:val="18"/>
                <w:highlight w:val="none"/>
                <w:u w:val="none"/>
              </w:rPr>
            </w:pP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标准型，展开高度：&gt;1.8M；云台类型：液压云台；类型：脚架+云台套装；脚架节数：3节。</w:t>
            </w:r>
          </w:p>
        </w:tc>
        <w:tc>
          <w:tcPr>
            <w:tcW w:w="400"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5</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辅材</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 配套</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包含系统所需的各种管材、连接件、固定件等；</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6</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电视机</w:t>
            </w:r>
          </w:p>
        </w:tc>
        <w:tc>
          <w:tcPr>
            <w:tcW w:w="1061" w:type="dxa"/>
            <w:tcBorders>
              <w:tl2br w:val="nil"/>
              <w:tr2bl w:val="nil"/>
            </w:tcBorders>
            <w:shd w:val="clear" w:color="auto" w:fill="FFFFFF" w:themeFill="background1"/>
            <w:noWrap/>
            <w:vAlign w:val="center"/>
          </w:tcPr>
          <w:p>
            <w:pPr>
              <w:spacing w:line="240" w:lineRule="auto"/>
              <w:jc w:val="center"/>
              <w:rPr>
                <w:rFonts w:hint="eastAsia" w:ascii="仿宋" w:hAnsi="仿宋" w:eastAsia="仿宋" w:cs="仿宋"/>
                <w:b/>
                <w:bCs/>
                <w:i w:val="0"/>
                <w:iCs w:val="0"/>
                <w:color w:val="auto"/>
                <w:sz w:val="18"/>
                <w:szCs w:val="18"/>
                <w:highlight w:val="none"/>
                <w:u w:val="none"/>
              </w:rPr>
            </w:pPr>
          </w:p>
        </w:tc>
        <w:tc>
          <w:tcPr>
            <w:tcW w:w="5074" w:type="dxa"/>
            <w:tcBorders>
              <w:tl2br w:val="nil"/>
              <w:tr2bl w:val="nil"/>
            </w:tcBorders>
            <w:shd w:val="clear" w:color="auto" w:fill="FFFFFF" w:themeFill="background1"/>
            <w:noWrap/>
            <w:vAlign w:val="center"/>
          </w:tcPr>
          <w:p>
            <w:pPr>
              <w:spacing w:line="240" w:lineRule="auto"/>
              <w:jc w:val="left"/>
              <w:rPr>
                <w:rFonts w:hint="eastAsia" w:ascii="仿宋" w:hAnsi="仿宋" w:eastAsia="仿宋" w:cs="仿宋"/>
                <w:b/>
                <w:bCs/>
                <w:i w:val="0"/>
                <w:iCs w:val="0"/>
                <w:color w:val="auto"/>
                <w:sz w:val="18"/>
                <w:szCs w:val="18"/>
                <w:highlight w:val="none"/>
                <w:u w:val="none"/>
              </w:rPr>
            </w:pP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jc w:val="center"/>
        </w:trPr>
        <w:tc>
          <w:tcPr>
            <w:tcW w:w="7820" w:type="dxa"/>
            <w:gridSpan w:val="4"/>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法警执勤室、受理登记室/区域</w:t>
            </w:r>
          </w:p>
        </w:tc>
        <w:tc>
          <w:tcPr>
            <w:tcW w:w="400" w:type="dxa"/>
            <w:tcBorders>
              <w:tl2br w:val="nil"/>
              <w:tr2bl w:val="nil"/>
            </w:tcBorders>
            <w:shd w:val="clear" w:color="auto" w:fill="FFFFFF" w:themeFill="background1"/>
            <w:vAlign w:val="center"/>
          </w:tcPr>
          <w:p>
            <w:pPr>
              <w:spacing w:line="240" w:lineRule="auto"/>
              <w:jc w:val="left"/>
              <w:rPr>
                <w:rFonts w:hint="eastAsia" w:ascii="仿宋" w:hAnsi="仿宋" w:eastAsia="仿宋" w:cs="仿宋"/>
                <w:i w:val="0"/>
                <w:iCs w:val="0"/>
                <w:color w:val="auto"/>
                <w:sz w:val="18"/>
                <w:szCs w:val="18"/>
                <w:highlight w:val="none"/>
                <w:u w:val="none"/>
              </w:rPr>
            </w:pPr>
          </w:p>
        </w:tc>
        <w:tc>
          <w:tcPr>
            <w:tcW w:w="488" w:type="dxa"/>
            <w:tcBorders>
              <w:tl2br w:val="nil"/>
              <w:tr2bl w:val="nil"/>
            </w:tcBorders>
            <w:shd w:val="clear" w:color="auto" w:fill="FFFFFF" w:themeFill="background1"/>
            <w:vAlign w:val="center"/>
          </w:tcPr>
          <w:p>
            <w:pPr>
              <w:spacing w:line="240" w:lineRule="auto"/>
              <w:jc w:val="center"/>
              <w:rPr>
                <w:rFonts w:hint="eastAsia" w:ascii="仿宋" w:hAnsi="仿宋" w:eastAsia="仿宋" w:cs="仿宋"/>
                <w:i w:val="0"/>
                <w:iCs w:val="0"/>
                <w:color w:val="auto"/>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安检门</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安盾 NP-SG106</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当人员测量体温并通过安检门后，安检门系统可将采集到的该通过人员人脸信息，安检门通过情况和红外测量温度整合在通过信息中，通过信息在主界面的正下方显示，如果通过人员温度超过阈值通过信息框会变为红色。点击人员的通过信息会弹出大图，大图会详细展示报警区域，人脸图片和温度信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整体尺寸2345* 915* 600MM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通道尺寸2010* 710* 600MM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工作电源AC 110V-240V 50/60Hz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防水等级IP41实际</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功耗≤60W信号频率7000Hz-8999Hz</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工作环境温度-20℃-45℃工作环境湿度≤98%绝缘电阻</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158MΩ报警最大声音110dB</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402" w:hRule="atLeast"/>
          <w:jc w:val="center"/>
        </w:trPr>
        <w:tc>
          <w:tcPr>
            <w:tcW w:w="546"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1139"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办案区管理屏</w:t>
            </w:r>
          </w:p>
        </w:tc>
        <w:tc>
          <w:tcPr>
            <w:tcW w:w="1061"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 DS-D6055FL-X</w:t>
            </w:r>
          </w:p>
        </w:tc>
        <w:tc>
          <w:tcPr>
            <w:tcW w:w="5074" w:type="dxa"/>
            <w:tcBorders>
              <w:tl2br w:val="nil"/>
              <w:tr2bl w:val="nil"/>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壁挂，显示参数：54.6 inch，1920×1080@60Hz，≥500cd/m2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接口：LAN*1，USB*4，HDMI OUT*1,VGA OUT*1;</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内置系统： 4200M 内存4G/128G SSD，</w:t>
            </w:r>
          </w:p>
        </w:tc>
        <w:tc>
          <w:tcPr>
            <w:tcW w:w="400"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288"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储物柜</w:t>
            </w:r>
          </w:p>
        </w:tc>
        <w:tc>
          <w:tcPr>
            <w:tcW w:w="1061"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国产</w:t>
            </w:r>
          </w:p>
        </w:tc>
        <w:tc>
          <w:tcPr>
            <w:tcW w:w="5074" w:type="dxa"/>
            <w:tcBorders>
              <w:tl2br w:val="nil"/>
              <w:tr2bl w:val="nil"/>
            </w:tcBorders>
            <w:shd w:val="clear" w:color="auto" w:fill="FFFFFF" w:themeFill="background1"/>
            <w:noWrap/>
            <w:vAlign w:val="center"/>
          </w:tcPr>
          <w:p>
            <w:pPr>
              <w:spacing w:line="240" w:lineRule="auto"/>
              <w:rPr>
                <w:rFonts w:hint="eastAsia" w:ascii="仿宋" w:hAnsi="仿宋" w:eastAsia="仿宋" w:cs="仿宋"/>
                <w:i w:val="0"/>
                <w:iCs w:val="0"/>
                <w:color w:val="auto"/>
                <w:sz w:val="18"/>
                <w:szCs w:val="18"/>
                <w:highlight w:val="none"/>
                <w:u w:val="none"/>
              </w:rPr>
            </w:pPr>
          </w:p>
        </w:tc>
        <w:tc>
          <w:tcPr>
            <w:tcW w:w="400"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办案区桌、椅、柜、沙发</w:t>
            </w:r>
          </w:p>
        </w:tc>
        <w:tc>
          <w:tcPr>
            <w:tcW w:w="1061" w:type="dxa"/>
            <w:tcBorders>
              <w:tl2br w:val="nil"/>
              <w:tr2bl w:val="nil"/>
            </w:tcBorders>
            <w:shd w:val="clear" w:color="auto" w:fill="FFFFFF" w:themeFill="background1"/>
            <w:noWrap/>
            <w:vAlign w:val="center"/>
          </w:tcPr>
          <w:p>
            <w:pPr>
              <w:spacing w:line="240" w:lineRule="auto"/>
              <w:jc w:val="center"/>
              <w:rPr>
                <w:rFonts w:hint="eastAsia" w:ascii="仿宋" w:hAnsi="仿宋" w:eastAsia="仿宋" w:cs="仿宋"/>
                <w:i w:val="0"/>
                <w:iCs w:val="0"/>
                <w:color w:val="auto"/>
                <w:sz w:val="18"/>
                <w:szCs w:val="18"/>
                <w:highlight w:val="none"/>
                <w:u w:val="none"/>
              </w:rPr>
            </w:pPr>
          </w:p>
        </w:tc>
        <w:tc>
          <w:tcPr>
            <w:tcW w:w="5074" w:type="dxa"/>
            <w:tcBorders>
              <w:tl2br w:val="nil"/>
              <w:tr2bl w:val="nil"/>
            </w:tcBorders>
            <w:shd w:val="clear" w:color="auto" w:fill="FFFFFF" w:themeFill="background1"/>
            <w:noWrap/>
            <w:vAlign w:val="center"/>
          </w:tcPr>
          <w:p>
            <w:pPr>
              <w:spacing w:line="240" w:lineRule="auto"/>
              <w:rPr>
                <w:rFonts w:hint="eastAsia" w:ascii="仿宋" w:hAnsi="仿宋" w:eastAsia="仿宋" w:cs="仿宋"/>
                <w:i w:val="0"/>
                <w:iCs w:val="0"/>
                <w:color w:val="auto"/>
                <w:sz w:val="18"/>
                <w:szCs w:val="18"/>
                <w:highlight w:val="none"/>
                <w:u w:val="none"/>
              </w:rPr>
            </w:pPr>
          </w:p>
        </w:tc>
        <w:tc>
          <w:tcPr>
            <w:tcW w:w="400"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546"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1139"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认罪认罚设备</w:t>
            </w:r>
          </w:p>
        </w:tc>
        <w:tc>
          <w:tcPr>
            <w:tcW w:w="1061"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海康威视</w:t>
            </w:r>
          </w:p>
        </w:tc>
        <w:tc>
          <w:tcPr>
            <w:tcW w:w="5074" w:type="dxa"/>
            <w:tcBorders>
              <w:tl2br w:val="nil"/>
              <w:tr2bl w:val="nil"/>
            </w:tcBorders>
            <w:shd w:val="clear" w:color="auto" w:fill="FFFFFF" w:themeFill="background1"/>
            <w:noWrap/>
            <w:vAlign w:val="center"/>
          </w:tcPr>
          <w:p>
            <w:pPr>
              <w:spacing w:line="240" w:lineRule="auto"/>
              <w:rPr>
                <w:rFonts w:hint="eastAsia" w:ascii="仿宋" w:hAnsi="仿宋" w:eastAsia="仿宋" w:cs="仿宋"/>
                <w:i w:val="0"/>
                <w:iCs w:val="0"/>
                <w:color w:val="auto"/>
                <w:sz w:val="18"/>
                <w:szCs w:val="18"/>
                <w:highlight w:val="none"/>
                <w:u w:val="none"/>
              </w:rPr>
            </w:pPr>
          </w:p>
        </w:tc>
        <w:tc>
          <w:tcPr>
            <w:tcW w:w="400"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88" w:type="dxa"/>
            <w:tcBorders>
              <w:tl2br w:val="nil"/>
              <w:tr2bl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r>
    </w:tbl>
    <w:p>
      <w:pPr>
        <w:adjustRightInd/>
        <w:spacing w:line="360" w:lineRule="auto"/>
        <w:rPr>
          <w:rFonts w:hint="eastAsia" w:ascii="仿宋" w:hAnsi="仿宋" w:eastAsia="仿宋"/>
          <w:b/>
          <w:bCs/>
          <w:color w:val="auto"/>
          <w:highlight w:val="none"/>
        </w:rPr>
      </w:pPr>
    </w:p>
    <w:p>
      <w:pPr>
        <w:adjustRightInd/>
        <w:spacing w:line="360" w:lineRule="auto"/>
        <w:rPr>
          <w:rFonts w:hint="eastAsia" w:ascii="仿宋" w:hAnsi="仿宋" w:eastAsia="仿宋"/>
          <w:b/>
          <w:bCs/>
          <w:color w:val="auto"/>
          <w:highlight w:val="none"/>
        </w:rPr>
      </w:pPr>
      <w:r>
        <w:rPr>
          <w:rFonts w:hint="eastAsia" w:ascii="仿宋" w:hAnsi="仿宋" w:eastAsia="仿宋"/>
          <w:b/>
          <w:bCs/>
          <w:color w:val="auto"/>
          <w:highlight w:val="none"/>
        </w:rPr>
        <w:t>备注说明：</w:t>
      </w:r>
    </w:p>
    <w:p>
      <w:pPr>
        <w:adjustRightInd/>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1.供应商所投产品的技术参数不应低于本项目的技术要求和档次。上述技术要求如出现某类品牌型号特有的技术指标或性能，仅供投标人参考，不作为实质性响应条款。</w:t>
      </w:r>
    </w:p>
    <w:p>
      <w:pPr>
        <w:adjustRightInd/>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2.供应商的响应文件应该真实、全面、完整。包括设备功能说明、性能指标及设备选型，明确设备、材料的具体品牌、型号和数量，符合采购文件的要求。</w:t>
      </w:r>
    </w:p>
    <w:p>
      <w:pPr>
        <w:adjustRightInd/>
        <w:spacing w:line="360" w:lineRule="auto"/>
        <w:ind w:firstLine="420" w:firstLineChars="200"/>
        <w:rPr>
          <w:rFonts w:hint="eastAsia"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b/>
          <w:bCs/>
          <w:color w:val="auto"/>
          <w:sz w:val="21"/>
          <w:highlight w:val="none"/>
        </w:rPr>
        <w:t>本次采购项目</w:t>
      </w:r>
      <w:r>
        <w:rPr>
          <w:rFonts w:hint="eastAsia" w:ascii="仿宋" w:hAnsi="仿宋" w:eastAsia="仿宋"/>
          <w:b/>
          <w:bCs/>
          <w:color w:val="auto"/>
          <w:sz w:val="21"/>
          <w:highlight w:val="none"/>
          <w:lang w:val="en-US" w:eastAsia="zh-CN"/>
        </w:rPr>
        <w:t>投标单位</w:t>
      </w:r>
      <w:r>
        <w:rPr>
          <w:rFonts w:hint="eastAsia" w:ascii="仿宋" w:hAnsi="仿宋" w:eastAsia="仿宋"/>
          <w:b/>
          <w:bCs/>
          <w:color w:val="auto"/>
          <w:highlight w:val="none"/>
        </w:rPr>
        <w:t>不仅应包括招标文件所要求</w:t>
      </w:r>
      <w:r>
        <w:rPr>
          <w:rFonts w:hint="eastAsia" w:ascii="仿宋" w:hAnsi="仿宋" w:eastAsia="仿宋"/>
          <w:b/>
          <w:bCs/>
          <w:color w:val="auto"/>
          <w:highlight w:val="none"/>
          <w:lang w:eastAsia="zh-CN"/>
        </w:rPr>
        <w:t>的</w:t>
      </w:r>
      <w:r>
        <w:rPr>
          <w:rFonts w:hint="eastAsia" w:ascii="仿宋" w:hAnsi="仿宋" w:eastAsia="仿宋"/>
          <w:b/>
          <w:bCs/>
          <w:color w:val="auto"/>
          <w:highlight w:val="none"/>
          <w:lang w:val="en-US" w:eastAsia="zh-CN"/>
        </w:rPr>
        <w:t>货物清单</w:t>
      </w:r>
      <w:r>
        <w:rPr>
          <w:rFonts w:hint="eastAsia" w:ascii="仿宋" w:hAnsi="仿宋" w:eastAsia="仿宋"/>
          <w:b/>
          <w:bCs/>
          <w:color w:val="auto"/>
          <w:highlight w:val="none"/>
        </w:rPr>
        <w:t>，安装调试、货物验收、质保、售后服务等，投标方还应充分考虑现场施工环境以及实现本项目功能可能需要增添的其它设备、耗材参与投标者即视为这些没有列举的其它设备、耗材费用全部包含在本次报价中</w:t>
      </w:r>
      <w:r>
        <w:rPr>
          <w:rFonts w:hint="eastAsia" w:ascii="仿宋" w:hAnsi="仿宋" w:eastAsia="仿宋"/>
          <w:color w:val="auto"/>
          <w:highlight w:val="none"/>
        </w:rPr>
        <w:t>。</w:t>
      </w:r>
    </w:p>
    <w:p>
      <w:pPr>
        <w:adjustRightInd/>
        <w:spacing w:line="360" w:lineRule="auto"/>
        <w:ind w:firstLine="42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4.投标人所提供的货物应当是原厂全新正品，来源合法，不得侵犯他人合法权益，能提供7×24小时的技术及备件支持。所有货物到达现场应有完整包装，随机技术、服务性资料和软件齐全。</w:t>
      </w:r>
    </w:p>
    <w:p>
      <w:pPr>
        <w:adjustRightInd/>
        <w:spacing w:line="360" w:lineRule="auto"/>
        <w:ind w:firstLine="42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供应商提供的设备（系统）应能保证在使用地的自然环境、气候条件、公用设施等情况下全天候正常运行。</w:t>
      </w:r>
    </w:p>
    <w:p>
      <w:pPr>
        <w:adjustRightInd/>
        <w:spacing w:line="360" w:lineRule="auto"/>
        <w:ind w:firstLine="42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供应商应保证所供设备（系统）的先进性、可靠性和适用性；供应商提供的设备（系统）各组成部分必须是完整的、全新的、功能全的单元，并且必须是制造商最好的设计，同时应是全新的、高质量和工艺精良的产品，所用的原材料必须无任何缺陷。</w:t>
      </w:r>
    </w:p>
    <w:p>
      <w:pPr>
        <w:adjustRightInd/>
        <w:spacing w:line="360" w:lineRule="auto"/>
        <w:ind w:firstLine="42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供应商应保证设备（系统）的完整性和成套性，能保证设备（系统）的正常运行和使用；供应商提供的设备（系统）既要体现技术先进、经济合理，又要成熟、可靠，并具有操作简单管理方便的特点。</w:t>
      </w:r>
    </w:p>
    <w:p>
      <w:pPr>
        <w:adjustRightInd/>
        <w:spacing w:line="360" w:lineRule="auto"/>
        <w:ind w:firstLine="42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5.供应商应对采购人采购的货物（设备、系统）所涉及的技术、产能等信息承担保密义务。</w:t>
      </w:r>
    </w:p>
    <w:p>
      <w:pPr>
        <w:adjustRightInd/>
        <w:spacing w:line="360" w:lineRule="auto"/>
        <w:ind w:firstLine="420" w:firstLineChars="20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6.本项目包含办案工作区、数字化档案室、检委会会议室、党组会议室、综合指挥中心、阶梯会议室、网络系统、监控、门禁、闸机、考勤系统、停车监管监控、消控室、未检展示区、听证室、检察大厅背景大屏布线、案管大厅、办案区搬迁、广播系统、餐厅系统、物联感知系统、报警及巡更系统、上城检察工作网网站信创改造、周界报警系统、网络信息点位、主机房改造(不含涉密机房，不含机房区域承重评估、承重加固)、主机房装修硬装、机房搬迁、公益诉讼快速检测实验室设施设备添置及拆卸搬运安装弱电相关设备及家具拆卸搬运安装、电子实验室设施设备添置和拆卸搬运安装等内容；其中办案工作区、检委会会议室、综合指挥中心、听证室、上城检察工作网网站信创改造、公益诉讼快速检测实验室设施设备、电子实验室设施设备等建设内容需要满足浙江省检察院文件要求。投标人所提供的产品质量标准均须符合国家、行业相关标准要求，上述标准不一致的，以国家标准为准；没有国家标准、行业标准的，按照通常标准或者符合合同目的的特定标准确定。</w:t>
      </w:r>
    </w:p>
    <w:p>
      <w:pPr>
        <w:adjustRightInd/>
        <w:spacing w:line="360" w:lineRule="auto"/>
        <w:rPr>
          <w:rFonts w:hint="eastAsia" w:ascii="仿宋" w:hAnsi="仿宋" w:eastAsia="仿宋"/>
          <w:b/>
          <w:bCs/>
          <w:color w:val="auto"/>
          <w:highlight w:val="none"/>
          <w:lang w:eastAsia="zh-CN"/>
        </w:rPr>
      </w:pPr>
      <w:r>
        <w:rPr>
          <w:rFonts w:hint="eastAsia" w:ascii="仿宋" w:hAnsi="仿宋" w:eastAsia="仿宋"/>
          <w:b/>
          <w:bCs/>
          <w:color w:val="auto"/>
          <w:highlight w:val="none"/>
          <w:lang w:eastAsia="zh-CN"/>
        </w:rPr>
        <w:t>三</w:t>
      </w:r>
      <w:r>
        <w:rPr>
          <w:rFonts w:hint="eastAsia" w:ascii="仿宋" w:hAnsi="仿宋" w:eastAsia="仿宋"/>
          <w:b/>
          <w:bCs/>
          <w:color w:val="auto"/>
          <w:highlight w:val="none"/>
        </w:rPr>
        <w:t>、</w:t>
      </w:r>
      <w:r>
        <w:rPr>
          <w:rFonts w:hint="eastAsia" w:ascii="仿宋" w:hAnsi="仿宋" w:eastAsia="仿宋"/>
          <w:b/>
          <w:bCs/>
          <w:color w:val="auto"/>
          <w:highlight w:val="none"/>
          <w:lang w:eastAsia="zh-CN"/>
        </w:rPr>
        <w:t>服务要求</w:t>
      </w:r>
    </w:p>
    <w:p>
      <w:pPr>
        <w:adjustRightInd/>
        <w:spacing w:line="360" w:lineRule="auto"/>
        <w:ind w:firstLine="420" w:firstLineChars="200"/>
        <w:rPr>
          <w:rFonts w:ascii="仿宋" w:hAnsi="仿宋" w:eastAsia="仿宋"/>
          <w:color w:val="auto"/>
          <w:highlight w:val="none"/>
        </w:rPr>
      </w:pPr>
      <w:r>
        <w:rPr>
          <w:rFonts w:hint="eastAsia" w:ascii="仿宋" w:hAnsi="仿宋" w:eastAsia="仿宋"/>
          <w:b w:val="0"/>
          <w:bCs w:val="0"/>
          <w:color w:val="auto"/>
          <w:highlight w:val="none"/>
        </w:rPr>
        <w:t>（1）</w:t>
      </w:r>
      <w:r>
        <w:rPr>
          <w:rFonts w:hint="eastAsia" w:ascii="仿宋" w:hAnsi="仿宋" w:eastAsia="仿宋"/>
          <w:color w:val="auto"/>
          <w:highlight w:val="none"/>
        </w:rPr>
        <w:t>拟派项目技术保障团队要求：投标人应当委派专门针对本项目的技术保障人员，负责在</w:t>
      </w:r>
      <w:r>
        <w:rPr>
          <w:rFonts w:hint="eastAsia" w:ascii="仿宋" w:hAnsi="仿宋" w:eastAsia="仿宋"/>
          <w:color w:val="auto"/>
          <w:highlight w:val="none"/>
          <w:lang w:val="en-US" w:eastAsia="zh-CN"/>
        </w:rPr>
        <w:t>重大会议、重要技术保障需求或</w:t>
      </w:r>
      <w:r>
        <w:rPr>
          <w:rFonts w:hint="eastAsia" w:ascii="仿宋" w:hAnsi="仿宋" w:eastAsia="仿宋"/>
          <w:color w:val="auto"/>
          <w:highlight w:val="none"/>
        </w:rPr>
        <w:t>紧急状态下的技术保障及指导服务。技术保障人员在</w:t>
      </w:r>
      <w:r>
        <w:rPr>
          <w:rFonts w:hint="eastAsia" w:ascii="仿宋" w:hAnsi="仿宋" w:eastAsia="仿宋"/>
          <w:color w:val="auto"/>
          <w:highlight w:val="none"/>
          <w:lang w:eastAsia="zh-CN"/>
        </w:rPr>
        <w:t>服务</w:t>
      </w:r>
      <w:r>
        <w:rPr>
          <w:rFonts w:hint="eastAsia" w:ascii="仿宋" w:hAnsi="仿宋" w:eastAsia="仿宋"/>
          <w:color w:val="auto"/>
          <w:highlight w:val="none"/>
        </w:rPr>
        <w:t>期间不得随意更换，以确保服务水平的一致性。</w:t>
      </w:r>
    </w:p>
    <w:p>
      <w:pPr>
        <w:adjustRightInd/>
        <w:spacing w:line="360" w:lineRule="auto"/>
        <w:ind w:firstLine="420" w:firstLineChars="200"/>
        <w:rPr>
          <w:rFonts w:ascii="仿宋" w:hAnsi="仿宋" w:eastAsia="仿宋"/>
          <w:b/>
          <w:bCs/>
          <w:color w:val="auto"/>
          <w:highlight w:val="none"/>
        </w:rPr>
      </w:pPr>
      <w:r>
        <w:rPr>
          <w:rFonts w:hint="eastAsia" w:ascii="仿宋" w:hAnsi="仿宋" w:eastAsia="仿宋"/>
          <w:b w:val="0"/>
          <w:bCs w:val="0"/>
          <w:color w:val="auto"/>
          <w:highlight w:val="none"/>
        </w:rPr>
        <w:t>（</w:t>
      </w:r>
      <w:r>
        <w:rPr>
          <w:rFonts w:hint="eastAsia" w:ascii="仿宋" w:hAnsi="仿宋" w:eastAsia="仿宋"/>
          <w:b w:val="0"/>
          <w:bCs w:val="0"/>
          <w:color w:val="auto"/>
          <w:highlight w:val="none"/>
          <w:lang w:val="en-US" w:eastAsia="zh-CN"/>
        </w:rPr>
        <w:t>2</w:t>
      </w:r>
      <w:r>
        <w:rPr>
          <w:rFonts w:hint="eastAsia" w:ascii="仿宋" w:hAnsi="仿宋" w:eastAsia="仿宋"/>
          <w:b w:val="0"/>
          <w:bCs w:val="0"/>
          <w:color w:val="auto"/>
          <w:highlight w:val="none"/>
        </w:rPr>
        <w:t>）</w:t>
      </w:r>
      <w:r>
        <w:rPr>
          <w:rFonts w:hint="eastAsia" w:ascii="仿宋" w:hAnsi="仿宋" w:eastAsia="仿宋"/>
          <w:b/>
          <w:bCs/>
          <w:color w:val="auto"/>
          <w:highlight w:val="none"/>
        </w:rPr>
        <w:t>其他要求</w:t>
      </w:r>
    </w:p>
    <w:tbl>
      <w:tblPr>
        <w:tblStyle w:val="62"/>
        <w:tblW w:w="8472"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Layout w:type="fixed"/>
        <w:tblCellMar>
          <w:top w:w="0" w:type="dxa"/>
          <w:left w:w="108" w:type="dxa"/>
          <w:bottom w:w="0" w:type="dxa"/>
          <w:right w:w="108" w:type="dxa"/>
        </w:tblCellMar>
      </w:tblPr>
      <w:tblGrid>
        <w:gridCol w:w="817"/>
        <w:gridCol w:w="1701"/>
        <w:gridCol w:w="5954"/>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blHeader/>
        </w:trPr>
        <w:tc>
          <w:tcPr>
            <w:tcW w:w="817" w:type="dxa"/>
            <w:shd w:val="clear" w:color="auto" w:fill="FFFFFF" w:themeFill="background1"/>
            <w:vAlign w:val="center"/>
          </w:tcPr>
          <w:p>
            <w:pPr>
              <w:spacing w:line="276" w:lineRule="auto"/>
              <w:jc w:val="center"/>
              <w:rPr>
                <w:rFonts w:ascii="仿宋" w:hAnsi="仿宋" w:eastAsia="仿宋" w:cs="Arial"/>
                <w:b/>
                <w:color w:val="auto"/>
                <w:szCs w:val="21"/>
                <w:highlight w:val="none"/>
              </w:rPr>
            </w:pPr>
            <w:r>
              <w:rPr>
                <w:rFonts w:ascii="仿宋" w:hAnsi="仿宋" w:eastAsia="仿宋" w:cs="Arial"/>
                <w:b/>
                <w:color w:val="auto"/>
                <w:szCs w:val="21"/>
                <w:highlight w:val="none"/>
              </w:rPr>
              <w:t>序号</w:t>
            </w:r>
          </w:p>
        </w:tc>
        <w:tc>
          <w:tcPr>
            <w:tcW w:w="1701" w:type="dxa"/>
            <w:shd w:val="clear" w:color="auto" w:fill="FFFFFF" w:themeFill="background1"/>
            <w:vAlign w:val="center"/>
          </w:tcPr>
          <w:p>
            <w:pPr>
              <w:spacing w:line="276" w:lineRule="auto"/>
              <w:jc w:val="center"/>
              <w:rPr>
                <w:rFonts w:ascii="仿宋" w:hAnsi="仿宋" w:eastAsia="仿宋" w:cs="Arial"/>
                <w:b/>
                <w:color w:val="auto"/>
                <w:szCs w:val="21"/>
                <w:highlight w:val="none"/>
              </w:rPr>
            </w:pPr>
            <w:r>
              <w:rPr>
                <w:rFonts w:ascii="仿宋" w:hAnsi="仿宋" w:eastAsia="仿宋" w:cs="Arial"/>
                <w:b/>
                <w:color w:val="auto"/>
                <w:szCs w:val="21"/>
                <w:highlight w:val="none"/>
              </w:rPr>
              <w:t>内容</w:t>
            </w:r>
          </w:p>
        </w:tc>
        <w:tc>
          <w:tcPr>
            <w:tcW w:w="5954" w:type="dxa"/>
            <w:shd w:val="clear" w:color="auto" w:fill="FFFFFF" w:themeFill="background1"/>
            <w:vAlign w:val="center"/>
          </w:tcPr>
          <w:p>
            <w:pPr>
              <w:spacing w:line="276" w:lineRule="auto"/>
              <w:jc w:val="center"/>
              <w:rPr>
                <w:rFonts w:ascii="仿宋" w:hAnsi="仿宋" w:eastAsia="仿宋"/>
                <w:b/>
                <w:color w:val="auto"/>
                <w:szCs w:val="21"/>
                <w:highlight w:val="none"/>
              </w:rPr>
            </w:pPr>
            <w:r>
              <w:rPr>
                <w:rFonts w:ascii="仿宋" w:hAnsi="仿宋" w:eastAsia="仿宋"/>
                <w:b/>
                <w:color w:val="auto"/>
                <w:szCs w:val="21"/>
                <w:highlight w:val="none"/>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olor w:val="auto"/>
                <w:szCs w:val="21"/>
                <w:highlight w:val="none"/>
              </w:rPr>
              <w:t>1</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olor w:val="auto"/>
                <w:szCs w:val="21"/>
                <w:highlight w:val="none"/>
              </w:rPr>
              <w:t>项目</w:t>
            </w:r>
            <w:r>
              <w:rPr>
                <w:rFonts w:hint="eastAsia" w:ascii="仿宋" w:hAnsi="仿宋" w:eastAsia="仿宋"/>
                <w:color w:val="auto"/>
                <w:szCs w:val="21"/>
                <w:highlight w:val="none"/>
                <w:lang w:eastAsia="zh-CN"/>
              </w:rPr>
              <w:t>总体</w:t>
            </w:r>
            <w:r>
              <w:rPr>
                <w:rFonts w:hint="eastAsia" w:ascii="仿宋" w:hAnsi="仿宋" w:eastAsia="仿宋"/>
                <w:color w:val="auto"/>
                <w:szCs w:val="21"/>
                <w:highlight w:val="none"/>
              </w:rPr>
              <w:t>实施方案</w:t>
            </w:r>
          </w:p>
        </w:tc>
        <w:tc>
          <w:tcPr>
            <w:tcW w:w="5954" w:type="dxa"/>
            <w:shd w:val="clear" w:color="auto" w:fill="FFFFFF" w:themeFill="background1"/>
            <w:vAlign w:val="center"/>
          </w:tcPr>
          <w:p>
            <w:pPr>
              <w:spacing w:line="276" w:lineRule="auto"/>
              <w:jc w:val="left"/>
              <w:rPr>
                <w:rFonts w:ascii="仿宋" w:hAnsi="仿宋" w:eastAsia="仿宋" w:cs="Arial"/>
                <w:b/>
                <w:i/>
                <w:color w:val="auto"/>
                <w:szCs w:val="21"/>
                <w:highlight w:val="none"/>
                <w:u w:val="single"/>
              </w:rPr>
            </w:pPr>
            <w:r>
              <w:rPr>
                <w:rFonts w:hint="eastAsia" w:ascii="仿宋" w:hAnsi="仿宋" w:eastAsia="仿宋"/>
                <w:color w:val="auto"/>
                <w:szCs w:val="21"/>
                <w:highlight w:val="none"/>
              </w:rPr>
              <w:t>投标时投标人应提出合理的项目整体实施方案，方案内容包含</w:t>
            </w:r>
            <w:r>
              <w:rPr>
                <w:rFonts w:hint="eastAsia" w:ascii="仿宋" w:hAnsi="仿宋" w:eastAsia="仿宋"/>
                <w:color w:val="auto"/>
                <w:szCs w:val="21"/>
                <w:highlight w:val="none"/>
                <w:lang w:eastAsia="zh-CN"/>
              </w:rPr>
              <w:t>对项目的理解、具体建设方案及实施方案</w:t>
            </w:r>
            <w:r>
              <w:rPr>
                <w:rFonts w:hint="eastAsia" w:ascii="仿宋" w:hAnsi="仿宋" w:eastAsia="仿宋"/>
                <w:color w:val="auto"/>
                <w:szCs w:val="21"/>
                <w:highlight w:val="none"/>
              </w:rPr>
              <w:t>。以上方案内容完整、明确，且具备可行性的视为</w:t>
            </w:r>
            <w:r>
              <w:rPr>
                <w:rFonts w:hint="eastAsia" w:ascii="仿宋" w:hAnsi="仿宋" w:eastAsia="仿宋" w:cs="宋体"/>
                <w:color w:val="auto"/>
                <w:szCs w:val="21"/>
                <w:highlight w:val="none"/>
              </w:rPr>
              <w:t>符合。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olor w:val="auto"/>
                <w:szCs w:val="21"/>
                <w:highlight w:val="none"/>
              </w:rPr>
              <w:t>2</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olor w:val="auto"/>
                <w:szCs w:val="21"/>
                <w:highlight w:val="none"/>
                <w:lang w:eastAsia="zh-CN"/>
              </w:rPr>
              <w:t>安装调试</w:t>
            </w:r>
            <w:r>
              <w:rPr>
                <w:rFonts w:hint="eastAsia" w:ascii="仿宋" w:hAnsi="仿宋" w:eastAsia="仿宋"/>
                <w:color w:val="auto"/>
                <w:szCs w:val="21"/>
                <w:highlight w:val="none"/>
              </w:rPr>
              <w:t>方案</w:t>
            </w:r>
          </w:p>
        </w:tc>
        <w:tc>
          <w:tcPr>
            <w:tcW w:w="5954" w:type="dxa"/>
            <w:shd w:val="clear" w:color="auto" w:fill="FFFFFF" w:themeFill="background1"/>
            <w:vAlign w:val="center"/>
          </w:tcPr>
          <w:p>
            <w:pPr>
              <w:spacing w:line="276" w:lineRule="auto"/>
              <w:jc w:val="left"/>
              <w:rPr>
                <w:rFonts w:hint="eastAsia" w:ascii="仿宋" w:hAnsi="仿宋" w:eastAsia="仿宋" w:cs="Arial"/>
                <w:color w:val="auto"/>
                <w:szCs w:val="21"/>
                <w:highlight w:val="none"/>
              </w:rPr>
            </w:pPr>
            <w:r>
              <w:rPr>
                <w:rFonts w:hint="eastAsia" w:ascii="仿宋" w:hAnsi="仿宋" w:eastAsia="仿宋" w:cs="Arial"/>
                <w:color w:val="auto"/>
                <w:szCs w:val="21"/>
                <w:highlight w:val="none"/>
              </w:rPr>
              <w:t>投标时投标人应提出合理的</w:t>
            </w:r>
            <w:r>
              <w:rPr>
                <w:rFonts w:hint="eastAsia" w:ascii="仿宋" w:hAnsi="仿宋" w:eastAsia="仿宋" w:cs="Arial"/>
                <w:color w:val="auto"/>
                <w:szCs w:val="21"/>
                <w:highlight w:val="none"/>
                <w:lang w:eastAsia="zh-CN"/>
              </w:rPr>
              <w:t>安装调试</w:t>
            </w:r>
            <w:r>
              <w:rPr>
                <w:rFonts w:hint="eastAsia" w:ascii="仿宋" w:hAnsi="仿宋" w:eastAsia="仿宋" w:cs="Arial"/>
                <w:color w:val="auto"/>
                <w:szCs w:val="21"/>
                <w:highlight w:val="none"/>
              </w:rPr>
              <w:t>方案，</w:t>
            </w:r>
            <w:r>
              <w:rPr>
                <w:rFonts w:hint="eastAsia" w:ascii="仿宋" w:hAnsi="仿宋" w:eastAsia="仿宋"/>
                <w:color w:val="auto"/>
                <w:szCs w:val="21"/>
                <w:highlight w:val="none"/>
              </w:rPr>
              <w:t>方案内容包含安装调试计划、对安装场地和环境的要求</w:t>
            </w:r>
            <w:r>
              <w:rPr>
                <w:rFonts w:hint="eastAsia" w:ascii="仿宋" w:hAnsi="仿宋" w:eastAsia="仿宋" w:cs="Arial"/>
                <w:color w:val="auto"/>
                <w:szCs w:val="21"/>
                <w:highlight w:val="none"/>
              </w:rPr>
              <w:t>等。</w:t>
            </w:r>
          </w:p>
          <w:p>
            <w:pPr>
              <w:spacing w:line="276" w:lineRule="auto"/>
              <w:jc w:val="left"/>
              <w:rPr>
                <w:rFonts w:ascii="仿宋" w:hAnsi="仿宋" w:eastAsia="仿宋" w:cs="Arial"/>
                <w:b/>
                <w:color w:val="auto"/>
                <w:szCs w:val="21"/>
                <w:highlight w:val="none"/>
              </w:rPr>
            </w:pPr>
            <w:r>
              <w:rPr>
                <w:rFonts w:hint="eastAsia" w:ascii="仿宋" w:hAnsi="仿宋" w:eastAsia="仿宋" w:cs="Arial"/>
                <w:color w:val="auto"/>
                <w:szCs w:val="21"/>
                <w:highlight w:val="none"/>
              </w:rPr>
              <w:t>安装标准：符合我国国家有关技术规范要求和技术标准，所有的材料设备必须保证同时安装到位，安装需要的辅助材料设备、零星工程等包含在本项目中。安装过程中与其他货物和设备安装的配合费用需考虑并计入总报价。方案内容完整、明确，且具备可行性</w:t>
            </w:r>
            <w:r>
              <w:rPr>
                <w:rFonts w:hint="eastAsia" w:ascii="仿宋" w:hAnsi="仿宋" w:eastAsia="仿宋"/>
                <w:color w:val="auto"/>
                <w:szCs w:val="21"/>
                <w:highlight w:val="none"/>
              </w:rPr>
              <w:t>的视为</w:t>
            </w:r>
            <w:r>
              <w:rPr>
                <w:rFonts w:hint="eastAsia" w:ascii="仿宋" w:hAnsi="仿宋" w:eastAsia="仿宋" w:cs="宋体"/>
                <w:color w:val="auto"/>
                <w:szCs w:val="21"/>
                <w:highlight w:val="none"/>
              </w:rPr>
              <w:t>符合。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701" w:type="dxa"/>
            <w:shd w:val="clear" w:color="auto" w:fill="FFFFFF" w:themeFill="background1"/>
            <w:vAlign w:val="center"/>
          </w:tcPr>
          <w:p>
            <w:pPr>
              <w:spacing w:line="276" w:lineRule="auto"/>
              <w:jc w:val="center"/>
              <w:rPr>
                <w:rFonts w:hint="eastAsia" w:ascii="仿宋" w:hAnsi="仿宋" w:eastAsia="仿宋" w:cs="Arial"/>
                <w:color w:val="auto"/>
                <w:kern w:val="2"/>
                <w:sz w:val="21"/>
                <w:szCs w:val="21"/>
                <w:highlight w:val="none"/>
                <w:lang w:val="en-US" w:eastAsia="zh-CN" w:bidi="ar-SA"/>
              </w:rPr>
            </w:pPr>
            <w:r>
              <w:rPr>
                <w:rFonts w:hint="eastAsia" w:ascii="仿宋" w:hAnsi="仿宋" w:eastAsia="仿宋"/>
                <w:color w:val="auto"/>
                <w:szCs w:val="21"/>
                <w:highlight w:val="none"/>
              </w:rPr>
              <w:t>培训方案</w:t>
            </w:r>
          </w:p>
        </w:tc>
        <w:tc>
          <w:tcPr>
            <w:tcW w:w="5954" w:type="dxa"/>
            <w:shd w:val="clear" w:color="auto" w:fill="FFFFFF" w:themeFill="background1"/>
            <w:vAlign w:val="center"/>
          </w:tcPr>
          <w:p>
            <w:pPr>
              <w:spacing w:line="276" w:lineRule="auto"/>
              <w:jc w:val="left"/>
              <w:rPr>
                <w:rFonts w:hint="eastAsia" w:ascii="仿宋" w:hAnsi="仿宋" w:eastAsia="仿宋" w:cs="Arial"/>
                <w:b/>
                <w:color w:val="auto"/>
                <w:kern w:val="2"/>
                <w:sz w:val="21"/>
                <w:szCs w:val="21"/>
                <w:highlight w:val="none"/>
                <w:lang w:val="en-US" w:eastAsia="zh-CN" w:bidi="ar-SA"/>
              </w:rPr>
            </w:pPr>
            <w:r>
              <w:rPr>
                <w:rFonts w:hint="eastAsia" w:ascii="仿宋" w:hAnsi="仿宋" w:eastAsia="仿宋" w:cs="Arial"/>
                <w:color w:val="auto"/>
                <w:szCs w:val="21"/>
                <w:highlight w:val="none"/>
              </w:rPr>
              <w:t>投标时投标人应提出合理的技术培训方案，</w:t>
            </w:r>
            <w:r>
              <w:rPr>
                <w:rFonts w:hint="eastAsia" w:ascii="仿宋" w:hAnsi="仿宋" w:eastAsia="仿宋"/>
                <w:color w:val="auto"/>
                <w:szCs w:val="21"/>
                <w:highlight w:val="none"/>
              </w:rPr>
              <w:t>方案内容包含</w:t>
            </w:r>
            <w:r>
              <w:rPr>
                <w:rFonts w:hint="eastAsia" w:ascii="仿宋" w:hAnsi="仿宋" w:eastAsia="仿宋" w:cs="Arial"/>
                <w:color w:val="auto"/>
                <w:szCs w:val="21"/>
                <w:highlight w:val="none"/>
              </w:rPr>
              <w:t>技术培训的内容、目标、形式以及培训师资人员情况等。培训</w:t>
            </w:r>
            <w:r>
              <w:rPr>
                <w:rFonts w:ascii="仿宋" w:hAnsi="仿宋" w:eastAsia="仿宋" w:cs="Arial"/>
                <w:color w:val="auto"/>
                <w:szCs w:val="21"/>
                <w:highlight w:val="none"/>
              </w:rPr>
              <w:t>内容包括产品的功能、操作、日常维护、一般故障处理</w:t>
            </w:r>
            <w:r>
              <w:rPr>
                <w:rFonts w:hint="eastAsia" w:ascii="仿宋" w:hAnsi="仿宋" w:eastAsia="仿宋" w:cs="Arial"/>
                <w:color w:val="auto"/>
                <w:szCs w:val="21"/>
                <w:highlight w:val="none"/>
              </w:rPr>
              <w:t>、设备管理</w:t>
            </w:r>
            <w:r>
              <w:rPr>
                <w:rFonts w:ascii="仿宋" w:hAnsi="仿宋" w:eastAsia="仿宋" w:cs="Arial"/>
                <w:color w:val="auto"/>
                <w:szCs w:val="21"/>
                <w:highlight w:val="none"/>
              </w:rPr>
              <w:t>等内容</w:t>
            </w:r>
            <w:r>
              <w:rPr>
                <w:rFonts w:hint="eastAsia" w:ascii="仿宋" w:hAnsi="仿宋" w:eastAsia="仿宋" w:cs="Arial"/>
                <w:color w:val="auto"/>
                <w:szCs w:val="21"/>
                <w:highlight w:val="none"/>
              </w:rPr>
              <w:t>，直至采购人使用人员熟练操作为止。</w:t>
            </w:r>
            <w:r>
              <w:rPr>
                <w:rFonts w:ascii="仿宋" w:hAnsi="仿宋" w:eastAsia="仿宋" w:cs="Arial"/>
                <w:color w:val="auto"/>
                <w:szCs w:val="21"/>
                <w:highlight w:val="none"/>
              </w:rPr>
              <w:t>培训涉及的所有费用由中标人承担。</w:t>
            </w:r>
            <w:r>
              <w:rPr>
                <w:rFonts w:hint="eastAsia" w:ascii="仿宋" w:hAnsi="仿宋" w:eastAsia="仿宋" w:cs="Arial"/>
                <w:color w:val="auto"/>
                <w:szCs w:val="21"/>
                <w:highlight w:val="none"/>
              </w:rPr>
              <w:t>方案内容完整、明确，且具备可行性</w:t>
            </w:r>
            <w:r>
              <w:rPr>
                <w:rFonts w:hint="eastAsia" w:ascii="仿宋" w:hAnsi="仿宋" w:eastAsia="仿宋"/>
                <w:color w:val="auto"/>
                <w:szCs w:val="21"/>
                <w:highlight w:val="none"/>
              </w:rPr>
              <w:t>的视为</w:t>
            </w:r>
            <w:r>
              <w:rPr>
                <w:rFonts w:hint="eastAsia" w:ascii="仿宋" w:hAnsi="仿宋" w:eastAsia="仿宋" w:cs="宋体"/>
                <w:color w:val="auto"/>
                <w:szCs w:val="21"/>
                <w:highlight w:val="none"/>
              </w:rPr>
              <w:t>符合。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hint="eastAsia" w:ascii="仿宋" w:hAnsi="仿宋" w:eastAsia="仿宋" w:cs="Arial"/>
                <w:color w:val="auto"/>
                <w:szCs w:val="21"/>
                <w:highlight w:val="none"/>
                <w:lang w:eastAsia="zh-CN"/>
              </w:rPr>
            </w:pPr>
            <w:r>
              <w:rPr>
                <w:rFonts w:hint="eastAsia" w:ascii="仿宋" w:hAnsi="仿宋" w:eastAsia="仿宋"/>
                <w:color w:val="auto"/>
                <w:szCs w:val="21"/>
                <w:highlight w:val="none"/>
                <w:lang w:val="en-US" w:eastAsia="zh-CN"/>
              </w:rPr>
              <w:t>4</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售后服务方案</w:t>
            </w:r>
          </w:p>
        </w:tc>
        <w:tc>
          <w:tcPr>
            <w:tcW w:w="5954" w:type="dxa"/>
            <w:shd w:val="clear" w:color="auto" w:fill="FFFFFF" w:themeFill="background1"/>
            <w:vAlign w:val="center"/>
          </w:tcPr>
          <w:p>
            <w:pPr>
              <w:spacing w:line="276" w:lineRule="auto"/>
              <w:jc w:val="left"/>
              <w:rPr>
                <w:rFonts w:ascii="仿宋" w:hAnsi="仿宋" w:eastAsia="仿宋"/>
                <w:color w:val="auto"/>
                <w:szCs w:val="21"/>
                <w:highlight w:val="none"/>
              </w:rPr>
            </w:pPr>
            <w:r>
              <w:rPr>
                <w:rFonts w:hint="eastAsia" w:ascii="仿宋" w:hAnsi="仿宋" w:eastAsia="仿宋"/>
                <w:color w:val="auto"/>
                <w:szCs w:val="21"/>
                <w:highlight w:val="none"/>
              </w:rPr>
              <w:t>请投标人在投标时提供详细完整的售后服务措施和方案（内容包括售后服务措施、售后服务机构和人员配置情况说明、售后服务质量保证措施、回访服务制度等），要求提供的方案内容完整、明确，且具备可行性</w:t>
            </w:r>
            <w:r>
              <w:rPr>
                <w:rFonts w:hint="eastAsia" w:ascii="仿宋" w:hAnsi="仿宋" w:eastAsia="仿宋" w:cs="Arial"/>
                <w:bCs/>
                <w:color w:val="auto"/>
                <w:szCs w:val="21"/>
                <w:highlight w:val="none"/>
              </w:rPr>
              <w:t>，同时满足第三章采购需求商务要求中有关售后服务的相关要求，满足以上要求的视为</w:t>
            </w:r>
            <w:r>
              <w:rPr>
                <w:rFonts w:hint="eastAsia" w:ascii="仿宋" w:hAnsi="仿宋" w:eastAsia="仿宋" w:cs="宋体"/>
                <w:color w:val="auto"/>
                <w:szCs w:val="21"/>
                <w:highlight w:val="none"/>
              </w:rPr>
              <w:t>符合。</w:t>
            </w:r>
          </w:p>
        </w:tc>
      </w:tr>
    </w:tbl>
    <w:p>
      <w:pPr>
        <w:adjustRightInd/>
        <w:spacing w:line="360" w:lineRule="auto"/>
        <w:rPr>
          <w:rFonts w:hint="eastAsia" w:ascii="仿宋" w:hAnsi="仿宋" w:eastAsia="仿宋"/>
          <w:b/>
          <w:bCs/>
          <w:color w:val="auto"/>
          <w:highlight w:val="none"/>
          <w:lang w:eastAsia="zh-CN"/>
        </w:rPr>
      </w:pPr>
      <w:bookmarkStart w:id="28" w:name="_Toc138673014"/>
      <w:r>
        <w:rPr>
          <w:rFonts w:hint="eastAsia" w:ascii="仿宋" w:hAnsi="仿宋" w:eastAsia="仿宋"/>
          <w:b/>
          <w:bCs/>
          <w:color w:val="auto"/>
          <w:highlight w:val="none"/>
          <w:lang w:eastAsia="zh-CN"/>
        </w:rPr>
        <w:t>四、商务要求</w:t>
      </w:r>
      <w:bookmarkEnd w:id="28"/>
    </w:p>
    <w:tbl>
      <w:tblPr>
        <w:tblStyle w:val="62"/>
        <w:tblW w:w="8472"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Layout w:type="fixed"/>
        <w:tblCellMar>
          <w:top w:w="0" w:type="dxa"/>
          <w:left w:w="108" w:type="dxa"/>
          <w:bottom w:w="0" w:type="dxa"/>
          <w:right w:w="108" w:type="dxa"/>
        </w:tblCellMar>
      </w:tblPr>
      <w:tblGrid>
        <w:gridCol w:w="817"/>
        <w:gridCol w:w="1701"/>
        <w:gridCol w:w="5954"/>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PrEx>
        <w:trPr>
          <w:trHeight w:val="454" w:hRule="atLeast"/>
          <w:tblHeader/>
        </w:trPr>
        <w:tc>
          <w:tcPr>
            <w:tcW w:w="817" w:type="dxa"/>
            <w:shd w:val="clear" w:color="auto" w:fill="FFFFFF" w:themeFill="background1"/>
            <w:vAlign w:val="center"/>
          </w:tcPr>
          <w:p>
            <w:pPr>
              <w:spacing w:line="276" w:lineRule="auto"/>
              <w:jc w:val="center"/>
              <w:rPr>
                <w:rFonts w:ascii="仿宋" w:hAnsi="仿宋" w:eastAsia="仿宋" w:cs="Arial"/>
                <w:b/>
                <w:color w:val="auto"/>
                <w:szCs w:val="21"/>
                <w:highlight w:val="none"/>
              </w:rPr>
            </w:pPr>
            <w:r>
              <w:rPr>
                <w:rFonts w:ascii="仿宋" w:hAnsi="仿宋" w:eastAsia="仿宋" w:cs="Arial"/>
                <w:b/>
                <w:color w:val="auto"/>
                <w:szCs w:val="21"/>
                <w:highlight w:val="none"/>
              </w:rPr>
              <w:t>序号</w:t>
            </w:r>
          </w:p>
        </w:tc>
        <w:tc>
          <w:tcPr>
            <w:tcW w:w="1701" w:type="dxa"/>
            <w:shd w:val="clear" w:color="auto" w:fill="FFFFFF" w:themeFill="background1"/>
            <w:vAlign w:val="center"/>
          </w:tcPr>
          <w:p>
            <w:pPr>
              <w:spacing w:line="276" w:lineRule="auto"/>
              <w:jc w:val="center"/>
              <w:rPr>
                <w:rFonts w:ascii="仿宋" w:hAnsi="仿宋" w:eastAsia="仿宋" w:cs="Arial"/>
                <w:b/>
                <w:color w:val="auto"/>
                <w:szCs w:val="21"/>
                <w:highlight w:val="none"/>
              </w:rPr>
            </w:pPr>
            <w:r>
              <w:rPr>
                <w:rFonts w:ascii="仿宋" w:hAnsi="仿宋" w:eastAsia="仿宋" w:cs="Arial"/>
                <w:b/>
                <w:color w:val="auto"/>
                <w:szCs w:val="21"/>
                <w:highlight w:val="none"/>
              </w:rPr>
              <w:t>内容</w:t>
            </w:r>
          </w:p>
        </w:tc>
        <w:tc>
          <w:tcPr>
            <w:tcW w:w="5954" w:type="dxa"/>
            <w:shd w:val="clear" w:color="auto" w:fill="FFFFFF" w:themeFill="background1"/>
            <w:vAlign w:val="center"/>
          </w:tcPr>
          <w:p>
            <w:pPr>
              <w:spacing w:line="276" w:lineRule="auto"/>
              <w:jc w:val="center"/>
              <w:rPr>
                <w:rFonts w:ascii="仿宋" w:hAnsi="仿宋" w:eastAsia="仿宋"/>
                <w:b/>
                <w:color w:val="auto"/>
                <w:szCs w:val="21"/>
                <w:highlight w:val="none"/>
              </w:rPr>
            </w:pPr>
            <w:r>
              <w:rPr>
                <w:rFonts w:hint="eastAsia" w:ascii="仿宋" w:hAnsi="仿宋" w:eastAsia="仿宋"/>
                <w:b/>
                <w:color w:val="auto"/>
                <w:szCs w:val="21"/>
                <w:highlight w:val="none"/>
              </w:rPr>
              <w:t>招标</w:t>
            </w:r>
            <w:r>
              <w:rPr>
                <w:rFonts w:ascii="仿宋" w:hAnsi="仿宋" w:eastAsia="仿宋"/>
                <w:b/>
                <w:color w:val="auto"/>
                <w:szCs w:val="21"/>
                <w:highlight w:val="none"/>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701" w:type="dxa"/>
            <w:shd w:val="clear" w:color="auto" w:fill="FFFFFF" w:themeFill="background1"/>
            <w:vAlign w:val="center"/>
          </w:tcPr>
          <w:p>
            <w:pPr>
              <w:spacing w:line="276" w:lineRule="auto"/>
              <w:jc w:val="center"/>
              <w:rPr>
                <w:rFonts w:hint="eastAsia" w:ascii="仿宋" w:hAnsi="仿宋" w:eastAsia="仿宋" w:cs="Arial"/>
                <w:color w:val="auto"/>
                <w:szCs w:val="21"/>
                <w:highlight w:val="none"/>
                <w:lang w:eastAsia="zh-CN"/>
              </w:rPr>
            </w:pPr>
            <w:r>
              <w:rPr>
                <w:rFonts w:hint="eastAsia" w:ascii="仿宋" w:hAnsi="仿宋" w:eastAsia="仿宋" w:cs="Arial"/>
                <w:b/>
                <w:color w:val="auto"/>
                <w:szCs w:val="21"/>
                <w:highlight w:val="none"/>
                <w:lang w:eastAsia="zh-CN"/>
              </w:rPr>
              <w:t>供货期</w:t>
            </w:r>
          </w:p>
        </w:tc>
        <w:tc>
          <w:tcPr>
            <w:tcW w:w="5954" w:type="dxa"/>
            <w:shd w:val="clear" w:color="auto" w:fill="FFFFFF" w:themeFill="background1"/>
            <w:vAlign w:val="center"/>
          </w:tcPr>
          <w:p>
            <w:pPr>
              <w:spacing w:line="276" w:lineRule="auto"/>
              <w:jc w:val="left"/>
              <w:rPr>
                <w:rFonts w:ascii="仿宋" w:hAnsi="仿宋" w:eastAsia="仿宋" w:cs="Arial"/>
                <w:b/>
                <w:i/>
                <w:color w:val="auto"/>
                <w:szCs w:val="21"/>
                <w:highlight w:val="none"/>
                <w:u w:val="single"/>
              </w:rPr>
            </w:pPr>
            <w:r>
              <w:rPr>
                <w:rFonts w:hint="eastAsia" w:ascii="仿宋" w:hAnsi="仿宋" w:eastAsia="仿宋"/>
                <w:b/>
                <w:i w:val="0"/>
                <w:iCs/>
                <w:color w:val="auto"/>
                <w:szCs w:val="21"/>
                <w:highlight w:val="none"/>
              </w:rPr>
              <w:t>合同签订</w:t>
            </w:r>
            <w:r>
              <w:rPr>
                <w:rFonts w:hint="eastAsia" w:ascii="仿宋" w:hAnsi="仿宋" w:eastAsia="仿宋"/>
                <w:b/>
                <w:i w:val="0"/>
                <w:iCs/>
                <w:color w:val="auto"/>
                <w:szCs w:val="21"/>
                <w:highlight w:val="none"/>
                <w:lang w:eastAsia="zh-CN"/>
              </w:rPr>
              <w:t>后一年</w:t>
            </w:r>
            <w:r>
              <w:rPr>
                <w:rFonts w:hint="eastAsia" w:ascii="仿宋" w:hAnsi="仿宋" w:eastAsia="仿宋"/>
                <w:b/>
                <w:i w:val="0"/>
                <w:iCs/>
                <w:color w:val="auto"/>
                <w:szCs w:val="21"/>
                <w:highlight w:val="none"/>
              </w:rPr>
              <w:t>（具体情况符合甲方书面通知供货要求），并满足整个</w:t>
            </w:r>
            <w:r>
              <w:rPr>
                <w:rFonts w:hint="eastAsia" w:ascii="仿宋" w:hAnsi="仿宋" w:eastAsia="仿宋"/>
                <w:b/>
                <w:i w:val="0"/>
                <w:iCs/>
                <w:color w:val="auto"/>
                <w:szCs w:val="21"/>
                <w:highlight w:val="none"/>
                <w:lang w:val="en-US" w:eastAsia="zh-CN"/>
              </w:rPr>
              <w:t>项目</w:t>
            </w:r>
            <w:r>
              <w:rPr>
                <w:rFonts w:hint="eastAsia" w:ascii="仿宋" w:hAnsi="仿宋" w:eastAsia="仿宋"/>
                <w:b/>
                <w:i w:val="0"/>
                <w:iCs/>
                <w:color w:val="auto"/>
                <w:szCs w:val="21"/>
                <w:highlight w:val="none"/>
              </w:rPr>
              <w:t>进度要求进行安装、调试。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支付</w:t>
            </w:r>
          </w:p>
        </w:tc>
        <w:tc>
          <w:tcPr>
            <w:tcW w:w="5954" w:type="dxa"/>
            <w:shd w:val="clear" w:color="auto" w:fill="FFFFFF" w:themeFill="background1"/>
            <w:vAlign w:val="center"/>
          </w:tcPr>
          <w:p>
            <w:pPr>
              <w:snapToGrid w:val="0"/>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分期付款：</w:t>
            </w:r>
          </w:p>
          <w:p>
            <w:pPr>
              <w:snapToGrid w:val="0"/>
              <w:spacing w:line="32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第一期：合同生效以及具备实施条件后20个工作日内，甲方支付乙方合同总金额的60%的预付款；</w:t>
            </w:r>
          </w:p>
          <w:p>
            <w:pPr>
              <w:snapToGrid w:val="0"/>
              <w:spacing w:line="32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第二期：所有设备到货安装初验后，支付合同总金额25%的款项</w:t>
            </w:r>
          </w:p>
          <w:p>
            <w:pPr>
              <w:snapToGrid w:val="0"/>
              <w:spacing w:line="32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第三期：项目完工正常运行一个月、终验合格并经审计后，支付剩余尾款。</w:t>
            </w:r>
          </w:p>
          <w:p>
            <w:pPr>
              <w:snapToGrid w:val="0"/>
              <w:spacing w:line="320" w:lineRule="exact"/>
              <w:jc w:val="left"/>
              <w:rPr>
                <w:color w:val="auto"/>
                <w:highlight w:val="none"/>
              </w:rPr>
            </w:pPr>
            <w:r>
              <w:rPr>
                <w:rFonts w:hint="eastAsia" w:ascii="仿宋" w:hAnsi="仿宋" w:eastAsia="仿宋" w:cs="仿宋"/>
                <w:color w:val="auto"/>
                <w:szCs w:val="21"/>
                <w:highlight w:val="none"/>
                <w:lang w:val="en-US" w:eastAsia="zh-CN"/>
              </w:rPr>
              <w:t>以上进度款的实际支付金额和付款时间以财政下拨资金为准，因财政审批延迟导致付款时间相应顺延，不视为逾期付款</w:t>
            </w:r>
            <w:r>
              <w:rPr>
                <w:rFonts w:hint="eastAsia" w:ascii="仿宋" w:hAnsi="仿宋" w:eastAsia="仿宋" w:cs="仿宋"/>
                <w:b w:val="0"/>
                <w:bCs w:val="0"/>
                <w:color w:val="auto"/>
                <w:kern w:val="2"/>
                <w:sz w:val="21"/>
                <w:szCs w:val="21"/>
                <w:highlight w:val="none"/>
                <w:lang w:val="en-US" w:eastAsia="zh-CN" w:bidi="ar-SA"/>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交付地点</w:t>
            </w:r>
          </w:p>
        </w:tc>
        <w:tc>
          <w:tcPr>
            <w:tcW w:w="5954" w:type="dxa"/>
            <w:shd w:val="clear" w:color="auto" w:fill="FFFFFF" w:themeFill="background1"/>
            <w:vAlign w:val="center"/>
          </w:tcPr>
          <w:p>
            <w:pPr>
              <w:spacing w:line="276" w:lineRule="auto"/>
              <w:jc w:val="left"/>
              <w:rPr>
                <w:rFonts w:ascii="仿宋" w:hAnsi="仿宋" w:eastAsia="仿宋" w:cs="Arial"/>
                <w:b/>
                <w:color w:val="auto"/>
                <w:szCs w:val="21"/>
                <w:highlight w:val="none"/>
              </w:rPr>
            </w:pPr>
            <w:r>
              <w:rPr>
                <w:rFonts w:hint="eastAsia" w:ascii="仿宋" w:hAnsi="仿宋" w:eastAsia="仿宋" w:cs="Arial"/>
                <w:b/>
                <w:color w:val="auto"/>
                <w:szCs w:val="21"/>
                <w:highlight w:val="none"/>
              </w:rPr>
              <w:t>采购人指定地点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ascii="仿宋" w:hAnsi="仿宋" w:eastAsia="仿宋" w:cs="Arial"/>
                <w:color w:val="auto"/>
                <w:szCs w:val="21"/>
                <w:highlight w:val="none"/>
              </w:rPr>
              <w:t>安装</w:t>
            </w:r>
            <w:r>
              <w:rPr>
                <w:rFonts w:hint="eastAsia" w:ascii="仿宋" w:hAnsi="仿宋" w:eastAsia="仿宋" w:cs="Arial"/>
                <w:color w:val="auto"/>
                <w:szCs w:val="21"/>
                <w:highlight w:val="none"/>
              </w:rPr>
              <w:t>调试</w:t>
            </w:r>
          </w:p>
        </w:tc>
        <w:tc>
          <w:tcPr>
            <w:tcW w:w="5954" w:type="dxa"/>
            <w:shd w:val="clear" w:color="auto" w:fill="FFFFFF" w:themeFill="background1"/>
            <w:vAlign w:val="center"/>
          </w:tcPr>
          <w:p>
            <w:pPr>
              <w:spacing w:line="276" w:lineRule="auto"/>
              <w:rPr>
                <w:rFonts w:ascii="仿宋" w:hAnsi="仿宋" w:eastAsia="仿宋"/>
                <w:i w:val="0"/>
                <w:iCs w:val="0"/>
                <w:color w:val="auto"/>
                <w:szCs w:val="21"/>
                <w:highlight w:val="none"/>
              </w:rPr>
            </w:pPr>
            <w:r>
              <w:rPr>
                <w:rFonts w:hint="eastAsia" w:ascii="仿宋" w:hAnsi="仿宋" w:eastAsia="仿宋"/>
                <w:i w:val="0"/>
                <w:iCs w:val="0"/>
                <w:color w:val="auto"/>
                <w:szCs w:val="21"/>
                <w:highlight w:val="none"/>
              </w:rPr>
              <w:t>（1）</w:t>
            </w:r>
            <w:r>
              <w:rPr>
                <w:rFonts w:ascii="仿宋" w:hAnsi="仿宋" w:eastAsia="仿宋"/>
                <w:i w:val="0"/>
                <w:iCs w:val="0"/>
                <w:color w:val="auto"/>
                <w:szCs w:val="21"/>
                <w:highlight w:val="none"/>
              </w:rPr>
              <w:t>标准：</w:t>
            </w:r>
            <w:r>
              <w:rPr>
                <w:rFonts w:ascii="仿宋" w:hAnsi="仿宋" w:eastAsia="仿宋"/>
                <w:i w:val="0"/>
                <w:iCs w:val="0"/>
                <w:color w:val="auto"/>
                <w:szCs w:val="21"/>
                <w:highlight w:val="none"/>
                <w:u w:val="single"/>
              </w:rPr>
              <w:t>符合</w:t>
            </w:r>
            <w:r>
              <w:rPr>
                <w:rFonts w:hint="eastAsia" w:ascii="仿宋" w:hAnsi="仿宋" w:eastAsia="仿宋"/>
                <w:i w:val="0"/>
                <w:iCs w:val="0"/>
                <w:color w:val="auto"/>
                <w:szCs w:val="21"/>
                <w:highlight w:val="none"/>
                <w:u w:val="single"/>
              </w:rPr>
              <w:t>投标承诺以及</w:t>
            </w:r>
            <w:r>
              <w:rPr>
                <w:rFonts w:ascii="仿宋" w:hAnsi="仿宋" w:eastAsia="仿宋"/>
                <w:i w:val="0"/>
                <w:iCs w:val="0"/>
                <w:color w:val="auto"/>
                <w:szCs w:val="21"/>
                <w:highlight w:val="none"/>
                <w:u w:val="single"/>
              </w:rPr>
              <w:t>国家</w:t>
            </w:r>
            <w:r>
              <w:rPr>
                <w:rFonts w:hint="eastAsia" w:ascii="仿宋" w:hAnsi="仿宋" w:eastAsia="仿宋"/>
                <w:i w:val="0"/>
                <w:iCs w:val="0"/>
                <w:color w:val="auto"/>
                <w:szCs w:val="21"/>
                <w:highlight w:val="none"/>
                <w:u w:val="single"/>
              </w:rPr>
              <w:t>、行业相关</w:t>
            </w:r>
            <w:r>
              <w:rPr>
                <w:rFonts w:ascii="仿宋" w:hAnsi="仿宋" w:eastAsia="仿宋"/>
                <w:i w:val="0"/>
                <w:iCs w:val="0"/>
                <w:color w:val="auto"/>
                <w:szCs w:val="21"/>
                <w:highlight w:val="none"/>
                <w:u w:val="single"/>
              </w:rPr>
              <w:t>技术规范与标准</w:t>
            </w:r>
            <w:r>
              <w:rPr>
                <w:rFonts w:hint="eastAsia" w:ascii="仿宋" w:hAnsi="仿宋" w:eastAsia="仿宋"/>
                <w:i w:val="0"/>
                <w:iCs w:val="0"/>
                <w:color w:val="auto"/>
                <w:szCs w:val="21"/>
                <w:highlight w:val="none"/>
              </w:rPr>
              <w:t>；</w:t>
            </w:r>
          </w:p>
          <w:p>
            <w:pPr>
              <w:spacing w:line="276" w:lineRule="auto"/>
              <w:jc w:val="left"/>
              <w:rPr>
                <w:rFonts w:ascii="仿宋" w:hAnsi="仿宋" w:eastAsia="仿宋"/>
                <w:color w:val="auto"/>
                <w:szCs w:val="21"/>
                <w:highlight w:val="none"/>
              </w:rPr>
            </w:pPr>
            <w:r>
              <w:rPr>
                <w:rFonts w:hint="eastAsia" w:ascii="仿宋" w:hAnsi="仿宋" w:eastAsia="仿宋"/>
                <w:i w:val="0"/>
                <w:iCs w:val="0"/>
                <w:color w:val="auto"/>
                <w:szCs w:val="21"/>
                <w:highlight w:val="none"/>
              </w:rPr>
              <w:t>（2）</w:t>
            </w:r>
            <w:r>
              <w:rPr>
                <w:rFonts w:ascii="仿宋" w:hAnsi="仿宋" w:eastAsia="仿宋"/>
                <w:i w:val="0"/>
                <w:iCs w:val="0"/>
                <w:color w:val="auto"/>
                <w:szCs w:val="21"/>
                <w:highlight w:val="none"/>
              </w:rPr>
              <w:t>本项目所有</w:t>
            </w:r>
            <w:r>
              <w:rPr>
                <w:rFonts w:hint="eastAsia" w:ascii="仿宋" w:hAnsi="仿宋" w:eastAsia="仿宋"/>
                <w:i w:val="0"/>
                <w:iCs w:val="0"/>
                <w:color w:val="auto"/>
                <w:szCs w:val="21"/>
                <w:highlight w:val="none"/>
              </w:rPr>
              <w:t>产品在安装调试过程中</w:t>
            </w:r>
            <w:r>
              <w:rPr>
                <w:rFonts w:ascii="仿宋" w:hAnsi="仿宋" w:eastAsia="仿宋"/>
                <w:i w:val="0"/>
                <w:iCs w:val="0"/>
                <w:color w:val="auto"/>
                <w:szCs w:val="21"/>
                <w:highlight w:val="none"/>
              </w:rPr>
              <w:t>涉及的所有工作及配件辅材均由中标</w:t>
            </w:r>
            <w:r>
              <w:rPr>
                <w:rFonts w:hint="eastAsia" w:ascii="仿宋" w:hAnsi="仿宋" w:eastAsia="仿宋"/>
                <w:i w:val="0"/>
                <w:iCs w:val="0"/>
                <w:color w:val="auto"/>
                <w:szCs w:val="21"/>
                <w:highlight w:val="none"/>
              </w:rPr>
              <w:t>人</w:t>
            </w:r>
            <w:r>
              <w:rPr>
                <w:rFonts w:ascii="仿宋" w:hAnsi="仿宋" w:eastAsia="仿宋"/>
                <w:i w:val="0"/>
                <w:iCs w:val="0"/>
                <w:color w:val="auto"/>
                <w:szCs w:val="21"/>
                <w:highlight w:val="none"/>
              </w:rPr>
              <w:t>负责，</w:t>
            </w:r>
            <w:r>
              <w:rPr>
                <w:rFonts w:hint="eastAsia" w:ascii="仿宋" w:hAnsi="仿宋" w:eastAsia="仿宋"/>
                <w:i w:val="0"/>
                <w:iCs w:val="0"/>
                <w:color w:val="auto"/>
                <w:szCs w:val="21"/>
                <w:highlight w:val="none"/>
              </w:rPr>
              <w:t>所需费用由投标人在报价时考虑</w:t>
            </w:r>
            <w:r>
              <w:rPr>
                <w:rFonts w:ascii="仿宋" w:hAnsi="仿宋" w:eastAsia="仿宋"/>
                <w:i w:val="0"/>
                <w:iCs w:val="0"/>
                <w:color w:val="auto"/>
                <w:szCs w:val="21"/>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lang w:eastAsia="zh-CN"/>
              </w:rPr>
              <w:t>履约</w:t>
            </w:r>
            <w:r>
              <w:rPr>
                <w:rFonts w:hint="eastAsia" w:ascii="仿宋" w:hAnsi="仿宋" w:eastAsia="仿宋" w:cs="Arial"/>
                <w:color w:val="auto"/>
                <w:szCs w:val="21"/>
                <w:highlight w:val="none"/>
              </w:rPr>
              <w:t>验收</w:t>
            </w:r>
          </w:p>
        </w:tc>
        <w:tc>
          <w:tcPr>
            <w:tcW w:w="5954" w:type="dxa"/>
            <w:shd w:val="clear" w:color="auto" w:fill="FFFFFF" w:themeFill="background1"/>
            <w:vAlign w:val="center"/>
          </w:tcPr>
          <w:p>
            <w:pPr>
              <w:spacing w:line="276" w:lineRule="auto"/>
              <w:rPr>
                <w:rFonts w:ascii="仿宋" w:hAnsi="仿宋" w:eastAsia="仿宋"/>
                <w:bCs/>
                <w:color w:val="auto"/>
                <w:szCs w:val="21"/>
                <w:highlight w:val="none"/>
              </w:rPr>
            </w:pPr>
            <w:r>
              <w:rPr>
                <w:rFonts w:hint="eastAsia" w:ascii="仿宋" w:hAnsi="仿宋" w:eastAsia="仿宋"/>
                <w:bCs/>
                <w:color w:val="auto"/>
                <w:szCs w:val="21"/>
                <w:highlight w:val="none"/>
              </w:rPr>
              <w:t>（1）本项目验收工作由采购人组织实施，验收工作在中标供应商项目实施完毕，经自验合格，提交验收申请后5个工作日内启动。</w:t>
            </w:r>
          </w:p>
          <w:p>
            <w:pPr>
              <w:spacing w:line="276" w:lineRule="auto"/>
              <w:rPr>
                <w:rFonts w:ascii="仿宋" w:hAnsi="仿宋" w:eastAsia="仿宋"/>
                <w:bCs/>
                <w:color w:val="auto"/>
                <w:szCs w:val="21"/>
                <w:highlight w:val="none"/>
              </w:rPr>
            </w:pPr>
            <w:r>
              <w:rPr>
                <w:rFonts w:hint="eastAsia" w:ascii="仿宋" w:hAnsi="仿宋" w:eastAsia="仿宋"/>
                <w:bCs/>
                <w:color w:val="auto"/>
                <w:szCs w:val="21"/>
                <w:highlight w:val="none"/>
              </w:rPr>
              <w:t>（2）验收符合质量要求，验收合格。</w:t>
            </w:r>
          </w:p>
          <w:p>
            <w:pPr>
              <w:spacing w:line="276" w:lineRule="auto"/>
              <w:rPr>
                <w:rFonts w:ascii="仿宋" w:hAnsi="仿宋" w:eastAsia="仿宋"/>
                <w:b/>
                <w:color w:val="auto"/>
                <w:szCs w:val="21"/>
                <w:highlight w:val="none"/>
              </w:rPr>
            </w:pPr>
            <w:r>
              <w:rPr>
                <w:rFonts w:hint="eastAsia" w:ascii="仿宋" w:hAnsi="仿宋" w:eastAsia="仿宋"/>
                <w:bCs/>
                <w:color w:val="auto"/>
                <w:szCs w:val="21"/>
                <w:highlight w:val="none"/>
              </w:rPr>
              <w:t>（3）其他要求见合同。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ascii="仿宋" w:hAnsi="仿宋" w:eastAsia="仿宋" w:cs="Arial"/>
                <w:color w:val="auto"/>
                <w:szCs w:val="21"/>
                <w:highlight w:val="none"/>
              </w:rPr>
              <w:t>▲</w:t>
            </w:r>
            <w:r>
              <w:rPr>
                <w:rFonts w:hint="eastAsia" w:ascii="仿宋" w:hAnsi="仿宋" w:eastAsia="仿宋" w:cs="Arial"/>
                <w:b/>
                <w:color w:val="auto"/>
                <w:szCs w:val="21"/>
                <w:highlight w:val="none"/>
              </w:rPr>
              <w:t>质量要求</w:t>
            </w:r>
          </w:p>
        </w:tc>
        <w:tc>
          <w:tcPr>
            <w:tcW w:w="5954" w:type="dxa"/>
            <w:shd w:val="clear" w:color="auto" w:fill="FFFFFF" w:themeFill="background1"/>
            <w:vAlign w:val="center"/>
          </w:tcPr>
          <w:p>
            <w:pPr>
              <w:spacing w:line="276" w:lineRule="auto"/>
              <w:jc w:val="left"/>
              <w:rPr>
                <w:rFonts w:ascii="仿宋" w:hAnsi="仿宋" w:eastAsia="仿宋" w:cs="Arial"/>
                <w:color w:val="auto"/>
                <w:szCs w:val="21"/>
                <w:highlight w:val="none"/>
              </w:rPr>
            </w:pPr>
            <w:r>
              <w:rPr>
                <w:rFonts w:hint="eastAsia" w:ascii="仿宋" w:hAnsi="仿宋" w:eastAsia="仿宋" w:cs="Arial"/>
                <w:b/>
                <w:color w:val="auto"/>
                <w:szCs w:val="21"/>
                <w:highlight w:val="none"/>
              </w:rPr>
              <w:t>合格</w:t>
            </w:r>
            <w:r>
              <w:rPr>
                <w:rFonts w:hint="eastAsia" w:ascii="仿宋" w:hAnsi="仿宋" w:eastAsia="仿宋" w:cs="Arial"/>
                <w:color w:val="auto"/>
                <w:szCs w:val="21"/>
                <w:highlight w:val="none"/>
              </w:rPr>
              <w:t>（符合投标承诺以及</w:t>
            </w:r>
            <w:r>
              <w:rPr>
                <w:rFonts w:ascii="仿宋" w:hAnsi="仿宋" w:eastAsia="仿宋" w:cs="Arial"/>
                <w:color w:val="auto"/>
                <w:szCs w:val="21"/>
                <w:highlight w:val="none"/>
              </w:rPr>
              <w:t>国家</w:t>
            </w:r>
            <w:r>
              <w:rPr>
                <w:rFonts w:hint="eastAsia" w:ascii="仿宋" w:hAnsi="仿宋" w:eastAsia="仿宋" w:cs="Arial"/>
                <w:color w:val="auto"/>
                <w:szCs w:val="21"/>
                <w:highlight w:val="none"/>
              </w:rPr>
              <w:t>、行业</w:t>
            </w:r>
            <w:r>
              <w:rPr>
                <w:rFonts w:ascii="仿宋" w:hAnsi="仿宋" w:eastAsia="仿宋" w:cs="Arial"/>
                <w:color w:val="auto"/>
                <w:szCs w:val="21"/>
                <w:highlight w:val="none"/>
              </w:rPr>
              <w:t>有关技术规范和标准</w:t>
            </w:r>
            <w:r>
              <w:rPr>
                <w:rFonts w:hint="eastAsia" w:ascii="仿宋" w:hAnsi="仿宋" w:eastAsia="仿宋" w:cs="Arial"/>
                <w:color w:val="auto"/>
                <w:szCs w:val="21"/>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技术</w:t>
            </w:r>
            <w:r>
              <w:rPr>
                <w:rFonts w:ascii="仿宋" w:hAnsi="仿宋" w:eastAsia="仿宋" w:cs="Arial"/>
                <w:color w:val="auto"/>
                <w:szCs w:val="21"/>
                <w:highlight w:val="none"/>
              </w:rPr>
              <w:t>培训</w:t>
            </w:r>
          </w:p>
        </w:tc>
        <w:tc>
          <w:tcPr>
            <w:tcW w:w="5954" w:type="dxa"/>
            <w:shd w:val="clear" w:color="auto" w:fill="FFFFFF" w:themeFill="background1"/>
            <w:vAlign w:val="center"/>
          </w:tcPr>
          <w:p>
            <w:pPr>
              <w:spacing w:line="276" w:lineRule="auto"/>
              <w:rPr>
                <w:rFonts w:ascii="仿宋" w:hAnsi="仿宋" w:eastAsia="仿宋"/>
                <w:color w:val="auto"/>
                <w:szCs w:val="21"/>
                <w:highlight w:val="none"/>
              </w:rPr>
            </w:pPr>
            <w:r>
              <w:rPr>
                <w:rFonts w:hint="eastAsia" w:ascii="仿宋" w:hAnsi="仿宋" w:eastAsia="仿宋" w:cs="Arial"/>
                <w:color w:val="auto"/>
                <w:szCs w:val="21"/>
                <w:highlight w:val="none"/>
              </w:rPr>
              <w:t>培训</w:t>
            </w:r>
            <w:r>
              <w:rPr>
                <w:rFonts w:ascii="仿宋" w:hAnsi="仿宋" w:eastAsia="仿宋" w:cs="Arial"/>
                <w:color w:val="auto"/>
                <w:szCs w:val="21"/>
                <w:highlight w:val="none"/>
              </w:rPr>
              <w:t>内容包括产品的功能、操作、日常维护、一般故障处理</w:t>
            </w:r>
            <w:r>
              <w:rPr>
                <w:rFonts w:hint="eastAsia" w:ascii="仿宋" w:hAnsi="仿宋" w:eastAsia="仿宋" w:cs="Arial"/>
                <w:color w:val="auto"/>
                <w:szCs w:val="21"/>
                <w:highlight w:val="none"/>
              </w:rPr>
              <w:t>、设备管理</w:t>
            </w:r>
            <w:r>
              <w:rPr>
                <w:rFonts w:ascii="仿宋" w:hAnsi="仿宋" w:eastAsia="仿宋" w:cs="Arial"/>
                <w:color w:val="auto"/>
                <w:szCs w:val="21"/>
                <w:highlight w:val="none"/>
              </w:rPr>
              <w:t>等内容</w:t>
            </w:r>
            <w:r>
              <w:rPr>
                <w:rFonts w:hint="eastAsia" w:ascii="仿宋" w:hAnsi="仿宋" w:eastAsia="仿宋" w:cs="Arial"/>
                <w:color w:val="auto"/>
                <w:szCs w:val="21"/>
                <w:highlight w:val="none"/>
              </w:rPr>
              <w:t>，直至采购人使用人员熟练操作为止。</w:t>
            </w:r>
            <w:r>
              <w:rPr>
                <w:rFonts w:ascii="仿宋" w:hAnsi="仿宋" w:eastAsia="仿宋" w:cs="Arial"/>
                <w:color w:val="auto"/>
                <w:szCs w:val="21"/>
                <w:highlight w:val="none"/>
              </w:rPr>
              <w:t>培训涉及的所有费用由中标人承担。</w:t>
            </w:r>
            <w:r>
              <w:rPr>
                <w:rFonts w:hint="eastAsia" w:ascii="仿宋" w:hAnsi="仿宋" w:eastAsia="仿宋" w:cs="Arial"/>
                <w:b/>
                <w:color w:val="auto"/>
                <w:szCs w:val="21"/>
                <w:highlight w:val="none"/>
              </w:rPr>
              <w:t>具体培训方案请在投标文件中明确说明。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701" w:type="dxa"/>
            <w:shd w:val="clear" w:color="auto" w:fill="FFFFFF" w:themeFill="background1"/>
            <w:vAlign w:val="center"/>
          </w:tcPr>
          <w:p>
            <w:pPr>
              <w:spacing w:line="276" w:lineRule="auto"/>
              <w:jc w:val="center"/>
              <w:rPr>
                <w:rFonts w:ascii="仿宋" w:hAnsi="仿宋" w:eastAsia="仿宋" w:cs="Arial"/>
                <w:color w:val="auto"/>
                <w:szCs w:val="21"/>
                <w:highlight w:val="none"/>
              </w:rPr>
            </w:pPr>
            <w:r>
              <w:rPr>
                <w:rFonts w:ascii="仿宋" w:hAnsi="仿宋" w:eastAsia="仿宋" w:cs="Arial"/>
                <w:color w:val="auto"/>
                <w:szCs w:val="21"/>
                <w:highlight w:val="none"/>
              </w:rPr>
              <w:t>售后服务</w:t>
            </w:r>
          </w:p>
        </w:tc>
        <w:tc>
          <w:tcPr>
            <w:tcW w:w="5954" w:type="dxa"/>
            <w:shd w:val="clear" w:color="auto" w:fill="FFFFFF" w:themeFill="background1"/>
            <w:vAlign w:val="center"/>
          </w:tcPr>
          <w:p>
            <w:pPr>
              <w:spacing w:line="276" w:lineRule="auto"/>
              <w:rPr>
                <w:rFonts w:ascii="仿宋" w:hAnsi="仿宋" w:eastAsia="仿宋"/>
                <w:i w:val="0"/>
                <w:iCs w:val="0"/>
                <w:color w:val="auto"/>
                <w:szCs w:val="21"/>
                <w:highlight w:val="none"/>
              </w:rPr>
            </w:pPr>
            <w:r>
              <w:rPr>
                <w:rFonts w:hint="eastAsia" w:ascii="仿宋" w:hAnsi="仿宋" w:eastAsia="仿宋"/>
                <w:i w:val="0"/>
                <w:iCs w:val="0"/>
                <w:color w:val="auto"/>
                <w:szCs w:val="21"/>
                <w:highlight w:val="none"/>
              </w:rPr>
              <w:t>（1）▲</w:t>
            </w:r>
            <w:r>
              <w:rPr>
                <w:rFonts w:hint="eastAsia" w:ascii="仿宋" w:hAnsi="仿宋" w:eastAsia="仿宋"/>
                <w:b/>
                <w:i w:val="0"/>
                <w:iCs w:val="0"/>
                <w:color w:val="auto"/>
                <w:szCs w:val="21"/>
                <w:highlight w:val="none"/>
              </w:rPr>
              <w:t>质保期（自交付验收合格之日起计）：</w:t>
            </w:r>
            <w:r>
              <w:rPr>
                <w:rFonts w:ascii="仿宋" w:hAnsi="仿宋" w:eastAsia="仿宋"/>
                <w:b/>
                <w:i w:val="0"/>
                <w:iCs w:val="0"/>
                <w:color w:val="auto"/>
                <w:szCs w:val="21"/>
                <w:highlight w:val="none"/>
                <w:u w:val="single"/>
              </w:rPr>
              <w:t>3</w:t>
            </w:r>
            <w:r>
              <w:rPr>
                <w:rFonts w:hint="eastAsia" w:ascii="仿宋" w:hAnsi="仿宋" w:eastAsia="仿宋"/>
                <w:b/>
                <w:i w:val="0"/>
                <w:iCs w:val="0"/>
                <w:color w:val="auto"/>
                <w:szCs w:val="21"/>
                <w:highlight w:val="none"/>
                <w:u w:val="single"/>
              </w:rPr>
              <w:t>年。需要提供</w:t>
            </w:r>
            <w:r>
              <w:rPr>
                <w:rFonts w:hint="eastAsia" w:ascii="仿宋" w:hAnsi="仿宋" w:eastAsia="仿宋"/>
                <w:b/>
                <w:i w:val="0"/>
                <w:iCs w:val="0"/>
                <w:color w:val="auto"/>
                <w:szCs w:val="21"/>
                <w:highlight w:val="none"/>
                <w:u w:val="single"/>
                <w:lang w:val="en-US" w:eastAsia="zh-CN"/>
              </w:rPr>
              <w:t>主要产品</w:t>
            </w:r>
            <w:r>
              <w:rPr>
                <w:rFonts w:hint="eastAsia" w:ascii="仿宋" w:hAnsi="仿宋" w:eastAsia="仿宋"/>
                <w:b/>
                <w:i w:val="0"/>
                <w:iCs w:val="0"/>
                <w:color w:val="auto"/>
                <w:szCs w:val="21"/>
                <w:highlight w:val="none"/>
                <w:u w:val="single"/>
              </w:rPr>
              <w:t>原厂质保函（1、大屏；2、网络系统；3、公文签印安全管控高速输出设备；4、数字化档案室；5、听证室；6、检委会会议室；7、上城检察工作网网站信创改造；8、办案工作区；9、监控、门禁、闸机、考勤系统。）</w:t>
            </w:r>
          </w:p>
          <w:p>
            <w:pPr>
              <w:spacing w:line="276" w:lineRule="auto"/>
              <w:rPr>
                <w:rFonts w:ascii="仿宋" w:hAnsi="仿宋" w:eastAsia="仿宋"/>
                <w:color w:val="auto"/>
                <w:szCs w:val="21"/>
                <w:highlight w:val="none"/>
              </w:rPr>
            </w:pPr>
            <w:r>
              <w:rPr>
                <w:rFonts w:hint="eastAsia" w:ascii="仿宋" w:hAnsi="仿宋" w:eastAsia="仿宋" w:cs="Arial"/>
                <w:color w:val="auto"/>
                <w:szCs w:val="21"/>
                <w:highlight w:val="none"/>
              </w:rPr>
              <w:t>（2）</w:t>
            </w:r>
            <w:r>
              <w:rPr>
                <w:rFonts w:hint="eastAsia" w:ascii="仿宋" w:hAnsi="仿宋" w:eastAsia="仿宋"/>
                <w:bCs/>
                <w:color w:val="auto"/>
                <w:szCs w:val="21"/>
                <w:highlight w:val="none"/>
              </w:rPr>
              <w:t>质保期内中标人应提供7×24小时技术服务，并预备充足的备品备件（不小于1%），满足日常维修需求；</w:t>
            </w:r>
          </w:p>
          <w:p>
            <w:pPr>
              <w:spacing w:line="276" w:lineRule="auto"/>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w:t>
            </w:r>
            <w:r>
              <w:rPr>
                <w:rFonts w:ascii="仿宋" w:hAnsi="仿宋" w:eastAsia="仿宋"/>
                <w:color w:val="auto"/>
                <w:szCs w:val="21"/>
                <w:highlight w:val="none"/>
              </w:rPr>
              <w:t>质保期内因</w:t>
            </w:r>
            <w:r>
              <w:rPr>
                <w:rFonts w:hint="eastAsia" w:ascii="仿宋" w:hAnsi="仿宋" w:eastAsia="仿宋"/>
                <w:color w:val="auto"/>
                <w:szCs w:val="21"/>
                <w:highlight w:val="none"/>
              </w:rPr>
              <w:t>产品</w:t>
            </w:r>
            <w:r>
              <w:rPr>
                <w:rFonts w:ascii="仿宋" w:hAnsi="仿宋" w:eastAsia="仿宋"/>
                <w:color w:val="auto"/>
                <w:szCs w:val="21"/>
                <w:highlight w:val="none"/>
              </w:rPr>
              <w:t>本身缺陷造成各种故障应由</w:t>
            </w:r>
            <w:r>
              <w:rPr>
                <w:rFonts w:hint="eastAsia" w:ascii="仿宋" w:hAnsi="仿宋" w:eastAsia="仿宋"/>
                <w:bCs/>
                <w:color w:val="auto"/>
                <w:szCs w:val="21"/>
                <w:highlight w:val="none"/>
              </w:rPr>
              <w:t>中标供应商</w:t>
            </w:r>
            <w:r>
              <w:rPr>
                <w:rFonts w:ascii="仿宋" w:hAnsi="仿宋" w:eastAsia="仿宋"/>
                <w:color w:val="auto"/>
                <w:szCs w:val="21"/>
                <w:highlight w:val="none"/>
              </w:rPr>
              <w:t>免费维修，并在《投标文件》中说明在保质期内提供的服务计划。在</w:t>
            </w:r>
            <w:r>
              <w:rPr>
                <w:rFonts w:hint="eastAsia" w:ascii="仿宋" w:hAnsi="仿宋" w:eastAsia="仿宋"/>
                <w:color w:val="auto"/>
                <w:szCs w:val="21"/>
                <w:highlight w:val="none"/>
              </w:rPr>
              <w:t>产品</w:t>
            </w:r>
            <w:r>
              <w:rPr>
                <w:rFonts w:ascii="仿宋" w:hAnsi="仿宋" w:eastAsia="仿宋"/>
                <w:color w:val="auto"/>
                <w:szCs w:val="21"/>
                <w:highlight w:val="none"/>
              </w:rPr>
              <w:t>整个使用期内，</w:t>
            </w:r>
            <w:r>
              <w:rPr>
                <w:rFonts w:hint="eastAsia" w:ascii="仿宋" w:hAnsi="仿宋" w:eastAsia="仿宋"/>
                <w:bCs/>
                <w:color w:val="auto"/>
                <w:szCs w:val="21"/>
                <w:highlight w:val="none"/>
              </w:rPr>
              <w:t>中标供应商</w:t>
            </w:r>
            <w:r>
              <w:rPr>
                <w:rFonts w:ascii="仿宋" w:hAnsi="仿宋" w:eastAsia="仿宋"/>
                <w:color w:val="auto"/>
                <w:szCs w:val="21"/>
                <w:highlight w:val="none"/>
              </w:rPr>
              <w:t>应确保</w:t>
            </w:r>
            <w:r>
              <w:rPr>
                <w:rFonts w:hint="eastAsia" w:ascii="仿宋" w:hAnsi="仿宋" w:eastAsia="仿宋"/>
                <w:color w:val="auto"/>
                <w:szCs w:val="21"/>
                <w:highlight w:val="none"/>
              </w:rPr>
              <w:t>货物</w:t>
            </w:r>
            <w:r>
              <w:rPr>
                <w:rFonts w:ascii="仿宋" w:hAnsi="仿宋" w:eastAsia="仿宋"/>
                <w:color w:val="auto"/>
                <w:szCs w:val="21"/>
                <w:highlight w:val="none"/>
              </w:rPr>
              <w:t>的正常使用。在接到</w:t>
            </w:r>
            <w:r>
              <w:rPr>
                <w:rFonts w:hint="eastAsia" w:ascii="仿宋" w:hAnsi="仿宋" w:eastAsia="仿宋"/>
                <w:color w:val="auto"/>
                <w:szCs w:val="21"/>
                <w:highlight w:val="none"/>
              </w:rPr>
              <w:t>采购人</w:t>
            </w:r>
            <w:r>
              <w:rPr>
                <w:rFonts w:ascii="仿宋" w:hAnsi="仿宋" w:eastAsia="仿宋"/>
                <w:color w:val="auto"/>
                <w:szCs w:val="21"/>
                <w:highlight w:val="none"/>
              </w:rPr>
              <w:t>维修要求后</w:t>
            </w:r>
            <w:r>
              <w:rPr>
                <w:rFonts w:hint="eastAsia" w:ascii="仿宋" w:hAnsi="仿宋" w:eastAsia="仿宋"/>
                <w:b/>
                <w:i w:val="0"/>
                <w:iCs/>
                <w:color w:val="auto"/>
                <w:szCs w:val="21"/>
                <w:highlight w:val="none"/>
                <w:u w:val="single"/>
              </w:rPr>
              <w:t>30分钟</w:t>
            </w:r>
            <w:r>
              <w:rPr>
                <w:rFonts w:ascii="仿宋" w:hAnsi="仿宋" w:eastAsia="仿宋"/>
                <w:i w:val="0"/>
                <w:iCs/>
                <w:color w:val="auto"/>
                <w:szCs w:val="21"/>
                <w:highlight w:val="none"/>
              </w:rPr>
              <w:t>内作出响应，</w:t>
            </w:r>
            <w:r>
              <w:rPr>
                <w:rFonts w:hint="eastAsia" w:ascii="仿宋" w:hAnsi="仿宋" w:eastAsia="仿宋"/>
                <w:b/>
                <w:i w:val="0"/>
                <w:iCs/>
                <w:color w:val="auto"/>
                <w:szCs w:val="21"/>
                <w:highlight w:val="none"/>
                <w:u w:val="single"/>
              </w:rPr>
              <w:t>4小时</w:t>
            </w:r>
            <w:r>
              <w:rPr>
                <w:rFonts w:hint="eastAsia" w:ascii="仿宋" w:hAnsi="仿宋" w:eastAsia="仿宋"/>
                <w:i w:val="0"/>
                <w:iCs/>
                <w:color w:val="auto"/>
                <w:szCs w:val="21"/>
                <w:highlight w:val="none"/>
              </w:rPr>
              <w:t>到</w:t>
            </w:r>
            <w:r>
              <w:rPr>
                <w:rFonts w:hint="eastAsia" w:ascii="仿宋" w:hAnsi="仿宋" w:eastAsia="仿宋"/>
                <w:color w:val="auto"/>
                <w:szCs w:val="21"/>
                <w:highlight w:val="none"/>
              </w:rPr>
              <w:t>达现场处置，24</w:t>
            </w:r>
            <w:r>
              <w:rPr>
                <w:rFonts w:ascii="仿宋" w:hAnsi="仿宋" w:eastAsia="仿宋"/>
                <w:color w:val="auto"/>
                <w:szCs w:val="21"/>
                <w:highlight w:val="none"/>
              </w:rPr>
              <w:t>小时内修复</w:t>
            </w:r>
            <w:r>
              <w:rPr>
                <w:rFonts w:hint="eastAsia" w:ascii="仿宋" w:hAnsi="仿宋" w:eastAsia="仿宋"/>
                <w:color w:val="auto"/>
                <w:szCs w:val="21"/>
                <w:highlight w:val="none"/>
              </w:rPr>
              <w:t>，</w:t>
            </w:r>
            <w:r>
              <w:rPr>
                <w:rFonts w:ascii="仿宋" w:hAnsi="仿宋" w:eastAsia="仿宋"/>
                <w:color w:val="auto"/>
                <w:szCs w:val="21"/>
                <w:highlight w:val="none"/>
              </w:rPr>
              <w:t>若不能修复，则需要免费提供后备或替代</w:t>
            </w:r>
            <w:r>
              <w:rPr>
                <w:rFonts w:hint="eastAsia" w:ascii="仿宋" w:hAnsi="仿宋" w:eastAsia="仿宋"/>
                <w:color w:val="auto"/>
                <w:szCs w:val="21"/>
                <w:highlight w:val="none"/>
              </w:rPr>
              <w:t>产品</w:t>
            </w:r>
            <w:r>
              <w:rPr>
                <w:rFonts w:ascii="仿宋" w:hAnsi="仿宋" w:eastAsia="仿宋"/>
                <w:color w:val="auto"/>
                <w:szCs w:val="21"/>
                <w:highlight w:val="none"/>
              </w:rPr>
              <w:t>，以保证</w:t>
            </w:r>
            <w:r>
              <w:rPr>
                <w:rFonts w:hint="eastAsia" w:ascii="仿宋" w:hAnsi="仿宋" w:eastAsia="仿宋"/>
                <w:color w:val="auto"/>
                <w:szCs w:val="21"/>
                <w:highlight w:val="none"/>
              </w:rPr>
              <w:t>采购人方</w:t>
            </w:r>
            <w:r>
              <w:rPr>
                <w:rFonts w:ascii="仿宋" w:hAnsi="仿宋" w:eastAsia="仿宋"/>
                <w:color w:val="auto"/>
                <w:szCs w:val="21"/>
                <w:highlight w:val="none"/>
              </w:rPr>
              <w:t>正常的</w:t>
            </w:r>
            <w:r>
              <w:rPr>
                <w:rFonts w:hint="eastAsia" w:ascii="仿宋" w:hAnsi="仿宋" w:eastAsia="仿宋"/>
                <w:color w:val="auto"/>
                <w:szCs w:val="21"/>
                <w:highlight w:val="none"/>
              </w:rPr>
              <w:t>使用。</w:t>
            </w:r>
          </w:p>
          <w:p>
            <w:pPr>
              <w:spacing w:line="276" w:lineRule="auto"/>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w:t>
            </w:r>
            <w:r>
              <w:rPr>
                <w:rFonts w:ascii="仿宋" w:hAnsi="仿宋" w:eastAsia="仿宋"/>
                <w:color w:val="auto"/>
                <w:szCs w:val="21"/>
                <w:highlight w:val="none"/>
              </w:rPr>
              <w:t>投标</w:t>
            </w:r>
            <w:r>
              <w:rPr>
                <w:rFonts w:hint="eastAsia" w:ascii="仿宋" w:hAnsi="仿宋" w:eastAsia="仿宋"/>
                <w:bCs/>
                <w:color w:val="auto"/>
                <w:szCs w:val="21"/>
                <w:highlight w:val="none"/>
              </w:rPr>
              <w:t>人在投标时</w:t>
            </w:r>
            <w:r>
              <w:rPr>
                <w:rFonts w:ascii="仿宋" w:hAnsi="仿宋" w:eastAsia="仿宋"/>
                <w:color w:val="auto"/>
                <w:szCs w:val="21"/>
                <w:highlight w:val="none"/>
              </w:rPr>
              <w:t>应提供质保期后的服务计划或建议，明确收费事项及标准，保修后免费维修。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83" w:hRule="atLeast"/>
        </w:trPr>
        <w:tc>
          <w:tcPr>
            <w:tcW w:w="817" w:type="dxa"/>
            <w:vMerge w:val="restart"/>
            <w:shd w:val="clear" w:color="auto" w:fill="FFFFFF" w:themeFill="background1"/>
            <w:vAlign w:val="center"/>
          </w:tcPr>
          <w:p>
            <w:pPr>
              <w:spacing w:line="276" w:lineRule="auto"/>
              <w:jc w:val="center"/>
              <w:rPr>
                <w:rFonts w:ascii="仿宋" w:hAnsi="仿宋" w:eastAsia="仿宋" w:cs="Arial"/>
                <w:color w:val="auto"/>
                <w:szCs w:val="21"/>
                <w:highlight w:val="none"/>
              </w:rPr>
            </w:pPr>
            <w:bookmarkStart w:id="29" w:name="_Toc138673015"/>
            <w:r>
              <w:rPr>
                <w:rFonts w:hint="eastAsia" w:ascii="仿宋" w:hAnsi="仿宋" w:eastAsia="仿宋" w:cs="Arial"/>
                <w:color w:val="auto"/>
                <w:szCs w:val="21"/>
                <w:highlight w:val="none"/>
              </w:rPr>
              <w:t>8</w:t>
            </w:r>
          </w:p>
        </w:tc>
        <w:tc>
          <w:tcPr>
            <w:tcW w:w="1701" w:type="dxa"/>
            <w:vMerge w:val="restart"/>
            <w:shd w:val="clear" w:color="auto" w:fill="FFFFFF" w:themeFill="background1"/>
            <w:vAlign w:val="center"/>
          </w:tcPr>
          <w:p>
            <w:pPr>
              <w:spacing w:line="276" w:lineRule="auto"/>
              <w:jc w:val="center"/>
              <w:rPr>
                <w:rFonts w:hint="eastAsia" w:ascii="仿宋" w:hAnsi="仿宋" w:eastAsia="仿宋" w:cs="Arial"/>
                <w:color w:val="auto"/>
                <w:szCs w:val="21"/>
                <w:highlight w:val="none"/>
                <w:lang w:eastAsia="zh-CN"/>
              </w:rPr>
            </w:pPr>
            <w:r>
              <w:rPr>
                <w:rFonts w:hint="eastAsia" w:ascii="仿宋" w:hAnsi="仿宋" w:eastAsia="仿宋" w:cs="Arial"/>
                <w:b/>
                <w:bCs/>
                <w:color w:val="auto"/>
                <w:szCs w:val="21"/>
                <w:highlight w:val="none"/>
                <w:lang w:eastAsia="zh-CN"/>
              </w:rPr>
              <w:t>特别规定与说明</w:t>
            </w:r>
          </w:p>
        </w:tc>
        <w:tc>
          <w:tcPr>
            <w:tcW w:w="5954" w:type="dxa"/>
            <w:shd w:val="clear" w:color="auto" w:fill="FFFFFF" w:themeFill="background1"/>
            <w:vAlign w:val="center"/>
          </w:tcPr>
          <w:p>
            <w:pPr>
              <w:spacing w:line="276" w:lineRule="auto"/>
              <w:rPr>
                <w:rFonts w:ascii="仿宋" w:hAnsi="仿宋" w:eastAsia="仿宋"/>
                <w:color w:val="auto"/>
                <w:szCs w:val="21"/>
                <w:highlight w:val="none"/>
              </w:rPr>
            </w:pPr>
            <w:r>
              <w:rPr>
                <w:rFonts w:hint="eastAsia" w:ascii="仿宋" w:hAnsi="仿宋" w:eastAsia="仿宋" w:cs="仿宋_GB2312"/>
                <w:b/>
                <w:color w:val="auto"/>
                <w:szCs w:val="21"/>
                <w:highlight w:val="none"/>
              </w:rPr>
              <w:t>本项目单独一个标项，</w:t>
            </w:r>
            <w:r>
              <w:rPr>
                <w:rFonts w:hint="eastAsia" w:ascii="仿宋" w:hAnsi="仿宋" w:eastAsia="仿宋"/>
                <w:b/>
                <w:color w:val="auto"/>
                <w:szCs w:val="21"/>
                <w:highlight w:val="none"/>
              </w:rPr>
              <w:t>标项是最小投标单位，投标人必须对标项内的所有内容发起投标响应。</w:t>
            </w:r>
            <w:r>
              <w:rPr>
                <w:rFonts w:hint="eastAsia" w:ascii="仿宋" w:hAnsi="仿宋" w:eastAsia="仿宋" w:cs="仿宋_GB2312"/>
                <w:b/>
                <w:color w:val="auto"/>
                <w:szCs w:val="21"/>
                <w:highlight w:val="none"/>
              </w:rPr>
              <w:t>▲</w:t>
            </w:r>
            <w:r>
              <w:rPr>
                <w:rFonts w:hint="eastAsia" w:ascii="仿宋" w:hAnsi="仿宋" w:eastAsia="仿宋"/>
                <w:b/>
                <w:color w:val="auto"/>
                <w:szCs w:val="21"/>
                <w:highlight w:val="none"/>
                <w:u w:val="single"/>
              </w:rPr>
              <w:t>投标时，核心产品缺漏的视为没有实质性响应招标要求作无效标处理；非核心产品缺漏的，视为“未响应”按负偏离处理，如中标，须自行如数补齐并承担相应后果</w:t>
            </w:r>
            <w:r>
              <w:rPr>
                <w:rFonts w:hint="eastAsia" w:ascii="仿宋" w:hAnsi="仿宋" w:eastAsia="仿宋"/>
                <w:b/>
                <w:color w:val="auto"/>
                <w:szCs w:val="21"/>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83" w:hRule="atLeast"/>
        </w:trPr>
        <w:tc>
          <w:tcPr>
            <w:tcW w:w="817"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1701"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5954" w:type="dxa"/>
            <w:shd w:val="clear" w:color="auto" w:fill="FFFFFF" w:themeFill="background1"/>
            <w:vAlign w:val="center"/>
          </w:tcPr>
          <w:p>
            <w:pPr>
              <w:spacing w:line="276" w:lineRule="auto"/>
              <w:rPr>
                <w:rFonts w:hint="eastAsia" w:ascii="仿宋" w:hAnsi="仿宋" w:eastAsia="仿宋"/>
                <w:color w:val="auto"/>
                <w:szCs w:val="21"/>
                <w:highlight w:val="none"/>
              </w:rPr>
            </w:pPr>
            <w:r>
              <w:rPr>
                <w:rFonts w:hint="eastAsia" w:ascii="仿宋" w:hAnsi="仿宋" w:eastAsia="仿宋" w:cs="Arial"/>
                <w:b/>
                <w:color w:val="auto"/>
                <w:szCs w:val="21"/>
                <w:highlight w:val="none"/>
                <w:u w:val="single"/>
              </w:rPr>
              <w:t>投标响应前后矛盾导致</w:t>
            </w:r>
            <w:r>
              <w:rPr>
                <w:rFonts w:hint="eastAsia" w:ascii="仿宋" w:hAnsi="仿宋" w:eastAsia="仿宋" w:cs="Arial"/>
                <w:b/>
                <w:bCs/>
                <w:color w:val="auto"/>
                <w:szCs w:val="21"/>
                <w:highlight w:val="none"/>
                <w:u w:val="single"/>
              </w:rPr>
              <w:t>评标委员会有疑问的，评标委员会认为必要时可以要求投标人在规定的时间（30分钟）内提供相关技术证明材料，投标人不能按时提供相关技术证明材料的视为“未响应”作负偏离处理</w:t>
            </w:r>
            <w:r>
              <w:rPr>
                <w:rFonts w:hint="eastAsia" w:ascii="仿宋" w:hAnsi="仿宋" w:eastAsia="仿宋" w:cs="Arial"/>
                <w:b/>
                <w:bCs/>
                <w:color w:val="auto"/>
                <w:szCs w:val="21"/>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83" w:hRule="atLeast"/>
        </w:trPr>
        <w:tc>
          <w:tcPr>
            <w:tcW w:w="817"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1701"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5954" w:type="dxa"/>
            <w:shd w:val="clear" w:color="auto" w:fill="FFFFFF" w:themeFill="background1"/>
            <w:vAlign w:val="center"/>
          </w:tcPr>
          <w:p>
            <w:pPr>
              <w:spacing w:line="276" w:lineRule="auto"/>
              <w:rPr>
                <w:rFonts w:hint="eastAsia" w:ascii="仿宋" w:hAnsi="仿宋" w:eastAsia="仿宋"/>
                <w:color w:val="auto"/>
                <w:szCs w:val="21"/>
                <w:highlight w:val="none"/>
              </w:rPr>
            </w:pPr>
            <w:r>
              <w:rPr>
                <w:rFonts w:hint="eastAsia" w:ascii="仿宋" w:hAnsi="仿宋" w:eastAsia="仿宋"/>
                <w:b/>
                <w:color w:val="auto"/>
                <w:szCs w:val="21"/>
                <w:highlight w:val="non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83" w:hRule="atLeast"/>
        </w:trPr>
        <w:tc>
          <w:tcPr>
            <w:tcW w:w="817"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1701" w:type="dxa"/>
            <w:vMerge w:val="continue"/>
            <w:shd w:val="clear" w:color="auto" w:fill="FFFFFF" w:themeFill="background1"/>
            <w:vAlign w:val="center"/>
          </w:tcPr>
          <w:p>
            <w:pPr>
              <w:spacing w:line="276" w:lineRule="auto"/>
              <w:jc w:val="center"/>
              <w:rPr>
                <w:rFonts w:hint="eastAsia" w:ascii="仿宋" w:hAnsi="仿宋" w:eastAsia="仿宋" w:cs="Arial"/>
                <w:color w:val="auto"/>
                <w:szCs w:val="21"/>
                <w:highlight w:val="none"/>
              </w:rPr>
            </w:pPr>
          </w:p>
        </w:tc>
        <w:tc>
          <w:tcPr>
            <w:tcW w:w="5954" w:type="dxa"/>
            <w:shd w:val="clear" w:color="auto" w:fill="FFFFFF" w:themeFill="background1"/>
            <w:vAlign w:val="center"/>
          </w:tcPr>
          <w:p>
            <w:pPr>
              <w:spacing w:line="276" w:lineRule="auto"/>
              <w:rPr>
                <w:rFonts w:hint="eastAsia" w:ascii="仿宋" w:hAnsi="仿宋" w:eastAsia="仿宋"/>
                <w:b/>
                <w:color w:val="auto"/>
                <w:szCs w:val="21"/>
                <w:highlight w:val="none"/>
              </w:rPr>
            </w:pPr>
            <w:r>
              <w:rPr>
                <w:rFonts w:hint="eastAsia" w:ascii="仿宋" w:hAnsi="仿宋" w:eastAsia="仿宋"/>
                <w:bCs/>
                <w:color w:val="auto"/>
                <w:szCs w:val="21"/>
                <w:highlight w:val="none"/>
              </w:rPr>
              <w:t>产品的各项要求（品牌、规格、型号、配置）应与中标供应商投标承诺为准，不得擅自更改。投标人须对采购中涉及到的专利负责，并保证不伤害采购人的利益。在法律范围内，所有文字、商标和技术侵权造成的相关费用，采购人概不负责。</w:t>
            </w:r>
          </w:p>
        </w:tc>
      </w:tr>
      <w:bookmarkEnd w:id="29"/>
    </w:tbl>
    <w:p>
      <w:pPr>
        <w:rPr>
          <w:color w:val="auto"/>
          <w:highlight w:val="none"/>
        </w:rPr>
      </w:pPr>
    </w:p>
    <w:p>
      <w:pPr>
        <w:rPr>
          <w:color w:val="auto"/>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181"/>
          <w:kern w:val="0"/>
          <w:sz w:val="36"/>
          <w:szCs w:val="36"/>
          <w:highlight w:val="none"/>
          <w:fitText w:val="1083" w:id="-993875456"/>
        </w:rPr>
        <w:t>分</w:t>
      </w:r>
      <w:bookmarkStart w:id="30" w:name="_Toc184308070"/>
      <w:bookmarkEnd w:id="30"/>
      <w:bookmarkStart w:id="31" w:name="_Toc184313287"/>
      <w:bookmarkEnd w:id="31"/>
      <w:bookmarkStart w:id="32" w:name="_Toc184310277"/>
      <w:bookmarkEnd w:id="32"/>
      <w:bookmarkStart w:id="33" w:name="_Toc184310312"/>
      <w:bookmarkEnd w:id="33"/>
      <w:bookmarkStart w:id="34" w:name="_Toc184310316"/>
      <w:bookmarkEnd w:id="34"/>
      <w:bookmarkStart w:id="35" w:name="_Toc184313309"/>
      <w:bookmarkEnd w:id="35"/>
      <w:bookmarkStart w:id="36" w:name="_Toc184310301"/>
      <w:bookmarkEnd w:id="36"/>
      <w:bookmarkStart w:id="37" w:name="_Toc184314466"/>
      <w:bookmarkEnd w:id="37"/>
      <w:bookmarkStart w:id="38" w:name="_Toc184312129"/>
      <w:bookmarkEnd w:id="38"/>
      <w:bookmarkStart w:id="39" w:name="_Toc184314435"/>
      <w:bookmarkEnd w:id="39"/>
      <w:bookmarkStart w:id="40" w:name="_Toc184312073"/>
      <w:bookmarkEnd w:id="40"/>
      <w:bookmarkStart w:id="41" w:name="_Toc184312067"/>
      <w:bookmarkEnd w:id="41"/>
      <w:bookmarkStart w:id="42" w:name="_Toc184313303"/>
      <w:bookmarkEnd w:id="42"/>
      <w:bookmarkStart w:id="43" w:name="_Toc184312105"/>
      <w:bookmarkEnd w:id="43"/>
      <w:bookmarkStart w:id="44" w:name="_Toc184313258"/>
      <w:bookmarkEnd w:id="44"/>
      <w:bookmarkStart w:id="45" w:name="_Toc184310327"/>
      <w:bookmarkEnd w:id="45"/>
      <w:bookmarkStart w:id="46" w:name="_Toc184308049"/>
      <w:bookmarkEnd w:id="46"/>
      <w:bookmarkStart w:id="47" w:name="_Toc184312132"/>
      <w:bookmarkEnd w:id="47"/>
      <w:bookmarkStart w:id="48" w:name="_Toc184310307"/>
      <w:bookmarkEnd w:id="48"/>
      <w:bookmarkStart w:id="49" w:name="_Toc184314419"/>
      <w:bookmarkEnd w:id="49"/>
      <w:bookmarkStart w:id="50" w:name="_Toc184308060"/>
      <w:bookmarkEnd w:id="50"/>
      <w:bookmarkStart w:id="51" w:name="_Toc184314457"/>
      <w:bookmarkEnd w:id="51"/>
      <w:bookmarkStart w:id="52" w:name="_Toc184310287"/>
      <w:bookmarkEnd w:id="52"/>
      <w:bookmarkStart w:id="53" w:name="_Toc184308082"/>
      <w:bookmarkEnd w:id="53"/>
      <w:bookmarkStart w:id="54" w:name="_Toc184312069"/>
      <w:bookmarkEnd w:id="54"/>
      <w:bookmarkStart w:id="55" w:name="_Toc184312100"/>
      <w:bookmarkEnd w:id="55"/>
      <w:bookmarkStart w:id="56" w:name="_Toc184308098"/>
      <w:bookmarkEnd w:id="56"/>
      <w:bookmarkStart w:id="57" w:name="_Toc184308092"/>
      <w:bookmarkEnd w:id="57"/>
      <w:bookmarkStart w:id="58" w:name="_Toc184308036"/>
      <w:bookmarkEnd w:id="58"/>
      <w:bookmarkStart w:id="59" w:name="_Toc184308104"/>
      <w:bookmarkEnd w:id="59"/>
      <w:bookmarkStart w:id="60" w:name="_Toc184308079"/>
      <w:bookmarkEnd w:id="60"/>
      <w:bookmarkStart w:id="61" w:name="_Toc184312099"/>
      <w:bookmarkEnd w:id="61"/>
      <w:bookmarkStart w:id="62" w:name="_Toc184313259"/>
      <w:bookmarkEnd w:id="62"/>
      <w:bookmarkStart w:id="63" w:name="_Toc184313239"/>
      <w:bookmarkEnd w:id="63"/>
      <w:bookmarkStart w:id="64" w:name="_Toc184313305"/>
      <w:bookmarkEnd w:id="64"/>
      <w:bookmarkStart w:id="65" w:name="_Toc184314473"/>
      <w:bookmarkEnd w:id="65"/>
      <w:bookmarkStart w:id="66" w:name="_Toc184312074"/>
      <w:bookmarkEnd w:id="66"/>
      <w:bookmarkStart w:id="67" w:name="_Toc184312113"/>
      <w:bookmarkEnd w:id="67"/>
      <w:bookmarkStart w:id="68" w:name="_Toc184310314"/>
      <w:bookmarkEnd w:id="68"/>
      <w:bookmarkStart w:id="69" w:name="_Toc184314479"/>
      <w:bookmarkEnd w:id="69"/>
      <w:bookmarkStart w:id="70" w:name="_Toc184308077"/>
      <w:bookmarkEnd w:id="70"/>
      <w:bookmarkStart w:id="71" w:name="_Toc184312079"/>
      <w:bookmarkEnd w:id="71"/>
      <w:bookmarkStart w:id="72" w:name="_Toc184314421"/>
      <w:bookmarkEnd w:id="72"/>
      <w:bookmarkStart w:id="73" w:name="_Toc184314468"/>
      <w:bookmarkEnd w:id="73"/>
      <w:bookmarkStart w:id="74" w:name="_Toc184308045"/>
      <w:bookmarkEnd w:id="74"/>
      <w:bookmarkStart w:id="75" w:name="_Toc184308061"/>
      <w:bookmarkEnd w:id="75"/>
      <w:bookmarkStart w:id="76" w:name="_Toc184314465"/>
      <w:bookmarkEnd w:id="76"/>
      <w:bookmarkStart w:id="77" w:name="_Toc184313273"/>
      <w:bookmarkEnd w:id="77"/>
      <w:bookmarkStart w:id="78" w:name="_Toc184314420"/>
      <w:bookmarkEnd w:id="78"/>
      <w:bookmarkStart w:id="79" w:name="_Toc184313251"/>
      <w:bookmarkEnd w:id="79"/>
      <w:bookmarkStart w:id="80" w:name="_Toc184313272"/>
      <w:bookmarkEnd w:id="80"/>
      <w:bookmarkStart w:id="81" w:name="_Toc184312093"/>
      <w:bookmarkEnd w:id="81"/>
      <w:bookmarkStart w:id="82" w:name="_Toc184313304"/>
      <w:bookmarkEnd w:id="82"/>
      <w:bookmarkStart w:id="83" w:name="_Toc184314417"/>
      <w:bookmarkEnd w:id="83"/>
      <w:bookmarkStart w:id="84" w:name="_Toc184313250"/>
      <w:bookmarkEnd w:id="84"/>
      <w:bookmarkStart w:id="85" w:name="_Toc184310340"/>
      <w:bookmarkEnd w:id="85"/>
      <w:bookmarkStart w:id="86" w:name="_Toc184308056"/>
      <w:bookmarkEnd w:id="86"/>
      <w:bookmarkStart w:id="87" w:name="_Toc184312107"/>
      <w:bookmarkEnd w:id="87"/>
      <w:bookmarkStart w:id="88" w:name="_Toc184314464"/>
      <w:bookmarkEnd w:id="88"/>
      <w:bookmarkStart w:id="89" w:name="_Toc184313283"/>
      <w:bookmarkEnd w:id="89"/>
      <w:bookmarkStart w:id="90" w:name="_Toc184314455"/>
      <w:bookmarkEnd w:id="90"/>
      <w:bookmarkStart w:id="91" w:name="_Toc184313302"/>
      <w:bookmarkEnd w:id="91"/>
      <w:bookmarkStart w:id="92" w:name="_Toc184310328"/>
      <w:bookmarkEnd w:id="92"/>
      <w:bookmarkStart w:id="93" w:name="_Toc184313290"/>
      <w:bookmarkEnd w:id="93"/>
      <w:bookmarkStart w:id="94" w:name="_Toc184310333"/>
      <w:bookmarkEnd w:id="94"/>
      <w:bookmarkStart w:id="95" w:name="_Toc184314411"/>
      <w:bookmarkEnd w:id="95"/>
      <w:bookmarkStart w:id="96" w:name="_Toc184314437"/>
      <w:bookmarkEnd w:id="96"/>
      <w:bookmarkStart w:id="97" w:name="_Toc184314431"/>
      <w:bookmarkEnd w:id="97"/>
      <w:bookmarkStart w:id="98" w:name="_Toc184312088"/>
      <w:bookmarkEnd w:id="98"/>
      <w:bookmarkStart w:id="99" w:name="_Toc184314476"/>
      <w:bookmarkEnd w:id="99"/>
      <w:bookmarkStart w:id="100" w:name="_Toc184313295"/>
      <w:bookmarkEnd w:id="100"/>
      <w:bookmarkStart w:id="101" w:name="_Toc184314460"/>
      <w:bookmarkEnd w:id="101"/>
      <w:bookmarkStart w:id="102" w:name="_Toc184314482"/>
      <w:bookmarkEnd w:id="102"/>
      <w:bookmarkStart w:id="103" w:name="_Toc184308042"/>
      <w:bookmarkEnd w:id="103"/>
      <w:bookmarkStart w:id="104" w:name="_Toc184312125"/>
      <w:bookmarkEnd w:id="104"/>
      <w:bookmarkStart w:id="105" w:name="_Toc184314414"/>
      <w:bookmarkEnd w:id="105"/>
      <w:bookmarkStart w:id="106" w:name="_Toc184308086"/>
      <w:bookmarkEnd w:id="106"/>
      <w:bookmarkStart w:id="107" w:name="_Toc184308037"/>
      <w:bookmarkEnd w:id="107"/>
      <w:bookmarkStart w:id="108" w:name="_Toc184313289"/>
      <w:bookmarkEnd w:id="108"/>
      <w:bookmarkStart w:id="109" w:name="_Toc184313276"/>
      <w:bookmarkEnd w:id="109"/>
      <w:bookmarkStart w:id="110" w:name="_Toc184313246"/>
      <w:bookmarkEnd w:id="110"/>
      <w:bookmarkStart w:id="111" w:name="_Toc184310294"/>
      <w:bookmarkEnd w:id="111"/>
      <w:bookmarkStart w:id="112" w:name="_Toc184310311"/>
      <w:bookmarkEnd w:id="112"/>
      <w:bookmarkStart w:id="113" w:name="_Toc184308058"/>
      <w:bookmarkEnd w:id="113"/>
      <w:bookmarkStart w:id="114" w:name="_Toc184308063"/>
      <w:bookmarkEnd w:id="114"/>
      <w:bookmarkStart w:id="115" w:name="_Toc184308084"/>
      <w:bookmarkEnd w:id="115"/>
      <w:bookmarkStart w:id="116" w:name="_Toc184308099"/>
      <w:bookmarkEnd w:id="116"/>
      <w:bookmarkStart w:id="117" w:name="_Toc184312139"/>
      <w:bookmarkEnd w:id="117"/>
      <w:bookmarkStart w:id="118" w:name="_Toc184314474"/>
      <w:bookmarkEnd w:id="118"/>
      <w:bookmarkStart w:id="119" w:name="_Toc184308105"/>
      <w:bookmarkEnd w:id="119"/>
      <w:bookmarkStart w:id="120" w:name="_Toc184314440"/>
      <w:bookmarkEnd w:id="120"/>
      <w:bookmarkStart w:id="121" w:name="_Toc184313293"/>
      <w:bookmarkEnd w:id="121"/>
      <w:bookmarkStart w:id="122" w:name="_Toc184308075"/>
      <w:bookmarkEnd w:id="122"/>
      <w:bookmarkStart w:id="123" w:name="_Toc184314422"/>
      <w:bookmarkEnd w:id="123"/>
      <w:bookmarkStart w:id="124" w:name="_Toc184314462"/>
      <w:bookmarkEnd w:id="124"/>
      <w:bookmarkStart w:id="125" w:name="_Toc184308096"/>
      <w:bookmarkEnd w:id="125"/>
      <w:bookmarkStart w:id="126" w:name="_Toc184308085"/>
      <w:bookmarkEnd w:id="126"/>
      <w:bookmarkStart w:id="127" w:name="_Toc184308094"/>
      <w:bookmarkEnd w:id="127"/>
      <w:bookmarkStart w:id="128" w:name="_Toc184314427"/>
      <w:bookmarkEnd w:id="128"/>
      <w:bookmarkStart w:id="129" w:name="_Toc184312084"/>
      <w:bookmarkEnd w:id="129"/>
      <w:bookmarkStart w:id="130" w:name="_Toc184310288"/>
      <w:bookmarkEnd w:id="130"/>
      <w:bookmarkStart w:id="131" w:name="_Toc184314428"/>
      <w:bookmarkEnd w:id="131"/>
      <w:bookmarkStart w:id="132" w:name="_Toc184310308"/>
      <w:bookmarkEnd w:id="132"/>
      <w:bookmarkStart w:id="133" w:name="_Toc184308069"/>
      <w:bookmarkEnd w:id="133"/>
      <w:bookmarkStart w:id="134" w:name="_Toc184314461"/>
      <w:bookmarkEnd w:id="134"/>
      <w:bookmarkStart w:id="135" w:name="_Toc184308046"/>
      <w:bookmarkEnd w:id="135"/>
      <w:bookmarkStart w:id="136" w:name="_Toc184308051"/>
      <w:bookmarkEnd w:id="136"/>
      <w:bookmarkStart w:id="137" w:name="_Toc184313252"/>
      <w:bookmarkEnd w:id="137"/>
      <w:bookmarkStart w:id="138" w:name="_Toc184314418"/>
      <w:bookmarkEnd w:id="138"/>
      <w:bookmarkStart w:id="139" w:name="_Toc184314447"/>
      <w:bookmarkEnd w:id="139"/>
      <w:bookmarkStart w:id="140" w:name="_Toc184314436"/>
      <w:bookmarkEnd w:id="140"/>
      <w:bookmarkStart w:id="141" w:name="_Toc184308100"/>
      <w:bookmarkEnd w:id="141"/>
      <w:bookmarkStart w:id="142" w:name="_Toc184312096"/>
      <w:bookmarkEnd w:id="142"/>
      <w:bookmarkStart w:id="143" w:name="_Toc184312108"/>
      <w:bookmarkEnd w:id="143"/>
      <w:bookmarkStart w:id="144" w:name="_Toc184308107"/>
      <w:bookmarkEnd w:id="144"/>
      <w:bookmarkStart w:id="145" w:name="_Toc184310284"/>
      <w:bookmarkEnd w:id="145"/>
      <w:bookmarkStart w:id="146" w:name="_Toc184314452"/>
      <w:bookmarkEnd w:id="146"/>
      <w:bookmarkStart w:id="147" w:name="_Toc184314425"/>
      <w:bookmarkEnd w:id="147"/>
      <w:bookmarkStart w:id="148" w:name="_Toc184308088"/>
      <w:bookmarkEnd w:id="148"/>
      <w:bookmarkStart w:id="149" w:name="_Toc184313253"/>
      <w:bookmarkEnd w:id="149"/>
      <w:bookmarkStart w:id="150" w:name="_Toc184310339"/>
      <w:bookmarkEnd w:id="150"/>
      <w:bookmarkStart w:id="151" w:name="_Toc184310272"/>
      <w:bookmarkEnd w:id="151"/>
      <w:bookmarkStart w:id="152" w:name="_Toc184312136"/>
      <w:bookmarkEnd w:id="152"/>
      <w:bookmarkStart w:id="153" w:name="_Toc184308081"/>
      <w:bookmarkEnd w:id="153"/>
      <w:bookmarkStart w:id="154" w:name="_Toc184310273"/>
      <w:bookmarkEnd w:id="154"/>
      <w:bookmarkStart w:id="155" w:name="_Toc184313282"/>
      <w:bookmarkEnd w:id="155"/>
      <w:bookmarkStart w:id="156" w:name="_Toc184313245"/>
      <w:bookmarkEnd w:id="156"/>
      <w:bookmarkStart w:id="157" w:name="_Toc184313244"/>
      <w:bookmarkEnd w:id="157"/>
      <w:bookmarkStart w:id="158" w:name="_Toc184313291"/>
      <w:bookmarkEnd w:id="158"/>
      <w:bookmarkStart w:id="159" w:name="_Toc184313256"/>
      <w:bookmarkEnd w:id="159"/>
      <w:bookmarkStart w:id="160" w:name="_Toc184308064"/>
      <w:bookmarkEnd w:id="160"/>
      <w:bookmarkStart w:id="161" w:name="_Toc184313263"/>
      <w:bookmarkEnd w:id="161"/>
      <w:bookmarkStart w:id="162" w:name="_Toc184312116"/>
      <w:bookmarkEnd w:id="162"/>
      <w:bookmarkStart w:id="163" w:name="_Toc184308090"/>
      <w:bookmarkEnd w:id="163"/>
      <w:bookmarkStart w:id="164" w:name="_Toc184314446"/>
      <w:bookmarkEnd w:id="164"/>
      <w:bookmarkStart w:id="165" w:name="_Toc184313241"/>
      <w:bookmarkEnd w:id="165"/>
      <w:bookmarkStart w:id="166" w:name="_Toc184314433"/>
      <w:bookmarkEnd w:id="166"/>
      <w:bookmarkStart w:id="167" w:name="_Toc184313243"/>
      <w:bookmarkEnd w:id="167"/>
      <w:bookmarkStart w:id="168" w:name="_Toc184308066"/>
      <w:bookmarkEnd w:id="168"/>
      <w:bookmarkStart w:id="169" w:name="_Toc184312133"/>
      <w:bookmarkEnd w:id="169"/>
      <w:bookmarkStart w:id="170" w:name="_Toc184313240"/>
      <w:bookmarkEnd w:id="170"/>
      <w:bookmarkStart w:id="171" w:name="_Toc184308062"/>
      <w:bookmarkEnd w:id="171"/>
      <w:bookmarkStart w:id="172" w:name="_Toc184308076"/>
      <w:bookmarkEnd w:id="172"/>
      <w:bookmarkStart w:id="173" w:name="_Toc184308059"/>
      <w:bookmarkEnd w:id="173"/>
      <w:bookmarkStart w:id="174" w:name="_Toc184312087"/>
      <w:bookmarkEnd w:id="174"/>
      <w:bookmarkStart w:id="175" w:name="_Toc184314432"/>
      <w:bookmarkEnd w:id="175"/>
      <w:bookmarkStart w:id="176" w:name="_Toc184312081"/>
      <w:bookmarkEnd w:id="176"/>
      <w:bookmarkStart w:id="177" w:name="_Toc184310276"/>
      <w:bookmarkEnd w:id="177"/>
      <w:bookmarkStart w:id="178" w:name="_Toc184313288"/>
      <w:bookmarkEnd w:id="178"/>
      <w:bookmarkStart w:id="179" w:name="_Toc184310297"/>
      <w:bookmarkEnd w:id="179"/>
      <w:bookmarkStart w:id="180" w:name="_Toc184310326"/>
      <w:bookmarkEnd w:id="180"/>
      <w:bookmarkStart w:id="181" w:name="_Toc184314413"/>
      <w:bookmarkEnd w:id="181"/>
      <w:bookmarkStart w:id="182" w:name="_Toc184312101"/>
      <w:bookmarkEnd w:id="182"/>
      <w:bookmarkStart w:id="183" w:name="_Toc184308055"/>
      <w:bookmarkEnd w:id="183"/>
      <w:bookmarkStart w:id="184" w:name="_Toc184312111"/>
      <w:bookmarkEnd w:id="184"/>
      <w:bookmarkStart w:id="185" w:name="_Toc184308095"/>
      <w:bookmarkEnd w:id="185"/>
      <w:bookmarkStart w:id="186" w:name="_Toc184313247"/>
      <w:bookmarkEnd w:id="186"/>
      <w:bookmarkStart w:id="187" w:name="_Toc184314423"/>
      <w:bookmarkEnd w:id="187"/>
      <w:bookmarkStart w:id="188" w:name="_Toc184308052"/>
      <w:bookmarkEnd w:id="188"/>
      <w:bookmarkStart w:id="189" w:name="_Toc184313267"/>
      <w:bookmarkEnd w:id="189"/>
      <w:bookmarkStart w:id="190" w:name="_Toc184310282"/>
      <w:bookmarkEnd w:id="190"/>
      <w:bookmarkStart w:id="191" w:name="_Toc184313238"/>
      <w:bookmarkEnd w:id="191"/>
      <w:bookmarkStart w:id="192" w:name="_Toc184314416"/>
      <w:bookmarkEnd w:id="192"/>
      <w:bookmarkStart w:id="193" w:name="_Toc184310335"/>
      <w:bookmarkEnd w:id="193"/>
      <w:bookmarkStart w:id="194" w:name="_Toc184308074"/>
      <w:bookmarkEnd w:id="194"/>
      <w:bookmarkStart w:id="195" w:name="_Toc184310313"/>
      <w:bookmarkEnd w:id="195"/>
      <w:bookmarkStart w:id="196" w:name="_Toc184310331"/>
      <w:bookmarkEnd w:id="196"/>
      <w:bookmarkStart w:id="197" w:name="_Toc184312092"/>
      <w:bookmarkEnd w:id="197"/>
      <w:bookmarkStart w:id="198" w:name="_Toc184313257"/>
      <w:bookmarkEnd w:id="198"/>
      <w:bookmarkStart w:id="199" w:name="_Toc184314450"/>
      <w:bookmarkEnd w:id="199"/>
      <w:bookmarkStart w:id="200" w:name="_Toc184312123"/>
      <w:bookmarkEnd w:id="200"/>
      <w:bookmarkStart w:id="201" w:name="_Toc184313278"/>
      <w:bookmarkEnd w:id="201"/>
      <w:bookmarkStart w:id="202" w:name="_Toc184310310"/>
      <w:bookmarkEnd w:id="202"/>
      <w:bookmarkStart w:id="203" w:name="_Toc184314438"/>
      <w:bookmarkEnd w:id="203"/>
      <w:bookmarkStart w:id="204" w:name="_Toc184310303"/>
      <w:bookmarkEnd w:id="204"/>
      <w:bookmarkStart w:id="205" w:name="_Toc184314477"/>
      <w:bookmarkEnd w:id="205"/>
      <w:bookmarkStart w:id="206" w:name="_Toc184308089"/>
      <w:bookmarkEnd w:id="206"/>
      <w:bookmarkStart w:id="207" w:name="_Toc184312114"/>
      <w:bookmarkEnd w:id="207"/>
      <w:bookmarkStart w:id="208" w:name="_Toc184310318"/>
      <w:bookmarkEnd w:id="208"/>
      <w:bookmarkStart w:id="209" w:name="_Toc184312138"/>
      <w:bookmarkEnd w:id="209"/>
      <w:bookmarkStart w:id="210" w:name="_Toc184314444"/>
      <w:bookmarkEnd w:id="210"/>
      <w:bookmarkStart w:id="211" w:name="_Toc184308053"/>
      <w:bookmarkEnd w:id="211"/>
      <w:bookmarkStart w:id="212" w:name="_Toc184312072"/>
      <w:bookmarkEnd w:id="212"/>
      <w:bookmarkStart w:id="213" w:name="_Toc184310298"/>
      <w:bookmarkEnd w:id="213"/>
      <w:bookmarkStart w:id="214" w:name="_Toc184313281"/>
      <w:bookmarkEnd w:id="214"/>
      <w:bookmarkStart w:id="215" w:name="_Toc184308083"/>
      <w:bookmarkEnd w:id="215"/>
      <w:bookmarkStart w:id="216" w:name="_Toc184312120"/>
      <w:bookmarkEnd w:id="216"/>
      <w:bookmarkStart w:id="217" w:name="_Toc184312128"/>
      <w:bookmarkEnd w:id="217"/>
      <w:bookmarkStart w:id="218" w:name="_Toc184310289"/>
      <w:bookmarkEnd w:id="218"/>
      <w:bookmarkStart w:id="219" w:name="_Toc184312130"/>
      <w:bookmarkEnd w:id="219"/>
      <w:bookmarkStart w:id="220" w:name="_Toc184310280"/>
      <w:bookmarkEnd w:id="220"/>
      <w:bookmarkStart w:id="221" w:name="_Toc184312086"/>
      <w:bookmarkEnd w:id="221"/>
      <w:bookmarkStart w:id="222" w:name="_Toc184313296"/>
      <w:bookmarkEnd w:id="222"/>
      <w:bookmarkStart w:id="223" w:name="_Toc184313268"/>
      <w:bookmarkEnd w:id="223"/>
      <w:bookmarkStart w:id="224" w:name="_Toc184314480"/>
      <w:bookmarkEnd w:id="224"/>
      <w:bookmarkStart w:id="225" w:name="_Toc184312089"/>
      <w:bookmarkEnd w:id="225"/>
      <w:bookmarkStart w:id="226" w:name="_Toc184310343"/>
      <w:bookmarkEnd w:id="226"/>
      <w:bookmarkStart w:id="227" w:name="_Toc184310309"/>
      <w:bookmarkEnd w:id="227"/>
      <w:bookmarkStart w:id="228" w:name="_Toc184314481"/>
      <w:bookmarkEnd w:id="228"/>
      <w:bookmarkStart w:id="229" w:name="_Toc184308048"/>
      <w:bookmarkEnd w:id="229"/>
      <w:bookmarkStart w:id="230" w:name="_Toc184313255"/>
      <w:bookmarkEnd w:id="230"/>
      <w:bookmarkStart w:id="231" w:name="_Toc184313277"/>
      <w:bookmarkEnd w:id="231"/>
      <w:bookmarkStart w:id="232" w:name="_Toc184308054"/>
      <w:bookmarkEnd w:id="232"/>
      <w:bookmarkStart w:id="233" w:name="_Toc184312137"/>
      <w:bookmarkEnd w:id="233"/>
      <w:bookmarkStart w:id="234" w:name="_Toc184308072"/>
      <w:bookmarkEnd w:id="234"/>
      <w:bookmarkStart w:id="235" w:name="_Toc184313300"/>
      <w:bookmarkEnd w:id="235"/>
      <w:bookmarkStart w:id="236" w:name="_Toc184312127"/>
      <w:bookmarkEnd w:id="236"/>
      <w:bookmarkStart w:id="237" w:name="_Toc184310315"/>
      <w:bookmarkEnd w:id="237"/>
      <w:bookmarkStart w:id="238" w:name="_Toc184312098"/>
      <w:bookmarkEnd w:id="238"/>
      <w:bookmarkStart w:id="239" w:name="_Toc184314472"/>
      <w:bookmarkEnd w:id="239"/>
      <w:bookmarkStart w:id="240" w:name="_Toc184314470"/>
      <w:bookmarkEnd w:id="240"/>
      <w:bookmarkStart w:id="241" w:name="_Toc184308091"/>
      <w:bookmarkEnd w:id="241"/>
      <w:bookmarkStart w:id="242" w:name="_Toc184312112"/>
      <w:bookmarkEnd w:id="242"/>
      <w:bookmarkStart w:id="243" w:name="_Toc184310296"/>
      <w:bookmarkEnd w:id="243"/>
      <w:bookmarkStart w:id="244" w:name="_Toc184308093"/>
      <w:bookmarkEnd w:id="244"/>
      <w:bookmarkStart w:id="245" w:name="_Toc184308101"/>
      <w:bookmarkEnd w:id="245"/>
      <w:bookmarkStart w:id="246" w:name="_Toc184313301"/>
      <w:bookmarkEnd w:id="246"/>
      <w:bookmarkStart w:id="247" w:name="_Toc184312109"/>
      <w:bookmarkEnd w:id="247"/>
      <w:bookmarkStart w:id="248" w:name="_Toc184308041"/>
      <w:bookmarkEnd w:id="248"/>
      <w:bookmarkStart w:id="249" w:name="_Toc184308078"/>
      <w:bookmarkEnd w:id="249"/>
      <w:bookmarkStart w:id="250" w:name="_Toc184314451"/>
      <w:bookmarkEnd w:id="250"/>
      <w:bookmarkStart w:id="251" w:name="_Toc184310279"/>
      <w:bookmarkEnd w:id="251"/>
      <w:bookmarkStart w:id="252" w:name="_Toc184308057"/>
      <w:bookmarkEnd w:id="252"/>
      <w:bookmarkStart w:id="253" w:name="_Toc184308080"/>
      <w:bookmarkEnd w:id="253"/>
      <w:bookmarkStart w:id="254" w:name="_Toc184312124"/>
      <w:bookmarkEnd w:id="254"/>
      <w:bookmarkStart w:id="255" w:name="_Toc184313297"/>
      <w:bookmarkEnd w:id="255"/>
      <w:bookmarkStart w:id="256" w:name="_Toc184310274"/>
      <w:bookmarkEnd w:id="256"/>
      <w:bookmarkStart w:id="257" w:name="_Toc184313298"/>
      <w:bookmarkEnd w:id="257"/>
      <w:bookmarkStart w:id="258" w:name="_Toc184312070"/>
      <w:bookmarkEnd w:id="258"/>
      <w:bookmarkStart w:id="259" w:name="_Toc184313285"/>
      <w:bookmarkEnd w:id="259"/>
      <w:bookmarkStart w:id="260" w:name="_Toc184314456"/>
      <w:bookmarkEnd w:id="260"/>
      <w:bookmarkStart w:id="261" w:name="_Toc184312121"/>
      <w:bookmarkEnd w:id="261"/>
      <w:bookmarkStart w:id="262" w:name="_Toc184312104"/>
      <w:bookmarkEnd w:id="262"/>
      <w:bookmarkStart w:id="263" w:name="_Toc184314469"/>
      <w:bookmarkEnd w:id="263"/>
      <w:bookmarkStart w:id="264" w:name="_Toc184313262"/>
      <w:bookmarkEnd w:id="264"/>
      <w:bookmarkStart w:id="265" w:name="_Toc184310341"/>
      <w:bookmarkEnd w:id="265"/>
      <w:bookmarkStart w:id="266" w:name="_Toc184312075"/>
      <w:bookmarkEnd w:id="266"/>
      <w:bookmarkStart w:id="267" w:name="_Toc184310332"/>
      <w:bookmarkEnd w:id="267"/>
      <w:bookmarkStart w:id="268" w:name="_Toc184310334"/>
      <w:bookmarkEnd w:id="268"/>
      <w:bookmarkStart w:id="269" w:name="_Toc184314458"/>
      <w:bookmarkEnd w:id="269"/>
      <w:bookmarkStart w:id="270" w:name="_Toc184312110"/>
      <w:bookmarkEnd w:id="270"/>
      <w:bookmarkStart w:id="271" w:name="_Toc184313249"/>
      <w:bookmarkEnd w:id="271"/>
      <w:bookmarkStart w:id="272" w:name="_Toc184312068"/>
      <w:bookmarkEnd w:id="272"/>
      <w:bookmarkStart w:id="273" w:name="_Toc184308071"/>
      <w:bookmarkEnd w:id="273"/>
      <w:bookmarkStart w:id="274" w:name="_Toc184313254"/>
      <w:bookmarkEnd w:id="274"/>
      <w:bookmarkStart w:id="275" w:name="_Toc184312083"/>
      <w:bookmarkEnd w:id="275"/>
      <w:bookmarkStart w:id="276" w:name="_Toc184313260"/>
      <w:bookmarkEnd w:id="276"/>
      <w:bookmarkStart w:id="277" w:name="_Toc184310292"/>
      <w:bookmarkEnd w:id="277"/>
      <w:bookmarkStart w:id="278" w:name="_Toc184312118"/>
      <w:bookmarkEnd w:id="278"/>
      <w:bookmarkStart w:id="279" w:name="_Toc184308087"/>
      <w:bookmarkEnd w:id="279"/>
      <w:bookmarkStart w:id="280" w:name="_Toc184312119"/>
      <w:bookmarkEnd w:id="280"/>
      <w:bookmarkStart w:id="281" w:name="_Toc184308047"/>
      <w:bookmarkEnd w:id="281"/>
      <w:bookmarkStart w:id="282" w:name="_Toc184314426"/>
      <w:bookmarkEnd w:id="282"/>
      <w:bookmarkStart w:id="283" w:name="_Toc184312126"/>
      <w:bookmarkEnd w:id="283"/>
      <w:bookmarkStart w:id="284" w:name="_Toc184310300"/>
      <w:bookmarkEnd w:id="284"/>
      <w:bookmarkStart w:id="285" w:name="_Toc184310329"/>
      <w:bookmarkEnd w:id="285"/>
      <w:bookmarkStart w:id="286" w:name="_Toc184310283"/>
      <w:bookmarkEnd w:id="286"/>
      <w:bookmarkStart w:id="287" w:name="_Toc184310281"/>
      <w:bookmarkEnd w:id="287"/>
      <w:bookmarkStart w:id="288" w:name="_Toc184313308"/>
      <w:bookmarkEnd w:id="288"/>
      <w:bookmarkStart w:id="289" w:name="_Toc184312095"/>
      <w:bookmarkEnd w:id="289"/>
      <w:bookmarkStart w:id="290" w:name="_Toc184312090"/>
      <w:bookmarkEnd w:id="290"/>
      <w:bookmarkStart w:id="291" w:name="_Toc184314454"/>
      <w:bookmarkEnd w:id="291"/>
      <w:bookmarkStart w:id="292" w:name="_Toc184308103"/>
      <w:bookmarkEnd w:id="292"/>
      <w:bookmarkStart w:id="293" w:name="_Toc184308050"/>
      <w:bookmarkEnd w:id="293"/>
      <w:bookmarkStart w:id="294" w:name="_Toc184312122"/>
      <w:bookmarkEnd w:id="294"/>
      <w:bookmarkStart w:id="295" w:name="_Toc184308038"/>
      <w:bookmarkEnd w:id="295"/>
      <w:bookmarkStart w:id="296" w:name="_Toc184310290"/>
      <w:bookmarkEnd w:id="296"/>
      <w:bookmarkStart w:id="297" w:name="_Toc184314449"/>
      <w:bookmarkEnd w:id="297"/>
      <w:bookmarkStart w:id="298" w:name="_Toc184310337"/>
      <w:bookmarkEnd w:id="298"/>
      <w:bookmarkStart w:id="299" w:name="_Toc184314439"/>
      <w:bookmarkEnd w:id="299"/>
      <w:bookmarkStart w:id="300" w:name="_Toc184313294"/>
      <w:bookmarkEnd w:id="300"/>
      <w:bookmarkStart w:id="301" w:name="_Toc184314424"/>
      <w:bookmarkEnd w:id="301"/>
      <w:bookmarkStart w:id="302" w:name="_Toc184314443"/>
      <w:bookmarkEnd w:id="302"/>
      <w:bookmarkStart w:id="303" w:name="_Toc184310278"/>
      <w:bookmarkEnd w:id="303"/>
      <w:bookmarkStart w:id="304" w:name="_Toc184312080"/>
      <w:bookmarkEnd w:id="304"/>
      <w:bookmarkStart w:id="305" w:name="_Toc184310330"/>
      <w:bookmarkEnd w:id="305"/>
      <w:bookmarkStart w:id="306" w:name="_Toc184308044"/>
      <w:bookmarkEnd w:id="306"/>
      <w:bookmarkStart w:id="307" w:name="_Toc184312094"/>
      <w:bookmarkEnd w:id="307"/>
      <w:bookmarkStart w:id="308" w:name="_Toc184314429"/>
      <w:bookmarkEnd w:id="308"/>
      <w:bookmarkStart w:id="309" w:name="_Toc184314434"/>
      <w:bookmarkEnd w:id="309"/>
      <w:bookmarkStart w:id="310" w:name="_Toc184314412"/>
      <w:bookmarkEnd w:id="310"/>
      <w:bookmarkStart w:id="311" w:name="_Toc184308067"/>
      <w:bookmarkEnd w:id="311"/>
      <w:bookmarkStart w:id="312" w:name="_Toc184308043"/>
      <w:bookmarkEnd w:id="312"/>
      <w:bookmarkStart w:id="313" w:name="_Toc184308039"/>
      <w:bookmarkEnd w:id="313"/>
      <w:bookmarkStart w:id="314" w:name="_Toc184310285"/>
      <w:bookmarkEnd w:id="314"/>
      <w:bookmarkStart w:id="315" w:name="_Toc184312134"/>
      <w:bookmarkEnd w:id="315"/>
      <w:bookmarkStart w:id="316" w:name="_Toc184310338"/>
      <w:bookmarkEnd w:id="316"/>
      <w:bookmarkStart w:id="317" w:name="_Toc184310320"/>
      <w:bookmarkEnd w:id="317"/>
      <w:bookmarkStart w:id="318" w:name="_Toc184314442"/>
      <w:bookmarkEnd w:id="318"/>
      <w:bookmarkStart w:id="319" w:name="_Toc184312097"/>
      <w:bookmarkEnd w:id="319"/>
      <w:bookmarkStart w:id="320" w:name="_Toc184310319"/>
      <w:bookmarkEnd w:id="320"/>
      <w:bookmarkStart w:id="321" w:name="_Toc184314463"/>
      <w:bookmarkEnd w:id="321"/>
      <w:bookmarkStart w:id="322" w:name="_Toc184313286"/>
      <w:bookmarkEnd w:id="322"/>
      <w:bookmarkStart w:id="323" w:name="_Toc184310325"/>
      <w:bookmarkEnd w:id="323"/>
      <w:bookmarkStart w:id="324" w:name="_Toc184313275"/>
      <w:bookmarkEnd w:id="324"/>
      <w:bookmarkStart w:id="325" w:name="_Toc184313306"/>
      <w:bookmarkEnd w:id="325"/>
      <w:bookmarkStart w:id="326" w:name="_Toc184310302"/>
      <w:bookmarkEnd w:id="326"/>
      <w:bookmarkStart w:id="327" w:name="_Toc184313261"/>
      <w:bookmarkEnd w:id="327"/>
      <w:bookmarkStart w:id="328" w:name="_Toc184312103"/>
      <w:bookmarkEnd w:id="328"/>
      <w:bookmarkStart w:id="329" w:name="_Toc184314448"/>
      <w:bookmarkEnd w:id="329"/>
      <w:bookmarkStart w:id="330" w:name="_Toc184313299"/>
      <w:bookmarkEnd w:id="330"/>
      <w:bookmarkStart w:id="331" w:name="_Toc184314415"/>
      <w:bookmarkEnd w:id="331"/>
      <w:bookmarkStart w:id="332" w:name="_Toc184310293"/>
      <w:bookmarkEnd w:id="332"/>
      <w:bookmarkStart w:id="333" w:name="_Toc184308102"/>
      <w:bookmarkEnd w:id="333"/>
      <w:bookmarkStart w:id="334" w:name="_Toc184310305"/>
      <w:bookmarkEnd w:id="334"/>
      <w:bookmarkStart w:id="335" w:name="_Toc184312085"/>
      <w:bookmarkEnd w:id="335"/>
      <w:bookmarkStart w:id="336" w:name="_Toc184308040"/>
      <w:bookmarkEnd w:id="336"/>
      <w:bookmarkStart w:id="337" w:name="_Toc184313264"/>
      <w:bookmarkEnd w:id="337"/>
      <w:bookmarkStart w:id="338" w:name="_Toc184314453"/>
      <w:bookmarkEnd w:id="338"/>
      <w:bookmarkStart w:id="339" w:name="_Toc184310322"/>
      <w:bookmarkEnd w:id="339"/>
      <w:bookmarkStart w:id="340" w:name="_Toc184310304"/>
      <w:bookmarkEnd w:id="340"/>
      <w:bookmarkStart w:id="341" w:name="_Toc184313265"/>
      <w:bookmarkEnd w:id="341"/>
      <w:bookmarkStart w:id="342" w:name="_Toc184312082"/>
      <w:bookmarkEnd w:id="342"/>
      <w:bookmarkStart w:id="343" w:name="_Toc184310286"/>
      <w:bookmarkEnd w:id="343"/>
      <w:bookmarkStart w:id="344" w:name="_Toc184310295"/>
      <w:bookmarkEnd w:id="344"/>
      <w:bookmarkStart w:id="345" w:name="_Toc184313307"/>
      <w:bookmarkEnd w:id="345"/>
      <w:bookmarkStart w:id="346" w:name="_Toc184313248"/>
      <w:bookmarkEnd w:id="346"/>
      <w:bookmarkStart w:id="347" w:name="_Toc184312117"/>
      <w:bookmarkEnd w:id="347"/>
      <w:bookmarkStart w:id="348" w:name="_Toc184313292"/>
      <w:bookmarkEnd w:id="348"/>
      <w:bookmarkStart w:id="349" w:name="_Toc184312077"/>
      <w:bookmarkEnd w:id="349"/>
      <w:bookmarkStart w:id="350" w:name="_Toc184310291"/>
      <w:bookmarkEnd w:id="350"/>
      <w:bookmarkStart w:id="351" w:name="_Toc184314430"/>
      <w:bookmarkEnd w:id="351"/>
      <w:bookmarkStart w:id="352" w:name="_Toc184308065"/>
      <w:bookmarkEnd w:id="352"/>
      <w:bookmarkStart w:id="353" w:name="_Toc184310342"/>
      <w:bookmarkEnd w:id="353"/>
      <w:bookmarkStart w:id="354" w:name="_Toc184308073"/>
      <w:bookmarkEnd w:id="354"/>
      <w:bookmarkStart w:id="355" w:name="_Toc184312076"/>
      <w:bookmarkEnd w:id="355"/>
      <w:bookmarkStart w:id="356" w:name="_Toc184314459"/>
      <w:bookmarkEnd w:id="356"/>
      <w:bookmarkStart w:id="357" w:name="_Toc184310275"/>
      <w:bookmarkEnd w:id="357"/>
      <w:bookmarkStart w:id="358" w:name="_Toc184312135"/>
      <w:bookmarkEnd w:id="358"/>
      <w:bookmarkStart w:id="359" w:name="_Toc184312131"/>
      <w:bookmarkEnd w:id="359"/>
      <w:bookmarkStart w:id="360" w:name="_Toc184313266"/>
      <w:bookmarkEnd w:id="360"/>
      <w:bookmarkStart w:id="361" w:name="_Toc184313242"/>
      <w:bookmarkEnd w:id="361"/>
      <w:bookmarkStart w:id="362" w:name="_Toc184313274"/>
      <w:bookmarkEnd w:id="362"/>
      <w:bookmarkStart w:id="363" w:name="_Toc184308068"/>
      <w:bookmarkEnd w:id="363"/>
      <w:bookmarkStart w:id="364" w:name="_Toc184312102"/>
      <w:bookmarkEnd w:id="364"/>
      <w:bookmarkStart w:id="365" w:name="_Toc184314471"/>
      <w:bookmarkEnd w:id="365"/>
      <w:bookmarkStart w:id="366" w:name="_Toc184314410"/>
      <w:bookmarkEnd w:id="366"/>
      <w:bookmarkStart w:id="367" w:name="_Toc184313269"/>
      <w:bookmarkEnd w:id="367"/>
      <w:bookmarkStart w:id="368" w:name="_Toc184312106"/>
      <w:bookmarkEnd w:id="368"/>
      <w:bookmarkStart w:id="369" w:name="_Toc184308097"/>
      <w:bookmarkEnd w:id="369"/>
      <w:bookmarkStart w:id="370" w:name="_Toc184310321"/>
      <w:bookmarkEnd w:id="370"/>
      <w:bookmarkStart w:id="371" w:name="_Toc184310324"/>
      <w:bookmarkEnd w:id="371"/>
      <w:bookmarkStart w:id="372" w:name="_Toc184313310"/>
      <w:bookmarkEnd w:id="372"/>
      <w:bookmarkStart w:id="373" w:name="_Toc184313270"/>
      <w:bookmarkEnd w:id="373"/>
      <w:bookmarkStart w:id="374" w:name="_Toc184312071"/>
      <w:bookmarkEnd w:id="374"/>
      <w:bookmarkStart w:id="375" w:name="_Toc184314441"/>
      <w:bookmarkEnd w:id="375"/>
      <w:bookmarkStart w:id="376" w:name="_Toc184314467"/>
      <w:bookmarkEnd w:id="376"/>
      <w:bookmarkStart w:id="377" w:name="_Toc184313280"/>
      <w:bookmarkEnd w:id="377"/>
      <w:bookmarkStart w:id="378" w:name="_Toc184310344"/>
      <w:bookmarkEnd w:id="378"/>
      <w:bookmarkStart w:id="379" w:name="_Toc184313271"/>
      <w:bookmarkEnd w:id="379"/>
      <w:bookmarkStart w:id="380" w:name="_Toc184314475"/>
      <w:bookmarkEnd w:id="380"/>
      <w:bookmarkStart w:id="381" w:name="_Toc184312091"/>
      <w:bookmarkEnd w:id="381"/>
      <w:bookmarkStart w:id="382" w:name="_Toc184314445"/>
      <w:bookmarkEnd w:id="382"/>
      <w:bookmarkStart w:id="383" w:name="_Toc184310323"/>
      <w:bookmarkEnd w:id="383"/>
      <w:bookmarkStart w:id="384" w:name="_Toc184308106"/>
      <w:bookmarkEnd w:id="384"/>
      <w:bookmarkStart w:id="385" w:name="_Toc184312078"/>
      <w:bookmarkEnd w:id="385"/>
      <w:bookmarkStart w:id="386" w:name="_Toc184314478"/>
      <w:bookmarkEnd w:id="386"/>
      <w:bookmarkStart w:id="387" w:name="_Toc184308108"/>
      <w:bookmarkEnd w:id="387"/>
      <w:bookmarkStart w:id="388" w:name="_Toc184310317"/>
      <w:bookmarkEnd w:id="388"/>
      <w:bookmarkStart w:id="389" w:name="_Toc184310299"/>
      <w:bookmarkEnd w:id="389"/>
      <w:bookmarkStart w:id="390" w:name="_Toc184310336"/>
      <w:bookmarkEnd w:id="390"/>
      <w:bookmarkStart w:id="391" w:name="_Toc184313284"/>
      <w:bookmarkEnd w:id="391"/>
      <w:bookmarkStart w:id="392" w:name="_Toc184312115"/>
      <w:bookmarkEnd w:id="392"/>
      <w:bookmarkStart w:id="393" w:name="_Toc184313279"/>
      <w:bookmarkEnd w:id="393"/>
      <w:bookmarkStart w:id="394" w:name="_Toc184310306"/>
      <w:bookmarkEnd w:id="394"/>
      <w:r>
        <w:rPr>
          <w:rFonts w:hint="eastAsia" w:ascii="仿宋" w:hAnsi="仿宋" w:eastAsia="仿宋" w:cs="仿宋"/>
          <w:b/>
          <w:color w:val="auto"/>
          <w:spacing w:val="0"/>
          <w:kern w:val="0"/>
          <w:sz w:val="36"/>
          <w:szCs w:val="36"/>
          <w:highlight w:val="none"/>
          <w:fitText w:val="1083" w:id="-993875456"/>
        </w:rPr>
        <w:t>评</w:t>
      </w:r>
      <w:r>
        <w:rPr>
          <w:rFonts w:hint="eastAsia" w:ascii="仿宋" w:hAnsi="仿宋" w:eastAsia="仿宋" w:cs="仿宋"/>
          <w:b/>
          <w:color w:val="auto"/>
          <w:sz w:val="36"/>
          <w:szCs w:val="36"/>
          <w:highlight w:val="none"/>
        </w:rPr>
        <w:t>标办法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315"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5864"/>
        <w:gridCol w:w="85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6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最高分值</w:t>
            </w:r>
          </w:p>
        </w:tc>
        <w:tc>
          <w:tcPr>
            <w:tcW w:w="1134" w:type="dxa"/>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70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投标人自2021年1月1日（时间以合同签订之日为准）以来承担过同类业绩的，每提供1个得1分，最多得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注：投标文件中需同时提供合同、验收报告扫描件，不提供不得分。</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13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w:t>
            </w:r>
          </w:p>
        </w:tc>
        <w:tc>
          <w:tcPr>
            <w:tcW w:w="1701" w:type="dxa"/>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投标人具有信息安全管理体系认证证书、ISO9001质量管理体系认证证书、环境管理体系认证证书的，每提供1个得1分，最多得3分。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注：提供有效期内的证书扫描件。</w:t>
            </w:r>
          </w:p>
        </w:tc>
        <w:tc>
          <w:tcPr>
            <w:tcW w:w="85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13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w:t>
            </w:r>
          </w:p>
        </w:tc>
        <w:tc>
          <w:tcPr>
            <w:tcW w:w="170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864" w:type="dxa"/>
            <w:vAlign w:val="center"/>
          </w:tcPr>
          <w:p>
            <w:pPr>
              <w:snapToGrid w:val="0"/>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投标人所投产品基本功能、技术指标与需求的吻合程度：带“★”的技术参数要求（共2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项）</w:t>
            </w:r>
            <w:r>
              <w:rPr>
                <w:rFonts w:hint="eastAsia" w:ascii="仿宋" w:hAnsi="仿宋" w:eastAsia="仿宋" w:cs="仿宋"/>
                <w:color w:val="auto"/>
                <w:sz w:val="24"/>
                <w:highlight w:val="none"/>
                <w:lang w:val="en-US" w:eastAsia="zh-CN"/>
              </w:rPr>
              <w:t>每满足1项得1分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最高得20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注：需按要求提供相应的检测报告或证明材料，不提供不得分。</w:t>
            </w:r>
          </w:p>
          <w:p>
            <w:pPr>
              <w:snapToGrid w:val="0"/>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针对普通技术需求的响应情况，完全响应招标文件要求的，得10分；普通技术参数存在负偏离的，每项扣0.5分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扣完为止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注：此项以商务技术偏离表为准。</w:t>
            </w:r>
          </w:p>
        </w:tc>
        <w:tc>
          <w:tcPr>
            <w:tcW w:w="85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p>
        </w:tc>
        <w:tc>
          <w:tcPr>
            <w:tcW w:w="113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w:t>
            </w:r>
          </w:p>
        </w:tc>
        <w:tc>
          <w:tcPr>
            <w:tcW w:w="170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对项目有全面分析，包括项目背景情况、项目目标、现状分析、总体需求等进行打分。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134"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项目需求与理解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根据现状及项目实际需求，提出建设方案，包括但不限于项目总体规划思路、结合项目实际情况的建设方案、效果评估等进行打分。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tabs>
                <w:tab w:val="left" w:pos="1065"/>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根据投标人提交的组织施工方案及按照物资投入情况、施工进度保证、施工现场管理、项目质量保证、项目风险应对等方面综合评定，要求方案详细完善。</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针对本项目提供的设备（系统）的</w:t>
            </w:r>
            <w:r>
              <w:rPr>
                <w:rFonts w:hint="eastAsia" w:ascii="仿宋" w:hAnsi="仿宋" w:eastAsia="仿宋" w:cs="仿宋"/>
                <w:color w:val="auto"/>
                <w:sz w:val="24"/>
                <w:highlight w:val="none"/>
                <w:lang w:eastAsia="zh-CN"/>
              </w:rPr>
              <w:t>迁移</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搬迁组织方案、网络搬迁方案、整体通信网络链路搬迁服务方案、设备搬迁计划、进度、对应的保障措施方案）的科学合理</w:t>
            </w:r>
            <w:r>
              <w:rPr>
                <w:rFonts w:hint="eastAsia" w:ascii="仿宋" w:hAnsi="仿宋" w:eastAsia="仿宋" w:cs="仿宋"/>
                <w:color w:val="auto"/>
                <w:sz w:val="24"/>
                <w:highlight w:val="none"/>
                <w:lang w:eastAsia="zh-CN"/>
              </w:rPr>
              <w:t>完整</w:t>
            </w:r>
            <w:r>
              <w:rPr>
                <w:rFonts w:hint="eastAsia" w:ascii="仿宋" w:hAnsi="仿宋" w:eastAsia="仿宋" w:cs="仿宋"/>
                <w:color w:val="auto"/>
                <w:sz w:val="24"/>
                <w:highlight w:val="none"/>
              </w:rPr>
              <w:t>程度进行打分。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处及以上瑕疵的：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迁移方案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针对本项目提供的设备（系统）的安装方案、调试方案的科学合理程度进行打分。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项目通信网络保障方案：投标方案的合理性、科学性、全面性（根据对投标项目的通信网络保障服务组织方案、实施计划、网络链路备份、云上业务灾备、响应服务措施以及独到优势等进行评价打分）。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处瑕疵的：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处及以上瑕疵的：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网络保障方案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应急响应方案：故障处理流程、保障应急预案的启动及后期处理是否合理，技术支撑保障、应急队伍保障、物资条件保障、供电保障是否合理等进行评价打分。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处瑕疵的：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处及以上瑕疵的：</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1）投标人拟派项目经理（项目负责人）具有高级工程师或信息系统项目管理师，得2分；项目经理具有中级工程师，得1分；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2）投标人拟派项目技术负责人具有高级工程师最高得1分；具有中级工程师最高得0.5分。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注：技术负责人与项目经理不能为同一人。</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证明材料：以上人员需提供相关证书证明和在职社保缴纳证明，否则不得分。</w:t>
            </w:r>
          </w:p>
        </w:tc>
        <w:tc>
          <w:tcPr>
            <w:tcW w:w="85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tc>
        <w:tc>
          <w:tcPr>
            <w:tcW w:w="170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项目经理及技术负责人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投标人项目组成员（除项目经理及项目技术负责人外）具有高级工程师职称（信息化相关）或信息系统项目管理师证书的：每提供1人得0.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分，不提供不得分。</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tc>
        <w:tc>
          <w:tcPr>
            <w:tcW w:w="170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拟派团队情况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5864" w:type="dxa"/>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对本项目的</w:t>
            </w:r>
            <w:r>
              <w:rPr>
                <w:rFonts w:hint="eastAsia" w:ascii="仿宋" w:hAnsi="仿宋" w:eastAsia="仿宋" w:cs="仿宋"/>
                <w:color w:val="auto"/>
                <w:sz w:val="24"/>
                <w:highlight w:val="none"/>
                <w:lang w:val="en-US" w:eastAsia="zh-CN"/>
              </w:rPr>
              <w:t>验收方案</w:t>
            </w:r>
            <w:r>
              <w:rPr>
                <w:rFonts w:hint="eastAsia" w:ascii="仿宋" w:hAnsi="仿宋" w:eastAsia="仿宋" w:cs="仿宋"/>
                <w:color w:val="auto"/>
                <w:sz w:val="24"/>
                <w:highlight w:val="none"/>
              </w:rPr>
              <w:t>及相应措施进行综合评定，要求方案详细完善。</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以上内容不存在瑕疵的：3分；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以上内容存在1处瑕疵的：2分；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以上内容存在2处瑕疵的：1分；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未提供方案或内容存在3处及以上瑕疵的：0分。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864" w:type="dxa"/>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提供的售后服务方案，包括①售后服务内容（包括日常巡检、平台维护、网络维护、运行环境维护、特殊时期巡检等）、②售后服务团队、③售后服务管理体系、④售后服务流程、⑤重大节日、特殊活动等紧急情况的应急方案等，要求方案完善合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rPr>
                <w:rFonts w:hint="eastAsia"/>
                <w:color w:val="auto"/>
                <w:szCs w:val="21"/>
                <w:highlight w:val="none"/>
              </w:rPr>
            </w:pPr>
            <w:r>
              <w:rPr>
                <w:rFonts w:hint="eastAsia" w:ascii="仿宋" w:hAnsi="仿宋" w:eastAsia="仿宋" w:cs="仿宋"/>
                <w:color w:val="auto"/>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864" w:type="dxa"/>
            <w:vAlign w:val="center"/>
          </w:tcPr>
          <w:p>
            <w:pPr>
              <w:snapToGrid w:val="0"/>
              <w:spacing w:line="360" w:lineRule="auto"/>
              <w:jc w:val="left"/>
              <w:rPr>
                <w:rFonts w:ascii="仿宋" w:hAnsi="仿宋" w:eastAsia="仿宋" w:cs="仿宋"/>
                <w:color w:val="auto"/>
                <w:sz w:val="24"/>
                <w:highlight w:val="none"/>
              </w:rPr>
            </w:pPr>
            <w:bookmarkStart w:id="550" w:name="_GoBack"/>
            <w:r>
              <w:rPr>
                <w:rFonts w:hint="eastAsia" w:ascii="仿宋" w:hAnsi="仿宋" w:eastAsia="仿宋" w:cs="仿宋"/>
                <w:color w:val="auto"/>
                <w:sz w:val="24"/>
                <w:highlight w:val="none"/>
              </w:rPr>
              <w:t>投标人提供的培训方案，包括培训方式、培训标准与目标承诺，要求方案完善合理。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以上内容不存在瑕疵的：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以上内容存在1处瑕疵的：</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以上内容存在2处瑕疵的：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以上内容存在3处及以上瑕疵的：</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未提供方案的：0分。</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550"/>
          </w:p>
        </w:tc>
        <w:tc>
          <w:tcPr>
            <w:tcW w:w="85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13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napToGrid w:val="0"/>
              <w:spacing w:line="360" w:lineRule="auto"/>
              <w:jc w:val="center"/>
              <w:rPr>
                <w:rFonts w:ascii="仿宋" w:hAnsi="仿宋" w:eastAsia="仿宋" w:cs="仿宋"/>
                <w:color w:val="auto"/>
                <w:sz w:val="24"/>
                <w:highlight w:val="none"/>
              </w:rPr>
            </w:pPr>
          </w:p>
        </w:tc>
        <w:tc>
          <w:tcPr>
            <w:tcW w:w="5864" w:type="dxa"/>
            <w:vAlign w:val="center"/>
          </w:tcPr>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15"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51" w:type="dxa"/>
            <w:vAlign w:val="center"/>
          </w:tcPr>
          <w:p>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134" w:type="dxa"/>
            <w:vAlign w:val="center"/>
          </w:tcPr>
          <w:p>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701" w:type="dxa"/>
            <w:vAlign w:val="center"/>
          </w:tcPr>
          <w:p>
            <w:pPr>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adjustRightInd/>
        <w:spacing w:line="360" w:lineRule="auto"/>
        <w:rPr>
          <w:rFonts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4"/>
        <w:rPr>
          <w:color w:val="auto"/>
          <w:highlight w:val="none"/>
        </w:rPr>
      </w:pPr>
      <w:r>
        <w:rPr>
          <w:rFonts w:hint="eastAsia"/>
          <w:color w:val="auto"/>
          <w:highlight w:val="none"/>
        </w:rPr>
        <w:t>3.4.1投标文件报价出现前后不一致的，按照下列规定修正：</w:t>
      </w:r>
    </w:p>
    <w:p>
      <w:pPr>
        <w:pStyle w:val="134"/>
        <w:rPr>
          <w:color w:val="auto"/>
          <w:highlight w:val="none"/>
        </w:rPr>
      </w:pPr>
      <w:r>
        <w:rPr>
          <w:rFonts w:hint="eastAsia"/>
          <w:color w:val="auto"/>
          <w:highlight w:val="none"/>
        </w:rPr>
        <w:t>3.4.1.1投标文件中开标一览表(报价表)内容与投标文件中相应内容不一致的，以开标一览表(报价表)为准;</w:t>
      </w:r>
    </w:p>
    <w:p>
      <w:pPr>
        <w:pStyle w:val="134"/>
        <w:rPr>
          <w:color w:val="auto"/>
          <w:highlight w:val="none"/>
        </w:rPr>
      </w:pPr>
      <w:r>
        <w:rPr>
          <w:rFonts w:hint="eastAsia"/>
          <w:color w:val="auto"/>
          <w:highlight w:val="none"/>
        </w:rPr>
        <w:t>3.4.1.2大写金额和小写金额不一致的，以大写金额为准;</w:t>
      </w:r>
    </w:p>
    <w:p>
      <w:pPr>
        <w:pStyle w:val="134"/>
        <w:rPr>
          <w:color w:val="auto"/>
          <w:highlight w:val="none"/>
        </w:rPr>
      </w:pPr>
      <w:r>
        <w:rPr>
          <w:rFonts w:hint="eastAsia"/>
          <w:color w:val="auto"/>
          <w:highlight w:val="none"/>
        </w:rPr>
        <w:t>3.4.1.3单价金额小数点或者百分比有明显错位的，以开标一览表的总价为准，并修改单价;</w:t>
      </w:r>
    </w:p>
    <w:p>
      <w:pPr>
        <w:pStyle w:val="134"/>
        <w:rPr>
          <w:color w:val="auto"/>
          <w:highlight w:val="none"/>
        </w:rPr>
      </w:pPr>
      <w:r>
        <w:rPr>
          <w:rFonts w:hint="eastAsia"/>
          <w:color w:val="auto"/>
          <w:highlight w:val="none"/>
        </w:rPr>
        <w:t>3.4.1.4总价金额与按单价汇总金额不一致的，以单价金额计算结果为准。</w:t>
      </w:r>
    </w:p>
    <w:p>
      <w:pPr>
        <w:pStyle w:val="134"/>
        <w:rPr>
          <w:color w:val="auto"/>
          <w:highlight w:val="none"/>
        </w:rPr>
      </w:pPr>
      <w:r>
        <w:rPr>
          <w:rFonts w:hint="eastAsia"/>
          <w:color w:val="auto"/>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4"/>
        <w:rPr>
          <w:color w:val="auto"/>
          <w:highlight w:val="none"/>
        </w:rPr>
      </w:pPr>
      <w:r>
        <w:rPr>
          <w:rFonts w:hint="eastAsia"/>
          <w:color w:val="auto"/>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5" w:name="_Toc86217003"/>
    </w:p>
    <w:p>
      <w:pPr>
        <w:spacing w:line="360" w:lineRule="auto"/>
        <w:ind w:left="720" w:leftChars="343" w:firstLine="1084" w:firstLineChars="300"/>
        <w:outlineLvl w:val="0"/>
        <w:rPr>
          <w:rFonts w:ascii="仿宋" w:hAnsi="仿宋" w:eastAsia="仿宋" w:cs="仿宋"/>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181"/>
          <w:kern w:val="0"/>
          <w:sz w:val="36"/>
          <w:szCs w:val="36"/>
          <w:highlight w:val="none"/>
          <w:fitText w:val="1083" w:id="-993875200"/>
        </w:rPr>
        <w:t>分</w:t>
      </w:r>
      <w:r>
        <w:rPr>
          <w:rFonts w:hint="eastAsia" w:ascii="仿宋" w:hAnsi="仿宋" w:eastAsia="仿宋" w:cs="仿宋"/>
          <w:b/>
          <w:color w:val="auto"/>
          <w:spacing w:val="0"/>
          <w:kern w:val="0"/>
          <w:sz w:val="36"/>
          <w:szCs w:val="36"/>
          <w:highlight w:val="none"/>
          <w:fitText w:val="1083" w:id="-993875200"/>
        </w:rPr>
        <w:t>拟</w:t>
      </w:r>
      <w:r>
        <w:rPr>
          <w:rFonts w:hint="eastAsia" w:ascii="仿宋" w:hAnsi="仿宋" w:eastAsia="仿宋" w:cs="仿宋"/>
          <w:b/>
          <w:color w:val="auto"/>
          <w:sz w:val="36"/>
          <w:szCs w:val="36"/>
          <w:highlight w:val="none"/>
        </w:rPr>
        <w:t>签订的合同文本</w:t>
      </w:r>
    </w:p>
    <w:p>
      <w:pPr>
        <w:spacing w:line="14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144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1"/>
        <w:spacing w:line="720" w:lineRule="auto"/>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w:t>
      </w:r>
      <w:r>
        <w:rPr>
          <w:rFonts w:hint="eastAsia" w:ascii="仿宋" w:hAnsi="仿宋" w:eastAsia="仿宋" w:cs="仿宋"/>
          <w:b/>
          <w:color w:val="auto"/>
          <w:spacing w:val="121"/>
          <w:kern w:val="0"/>
          <w:szCs w:val="24"/>
          <w:highlight w:val="none"/>
          <w:fitText w:val="723" w:id="-993838847"/>
        </w:rPr>
        <w:t>分</w:t>
      </w:r>
      <w:r>
        <w:rPr>
          <w:rFonts w:hint="eastAsia" w:ascii="仿宋" w:hAnsi="仿宋" w:eastAsia="仿宋" w:cs="仿宋"/>
          <w:b/>
          <w:color w:val="auto"/>
          <w:spacing w:val="0"/>
          <w:kern w:val="0"/>
          <w:szCs w:val="24"/>
          <w:highlight w:val="none"/>
          <w:fitText w:val="723" w:id="-993838847"/>
        </w:rPr>
        <w:t>合</w:t>
      </w:r>
      <w:r>
        <w:rPr>
          <w:rFonts w:hint="eastAsia" w:ascii="仿宋" w:hAnsi="仿宋" w:eastAsia="仿宋" w:cs="仿宋"/>
          <w:b/>
          <w:color w:val="auto"/>
          <w:szCs w:val="24"/>
          <w:highlight w:val="none"/>
        </w:rPr>
        <w:t>同书</w:t>
      </w:r>
    </w:p>
    <w:p>
      <w:pPr>
        <w:spacing w:before="120" w:line="720" w:lineRule="auto"/>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上城区检察院大楼信息化建设项目</w:t>
      </w:r>
    </w:p>
    <w:p>
      <w:pPr>
        <w:spacing w:before="120" w:line="48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杭州市上城区机关事务中心</w:t>
      </w:r>
    </w:p>
    <w:p>
      <w:pPr>
        <w:spacing w:before="120" w:line="48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60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2024年    月    日</w:t>
      </w:r>
      <w:r>
        <w:rPr>
          <w:rFonts w:hint="eastAsia" w:ascii="仿宋" w:hAnsi="仿宋" w:eastAsia="仿宋" w:cs="仿宋"/>
          <w:color w:val="auto"/>
          <w:sz w:val="24"/>
          <w:szCs w:val="24"/>
          <w:highlight w:val="none"/>
        </w:rPr>
        <w:t>，杭州市上城区机关事务中心以公开招标的政府采购方式对上城区检察院大楼信息化建设项目（编号：   ）项目进行了采购。经评标委员会评定，（中标或者成交供应商名称）为该项目中标或者成交供应商。现于中标或者成交通知书发出之日起10个工作日内，按照采购文件等确定的事项签订本合同。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杭州市上城区机关事务中心</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（中标或者成交供应商名称）</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spacing w:line="360" w:lineRule="auto"/>
        <w:ind w:firstLine="0" w:firstLineChars="0"/>
        <w:outlineLvl w:val="9"/>
        <w:rPr>
          <w:rFonts w:hint="eastAsia" w:ascii="仿宋" w:hAnsi="仿宋" w:eastAsia="仿宋" w:cs="仿宋"/>
          <w:color w:val="auto"/>
          <w:sz w:val="24"/>
          <w:szCs w:val="24"/>
          <w:highlight w:val="none"/>
        </w:rPr>
      </w:pPr>
      <w:bookmarkStart w:id="396" w:name="_Toc24059"/>
      <w:bookmarkStart w:id="397" w:name="_Toc3029"/>
      <w:bookmarkStart w:id="398" w:name="_Toc2232"/>
      <w:r>
        <w:rPr>
          <w:rFonts w:hint="eastAsia" w:ascii="仿宋" w:hAnsi="仿宋" w:eastAsia="仿宋" w:cs="仿宋"/>
          <w:color w:val="auto"/>
          <w:sz w:val="24"/>
          <w:szCs w:val="24"/>
          <w:highlight w:val="none"/>
        </w:rPr>
        <w:t>1.1合同组成部分</w:t>
      </w:r>
      <w:bookmarkEnd w:id="396"/>
      <w:bookmarkEnd w:id="397"/>
      <w:bookmarkEnd w:id="398"/>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1.1.1本合同及其补充合同、变更协议；</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1.1.2中标或者成交通知书；</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1.1.3投标或者响应文件（含澄清或者说明文件）；</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1.1.4采购文件（含澄清或者修改文件）；</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1.1.5其他相关采购文件。</w:t>
      </w:r>
    </w:p>
    <w:p>
      <w:pPr>
        <w:spacing w:line="360" w:lineRule="auto"/>
        <w:ind w:firstLine="0" w:firstLineChars="0"/>
        <w:outlineLvl w:val="9"/>
        <w:rPr>
          <w:rFonts w:hint="eastAsia" w:ascii="仿宋" w:hAnsi="仿宋" w:eastAsia="仿宋" w:cs="仿宋"/>
          <w:color w:val="auto"/>
          <w:sz w:val="24"/>
          <w:szCs w:val="24"/>
          <w:highlight w:val="none"/>
        </w:rPr>
      </w:pPr>
      <w:bookmarkStart w:id="399" w:name="_Toc24300"/>
      <w:bookmarkStart w:id="400" w:name="_Toc27126"/>
      <w:bookmarkStart w:id="401" w:name="_Toc21295"/>
      <w:r>
        <w:rPr>
          <w:rFonts w:hint="eastAsia" w:ascii="仿宋" w:hAnsi="仿宋" w:eastAsia="仿宋" w:cs="仿宋"/>
          <w:color w:val="auto"/>
          <w:sz w:val="24"/>
          <w:szCs w:val="24"/>
          <w:highlight w:val="none"/>
        </w:rPr>
        <w:t>1.2货物</w:t>
      </w:r>
      <w:bookmarkEnd w:id="399"/>
      <w:bookmarkEnd w:id="400"/>
      <w:bookmarkEnd w:id="401"/>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1.2.1货物名称、品牌、规格型号、花色：                          ；</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1.2.2货物数量：                                                ；</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1.2.3货物质量：                                                ；</w:t>
      </w:r>
    </w:p>
    <w:p>
      <w:pPr>
        <w:spacing w:line="360" w:lineRule="auto"/>
        <w:ind w:firstLine="0" w:firstLineChars="0"/>
        <w:outlineLvl w:val="9"/>
        <w:rPr>
          <w:rFonts w:hint="eastAsia" w:ascii="仿宋" w:hAnsi="仿宋" w:eastAsia="仿宋" w:cs="仿宋"/>
          <w:color w:val="auto"/>
          <w:sz w:val="24"/>
          <w:szCs w:val="24"/>
          <w:highlight w:val="none"/>
        </w:rPr>
      </w:pPr>
      <w:bookmarkStart w:id="402" w:name="_Toc21631"/>
      <w:bookmarkStart w:id="403" w:name="_Toc21551"/>
      <w:bookmarkStart w:id="404" w:name="_Toc23292"/>
      <w:r>
        <w:rPr>
          <w:rFonts w:hint="eastAsia" w:ascii="仿宋" w:hAnsi="仿宋" w:eastAsia="仿宋" w:cs="仿宋"/>
          <w:color w:val="auto"/>
          <w:sz w:val="24"/>
          <w:szCs w:val="24"/>
          <w:highlight w:val="none"/>
        </w:rPr>
        <w:t>1.3价款</w:t>
      </w:r>
      <w:bookmarkEnd w:id="402"/>
      <w:bookmarkEnd w:id="403"/>
      <w:bookmarkEnd w:id="404"/>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1.3.1本合同总价暂定为（含税）为：￥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元人民币）。最终结算价以审计结果为准，最终结算总价不超过合同总价           元。乙方包工包料，包质量，包安全，包工期，包验收。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1.3.2本合同一经签订，本合同综合单价不随原材料及产品市场价格的变化做任何调整。</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1.3.3 本合同货物名称、规格数量及综合单价详见本合同附件。 </w:t>
      </w:r>
    </w:p>
    <w:p>
      <w:pPr>
        <w:spacing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rPr>
                <w:rFonts w:hint="eastAsia" w:ascii="仿宋" w:hAnsi="仿宋" w:eastAsia="仿宋" w:cs="仿宋"/>
                <w:color w:val="auto"/>
                <w:sz w:val="24"/>
                <w:szCs w:val="24"/>
                <w:highlight w:val="none"/>
              </w:rPr>
            </w:pPr>
          </w:p>
        </w:tc>
      </w:tr>
    </w:tbl>
    <w:p>
      <w:pPr>
        <w:spacing w:line="360" w:lineRule="auto"/>
        <w:ind w:firstLine="0" w:firstLineChars="0"/>
        <w:outlineLvl w:val="9"/>
        <w:rPr>
          <w:rFonts w:hint="eastAsia" w:ascii="仿宋" w:hAnsi="仿宋" w:eastAsia="仿宋" w:cs="仿宋"/>
          <w:color w:val="auto"/>
          <w:sz w:val="24"/>
          <w:szCs w:val="24"/>
          <w:highlight w:val="none"/>
        </w:rPr>
      </w:pPr>
      <w:bookmarkStart w:id="405" w:name="_Toc1814"/>
      <w:bookmarkStart w:id="406" w:name="_Toc22618"/>
      <w:bookmarkStart w:id="407" w:name="_Toc10340"/>
      <w:r>
        <w:rPr>
          <w:rFonts w:hint="eastAsia" w:ascii="仿宋" w:hAnsi="仿宋" w:eastAsia="仿宋" w:cs="仿宋"/>
          <w:color w:val="auto"/>
          <w:sz w:val="24"/>
          <w:szCs w:val="24"/>
          <w:highlight w:val="none"/>
        </w:rPr>
        <w:t>1.4履约保证金</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（是/否）需要支付履约保证金。若需要支付履约保证金的，则：</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1.4.1履约保证金的比例为合同金额的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1.4.2履约保证金支付方式详见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1.4.4甲方在项目验收结束后及时退还履约保证金。甲方在项目通过验收之日起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bookmarkEnd w:id="405"/>
      <w:bookmarkEnd w:id="406"/>
      <w:bookmarkEnd w:id="407"/>
      <w:r>
        <w:rPr>
          <w:rFonts w:hint="eastAsia" w:ascii="仿宋" w:hAnsi="仿宋" w:eastAsia="仿宋" w:cs="仿宋"/>
          <w:color w:val="auto"/>
          <w:sz w:val="24"/>
          <w:szCs w:val="24"/>
          <w:highlight w:val="none"/>
        </w:rPr>
        <w:t>预付款</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1.5.1预付款比例、支付方式、时间详见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1.6资金支付</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b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bookmarkStart w:id="408" w:name="_Toc2846"/>
      <w:bookmarkStart w:id="409" w:name="_Toc19304"/>
      <w:bookmarkStart w:id="410" w:name="_Toc32071"/>
      <w:r>
        <w:rPr>
          <w:rFonts w:hint="eastAsia" w:ascii="仿宋" w:hAnsi="仿宋" w:eastAsia="仿宋" w:cs="仿宋"/>
          <w:color w:val="auto"/>
          <w:sz w:val="24"/>
          <w:szCs w:val="24"/>
          <w:highlight w:val="none"/>
        </w:rPr>
        <w:t>1.7货物交付期限、地点和方式</w:t>
      </w:r>
      <w:bookmarkEnd w:id="408"/>
      <w:bookmarkEnd w:id="409"/>
      <w:bookmarkEnd w:id="410"/>
    </w:p>
    <w:p>
      <w:pPr>
        <w:spacing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bookmarkStart w:id="411" w:name="_Toc27250"/>
      <w:bookmarkStart w:id="412" w:name="_Toc21423"/>
      <w:bookmarkStart w:id="413" w:name="_Toc19554"/>
      <w:r>
        <w:rPr>
          <w:rFonts w:hint="eastAsia" w:ascii="仿宋" w:hAnsi="仿宋" w:eastAsia="仿宋" w:cs="仿宋"/>
          <w:color w:val="auto"/>
          <w:sz w:val="24"/>
          <w:szCs w:val="24"/>
          <w:highlight w:val="none"/>
        </w:rPr>
        <w:t>1.8违约责任</w:t>
      </w:r>
      <w:bookmarkEnd w:id="411"/>
      <w:bookmarkEnd w:id="412"/>
      <w:bookmarkEnd w:id="413"/>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0" w:leftChars="0" w:right="0"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pPr>
        <w:spacing w:line="360" w:lineRule="auto"/>
        <w:ind w:firstLine="0" w:firstLineChars="0"/>
        <w:outlineLvl w:val="9"/>
        <w:rPr>
          <w:rFonts w:hint="eastAsia" w:ascii="仿宋" w:hAnsi="仿宋" w:eastAsia="仿宋" w:cs="仿宋"/>
          <w:color w:val="auto"/>
          <w:sz w:val="24"/>
          <w:szCs w:val="24"/>
          <w:highlight w:val="none"/>
        </w:rPr>
      </w:pPr>
      <w:bookmarkStart w:id="414" w:name="_Toc15583"/>
      <w:bookmarkStart w:id="415" w:name="_Toc28375"/>
      <w:bookmarkStart w:id="416" w:name="_Toc16021"/>
      <w:r>
        <w:rPr>
          <w:rFonts w:hint="eastAsia" w:ascii="仿宋" w:hAnsi="仿宋" w:eastAsia="仿宋" w:cs="仿宋"/>
          <w:color w:val="auto"/>
          <w:sz w:val="24"/>
          <w:szCs w:val="24"/>
          <w:highlight w:val="none"/>
        </w:rPr>
        <w:t>1.9合同争议的解决</w:t>
      </w:r>
      <w:bookmarkEnd w:id="414"/>
      <w:bookmarkEnd w:id="415"/>
      <w:bookmarkEnd w:id="416"/>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1.9.2</w:t>
      </w:r>
      <w:r>
        <w:rPr>
          <w:rFonts w:hint="eastAsia" w:ascii="仿宋" w:hAnsi="仿宋" w:eastAsia="仿宋" w:cs="仿宋"/>
          <w:color w:val="auto"/>
          <w:sz w:val="24"/>
          <w:szCs w:val="24"/>
          <w:highlight w:val="none"/>
        </w:rPr>
        <w:t>条款规定的方式解决：</w:t>
      </w:r>
    </w:p>
    <w:p>
      <w:pPr>
        <w:spacing w:line="360" w:lineRule="auto"/>
        <w:ind w:left="0" w:leftChars="0" w:right="0"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360" w:lineRule="auto"/>
        <w:ind w:left="0" w:leftChars="0" w:right="0"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pPr>
        <w:spacing w:line="360" w:lineRule="auto"/>
        <w:ind w:firstLine="0" w:firstLineChars="0"/>
        <w:outlineLvl w:val="9"/>
        <w:rPr>
          <w:rFonts w:hint="eastAsia" w:ascii="仿宋" w:hAnsi="仿宋" w:eastAsia="仿宋" w:cs="仿宋"/>
          <w:color w:val="auto"/>
          <w:sz w:val="24"/>
          <w:szCs w:val="24"/>
          <w:highlight w:val="none"/>
        </w:rPr>
      </w:pPr>
      <w:bookmarkStart w:id="417" w:name="_Toc7245"/>
      <w:bookmarkStart w:id="418" w:name="_Toc11173"/>
      <w:bookmarkStart w:id="419" w:name="_Toc15322"/>
      <w:r>
        <w:rPr>
          <w:rFonts w:hint="eastAsia" w:ascii="仿宋" w:hAnsi="仿宋" w:eastAsia="仿宋" w:cs="仿宋"/>
          <w:color w:val="auto"/>
          <w:sz w:val="24"/>
          <w:szCs w:val="24"/>
          <w:highlight w:val="none"/>
        </w:rPr>
        <w:t>2.0合同生效</w:t>
      </w:r>
      <w:bookmarkEnd w:id="417"/>
      <w:bookmarkEnd w:id="418"/>
      <w:bookmarkEnd w:id="419"/>
    </w:p>
    <w:p>
      <w:pPr>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autoSpaceDE/>
        <w:autoSpaceDN/>
        <w:spacing w:line="360" w:lineRule="auto"/>
        <w:rPr>
          <w:rFonts w:hint="eastAsia" w:ascii="仿宋" w:hAnsi="仿宋" w:eastAsia="仿宋" w:cs="仿宋"/>
          <w:color w:val="auto"/>
          <w:sz w:val="24"/>
          <w:szCs w:val="24"/>
          <w:highlight w:val="none"/>
          <w:lang w:val="zh-CN"/>
        </w:rPr>
      </w:pP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电话:                                    电话:</w:t>
      </w:r>
    </w:p>
    <w:p>
      <w:pPr>
        <w:autoSpaceDE/>
        <w:autoSpaceDN/>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autoSpaceDE/>
        <w:autoSpaceDN/>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autoSpaceDE/>
        <w:autoSpaceDN/>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autoSpaceDE/>
        <w:autoSpaceDN/>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开户名称：</w:t>
      </w:r>
    </w:p>
    <w:p>
      <w:pPr>
        <w:autoSpaceDE/>
        <w:autoSpaceDN/>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pPr>
        <w:pStyle w:val="701"/>
        <w:spacing w:line="560" w:lineRule="exact"/>
        <w:ind w:left="0" w:leftChars="0" w:firstLine="0" w:firstLineChars="0"/>
        <w:rPr>
          <w:rFonts w:hint="eastAsia" w:ascii="仿宋" w:hAnsi="仿宋" w:eastAsia="仿宋" w:cs="仿宋"/>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1"/>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w:t>
      </w:r>
      <w:r>
        <w:rPr>
          <w:rFonts w:hint="eastAsia" w:ascii="仿宋" w:hAnsi="仿宋" w:eastAsia="仿宋" w:cs="仿宋"/>
          <w:color w:val="auto"/>
          <w:spacing w:val="121"/>
          <w:kern w:val="0"/>
          <w:sz w:val="24"/>
          <w:szCs w:val="24"/>
          <w:highlight w:val="none"/>
          <w:fitText w:val="723" w:id="1589453388"/>
        </w:rPr>
        <w:t>分</w:t>
      </w:r>
      <w:r>
        <w:rPr>
          <w:rFonts w:hint="eastAsia" w:ascii="仿宋" w:hAnsi="仿宋" w:eastAsia="仿宋" w:cs="仿宋"/>
          <w:color w:val="auto"/>
          <w:spacing w:val="0"/>
          <w:kern w:val="0"/>
          <w:sz w:val="24"/>
          <w:szCs w:val="24"/>
          <w:highlight w:val="none"/>
          <w:fitText w:val="723" w:id="1589453388"/>
        </w:rPr>
        <w:t>合</w:t>
      </w:r>
      <w:r>
        <w:rPr>
          <w:rFonts w:hint="eastAsia" w:ascii="仿宋" w:hAnsi="仿宋" w:eastAsia="仿宋" w:cs="仿宋"/>
          <w:color w:val="auto"/>
          <w:sz w:val="24"/>
          <w:szCs w:val="24"/>
          <w:highlight w:val="none"/>
        </w:rPr>
        <w:t>同一般条款</w:t>
      </w:r>
    </w:p>
    <w:p>
      <w:pPr>
        <w:spacing w:line="360" w:lineRule="auto"/>
        <w:ind w:firstLine="0" w:firstLineChars="0"/>
        <w:outlineLvl w:val="9"/>
        <w:rPr>
          <w:rFonts w:hint="eastAsia" w:ascii="仿宋" w:hAnsi="仿宋" w:eastAsia="仿宋" w:cs="仿宋"/>
          <w:color w:val="auto"/>
          <w:sz w:val="24"/>
          <w:szCs w:val="24"/>
          <w:highlight w:val="none"/>
        </w:rPr>
      </w:pPr>
      <w:bookmarkStart w:id="420" w:name="_Ref467379101"/>
      <w:bookmarkStart w:id="421" w:name="_Toc28763"/>
      <w:bookmarkStart w:id="422" w:name="_Ref467379225"/>
      <w:bookmarkStart w:id="423" w:name="_Ref467379214"/>
      <w:bookmarkStart w:id="424" w:name="_Toc19614"/>
      <w:bookmarkStart w:id="425" w:name="_Ref467379109"/>
      <w:bookmarkStart w:id="426" w:name="_Ref467378499"/>
      <w:bookmarkStart w:id="427" w:name="_Toc16917"/>
      <w:bookmarkStart w:id="428" w:name="_Toc259093669"/>
      <w:bookmarkStart w:id="429" w:name="_Ref467379094"/>
      <w:bookmarkStart w:id="430" w:name="_Ref467379195"/>
      <w:bookmarkStart w:id="431" w:name="_Toc487900349"/>
      <w:bookmarkStart w:id="432" w:name="_Ref467378463"/>
      <w:bookmarkStart w:id="433" w:name="_Ref467378404"/>
      <w:bookmarkStart w:id="434" w:name="_Toc279701240"/>
      <w:bookmarkStart w:id="435" w:name="_Ref467379205"/>
      <w:r>
        <w:rPr>
          <w:rFonts w:hint="eastAsia" w:ascii="仿宋" w:hAnsi="仿宋" w:eastAsia="仿宋" w:cs="仿宋"/>
          <w:color w:val="auto"/>
          <w:sz w:val="24"/>
          <w:szCs w:val="24"/>
          <w:highlight w:val="none"/>
        </w:rPr>
        <w:t>2.1定义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2.1.1“合同”系指采购人和中标或成交供应商签订的载明双方当事人所达成的协议，并包括所有的附件、附录和构成合同的其他文件。</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2.1.2“合同价”系指根据合同约定，中标或成交供应商在完全履行合同义务后，采购人应支付给中标或成交供应商的价格。</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0" w:firstLineChars="0"/>
        <w:rPr>
          <w:rFonts w:hint="eastAsia" w:ascii="仿宋" w:hAnsi="仿宋" w:eastAsia="仿宋" w:cs="仿宋"/>
          <w:color w:val="auto"/>
          <w:sz w:val="24"/>
          <w:szCs w:val="24"/>
          <w:highlight w:val="none"/>
        </w:rPr>
      </w:pPr>
      <w:bookmarkStart w:id="436" w:name="_Ref467378840"/>
      <w:r>
        <w:rPr>
          <w:rFonts w:hint="eastAsia" w:ascii="仿宋" w:hAnsi="仿宋" w:eastAsia="仿宋" w:cs="仿宋"/>
          <w:color w:val="auto"/>
          <w:sz w:val="24"/>
          <w:szCs w:val="24"/>
          <w:highlight w:val="none"/>
        </w:rPr>
        <w:t>2.1.4“甲方”系指与中标或成交供应商签署合同的采购人</w:t>
      </w:r>
      <w:bookmarkEnd w:id="436"/>
      <w:r>
        <w:rPr>
          <w:rFonts w:hint="eastAsia" w:ascii="仿宋" w:hAnsi="仿宋" w:eastAsia="仿宋" w:cs="仿宋"/>
          <w:color w:val="auto"/>
          <w:sz w:val="24"/>
          <w:szCs w:val="24"/>
          <w:highlight w:val="none"/>
        </w:rPr>
        <w:t>；采购人委托采购代理机构代表其与乙方签订合同的，采购人的授权委托书作为合同附件。</w:t>
      </w:r>
    </w:p>
    <w:p>
      <w:pPr>
        <w:spacing w:line="360" w:lineRule="auto"/>
        <w:ind w:firstLine="0" w:firstLineChars="0"/>
        <w:rPr>
          <w:rFonts w:hint="eastAsia" w:ascii="仿宋" w:hAnsi="仿宋" w:eastAsia="仿宋" w:cs="仿宋"/>
          <w:color w:val="auto"/>
          <w:sz w:val="24"/>
          <w:szCs w:val="24"/>
          <w:highlight w:val="none"/>
        </w:rPr>
      </w:pPr>
      <w:bookmarkStart w:id="437" w:name="_Ref467379400"/>
      <w:r>
        <w:rPr>
          <w:rFonts w:hint="eastAsia" w:ascii="仿宋" w:hAnsi="仿宋" w:eastAsia="仿宋" w:cs="仿宋"/>
          <w:color w:val="auto"/>
          <w:sz w:val="24"/>
          <w:szCs w:val="24"/>
          <w:highlight w:val="none"/>
        </w:rPr>
        <w:t>2.1.5“乙方”系指根据合同约定交付货物的中标或成交供应商</w:t>
      </w:r>
      <w:bookmarkEnd w:id="437"/>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0" w:firstLineChars="0"/>
        <w:rPr>
          <w:rFonts w:hint="eastAsia" w:ascii="仿宋" w:hAnsi="仿宋" w:eastAsia="仿宋" w:cs="仿宋"/>
          <w:color w:val="auto"/>
          <w:sz w:val="24"/>
          <w:szCs w:val="24"/>
          <w:highlight w:val="none"/>
        </w:rPr>
      </w:pPr>
      <w:bookmarkStart w:id="438" w:name="_Ref467379436"/>
      <w:r>
        <w:rPr>
          <w:rFonts w:hint="eastAsia" w:ascii="仿宋" w:hAnsi="仿宋" w:eastAsia="仿宋" w:cs="仿宋"/>
          <w:color w:val="auto"/>
          <w:sz w:val="24"/>
          <w:szCs w:val="24"/>
          <w:highlight w:val="none"/>
        </w:rPr>
        <w:t>2.1.6“现场”系指合同约定货物将要运至或者安装的地点。</w:t>
      </w:r>
      <w:bookmarkEnd w:id="438"/>
    </w:p>
    <w:p>
      <w:pPr>
        <w:spacing w:line="360" w:lineRule="auto"/>
        <w:ind w:firstLine="0" w:firstLineChars="0"/>
        <w:outlineLvl w:val="9"/>
        <w:rPr>
          <w:rFonts w:hint="eastAsia" w:ascii="仿宋" w:hAnsi="仿宋" w:eastAsia="仿宋" w:cs="仿宋"/>
          <w:color w:val="auto"/>
          <w:sz w:val="24"/>
          <w:szCs w:val="24"/>
          <w:highlight w:val="none"/>
        </w:rPr>
      </w:pPr>
      <w:bookmarkStart w:id="439" w:name="_Toc279701241"/>
      <w:bookmarkStart w:id="440" w:name="_Toc13336"/>
      <w:bookmarkStart w:id="441" w:name="_Toc32504"/>
      <w:bookmarkStart w:id="442" w:name="_Toc259093670"/>
      <w:bookmarkStart w:id="443" w:name="_Toc27635"/>
      <w:bookmarkStart w:id="444" w:name="_Toc487900350"/>
      <w:r>
        <w:rPr>
          <w:rFonts w:hint="eastAsia" w:ascii="仿宋" w:hAnsi="仿宋" w:eastAsia="仿宋" w:cs="仿宋"/>
          <w:color w:val="auto"/>
          <w:sz w:val="24"/>
          <w:szCs w:val="24"/>
          <w:highlight w:val="none"/>
        </w:rPr>
        <w:t>2.2技术规范</w:t>
      </w:r>
      <w:bookmarkEnd w:id="439"/>
      <w:bookmarkEnd w:id="440"/>
      <w:bookmarkEnd w:id="441"/>
      <w:bookmarkEnd w:id="442"/>
      <w:bookmarkEnd w:id="443"/>
      <w:bookmarkEnd w:id="444"/>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0" w:firstLineChars="0"/>
        <w:outlineLvl w:val="9"/>
        <w:rPr>
          <w:rFonts w:hint="eastAsia" w:ascii="仿宋" w:hAnsi="仿宋" w:eastAsia="仿宋" w:cs="仿宋"/>
          <w:color w:val="auto"/>
          <w:sz w:val="24"/>
          <w:szCs w:val="24"/>
          <w:highlight w:val="none"/>
        </w:rPr>
      </w:pPr>
      <w:bookmarkStart w:id="445" w:name="_Toc279701242"/>
      <w:bookmarkStart w:id="446" w:name="_Toc487900351"/>
      <w:bookmarkStart w:id="447" w:name="_Toc9829"/>
      <w:bookmarkStart w:id="448" w:name="_Toc31634"/>
      <w:bookmarkStart w:id="449" w:name="_Toc259093671"/>
      <w:bookmarkStart w:id="450" w:name="_Toc27853"/>
      <w:r>
        <w:rPr>
          <w:rFonts w:hint="eastAsia" w:ascii="仿宋" w:hAnsi="仿宋" w:eastAsia="仿宋" w:cs="仿宋"/>
          <w:color w:val="auto"/>
          <w:sz w:val="24"/>
          <w:szCs w:val="24"/>
          <w:highlight w:val="none"/>
        </w:rPr>
        <w:t>2.3知识产权</w:t>
      </w:r>
      <w:bookmarkEnd w:id="445"/>
      <w:bookmarkEnd w:id="446"/>
      <w:bookmarkEnd w:id="447"/>
      <w:bookmarkEnd w:id="448"/>
      <w:bookmarkEnd w:id="449"/>
      <w:bookmarkEnd w:id="450"/>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bookmarkStart w:id="451" w:name="_Toc29149"/>
      <w:bookmarkStart w:id="452" w:name="_Toc4194"/>
      <w:bookmarkStart w:id="453" w:name="_Toc11932"/>
      <w:r>
        <w:rPr>
          <w:rFonts w:hint="eastAsia" w:ascii="仿宋" w:hAnsi="仿宋" w:eastAsia="仿宋" w:cs="仿宋"/>
          <w:color w:val="auto"/>
          <w:sz w:val="24"/>
          <w:szCs w:val="24"/>
          <w:highlight w:val="none"/>
        </w:rPr>
        <w:t>2.4包装和装运</w:t>
      </w:r>
      <w:bookmarkEnd w:id="451"/>
      <w:bookmarkEnd w:id="452"/>
      <w:bookmarkEnd w:id="453"/>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2.4.3装运货物的要求和通知，详见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bookmarkStart w:id="454" w:name="_Ref467378591"/>
      <w:bookmarkStart w:id="455" w:name="_Toc279701245"/>
      <w:bookmarkStart w:id="456" w:name="_Ref467379527"/>
      <w:bookmarkStart w:id="457" w:name="_Ref467378541"/>
      <w:bookmarkStart w:id="458" w:name="_Ref467379542"/>
      <w:bookmarkStart w:id="459" w:name="_Toc487900354"/>
      <w:bookmarkStart w:id="460" w:name="_Ref467379536"/>
      <w:bookmarkStart w:id="461" w:name="_Toc259093674"/>
      <w:bookmarkStart w:id="462" w:name="_Toc26182"/>
      <w:bookmarkStart w:id="463" w:name="_Toc30272"/>
      <w:bookmarkStart w:id="464" w:name="_Toc19074"/>
      <w:r>
        <w:rPr>
          <w:rFonts w:hint="eastAsia" w:ascii="仿宋" w:hAnsi="仿宋" w:eastAsia="仿宋" w:cs="仿宋"/>
          <w:color w:val="auto"/>
          <w:sz w:val="24"/>
          <w:szCs w:val="24"/>
          <w:highlight w:val="none"/>
        </w:rPr>
        <w:t>2.</w:t>
      </w:r>
      <w:bookmarkEnd w:id="454"/>
      <w:bookmarkEnd w:id="455"/>
      <w:bookmarkEnd w:id="456"/>
      <w:bookmarkEnd w:id="457"/>
      <w:bookmarkEnd w:id="458"/>
      <w:bookmarkEnd w:id="459"/>
      <w:bookmarkEnd w:id="460"/>
      <w:bookmarkEnd w:id="461"/>
      <w:r>
        <w:rPr>
          <w:rFonts w:hint="eastAsia" w:ascii="仿宋" w:hAnsi="仿宋" w:eastAsia="仿宋" w:cs="仿宋"/>
          <w:color w:val="auto"/>
          <w:sz w:val="24"/>
          <w:szCs w:val="24"/>
          <w:highlight w:val="none"/>
        </w:rPr>
        <w:t>5履约检查和问题反馈</w:t>
      </w:r>
      <w:bookmarkEnd w:id="462"/>
      <w:bookmarkEnd w:id="463"/>
      <w:bookmarkEnd w:id="464"/>
    </w:p>
    <w:p>
      <w:pPr>
        <w:spacing w:line="360" w:lineRule="auto"/>
        <w:ind w:firstLine="0" w:firstLineChars="0"/>
        <w:rPr>
          <w:rFonts w:hint="eastAsia" w:ascii="仿宋" w:hAnsi="仿宋" w:eastAsia="仿宋" w:cs="仿宋"/>
          <w:color w:val="auto"/>
          <w:sz w:val="24"/>
          <w:szCs w:val="24"/>
          <w:highlight w:val="none"/>
        </w:rPr>
      </w:pPr>
      <w:bookmarkStart w:id="465" w:name="_Ref467379657"/>
      <w:r>
        <w:rPr>
          <w:rFonts w:hint="eastAsia" w:ascii="仿宋" w:hAnsi="仿宋" w:eastAsia="仿宋" w:cs="仿宋"/>
          <w:color w:val="auto"/>
          <w:sz w:val="24"/>
          <w:szCs w:val="24"/>
          <w:highlight w:val="none"/>
        </w:rPr>
        <w:t>2.5.1</w:t>
      </w:r>
      <w:bookmarkEnd w:id="465"/>
      <w:bookmarkStart w:id="466" w:name="_Toc186431854"/>
      <w:bookmarkStart w:id="467" w:name="_Ref467379793"/>
      <w:bookmarkStart w:id="468" w:name="_Toc279701247"/>
      <w:bookmarkStart w:id="469" w:name="_Toc259093676"/>
      <w:bookmarkStart w:id="470" w:name="_Toc487900357"/>
      <w:bookmarkStart w:id="471" w:name="_Ref467379807"/>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仿宋"/>
          <w:color w:val="auto"/>
          <w:sz w:val="24"/>
          <w:szCs w:val="24"/>
          <w:highlight w:val="none"/>
        </w:rPr>
        <w:t>。</w:t>
      </w:r>
    </w:p>
    <w:bookmarkEnd w:id="467"/>
    <w:bookmarkEnd w:id="468"/>
    <w:bookmarkEnd w:id="469"/>
    <w:bookmarkEnd w:id="470"/>
    <w:bookmarkEnd w:id="471"/>
    <w:bookmarkEnd w:id="472"/>
    <w:p>
      <w:pPr>
        <w:spacing w:line="360" w:lineRule="auto"/>
        <w:ind w:firstLine="0" w:firstLineChars="0"/>
        <w:outlineLvl w:val="9"/>
        <w:rPr>
          <w:rFonts w:hint="eastAsia" w:ascii="仿宋" w:hAnsi="仿宋" w:eastAsia="仿宋" w:cs="仿宋"/>
          <w:color w:val="auto"/>
          <w:sz w:val="24"/>
          <w:szCs w:val="24"/>
          <w:highlight w:val="none"/>
        </w:rPr>
      </w:pPr>
      <w:bookmarkStart w:id="473" w:name="_Ref467379863"/>
      <w:bookmarkStart w:id="474" w:name="_Toc487900358"/>
      <w:bookmarkStart w:id="475" w:name="_Ref467379923"/>
      <w:bookmarkStart w:id="476" w:name="_Toc259093677"/>
      <w:bookmarkStart w:id="477" w:name="_Ref467379852"/>
      <w:bookmarkStart w:id="478" w:name="_Toc279701248"/>
      <w:bookmarkStart w:id="479" w:name="_Toc16110"/>
      <w:bookmarkStart w:id="480" w:name="_Toc3225"/>
      <w:bookmarkStart w:id="481" w:name="_Toc774"/>
      <w:r>
        <w:rPr>
          <w:rFonts w:hint="eastAsia" w:ascii="仿宋" w:hAnsi="仿宋" w:eastAsia="仿宋" w:cs="仿宋"/>
          <w:color w:val="auto"/>
          <w:sz w:val="24"/>
          <w:szCs w:val="24"/>
          <w:highlight w:val="none"/>
        </w:rPr>
        <w:t>2.6技术资料</w:t>
      </w:r>
      <w:bookmarkEnd w:id="473"/>
      <w:bookmarkEnd w:id="474"/>
      <w:bookmarkEnd w:id="475"/>
      <w:bookmarkEnd w:id="476"/>
      <w:bookmarkEnd w:id="477"/>
      <w:bookmarkEnd w:id="478"/>
      <w:r>
        <w:rPr>
          <w:rFonts w:hint="eastAsia" w:ascii="仿宋" w:hAnsi="仿宋" w:eastAsia="仿宋" w:cs="仿宋"/>
          <w:color w:val="auto"/>
          <w:sz w:val="24"/>
          <w:szCs w:val="24"/>
          <w:highlight w:val="none"/>
        </w:rPr>
        <w:t>和保密义务</w:t>
      </w:r>
      <w:bookmarkEnd w:id="479"/>
      <w:bookmarkEnd w:id="480"/>
      <w:bookmarkEnd w:id="481"/>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2.6.1乙方有权依据合同约定和项目需要，向甲方了解有关情况，调阅有关资料等，甲方应予积极配合；</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2.6.2乙方有义务妥善保管和保护由甲方提供的前款信息和资料等；</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0" w:firstLineChars="0"/>
        <w:outlineLvl w:val="9"/>
        <w:rPr>
          <w:rFonts w:hint="eastAsia" w:ascii="仿宋" w:hAnsi="仿宋" w:eastAsia="仿宋" w:cs="仿宋"/>
          <w:color w:val="auto"/>
          <w:sz w:val="24"/>
          <w:szCs w:val="24"/>
          <w:highlight w:val="none"/>
        </w:rPr>
      </w:pPr>
      <w:bookmarkStart w:id="482" w:name="_Toc7860"/>
      <w:r>
        <w:rPr>
          <w:rFonts w:hint="eastAsia" w:ascii="仿宋" w:hAnsi="仿宋" w:eastAsia="仿宋" w:cs="仿宋"/>
          <w:color w:val="auto"/>
          <w:sz w:val="24"/>
          <w:szCs w:val="24"/>
          <w:highlight w:val="none"/>
        </w:rPr>
        <w:t>2.7质量保证</w:t>
      </w:r>
      <w:bookmarkEnd w:id="482"/>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2.7.1乙方应建立和完善履行合同的内部质量保证体系，并提供相关内部规章制度给甲方，以便甲方进行监督检查；</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2.7.2乙方应保证履行合同的人员数量和素质、软件和硬件设备的配置、场地、环境和设施等满足全面履行合同的要求，并应接受甲方的监督检查。</w:t>
      </w:r>
    </w:p>
    <w:p>
      <w:pPr>
        <w:spacing w:line="360" w:lineRule="auto"/>
        <w:ind w:firstLine="0" w:firstLineChars="0"/>
        <w:outlineLvl w:val="9"/>
        <w:rPr>
          <w:rFonts w:hint="eastAsia" w:ascii="仿宋" w:hAnsi="仿宋" w:eastAsia="仿宋" w:cs="仿宋"/>
          <w:color w:val="auto"/>
          <w:sz w:val="24"/>
          <w:szCs w:val="24"/>
          <w:highlight w:val="none"/>
        </w:rPr>
      </w:pPr>
      <w:bookmarkStart w:id="483" w:name="_Toc17244"/>
      <w:bookmarkStart w:id="484" w:name="_Toc259093681"/>
      <w:bookmarkStart w:id="485" w:name="_Toc487900362"/>
      <w:bookmarkStart w:id="486" w:name="_Toc279701252"/>
      <w:r>
        <w:rPr>
          <w:rFonts w:hint="eastAsia" w:ascii="仿宋" w:hAnsi="仿宋" w:eastAsia="仿宋" w:cs="仿宋"/>
          <w:color w:val="auto"/>
          <w:sz w:val="24"/>
          <w:szCs w:val="24"/>
          <w:highlight w:val="none"/>
        </w:rPr>
        <w:t>2.8货物的风险负担</w:t>
      </w:r>
      <w:bookmarkEnd w:id="483"/>
    </w:p>
    <w:p>
      <w:pPr>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0" w:firstLineChars="0"/>
        <w:outlineLvl w:val="9"/>
        <w:rPr>
          <w:rFonts w:hint="eastAsia" w:ascii="仿宋" w:hAnsi="仿宋" w:eastAsia="仿宋" w:cs="仿宋"/>
          <w:color w:val="auto"/>
          <w:sz w:val="24"/>
          <w:szCs w:val="24"/>
          <w:highlight w:val="none"/>
        </w:rPr>
      </w:pPr>
      <w:bookmarkStart w:id="487" w:name="_Toc14055"/>
      <w:r>
        <w:rPr>
          <w:rFonts w:hint="eastAsia" w:ascii="仿宋" w:hAnsi="仿宋" w:eastAsia="仿宋" w:cs="仿宋"/>
          <w:color w:val="auto"/>
          <w:sz w:val="24"/>
          <w:szCs w:val="24"/>
          <w:highlight w:val="none"/>
        </w:rPr>
        <w:t>2.9延迟交货</w:t>
      </w:r>
      <w:bookmarkEnd w:id="484"/>
      <w:bookmarkEnd w:id="485"/>
      <w:bookmarkEnd w:id="486"/>
      <w:bookmarkEnd w:id="487"/>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0" w:firstLineChars="0"/>
        <w:outlineLvl w:val="9"/>
        <w:rPr>
          <w:rFonts w:hint="eastAsia" w:ascii="仿宋" w:hAnsi="仿宋" w:eastAsia="仿宋" w:cs="仿宋"/>
          <w:color w:val="auto"/>
          <w:sz w:val="24"/>
          <w:szCs w:val="24"/>
          <w:highlight w:val="none"/>
        </w:rPr>
      </w:pPr>
      <w:bookmarkStart w:id="488" w:name="_Toc7502"/>
      <w:bookmarkStart w:id="489" w:name="_Toc279701254"/>
      <w:bookmarkStart w:id="490" w:name="_Ref467378121"/>
      <w:bookmarkStart w:id="491" w:name="_Toc259093683"/>
      <w:bookmarkStart w:id="492" w:name="_Toc487900364"/>
      <w:r>
        <w:rPr>
          <w:rFonts w:hint="eastAsia" w:ascii="仿宋" w:hAnsi="仿宋" w:eastAsia="仿宋" w:cs="仿宋"/>
          <w:color w:val="auto"/>
          <w:sz w:val="24"/>
          <w:szCs w:val="24"/>
          <w:highlight w:val="none"/>
        </w:rPr>
        <w:t>2.10合同变更</w:t>
      </w:r>
      <w:bookmarkEnd w:id="488"/>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pPr>
        <w:spacing w:line="360" w:lineRule="auto"/>
        <w:ind w:firstLine="0" w:firstLineChars="0"/>
        <w:outlineLvl w:val="9"/>
        <w:rPr>
          <w:rFonts w:hint="eastAsia" w:ascii="仿宋" w:hAnsi="仿宋" w:eastAsia="仿宋" w:cs="仿宋"/>
          <w:color w:val="auto"/>
          <w:sz w:val="24"/>
          <w:szCs w:val="24"/>
          <w:highlight w:val="none"/>
        </w:rPr>
      </w:pPr>
      <w:bookmarkStart w:id="496" w:name="_Toc22955"/>
      <w:bookmarkStart w:id="497" w:name="_Toc10366"/>
      <w:bookmarkStart w:id="498" w:name="_Toc15237"/>
      <w:r>
        <w:rPr>
          <w:rFonts w:hint="eastAsia" w:ascii="仿宋" w:hAnsi="仿宋" w:eastAsia="仿宋" w:cs="仿宋"/>
          <w:color w:val="auto"/>
          <w:sz w:val="24"/>
          <w:szCs w:val="24"/>
          <w:highlight w:val="none"/>
        </w:rPr>
        <w:t>2.11合同转让</w:t>
      </w:r>
      <w:bookmarkEnd w:id="493"/>
      <w:bookmarkEnd w:id="494"/>
      <w:bookmarkEnd w:id="495"/>
      <w:r>
        <w:rPr>
          <w:rFonts w:hint="eastAsia" w:ascii="仿宋" w:hAnsi="仿宋" w:eastAsia="仿宋" w:cs="仿宋"/>
          <w:color w:val="auto"/>
          <w:sz w:val="24"/>
          <w:szCs w:val="24"/>
          <w:highlight w:val="none"/>
        </w:rPr>
        <w:t>和分包</w:t>
      </w:r>
      <w:bookmarkEnd w:id="496"/>
      <w:bookmarkEnd w:id="497"/>
      <w:bookmarkEnd w:id="498"/>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2.11.2乙方采取分包方式履行合同的，甲方可直接向分包供应商支付款项。</w:t>
      </w:r>
    </w:p>
    <w:p>
      <w:pPr>
        <w:spacing w:line="360" w:lineRule="auto"/>
        <w:ind w:firstLine="0" w:firstLineChars="0"/>
        <w:outlineLvl w:val="9"/>
        <w:rPr>
          <w:rFonts w:hint="eastAsia" w:ascii="仿宋" w:hAnsi="仿宋" w:eastAsia="仿宋" w:cs="仿宋"/>
          <w:color w:val="auto"/>
          <w:sz w:val="24"/>
          <w:szCs w:val="24"/>
          <w:highlight w:val="none"/>
        </w:rPr>
      </w:pPr>
      <w:bookmarkStart w:id="499" w:name="_Toc16508"/>
      <w:bookmarkStart w:id="500" w:name="_Toc13566"/>
      <w:bookmarkStart w:id="501" w:name="_Toc14066"/>
      <w:r>
        <w:rPr>
          <w:rFonts w:hint="eastAsia" w:ascii="仿宋" w:hAnsi="仿宋" w:eastAsia="仿宋" w:cs="仿宋"/>
          <w:color w:val="auto"/>
          <w:sz w:val="24"/>
          <w:szCs w:val="24"/>
          <w:highlight w:val="none"/>
        </w:rPr>
        <w:t>2.12不可抗力</w:t>
      </w:r>
      <w:bookmarkEnd w:id="499"/>
      <w:bookmarkEnd w:id="500"/>
      <w:bookmarkEnd w:id="501"/>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2.12.1如果任何一方遭遇法律规定的不可抗力，致使合同履行受阻时，履行合同的期限应予延长，延长的期限应相当于不可抗力所影响的时间；</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2.12.2因不可抗力致使不能实现合同目的的，当事人可以解除合同；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360" w:lineRule="auto"/>
        <w:ind w:firstLine="0" w:firstLineChars="0"/>
        <w:outlineLvl w:val="9"/>
        <w:rPr>
          <w:rFonts w:hint="eastAsia" w:ascii="仿宋" w:hAnsi="仿宋" w:eastAsia="仿宋" w:cs="仿宋"/>
          <w:color w:val="auto"/>
          <w:sz w:val="24"/>
          <w:szCs w:val="24"/>
          <w:highlight w:val="none"/>
        </w:rPr>
      </w:pPr>
      <w:bookmarkStart w:id="502" w:name="_Toc30676"/>
      <w:bookmarkStart w:id="503" w:name="_Toc279701255"/>
      <w:bookmarkStart w:id="504" w:name="_Toc259093684"/>
      <w:bookmarkStart w:id="505" w:name="_Toc487900365"/>
      <w:bookmarkStart w:id="506" w:name="_Toc689"/>
      <w:bookmarkStart w:id="507" w:name="_Toc6969"/>
      <w:r>
        <w:rPr>
          <w:rFonts w:hint="eastAsia" w:ascii="仿宋" w:hAnsi="仿宋" w:eastAsia="仿宋" w:cs="仿宋"/>
          <w:color w:val="auto"/>
          <w:sz w:val="24"/>
          <w:szCs w:val="24"/>
          <w:highlight w:val="none"/>
        </w:rPr>
        <w:t>2.13税费</w:t>
      </w:r>
      <w:bookmarkEnd w:id="502"/>
      <w:bookmarkEnd w:id="503"/>
      <w:bookmarkEnd w:id="504"/>
      <w:bookmarkEnd w:id="505"/>
      <w:bookmarkEnd w:id="506"/>
      <w:bookmarkEnd w:id="507"/>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360" w:lineRule="auto"/>
        <w:ind w:firstLine="0" w:firstLineChars="0"/>
        <w:outlineLvl w:val="9"/>
        <w:rPr>
          <w:rFonts w:hint="eastAsia" w:ascii="仿宋" w:hAnsi="仿宋" w:eastAsia="仿宋" w:cs="仿宋"/>
          <w:color w:val="auto"/>
          <w:sz w:val="24"/>
          <w:szCs w:val="24"/>
          <w:highlight w:val="none"/>
        </w:rPr>
      </w:pPr>
      <w:bookmarkStart w:id="508" w:name="_Toc8298"/>
      <w:bookmarkStart w:id="509" w:name="_Toc7102"/>
      <w:bookmarkStart w:id="510" w:name="_Toc16959"/>
      <w:bookmarkStart w:id="511" w:name="_Toc487900368"/>
      <w:bookmarkStart w:id="512" w:name="_Toc279701258"/>
      <w:bookmarkStart w:id="513" w:name="_Toc259093687"/>
      <w:r>
        <w:rPr>
          <w:rFonts w:hint="eastAsia" w:ascii="仿宋" w:hAnsi="仿宋" w:eastAsia="仿宋" w:cs="仿宋"/>
          <w:color w:val="auto"/>
          <w:sz w:val="24"/>
          <w:szCs w:val="24"/>
          <w:highlight w:val="none"/>
        </w:rPr>
        <w:t>2.14乙方破产</w:t>
      </w:r>
      <w:bookmarkEnd w:id="508"/>
      <w:bookmarkEnd w:id="509"/>
      <w:bookmarkEnd w:id="510"/>
      <w:bookmarkEnd w:id="511"/>
      <w:bookmarkEnd w:id="512"/>
      <w:bookmarkEnd w:id="513"/>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0" w:firstLineChars="0"/>
        <w:outlineLvl w:val="9"/>
        <w:rPr>
          <w:rFonts w:hint="eastAsia" w:ascii="仿宋" w:hAnsi="仿宋" w:eastAsia="仿宋" w:cs="仿宋"/>
          <w:color w:val="auto"/>
          <w:sz w:val="24"/>
          <w:szCs w:val="24"/>
          <w:highlight w:val="none"/>
        </w:rPr>
      </w:pPr>
      <w:bookmarkStart w:id="514" w:name="_Toc6134"/>
      <w:bookmarkStart w:id="515" w:name="_Toc29333"/>
      <w:bookmarkStart w:id="516" w:name="_Toc15387"/>
      <w:r>
        <w:rPr>
          <w:rFonts w:hint="eastAsia" w:ascii="仿宋" w:hAnsi="仿宋" w:eastAsia="仿宋" w:cs="仿宋"/>
          <w:color w:val="auto"/>
          <w:sz w:val="24"/>
          <w:szCs w:val="24"/>
          <w:highlight w:val="none"/>
        </w:rPr>
        <w:t>2.15合同中止、终止</w:t>
      </w:r>
      <w:bookmarkEnd w:id="514"/>
      <w:bookmarkEnd w:id="515"/>
      <w:bookmarkEnd w:id="516"/>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2.15.1双方当事人不得擅自中止或者终止合同；</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0" w:firstLineChars="0"/>
        <w:outlineLvl w:val="9"/>
        <w:rPr>
          <w:rFonts w:hint="eastAsia" w:ascii="仿宋" w:hAnsi="仿宋" w:eastAsia="仿宋" w:cs="仿宋"/>
          <w:color w:val="auto"/>
          <w:sz w:val="24"/>
          <w:szCs w:val="24"/>
          <w:highlight w:val="none"/>
        </w:rPr>
      </w:pPr>
      <w:bookmarkStart w:id="517" w:name="_Toc1125"/>
      <w:bookmarkStart w:id="518" w:name="_Toc14563"/>
      <w:bookmarkStart w:id="519" w:name="_Toc6596"/>
      <w:r>
        <w:rPr>
          <w:rFonts w:hint="eastAsia" w:ascii="仿宋" w:hAnsi="仿宋" w:eastAsia="仿宋" w:cs="仿宋"/>
          <w:color w:val="auto"/>
          <w:sz w:val="24"/>
          <w:szCs w:val="24"/>
          <w:highlight w:val="none"/>
        </w:rPr>
        <w:t>2.16检验和验收</w:t>
      </w:r>
      <w:bookmarkEnd w:id="517"/>
      <w:bookmarkEnd w:id="518"/>
      <w:bookmarkEnd w:id="519"/>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489"/>
    <w:bookmarkEnd w:id="490"/>
    <w:bookmarkEnd w:id="491"/>
    <w:bookmarkEnd w:id="492"/>
    <w:p>
      <w:pPr>
        <w:spacing w:line="360" w:lineRule="auto"/>
        <w:ind w:firstLine="0" w:firstLineChars="0"/>
        <w:outlineLvl w:val="9"/>
        <w:rPr>
          <w:rFonts w:hint="eastAsia" w:ascii="仿宋" w:hAnsi="仿宋" w:eastAsia="仿宋" w:cs="仿宋"/>
          <w:color w:val="auto"/>
          <w:sz w:val="24"/>
          <w:szCs w:val="24"/>
          <w:highlight w:val="none"/>
        </w:rPr>
      </w:pPr>
      <w:bookmarkStart w:id="520" w:name="_Toc259093690"/>
      <w:bookmarkStart w:id="521" w:name="_Toc487900371"/>
      <w:bookmarkStart w:id="522" w:name="_Toc279701261"/>
      <w:bookmarkStart w:id="523" w:name="_Toc11284"/>
      <w:bookmarkStart w:id="524" w:name="_Toc25182"/>
      <w:bookmarkStart w:id="525" w:name="_Toc19604"/>
      <w:r>
        <w:rPr>
          <w:rFonts w:hint="eastAsia" w:ascii="仿宋" w:hAnsi="仿宋" w:eastAsia="仿宋" w:cs="仿宋"/>
          <w:color w:val="auto"/>
          <w:sz w:val="24"/>
          <w:szCs w:val="24"/>
          <w:highlight w:val="none"/>
        </w:rPr>
        <w:t>2.17通知</w:t>
      </w:r>
      <w:bookmarkEnd w:id="520"/>
      <w:bookmarkEnd w:id="521"/>
      <w:bookmarkEnd w:id="522"/>
      <w:r>
        <w:rPr>
          <w:rFonts w:hint="eastAsia" w:ascii="仿宋" w:hAnsi="仿宋" w:eastAsia="仿宋" w:cs="仿宋"/>
          <w:color w:val="auto"/>
          <w:sz w:val="24"/>
          <w:szCs w:val="24"/>
          <w:highlight w:val="none"/>
        </w:rPr>
        <w:t>和送达</w:t>
      </w:r>
      <w:bookmarkEnd w:id="523"/>
      <w:bookmarkEnd w:id="524"/>
      <w:bookmarkEnd w:id="525"/>
    </w:p>
    <w:p>
      <w:pPr>
        <w:spacing w:line="360" w:lineRule="auto"/>
        <w:ind w:firstLine="0" w:firstLineChars="0"/>
        <w:rPr>
          <w:rFonts w:hint="eastAsia" w:ascii="仿宋" w:hAnsi="仿宋" w:eastAsia="仿宋" w:cs="仿宋"/>
          <w:color w:val="auto"/>
          <w:sz w:val="24"/>
          <w:szCs w:val="24"/>
          <w:highlight w:val="none"/>
        </w:rPr>
      </w:pPr>
      <w:bookmarkStart w:id="526" w:name="_Toc6698"/>
      <w:bookmarkStart w:id="527" w:name="_Toc3135"/>
      <w:bookmarkStart w:id="528" w:name="_Toc487900372"/>
      <w:bookmarkStart w:id="529" w:name="_Toc259093691"/>
      <w:bookmarkStart w:id="530" w:name="_Toc279701262"/>
      <w:r>
        <w:rPr>
          <w:rFonts w:hint="eastAsia" w:ascii="仿宋" w:hAnsi="仿宋" w:eastAsia="仿宋" w:cs="仿宋"/>
          <w:color w:val="auto"/>
          <w:sz w:val="24"/>
          <w:szCs w:val="24"/>
          <w:highlight w:val="none"/>
        </w:rPr>
        <w:t>2.17.1任何一方因履行合同而以合同第一部分尾部所列明的传真或</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526"/>
      <w:bookmarkEnd w:id="527"/>
    </w:p>
    <w:p>
      <w:pPr>
        <w:spacing w:line="360" w:lineRule="auto"/>
        <w:ind w:firstLine="0" w:firstLineChars="0"/>
        <w:rPr>
          <w:rFonts w:hint="eastAsia" w:ascii="仿宋" w:hAnsi="仿宋" w:eastAsia="仿宋" w:cs="仿宋"/>
          <w:color w:val="auto"/>
          <w:sz w:val="24"/>
          <w:szCs w:val="24"/>
          <w:highlight w:val="none"/>
        </w:rPr>
      </w:pPr>
      <w:bookmarkStart w:id="531" w:name="_Toc23128"/>
      <w:bookmarkStart w:id="532" w:name="_Toc23294"/>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360" w:lineRule="auto"/>
        <w:ind w:firstLine="0" w:firstLineChars="0"/>
        <w:outlineLvl w:val="9"/>
        <w:rPr>
          <w:rFonts w:hint="eastAsia" w:ascii="仿宋" w:hAnsi="仿宋" w:eastAsia="仿宋" w:cs="仿宋"/>
          <w:color w:val="auto"/>
          <w:sz w:val="24"/>
          <w:szCs w:val="24"/>
          <w:highlight w:val="none"/>
        </w:rPr>
      </w:pPr>
      <w:bookmarkStart w:id="533" w:name="_Toc18540"/>
      <w:bookmarkStart w:id="534" w:name="_Toc30599"/>
      <w:bookmarkStart w:id="535" w:name="_Toc4355"/>
      <w:r>
        <w:rPr>
          <w:rFonts w:hint="eastAsia" w:ascii="仿宋" w:hAnsi="仿宋" w:eastAsia="仿宋" w:cs="仿宋"/>
          <w:color w:val="auto"/>
          <w:sz w:val="24"/>
          <w:szCs w:val="24"/>
          <w:highlight w:val="none"/>
        </w:rPr>
        <w:t>2.18计量单位</w:t>
      </w:r>
      <w:bookmarkEnd w:id="528"/>
      <w:bookmarkEnd w:id="529"/>
      <w:bookmarkEnd w:id="530"/>
      <w:bookmarkEnd w:id="533"/>
      <w:bookmarkEnd w:id="534"/>
      <w:bookmarkEnd w:id="535"/>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pPr>
        <w:spacing w:line="360" w:lineRule="auto"/>
        <w:ind w:firstLine="0" w:firstLineChars="0"/>
        <w:outlineLvl w:val="9"/>
        <w:rPr>
          <w:rFonts w:hint="eastAsia" w:ascii="仿宋" w:hAnsi="仿宋" w:eastAsia="仿宋" w:cs="仿宋"/>
          <w:color w:val="auto"/>
          <w:sz w:val="24"/>
          <w:szCs w:val="24"/>
          <w:highlight w:val="none"/>
        </w:rPr>
      </w:pPr>
      <w:bookmarkStart w:id="536" w:name="_Toc18567"/>
      <w:bookmarkStart w:id="537" w:name="_Toc10330"/>
      <w:bookmarkStart w:id="538" w:name="_Toc12773"/>
      <w:bookmarkStart w:id="539" w:name="_Toc487900373"/>
      <w:bookmarkStart w:id="540" w:name="_Toc259093692"/>
      <w:bookmarkStart w:id="541" w:name="_Toc279701263"/>
      <w:r>
        <w:rPr>
          <w:rFonts w:hint="eastAsia" w:ascii="仿宋" w:hAnsi="仿宋" w:eastAsia="仿宋" w:cs="仿宋"/>
          <w:color w:val="auto"/>
          <w:sz w:val="24"/>
          <w:szCs w:val="24"/>
          <w:highlight w:val="none"/>
        </w:rPr>
        <w:t>2.19合同使用的文字和适用的法律</w:t>
      </w:r>
      <w:bookmarkEnd w:id="536"/>
      <w:bookmarkEnd w:id="537"/>
      <w:bookmarkEnd w:id="538"/>
      <w:bookmarkEnd w:id="539"/>
      <w:bookmarkEnd w:id="540"/>
      <w:bookmarkEnd w:id="541"/>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2.19.1合同使用汉语书就、变更和解释；</w:t>
      </w:r>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2.19.2合同适用中华人民共和国法律。</w:t>
      </w:r>
    </w:p>
    <w:p>
      <w:pPr>
        <w:spacing w:line="360" w:lineRule="auto"/>
        <w:ind w:firstLine="0" w:firstLineChars="0"/>
        <w:outlineLvl w:val="9"/>
        <w:rPr>
          <w:rFonts w:hint="eastAsia" w:ascii="仿宋" w:hAnsi="仿宋" w:eastAsia="仿宋" w:cs="仿宋"/>
          <w:color w:val="auto"/>
          <w:sz w:val="24"/>
          <w:szCs w:val="24"/>
          <w:highlight w:val="none"/>
        </w:rPr>
      </w:pPr>
      <w:bookmarkStart w:id="542" w:name="_Toc6885"/>
      <w:bookmarkStart w:id="543" w:name="_Toc19890"/>
      <w:bookmarkStart w:id="544" w:name="_Toc14001"/>
      <w:r>
        <w:rPr>
          <w:rFonts w:hint="eastAsia" w:ascii="仿宋" w:hAnsi="仿宋" w:eastAsia="仿宋" w:cs="仿宋"/>
          <w:color w:val="auto"/>
          <w:sz w:val="24"/>
          <w:szCs w:val="24"/>
          <w:highlight w:val="none"/>
        </w:rPr>
        <w:t>2.20合同份数</w:t>
      </w:r>
      <w:bookmarkEnd w:id="542"/>
      <w:bookmarkEnd w:id="543"/>
      <w:bookmarkEnd w:id="544"/>
    </w:p>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adjustRightInd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color w:val="auto"/>
          <w:sz w:val="24"/>
          <w:szCs w:val="24"/>
          <w:highlight w:val="none"/>
        </w:rPr>
        <w:t>第三部</w:t>
      </w:r>
      <w:r>
        <w:rPr>
          <w:rFonts w:hint="eastAsia" w:ascii="仿宋" w:hAnsi="仿宋" w:eastAsia="仿宋" w:cs="仿宋"/>
          <w:color w:val="auto"/>
          <w:spacing w:val="241"/>
          <w:kern w:val="0"/>
          <w:sz w:val="24"/>
          <w:szCs w:val="24"/>
          <w:highlight w:val="none"/>
          <w:fitText w:val="963" w:id="402006538"/>
        </w:rPr>
        <w:t>分</w:t>
      </w:r>
      <w:r>
        <w:rPr>
          <w:rFonts w:hint="eastAsia" w:ascii="仿宋" w:hAnsi="仿宋" w:eastAsia="仿宋" w:cs="仿宋"/>
          <w:color w:val="auto"/>
          <w:spacing w:val="0"/>
          <w:kern w:val="0"/>
          <w:sz w:val="24"/>
          <w:szCs w:val="24"/>
          <w:highlight w:val="none"/>
          <w:fitText w:val="963" w:id="402006538"/>
        </w:rPr>
        <w:t>合</w:t>
      </w:r>
      <w:r>
        <w:rPr>
          <w:rFonts w:hint="eastAsia" w:ascii="仿宋" w:hAnsi="仿宋" w:eastAsia="仿宋" w:cs="仿宋"/>
          <w:color w:val="auto"/>
          <w:sz w:val="24"/>
          <w:szCs w:val="24"/>
          <w:highlight w:val="none"/>
        </w:rPr>
        <w:t>同专用条款</w:t>
      </w:r>
    </w:p>
    <w:p>
      <w:pPr>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9"/>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预付款比例、支付方式、时间：合同生效以及具备实施条件后20个工作日内，甲方支付乙方合同总金额的60%的预付款。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预付款扣回方式：不扣回，资金支付时转为合同款。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预付款担保措施：乙方需提供相应的预付款保函。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结算方式：本合同为综合单价包死形式，按最终供货数量按实结算，最终结算总价不超过合同总价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元。乙方对甲方委托第三方审计单位出具的合理、合规的审计结果应完全接受。审核基本费由甲方承担，审核追加费由乙方承担。审核追加费用=(核减额-送审造价×5%+核增额)×5%。</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资金支付的方式、时间和条件：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第一期：合同生效以及具备实施条件后20个工作日内，甲方支付乙方合同总金额的60%的预付款；</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第二期：所有设备到货安装初验后，支付合同总金额25%的款项；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第三期：项目完工正常运行一个月、终验合格并经审计后，支付剩余尾款。</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以上进度款的实际支付金额和付款时间以财政下拨资金为准，因财政审批延迟导致付款时间相应顺延，不视为逾期付款。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合同签订后一年内（具体情况符合甲方书面通知供货要求），并满足整个项目进度要求进行安装、调试、通过最终验收。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交付地点：甲方指定地点（上城区检察院大楼）。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交付方式：现场交付（按甲方要求将货物送达指定地点并安装调试完毕后交付给甲方）。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杭州仲裁委员会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杭州市上城区人民法院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乙方应保证所提供的货物或其任何一部分均不会侵犯任何第三方的知识产权，由此产生的任何知识产权纠纷由乙方承担全部责任。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1.乙方应在货物发运前对其进行满足运输距离、防潮、防震、防锈和防破损装卸等要求包装，以保证货物安全运达甲方指定地点。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2.使用说明书、质量检验证明书、随配附件和工具以及清单一并附于货物内。</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3.乙方在货物发运手续办理完毕后24小时内或货到甲方48小时前通知甲方，以准备接货。</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4.货物在安装调试验收完成之前发生的风险均由乙方负责。</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5.货物在规定的交付期限内由乙方送达甲方指定的地点视为交付，乙方同时需通知甲方货物已送达。</w:t>
            </w:r>
          </w:p>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6.未经甲方验收前，乙方负责以合理的方式保护已安装和未安装的成品、半成品,如有损毁由乙方承担调换或赔偿的责任,且工期不予顺延。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货物或者在途货物或者交付给第一承运人后的货物毁损、灭失的风险由乙方承担一切责任并赔偿甲方损失。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因不可抗力致使合同有变更必要的，双方当事人应在30日内以书面形式变更合同；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受不可抗力影响的一方在不可抗力发生后，应在14日内以书面形式通知对方当事人，并在14日内，将有关部门出具的证明文件送达对方当事人。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交付前，乙方应对货物的质量、数量等方面进行详细、全面的检验，并向甲方出具证明货物符合合同约定的文件；货物交付安装调试完成后，乙方在5个工作日内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5" w:type="pct"/>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安装标准：符合我国国家有关技术规范要求和技术标准。</w:t>
            </w:r>
            <w:r>
              <w:rPr>
                <w:rFonts w:hint="eastAsia" w:ascii="仿宋" w:hAnsi="仿宋" w:eastAsia="仿宋" w:cs="仿宋"/>
                <w:b w:val="0"/>
                <w:bCs w:val="0"/>
                <w:color w:val="auto"/>
                <w:sz w:val="24"/>
                <w:szCs w:val="24"/>
                <w:highlight w:val="none"/>
              </w:rPr>
              <w:t>乙方应</w:t>
            </w:r>
            <w:r>
              <w:rPr>
                <w:rFonts w:hint="eastAsia" w:ascii="仿宋" w:hAnsi="仿宋" w:eastAsia="仿宋" w:cs="仿宋"/>
                <w:b w:val="0"/>
                <w:bCs w:val="0"/>
                <w:color w:val="auto"/>
                <w:sz w:val="24"/>
                <w:szCs w:val="24"/>
                <w:highlight w:val="none"/>
                <w:lang w:val="en-US"/>
              </w:rPr>
              <w:t>严格按安全标准进行施工，采取必要的安全防护措施，消除事故隐患。</w:t>
            </w:r>
            <w:r>
              <w:rPr>
                <w:rFonts w:hint="eastAsia" w:ascii="仿宋" w:hAnsi="仿宋" w:eastAsia="仿宋" w:cs="仿宋"/>
                <w:color w:val="auto"/>
                <w:sz w:val="24"/>
                <w:szCs w:val="24"/>
                <w:highlight w:val="none"/>
              </w:rPr>
              <w:t>非因甲方</w:t>
            </w:r>
            <w:r>
              <w:rPr>
                <w:rFonts w:hint="eastAsia" w:ascii="仿宋" w:hAnsi="仿宋" w:eastAsia="仿宋" w:cs="仿宋"/>
                <w:b w:val="0"/>
                <w:bCs w:val="0"/>
                <w:color w:val="auto"/>
                <w:sz w:val="24"/>
                <w:szCs w:val="24"/>
                <w:highlight w:val="none"/>
                <w:lang w:val="en-US"/>
              </w:rPr>
              <w:t>原因造成质量</w:t>
            </w:r>
            <w:r>
              <w:rPr>
                <w:rFonts w:hint="eastAsia" w:ascii="仿宋" w:hAnsi="仿宋" w:eastAsia="仿宋" w:cs="仿宋"/>
                <w:color w:val="auto"/>
                <w:sz w:val="24"/>
                <w:szCs w:val="24"/>
                <w:highlight w:val="none"/>
              </w:rPr>
              <w:t>问题</w:t>
            </w:r>
            <w:r>
              <w:rPr>
                <w:rFonts w:hint="eastAsia" w:ascii="仿宋" w:hAnsi="仿宋" w:eastAsia="仿宋" w:cs="仿宋"/>
                <w:b w:val="0"/>
                <w:bCs w:val="0"/>
                <w:color w:val="auto"/>
                <w:sz w:val="24"/>
                <w:szCs w:val="24"/>
                <w:highlight w:val="none"/>
                <w:lang w:val="en-US"/>
              </w:rPr>
              <w:t>，由乙方负责维修或更换，</w:t>
            </w:r>
            <w:r>
              <w:rPr>
                <w:rFonts w:hint="eastAsia" w:ascii="仿宋" w:hAnsi="仿宋" w:eastAsia="仿宋" w:cs="仿宋"/>
                <w:color w:val="auto"/>
                <w:sz w:val="24"/>
                <w:szCs w:val="24"/>
                <w:highlight w:val="none"/>
              </w:rPr>
              <w:t>造成质量事故的，</w:t>
            </w:r>
            <w:r>
              <w:rPr>
                <w:rFonts w:hint="eastAsia" w:ascii="仿宋" w:hAnsi="仿宋" w:eastAsia="仿宋" w:cs="仿宋"/>
                <w:b w:val="0"/>
                <w:bCs w:val="0"/>
                <w:color w:val="auto"/>
                <w:sz w:val="24"/>
                <w:szCs w:val="24"/>
                <w:highlight w:val="none"/>
                <w:lang w:val="en-US"/>
              </w:rPr>
              <w:t>乙方必须赔偿给甲方造成的损失，并在甲方指定的期限内返工直至达到合同约定的质量标准，返工费由乙方承担，并且工期不予顺延。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货物标准：甲方对乙方提交的货物依据招投标文件上的技术规格要求和国家有关质量标准进行现场到货验收，外观、说明书符合招投标文件技术要求的，给予签收，到货验收不合格的不予签收。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乙方交货前应对产品作出全面检查和对验收文件进行整理，并列出清单，作为甲方收货验收和使用的技术条件依据，检验的结果应随货物交甲方。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对技术复杂的货物，甲方认为有必要的可请国家认可的专业检测机构参与到货验收及交付验收，并由其出具质量检测报告。</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验收时乙方必须在现场，验收完毕后作出初步验收结果报告；</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项目初验合格后，所有问题按要求整改完毕，由乙方以书面形式向甲方提出履约验收申请。经甲方确认，甲方将组织相关人员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履约验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采购人有关部门负责评估、决策项目建设是否达到验收标准，指定项目验收负责人组织并负责项目验收。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验收方法：验收小组验收。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验收小组组建方式：项目验收负责人组织验收小组，验收小组由相关专家和用户代表按相关规定组成。</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验收流程：</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（1）项目验收负责人根据验收方案组织验收小组现场验收，并准备验收材料并通知各验收参与方在指定时间指定地点联合验收，包括采购人、供应商、验收小组、其他验收参与方等。</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（5）验收不合格的，采购人应责令供应商采取补救措施，向供应商发出整改通知书，并依法及时处理，验收费用由乙方承担。整改结束后，采购人再次组织验收。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履约验收标准：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1）设备、材料、配件品牌、型号、数量等与合同相符，设备运行稳定，材料、配件质量符合国家标准。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2）系统功能齐全，符合合同要求。性能良好，技术参数达到招标文件要求。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3）系统运行良好，未发生重大故障。</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4）整体系统功能实现符合合同和采购人实际使用需求。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5）项目按要求完成建设，并在规定的时间内交付采购人使用。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有有效的进度控制方式，有效的把控整个项目建设进度。实施过程中，安全、文明施工措施到位，未发生重大安全事故。经常组织安全检查，避免项目发生安全问题重要服务人员签订保密协议，安全管理制度完善。</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7）未发生重大数据丢失和泄漏问题，建立完善的运行保障机制，有效的落实各项运维工作。</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8）在质保期内，系统各项系统指标达到合同要求，保障系统正常运行。</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9）人员及时到位，不存在脱岗等问题，请假应有正常手续。</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10）按合同和投标文件投入相应资质的项目管理和技术人员。要做好日常的台帐记录，做到记录及时、完整。每月提交项目资料和月报。履行项目采购文件、投标文件、合同条款中涉及的其他承诺的情况。</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未明确处按照《杭州市政府采购履约验收暂行办法》执行。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 w:hRule="atLeast"/>
        </w:trPr>
        <w:tc>
          <w:tcPr>
            <w:tcW w:w="46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5" w:type="pct"/>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本合同一式【陆】份，甲方执【肆】份，乙方执【贰】份</w:t>
            </w:r>
          </w:p>
        </w:tc>
      </w:tr>
    </w:tbl>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72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181"/>
          <w:kern w:val="0"/>
          <w:sz w:val="36"/>
          <w:szCs w:val="20"/>
          <w:highlight w:val="none"/>
          <w:fitText w:val="1083" w:id="-993828352"/>
        </w:rPr>
        <w:t>分</w:t>
      </w:r>
      <w:bookmarkEnd w:id="395"/>
      <w:r>
        <w:rPr>
          <w:rFonts w:hint="eastAsia" w:ascii="仿宋" w:hAnsi="仿宋" w:eastAsia="仿宋" w:cs="仿宋"/>
          <w:b/>
          <w:color w:val="auto"/>
          <w:spacing w:val="0"/>
          <w:kern w:val="0"/>
          <w:sz w:val="36"/>
          <w:szCs w:val="20"/>
          <w:highlight w:val="none"/>
          <w:fitText w:val="1083" w:id="-993828352"/>
        </w:rPr>
        <w:t>应</w:t>
      </w:r>
      <w:r>
        <w:rPr>
          <w:rFonts w:hint="eastAsia" w:ascii="仿宋" w:hAnsi="仿宋" w:eastAsia="仿宋" w:cs="仿宋"/>
          <w:b/>
          <w:color w:val="auto"/>
          <w:sz w:val="36"/>
          <w:szCs w:val="20"/>
          <w:highlight w:val="none"/>
        </w:rPr>
        <w:t>提交的有关格式范例</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72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72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.专门面向中小企业，货物全部由符合政策要求的中小企业（或小微企业）制造的，提供相应的中小企业声明函（附件7）。</w:t>
      </w: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jc w:val="center"/>
        <w:rPr>
          <w:rFonts w:ascii="仿宋" w:hAnsi="仿宋" w:eastAsia="仿宋" w:cs="仿宋"/>
          <w:b/>
          <w:color w:val="auto"/>
          <w:kern w:val="0"/>
          <w:sz w:val="32"/>
          <w:szCs w:val="32"/>
          <w:highlight w:val="none"/>
        </w:rPr>
      </w:pPr>
    </w:p>
    <w:p>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ind w:right="420"/>
        <w:rPr>
          <w:rFonts w:ascii="仿宋" w:hAnsi="仿宋" w:eastAsia="仿宋" w:cs="仿宋"/>
          <w:b/>
          <w:color w:val="auto"/>
          <w:kern w:val="0"/>
          <w:sz w:val="36"/>
          <w:szCs w:val="36"/>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ind w:firstLine="3855" w:firstLineChars="1200"/>
        <w:outlineLvl w:val="0"/>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2.3.2报价情况说明（如果有）；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60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72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48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年  月   日</w:t>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60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napToGrid w:val="0"/>
        <w:spacing w:line="360" w:lineRule="auto"/>
        <w:ind w:right="480"/>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bookmarkStart w:id="54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bookmarkEnd w:id="545"/>
    </w:p>
    <w:p>
      <w:pPr>
        <w:jc w:val="center"/>
        <w:rPr>
          <w:rFonts w:ascii="仿宋" w:hAnsi="仿宋" w:eastAsia="仿宋" w:cs="仿宋"/>
          <w:b/>
          <w:color w:val="auto"/>
          <w:kern w:val="0"/>
          <w:sz w:val="32"/>
          <w:szCs w:val="32"/>
          <w:highlight w:val="none"/>
        </w:rPr>
      </w:pPr>
    </w:p>
    <w:p>
      <w:pPr>
        <w:spacing w:line="48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65"/>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65"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694"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56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69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56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69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1" w:type="dxa"/>
            <w:vAlign w:val="center"/>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56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694"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701" w:type="dxa"/>
            <w:vAlign w:val="center"/>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pStyle w:val="84"/>
        <w:rPr>
          <w:rFonts w:hint="eastAsia"/>
          <w:color w:val="auto"/>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72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numPr>
          <w:ilvl w:val="0"/>
          <w:numId w:val="4"/>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27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276"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34"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vAlign w:val="center"/>
          </w:tcPr>
          <w:p>
            <w:pP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pPr>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数量</w:t>
            </w:r>
          </w:p>
        </w:tc>
        <w:tc>
          <w:tcPr>
            <w:tcW w:w="1559"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jc w:val="center"/>
              <w:rPr>
                <w:rFonts w:ascii="仿宋" w:hAnsi="仿宋" w:eastAsia="仿宋" w:cs="仿宋"/>
                <w:color w:val="auto"/>
                <w:sz w:val="24"/>
                <w:highlight w:val="none"/>
              </w:rPr>
            </w:pPr>
          </w:p>
        </w:tc>
        <w:tc>
          <w:tcPr>
            <w:tcW w:w="3118" w:type="dxa"/>
            <w:vAlign w:val="center"/>
          </w:tcPr>
          <w:p>
            <w:pPr>
              <w:snapToGrid w:val="0"/>
              <w:jc w:val="center"/>
              <w:rPr>
                <w:rFonts w:ascii="仿宋" w:hAnsi="仿宋" w:eastAsia="仿宋" w:cs="仿宋"/>
                <w:color w:val="auto"/>
                <w:sz w:val="24"/>
                <w:highlight w:val="none"/>
              </w:rPr>
            </w:pPr>
          </w:p>
        </w:tc>
        <w:tc>
          <w:tcPr>
            <w:tcW w:w="993" w:type="dxa"/>
            <w:vAlign w:val="center"/>
          </w:tcPr>
          <w:p>
            <w:pPr>
              <w:snapToGrid w:val="0"/>
              <w:jc w:val="center"/>
              <w:rPr>
                <w:rFonts w:ascii="仿宋" w:hAnsi="仿宋" w:eastAsia="仿宋" w:cs="仿宋"/>
                <w:color w:val="auto"/>
                <w:sz w:val="24"/>
                <w:highlight w:val="none"/>
              </w:rPr>
            </w:pPr>
          </w:p>
        </w:tc>
        <w:tc>
          <w:tcPr>
            <w:tcW w:w="1559" w:type="dxa"/>
            <w:vAlign w:val="center"/>
          </w:tcPr>
          <w:p>
            <w:pPr>
              <w:jc w:val="center"/>
              <w:rPr>
                <w:rFonts w:ascii="仿宋" w:hAnsi="仿宋" w:eastAsia="仿宋" w:cs="仿宋"/>
                <w:color w:val="auto"/>
                <w:sz w:val="24"/>
                <w:highlight w:val="none"/>
              </w:rPr>
            </w:pPr>
          </w:p>
        </w:tc>
        <w:tc>
          <w:tcPr>
            <w:tcW w:w="1984" w:type="dxa"/>
            <w:vAlign w:val="center"/>
          </w:tcPr>
          <w:p>
            <w:pPr>
              <w:jc w:val="center"/>
              <w:rPr>
                <w:rFonts w:ascii="仿宋" w:hAnsi="仿宋" w:eastAsia="仿宋" w:cs="仿宋"/>
                <w:color w:val="auto"/>
                <w:sz w:val="24"/>
                <w:highlight w:val="none"/>
              </w:rPr>
            </w:pPr>
          </w:p>
        </w:tc>
        <w:tc>
          <w:tcPr>
            <w:tcW w:w="3119"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jc w:val="center"/>
              <w:rPr>
                <w:rFonts w:ascii="仿宋" w:hAnsi="仿宋" w:eastAsia="仿宋" w:cs="仿宋"/>
                <w:color w:val="auto"/>
                <w:sz w:val="24"/>
                <w:highlight w:val="none"/>
              </w:rPr>
            </w:pPr>
          </w:p>
        </w:tc>
        <w:tc>
          <w:tcPr>
            <w:tcW w:w="3118" w:type="dxa"/>
            <w:vAlign w:val="center"/>
          </w:tcPr>
          <w:p>
            <w:pPr>
              <w:snapToGrid w:val="0"/>
              <w:jc w:val="center"/>
              <w:rPr>
                <w:rFonts w:ascii="仿宋" w:hAnsi="仿宋" w:eastAsia="仿宋" w:cs="仿宋"/>
                <w:color w:val="auto"/>
                <w:sz w:val="24"/>
                <w:highlight w:val="none"/>
              </w:rPr>
            </w:pPr>
          </w:p>
        </w:tc>
        <w:tc>
          <w:tcPr>
            <w:tcW w:w="993" w:type="dxa"/>
            <w:vAlign w:val="center"/>
          </w:tcPr>
          <w:p>
            <w:pPr>
              <w:snapToGrid w:val="0"/>
              <w:jc w:val="center"/>
              <w:rPr>
                <w:rFonts w:ascii="仿宋" w:hAnsi="仿宋" w:eastAsia="仿宋" w:cs="仿宋"/>
                <w:color w:val="auto"/>
                <w:sz w:val="24"/>
                <w:highlight w:val="none"/>
              </w:rPr>
            </w:pPr>
          </w:p>
        </w:tc>
        <w:tc>
          <w:tcPr>
            <w:tcW w:w="1559" w:type="dxa"/>
            <w:vAlign w:val="center"/>
          </w:tcPr>
          <w:p>
            <w:pPr>
              <w:jc w:val="center"/>
              <w:rPr>
                <w:rFonts w:ascii="仿宋" w:hAnsi="仿宋" w:eastAsia="仿宋" w:cs="仿宋"/>
                <w:color w:val="auto"/>
                <w:sz w:val="24"/>
                <w:highlight w:val="none"/>
              </w:rPr>
            </w:pPr>
          </w:p>
        </w:tc>
        <w:tc>
          <w:tcPr>
            <w:tcW w:w="1984" w:type="dxa"/>
            <w:vAlign w:val="center"/>
          </w:tcPr>
          <w:p>
            <w:pPr>
              <w:jc w:val="center"/>
              <w:rPr>
                <w:rFonts w:ascii="仿宋" w:hAnsi="仿宋" w:eastAsia="仿宋" w:cs="仿宋"/>
                <w:color w:val="auto"/>
                <w:sz w:val="24"/>
                <w:highlight w:val="none"/>
              </w:rPr>
            </w:pPr>
          </w:p>
        </w:tc>
        <w:tc>
          <w:tcPr>
            <w:tcW w:w="3119"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color w:val="auto"/>
                <w:sz w:val="24"/>
                <w:highlight w:val="none"/>
              </w:rPr>
            </w:pPr>
          </w:p>
        </w:tc>
        <w:tc>
          <w:tcPr>
            <w:tcW w:w="3118" w:type="dxa"/>
            <w:vAlign w:val="center"/>
          </w:tcPr>
          <w:p>
            <w:pPr>
              <w:snapToGrid w:val="0"/>
              <w:jc w:val="center"/>
              <w:rPr>
                <w:rFonts w:ascii="仿宋" w:hAnsi="仿宋" w:eastAsia="仿宋" w:cs="仿宋"/>
                <w:color w:val="auto"/>
                <w:sz w:val="24"/>
                <w:highlight w:val="none"/>
              </w:rPr>
            </w:pPr>
          </w:p>
        </w:tc>
        <w:tc>
          <w:tcPr>
            <w:tcW w:w="993" w:type="dxa"/>
            <w:vAlign w:val="center"/>
          </w:tcPr>
          <w:p>
            <w:pPr>
              <w:snapToGrid w:val="0"/>
              <w:jc w:val="center"/>
              <w:rPr>
                <w:rFonts w:ascii="仿宋" w:hAnsi="仿宋" w:eastAsia="仿宋" w:cs="仿宋"/>
                <w:color w:val="auto"/>
                <w:sz w:val="24"/>
                <w:highlight w:val="none"/>
              </w:rPr>
            </w:pPr>
          </w:p>
        </w:tc>
        <w:tc>
          <w:tcPr>
            <w:tcW w:w="1559" w:type="dxa"/>
            <w:vAlign w:val="center"/>
          </w:tcPr>
          <w:p>
            <w:pPr>
              <w:jc w:val="center"/>
              <w:rPr>
                <w:rFonts w:ascii="仿宋" w:hAnsi="仿宋" w:eastAsia="仿宋" w:cs="仿宋"/>
                <w:color w:val="auto"/>
                <w:sz w:val="24"/>
                <w:highlight w:val="none"/>
              </w:rPr>
            </w:pPr>
          </w:p>
        </w:tc>
        <w:tc>
          <w:tcPr>
            <w:tcW w:w="1984" w:type="dxa"/>
            <w:vAlign w:val="center"/>
          </w:tcPr>
          <w:p>
            <w:pPr>
              <w:jc w:val="center"/>
              <w:rPr>
                <w:rFonts w:ascii="仿宋" w:hAnsi="仿宋" w:eastAsia="仿宋" w:cs="仿宋"/>
                <w:color w:val="auto"/>
                <w:sz w:val="24"/>
                <w:highlight w:val="none"/>
              </w:rPr>
            </w:pPr>
          </w:p>
        </w:tc>
        <w:tc>
          <w:tcPr>
            <w:tcW w:w="3119"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12" w:type="dxa"/>
            <w:gridSpan w:val="4"/>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4"/>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jc w:val="center"/>
              <w:rPr>
                <w:rFonts w:ascii="仿宋" w:hAnsi="仿宋" w:eastAsia="仿宋" w:cs="仿宋"/>
                <w:color w:val="auto"/>
                <w:sz w:val="24"/>
                <w:highlight w:val="none"/>
              </w:rPr>
            </w:pPr>
          </w:p>
        </w:tc>
      </w:tr>
    </w:tbl>
    <w:p>
      <w:pPr>
        <w:snapToGrid w:val="0"/>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numPr>
          <w:ilvl w:val="0"/>
          <w:numId w:val="5"/>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r>
        <w:rPr>
          <w:rFonts w:hint="eastAsia" w:ascii="仿宋" w:eastAsia="仿宋" w:cs="仿宋"/>
          <w:color w:val="auto"/>
          <w:sz w:val="24"/>
          <w:szCs w:val="24"/>
          <w:highlight w:val="none"/>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546" w:name="_Hlk101259491"/>
      <w:r>
        <w:rPr>
          <w:rFonts w:hint="eastAsia" w:ascii="仿宋" w:hAnsi="仿宋" w:eastAsia="仿宋" w:cs="仿宋"/>
          <w:color w:val="auto"/>
          <w:sz w:val="32"/>
          <w:szCs w:val="32"/>
          <w:highlight w:val="none"/>
        </w:rPr>
        <w:t>（如果有）</w:t>
      </w:r>
      <w:bookmarkEnd w:id="546"/>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bookmarkStart w:id="547" w:name="_Toc465665161"/>
    </w:p>
    <w:p>
      <w:pPr>
        <w:widowControl/>
        <w:spacing w:line="360" w:lineRule="auto"/>
        <w:jc w:val="left"/>
        <w:rPr>
          <w:rFonts w:ascii="仿宋" w:hAnsi="仿宋" w:eastAsia="仿宋" w:cs="仿宋"/>
          <w:color w:val="auto"/>
          <w:highlight w:val="none"/>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widowControl/>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附件</w:t>
      </w:r>
      <w:bookmarkEnd w:id="547"/>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72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pacing w:val="240"/>
          <w:kern w:val="0"/>
          <w:sz w:val="24"/>
          <w:highlight w:val="none"/>
          <w:fitText w:val="960" w:id="-993821952"/>
        </w:rPr>
        <w:t>地</w:t>
      </w:r>
      <w:r>
        <w:rPr>
          <w:rFonts w:hint="eastAsia" w:ascii="仿宋" w:hAnsi="仿宋" w:eastAsia="仿宋" w:cs="仿宋"/>
          <w:color w:val="auto"/>
          <w:spacing w:val="0"/>
          <w:kern w:val="0"/>
          <w:sz w:val="24"/>
          <w:highlight w:val="none"/>
          <w:fitText w:val="960" w:id="-993821952"/>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pacing w:val="240"/>
          <w:kern w:val="0"/>
          <w:sz w:val="24"/>
          <w:highlight w:val="none"/>
          <w:fitText w:val="960" w:id="-993821951"/>
        </w:rPr>
        <w:t>地</w:t>
      </w:r>
      <w:r>
        <w:rPr>
          <w:rFonts w:hint="eastAsia" w:ascii="仿宋" w:hAnsi="仿宋" w:eastAsia="仿宋" w:cs="仿宋"/>
          <w:color w:val="auto"/>
          <w:spacing w:val="0"/>
          <w:kern w:val="0"/>
          <w:sz w:val="24"/>
          <w:highlight w:val="none"/>
          <w:fitText w:val="960" w:id="-993821951"/>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pacing w:val="240"/>
          <w:kern w:val="0"/>
          <w:sz w:val="24"/>
          <w:highlight w:val="none"/>
          <w:fitText w:val="960" w:id="-993821950"/>
        </w:rPr>
        <w:t>地</w:t>
      </w:r>
      <w:r>
        <w:rPr>
          <w:rFonts w:hint="eastAsia" w:ascii="仿宋" w:hAnsi="仿宋" w:eastAsia="仿宋" w:cs="仿宋"/>
          <w:color w:val="auto"/>
          <w:spacing w:val="0"/>
          <w:kern w:val="0"/>
          <w:sz w:val="24"/>
          <w:highlight w:val="none"/>
          <w:fitText w:val="960" w:id="-993821950"/>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pacing w:val="240"/>
          <w:kern w:val="0"/>
          <w:sz w:val="24"/>
          <w:highlight w:val="none"/>
          <w:fitText w:val="960" w:id="-993821949"/>
        </w:rPr>
        <w:t>地</w:t>
      </w:r>
      <w:r>
        <w:rPr>
          <w:rFonts w:hint="eastAsia" w:ascii="仿宋" w:hAnsi="仿宋" w:eastAsia="仿宋" w:cs="仿宋"/>
          <w:color w:val="auto"/>
          <w:spacing w:val="0"/>
          <w:kern w:val="0"/>
          <w:sz w:val="24"/>
          <w:highlight w:val="none"/>
          <w:fitText w:val="960" w:id="-993821949"/>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是/否</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是/否</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pacing w:line="360" w:lineRule="auto"/>
        <w:jc w:val="center"/>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附件5：联合协议</w:t>
      </w:r>
    </w:p>
    <w:p>
      <w:pPr>
        <w:widowControl/>
        <w:spacing w:line="27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276" w:lineRule="auto"/>
        <w:ind w:firstLine="576"/>
        <w:rPr>
          <w:rFonts w:ascii="仿宋" w:hAnsi="仿宋" w:eastAsia="仿宋" w:cs="仿宋"/>
          <w:color w:val="auto"/>
          <w:kern w:val="0"/>
          <w:sz w:val="24"/>
          <w:highlight w:val="none"/>
          <w:lang w:val="zh-CN"/>
        </w:rPr>
      </w:pPr>
      <w:bookmarkStart w:id="54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48"/>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276"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27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276"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附件6：分包意向协议</w:t>
      </w:r>
    </w:p>
    <w:p>
      <w:pPr>
        <w:widowControl/>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400" w:lineRule="exact"/>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400" w:lineRule="exact"/>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40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40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4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49"/>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40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40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40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400" w:lineRule="exact"/>
        <w:outlineLvl w:val="0"/>
        <w:rPr>
          <w:rFonts w:ascii="仿宋" w:hAnsi="仿宋" w:eastAsia="仿宋" w:cs="仿宋"/>
          <w:b/>
          <w:color w:val="auto"/>
          <w:kern w:val="0"/>
          <w:sz w:val="44"/>
          <w:szCs w:val="4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附件7：中小企业声明函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160" w:firstLineChars="21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p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440" w:firstLineChars="200"/>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21"/>
        <w:snapToGrid w:val="0"/>
        <w:spacing w:after="120" w:line="500" w:lineRule="exact"/>
        <w:jc w:val="center"/>
        <w:rPr>
          <w:rFonts w:ascii="仿宋" w:hAnsi="仿宋" w:eastAsia="仿宋" w:cs="方正小标宋简体"/>
          <w:b/>
          <w:color w:val="auto"/>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21"/>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pPr>
        <w:pStyle w:val="321"/>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pPr>
        <w:pStyle w:val="321"/>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w:t>
      </w:r>
    </w:p>
    <w:p>
      <w:pPr>
        <w:pStyle w:val="321"/>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参加</w:t>
      </w:r>
      <w:r>
        <w:rPr>
          <w:rFonts w:hint="eastAsia"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政府采购活动，经与本单位法人代表（负责人）联系确认，现就有关公平竞争事项郑重声明如下：</w:t>
      </w:r>
    </w:p>
    <w:p>
      <w:pPr>
        <w:pStyle w:val="839"/>
        <w:widowControl/>
        <w:numPr>
          <w:ilvl w:val="0"/>
          <w:numId w:val="6"/>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pPr>
        <w:pStyle w:val="839"/>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pStyle w:val="321"/>
        <w:adjustRightInd w:val="0"/>
        <w:snapToGrid w:val="0"/>
        <w:spacing w:after="120" w:line="360" w:lineRule="auto"/>
        <w:ind w:firstLine="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pPr>
        <w:pStyle w:val="321"/>
        <w:adjustRightInd w:val="0"/>
        <w:snapToGrid w:val="0"/>
        <w:spacing w:after="120"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pPr>
        <w:pStyle w:val="321"/>
        <w:adjustRightInd w:val="0"/>
        <w:snapToGrid w:val="0"/>
        <w:spacing w:after="120"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pPr>
        <w:pStyle w:val="321"/>
        <w:adjustRightInd w:val="0"/>
        <w:snapToGrid w:val="0"/>
        <w:spacing w:after="120"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pPr>
        <w:pStyle w:val="321"/>
        <w:adjustRightInd w:val="0"/>
        <w:snapToGrid w:val="0"/>
        <w:spacing w:after="120" w:line="360" w:lineRule="auto"/>
        <w:ind w:firstLine="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pPr>
        <w:pStyle w:val="321"/>
        <w:adjustRightInd w:val="0"/>
        <w:snapToGrid w:val="0"/>
        <w:spacing w:after="120" w:line="360" w:lineRule="auto"/>
        <w:ind w:firstLine="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pPr>
        <w:pStyle w:val="321"/>
        <w:adjustRightInd w:val="0"/>
        <w:snapToGrid w:val="0"/>
        <w:spacing w:after="120" w:line="360" w:lineRule="auto"/>
        <w:ind w:firstLine="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pPr>
        <w:pStyle w:val="321"/>
        <w:adjustRightInd w:val="0"/>
        <w:snapToGrid w:val="0"/>
        <w:spacing w:after="120" w:line="360" w:lineRule="auto"/>
        <w:ind w:firstLine="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pPr>
        <w:pStyle w:val="321"/>
        <w:adjustRightInd w:val="0"/>
        <w:snapToGrid w:val="0"/>
        <w:spacing w:after="120"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pPr>
        <w:pStyle w:val="839"/>
        <w:widowControl/>
        <w:numPr>
          <w:ilvl w:val="0"/>
          <w:numId w:val="7"/>
        </w:numPr>
        <w:tabs>
          <w:tab w:val="clear" w:pos="8268"/>
        </w:tabs>
        <w:snapToGrid w:val="0"/>
        <w:spacing w:after="120" w:line="480" w:lineRule="auto"/>
        <w:ind w:firstLine="396" w:firstLineChars="189"/>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pPr>
        <w:snapToGrid w:val="0"/>
        <w:spacing w:line="360" w:lineRule="auto"/>
        <w:ind w:firstLine="4515" w:firstLineChars="2150"/>
        <w:rPr>
          <w:rFonts w:ascii="仿宋" w:hAnsi="仿宋" w:eastAsia="仿宋" w:cs="仿宋"/>
          <w:color w:val="auto"/>
          <w:kern w:val="0"/>
          <w:szCs w:val="21"/>
          <w:highlight w:val="none"/>
          <w:lang w:val="zh-CN"/>
        </w:rPr>
      </w:pPr>
      <w:r>
        <w:rPr>
          <w:rFonts w:ascii="仿宋" w:hAnsi="仿宋" w:eastAsia="仿宋" w:cs="仿宋"/>
          <w:color w:val="auto"/>
          <w:kern w:val="0"/>
          <w:szCs w:val="21"/>
          <w:highlight w:val="none"/>
          <w:lang w:val="zh-CN"/>
        </w:rPr>
        <w:t>（供应商代表签名）</w:t>
      </w:r>
    </w:p>
    <w:p>
      <w:pPr>
        <w:snapToGrid w:val="0"/>
        <w:spacing w:line="360" w:lineRule="auto"/>
        <w:ind w:firstLine="4515" w:firstLineChars="215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r>
        <w:rPr>
          <w:rFonts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lang w:val="zh-CN"/>
        </w:rPr>
        <w:t xml:space="preserve">  </w:t>
      </w:r>
      <w:r>
        <w:rPr>
          <w:rFonts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lang w:val="zh-CN"/>
        </w:rPr>
        <w:t xml:space="preserve">  </w:t>
      </w:r>
      <w:r>
        <w:rPr>
          <w:rFonts w:ascii="仿宋" w:hAnsi="仿宋" w:eastAsia="仿宋" w:cs="仿宋"/>
          <w:color w:val="auto"/>
          <w:kern w:val="0"/>
          <w:szCs w:val="21"/>
          <w:highlight w:val="none"/>
          <w:lang w:val="zh-CN"/>
        </w:rPr>
        <w:t>日</w:t>
      </w:r>
    </w:p>
    <w:p>
      <w:pPr>
        <w:snapToGrid w:val="0"/>
        <w:spacing w:line="360" w:lineRule="auto"/>
        <w:rPr>
          <w:rFonts w:hint="eastAsia" w:ascii="仿宋" w:hAnsi="仿宋" w:eastAsia="仿宋" w:cs="仿宋"/>
          <w:b/>
          <w:color w:val="auto"/>
          <w:sz w:val="32"/>
          <w:szCs w:val="32"/>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注：结束解密后，供应商通过邮件形式将经授权代表签署的《政府采购活动现场确认声明书》扫描件发至代理机构经办人邮箱（2845551562@qq.com，联系人：方锐，电话：18258914900）</w:t>
      </w: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150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150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152</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152</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158</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158</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154</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154</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184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50</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69</w:t>
    </w:r>
    <w:r>
      <w:rPr>
        <w:rFonts w:hint="eastAsia"/>
      </w:rPr>
      <w:fldChar w:fldCharType="end"/>
    </w:r>
    <w:r>
      <w:rPr>
        <w:rFonts w:hint="eastAsia"/>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69</w:t>
    </w:r>
    <w:r>
      <w:rPr>
        <w:rFonts w:hint="eastAsia"/>
      </w:rPr>
      <w:fldChar w:fldCharType="end"/>
    </w:r>
    <w:r>
      <w:rPr>
        <w:rFonts w:hint="eastAsia"/>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131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131</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hint="eastAsia" w:ascii="仿宋_GB2312" w:eastAsia="仿宋_GB2312"/>
        <w:i/>
        <w:u w:val="single"/>
      </w:rPr>
    </w:pPr>
    <w:r>
      <w:rPr>
        <w:rFonts w:hint="eastAsia" w:ascii="仿宋" w:hAnsi="仿宋" w:eastAsia="仿宋" w:cs="仿宋"/>
        <w:b/>
        <w:bCs/>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hint="eastAsia" w:ascii="仿宋_GB2312" w:eastAsia="仿宋_GB2312"/>
        <w:i/>
        <w:u w:val="single"/>
      </w:rPr>
    </w:pPr>
    <w:r>
      <w:rPr>
        <w:rFonts w:hint="eastAsia" w:ascii="仿宋" w:hAnsi="仿宋" w:eastAsia="仿宋" w:cs="仿宋"/>
        <w:b/>
        <w:bCs/>
        <w:lang w:val="zh-CN"/>
      </w:rP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i/>
        <w:u w:val="single"/>
      </w:rPr>
    </w:pPr>
    <w:r>
      <w:rPr>
        <w:rFonts w:hint="eastAsia"/>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i/>
        <w:u w:val="single"/>
      </w:rPr>
    </w:pPr>
    <w:r>
      <w:rPr>
        <w:rFonts w:hint="eastAsia"/>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hint="eastAsia"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ind w:right="181"/>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B3675"/>
    <w:multiLevelType w:val="singleLevel"/>
    <w:tmpl w:val="A0CB3675"/>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CA9794B"/>
    <w:multiLevelType w:val="singleLevel"/>
    <w:tmpl w:val="0CA9794B"/>
    <w:lvl w:ilvl="0" w:tentative="0">
      <w:start w:val="1"/>
      <w:numFmt w:val="decimal"/>
      <w:lvlText w:val="(%1)"/>
      <w:lvlJc w:val="left"/>
      <w:pPr>
        <w:ind w:left="425" w:hanging="425"/>
      </w:pPr>
      <w:rPr>
        <w:rFonts w:hint="default"/>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8757A1A"/>
    <w:multiLevelType w:val="singleLevel"/>
    <w:tmpl w:val="48757A1A"/>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GQ5YTEwMmY0NjgwMDVlNDJlMDZkZDhiNTE4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31E"/>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403"/>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1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933"/>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0A9"/>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62B"/>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A93"/>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D7D8A"/>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23D"/>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953"/>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02F"/>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14E4"/>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282"/>
    <w:rsid w:val="0084357B"/>
    <w:rsid w:val="00845B14"/>
    <w:rsid w:val="008465B4"/>
    <w:rsid w:val="00846D25"/>
    <w:rsid w:val="00847B68"/>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14A"/>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B67"/>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0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B29"/>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407"/>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D91"/>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29E"/>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3F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6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D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4E462C"/>
    <w:rsid w:val="025F0711"/>
    <w:rsid w:val="026B2E25"/>
    <w:rsid w:val="02824D4D"/>
    <w:rsid w:val="02DC4B10"/>
    <w:rsid w:val="02DD76CE"/>
    <w:rsid w:val="02F36323"/>
    <w:rsid w:val="02F5619C"/>
    <w:rsid w:val="0326446A"/>
    <w:rsid w:val="032D5555"/>
    <w:rsid w:val="036634D2"/>
    <w:rsid w:val="03BC6351"/>
    <w:rsid w:val="03DD35E4"/>
    <w:rsid w:val="04076900"/>
    <w:rsid w:val="04171D3A"/>
    <w:rsid w:val="041A5A3B"/>
    <w:rsid w:val="042311BA"/>
    <w:rsid w:val="042B157A"/>
    <w:rsid w:val="04400F3C"/>
    <w:rsid w:val="048F763B"/>
    <w:rsid w:val="049F330E"/>
    <w:rsid w:val="04AA775C"/>
    <w:rsid w:val="04AF1889"/>
    <w:rsid w:val="04F66F48"/>
    <w:rsid w:val="05251E14"/>
    <w:rsid w:val="05A16594"/>
    <w:rsid w:val="05A7762D"/>
    <w:rsid w:val="060E5941"/>
    <w:rsid w:val="06110FAF"/>
    <w:rsid w:val="06493CA7"/>
    <w:rsid w:val="065A6178"/>
    <w:rsid w:val="066F1CF3"/>
    <w:rsid w:val="067E25FF"/>
    <w:rsid w:val="06871610"/>
    <w:rsid w:val="06930BB8"/>
    <w:rsid w:val="06E34074"/>
    <w:rsid w:val="07245D42"/>
    <w:rsid w:val="07264C62"/>
    <w:rsid w:val="0779354C"/>
    <w:rsid w:val="079575DC"/>
    <w:rsid w:val="07EC2E3C"/>
    <w:rsid w:val="08061376"/>
    <w:rsid w:val="08256BD2"/>
    <w:rsid w:val="08265A0A"/>
    <w:rsid w:val="08452D77"/>
    <w:rsid w:val="086401F8"/>
    <w:rsid w:val="08751CAA"/>
    <w:rsid w:val="087E4C40"/>
    <w:rsid w:val="08A871D0"/>
    <w:rsid w:val="08D66AD6"/>
    <w:rsid w:val="08DA33A3"/>
    <w:rsid w:val="08E80F13"/>
    <w:rsid w:val="08F5133F"/>
    <w:rsid w:val="09335624"/>
    <w:rsid w:val="0944690F"/>
    <w:rsid w:val="09535675"/>
    <w:rsid w:val="095F057D"/>
    <w:rsid w:val="09642282"/>
    <w:rsid w:val="09733572"/>
    <w:rsid w:val="09772C16"/>
    <w:rsid w:val="098353B5"/>
    <w:rsid w:val="09962B1B"/>
    <w:rsid w:val="09A92330"/>
    <w:rsid w:val="09B06B87"/>
    <w:rsid w:val="09C13146"/>
    <w:rsid w:val="09E04166"/>
    <w:rsid w:val="0A1C0718"/>
    <w:rsid w:val="0A3E7710"/>
    <w:rsid w:val="0A5B7E63"/>
    <w:rsid w:val="0A6351BE"/>
    <w:rsid w:val="0AA374A5"/>
    <w:rsid w:val="0AAB7649"/>
    <w:rsid w:val="0ABC5606"/>
    <w:rsid w:val="0AFF2C93"/>
    <w:rsid w:val="0B30404E"/>
    <w:rsid w:val="0B3B4240"/>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50209"/>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C2263"/>
    <w:rsid w:val="10646583"/>
    <w:rsid w:val="106A4144"/>
    <w:rsid w:val="107D4B15"/>
    <w:rsid w:val="108A3C80"/>
    <w:rsid w:val="10922838"/>
    <w:rsid w:val="10C26171"/>
    <w:rsid w:val="10F33360"/>
    <w:rsid w:val="10FC16EA"/>
    <w:rsid w:val="110F1D40"/>
    <w:rsid w:val="11266F33"/>
    <w:rsid w:val="118963A1"/>
    <w:rsid w:val="11C6522A"/>
    <w:rsid w:val="11C91AF8"/>
    <w:rsid w:val="11CB4AED"/>
    <w:rsid w:val="11E104CC"/>
    <w:rsid w:val="11E20309"/>
    <w:rsid w:val="12255233"/>
    <w:rsid w:val="12530213"/>
    <w:rsid w:val="127723A9"/>
    <w:rsid w:val="12862074"/>
    <w:rsid w:val="12883966"/>
    <w:rsid w:val="129E45B4"/>
    <w:rsid w:val="12D81596"/>
    <w:rsid w:val="13072A44"/>
    <w:rsid w:val="135F4BE2"/>
    <w:rsid w:val="136417B1"/>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47B3B"/>
    <w:rsid w:val="16A8729C"/>
    <w:rsid w:val="16B33777"/>
    <w:rsid w:val="16BC70A7"/>
    <w:rsid w:val="16C6339E"/>
    <w:rsid w:val="172F2D79"/>
    <w:rsid w:val="17557BEF"/>
    <w:rsid w:val="17872239"/>
    <w:rsid w:val="17D349C1"/>
    <w:rsid w:val="17FB4607"/>
    <w:rsid w:val="18244F26"/>
    <w:rsid w:val="1830729E"/>
    <w:rsid w:val="1852128A"/>
    <w:rsid w:val="1870062C"/>
    <w:rsid w:val="18817102"/>
    <w:rsid w:val="18830A15"/>
    <w:rsid w:val="18852B28"/>
    <w:rsid w:val="188B5321"/>
    <w:rsid w:val="19524AC9"/>
    <w:rsid w:val="19932372"/>
    <w:rsid w:val="19A20DD5"/>
    <w:rsid w:val="19AE03F1"/>
    <w:rsid w:val="19E62A44"/>
    <w:rsid w:val="19F85670"/>
    <w:rsid w:val="1A071A03"/>
    <w:rsid w:val="1A1F16AE"/>
    <w:rsid w:val="1A3B5C77"/>
    <w:rsid w:val="1A6A7BF0"/>
    <w:rsid w:val="1A984BAD"/>
    <w:rsid w:val="1AB8220E"/>
    <w:rsid w:val="1AB84DFF"/>
    <w:rsid w:val="1AE4166C"/>
    <w:rsid w:val="1AF06CFB"/>
    <w:rsid w:val="1AF11B8D"/>
    <w:rsid w:val="1B11359C"/>
    <w:rsid w:val="1B2A271F"/>
    <w:rsid w:val="1B530544"/>
    <w:rsid w:val="1B713184"/>
    <w:rsid w:val="1BA209CF"/>
    <w:rsid w:val="1BB4777D"/>
    <w:rsid w:val="1BD75AB8"/>
    <w:rsid w:val="1C0459C2"/>
    <w:rsid w:val="1C1B3B4A"/>
    <w:rsid w:val="1C88086E"/>
    <w:rsid w:val="1CFC3D00"/>
    <w:rsid w:val="1D266CE1"/>
    <w:rsid w:val="1D3963AF"/>
    <w:rsid w:val="1D6A673C"/>
    <w:rsid w:val="1D9247AE"/>
    <w:rsid w:val="1DB567EC"/>
    <w:rsid w:val="1DCD790C"/>
    <w:rsid w:val="1DE44BEE"/>
    <w:rsid w:val="1DF51A98"/>
    <w:rsid w:val="1E051CD9"/>
    <w:rsid w:val="1E3D060F"/>
    <w:rsid w:val="1E3F7D2E"/>
    <w:rsid w:val="1E4134E4"/>
    <w:rsid w:val="1E5062B3"/>
    <w:rsid w:val="1E523514"/>
    <w:rsid w:val="1E714A66"/>
    <w:rsid w:val="1E802593"/>
    <w:rsid w:val="1E854FF8"/>
    <w:rsid w:val="1E8B6156"/>
    <w:rsid w:val="1EA703CC"/>
    <w:rsid w:val="1EB7330C"/>
    <w:rsid w:val="1F0A0FF3"/>
    <w:rsid w:val="1F0A2B44"/>
    <w:rsid w:val="1F5771FF"/>
    <w:rsid w:val="1FD52574"/>
    <w:rsid w:val="1FE1785E"/>
    <w:rsid w:val="1FE868A9"/>
    <w:rsid w:val="20034907"/>
    <w:rsid w:val="20173E4B"/>
    <w:rsid w:val="204E48BC"/>
    <w:rsid w:val="208921B3"/>
    <w:rsid w:val="20973DEB"/>
    <w:rsid w:val="20B26522"/>
    <w:rsid w:val="20B44310"/>
    <w:rsid w:val="20DC0882"/>
    <w:rsid w:val="211116EB"/>
    <w:rsid w:val="216133FC"/>
    <w:rsid w:val="219A085D"/>
    <w:rsid w:val="21D56769"/>
    <w:rsid w:val="21E52EF3"/>
    <w:rsid w:val="21FB5D7B"/>
    <w:rsid w:val="22015E94"/>
    <w:rsid w:val="220B1C3D"/>
    <w:rsid w:val="221D1D20"/>
    <w:rsid w:val="22334A87"/>
    <w:rsid w:val="226C0740"/>
    <w:rsid w:val="22BE6801"/>
    <w:rsid w:val="22F31D76"/>
    <w:rsid w:val="233500BF"/>
    <w:rsid w:val="23377FF7"/>
    <w:rsid w:val="236B425F"/>
    <w:rsid w:val="23836192"/>
    <w:rsid w:val="23901F29"/>
    <w:rsid w:val="239C0061"/>
    <w:rsid w:val="23B908A4"/>
    <w:rsid w:val="23E95BEF"/>
    <w:rsid w:val="23FD0064"/>
    <w:rsid w:val="241E2CDA"/>
    <w:rsid w:val="245375B0"/>
    <w:rsid w:val="24642C0A"/>
    <w:rsid w:val="24B22173"/>
    <w:rsid w:val="24B95AD9"/>
    <w:rsid w:val="24BE24DA"/>
    <w:rsid w:val="24CF5825"/>
    <w:rsid w:val="24D663E6"/>
    <w:rsid w:val="24D77F2B"/>
    <w:rsid w:val="256F256E"/>
    <w:rsid w:val="256F33CB"/>
    <w:rsid w:val="258B00E2"/>
    <w:rsid w:val="25A917A6"/>
    <w:rsid w:val="25BE27CC"/>
    <w:rsid w:val="25CD79B1"/>
    <w:rsid w:val="25DC0129"/>
    <w:rsid w:val="25F74A5C"/>
    <w:rsid w:val="2628662C"/>
    <w:rsid w:val="262D45DE"/>
    <w:rsid w:val="26871DC8"/>
    <w:rsid w:val="26A53EF9"/>
    <w:rsid w:val="26A94201"/>
    <w:rsid w:val="26AC274F"/>
    <w:rsid w:val="27044A29"/>
    <w:rsid w:val="271D34C8"/>
    <w:rsid w:val="276142BF"/>
    <w:rsid w:val="27783712"/>
    <w:rsid w:val="278A6B27"/>
    <w:rsid w:val="27907362"/>
    <w:rsid w:val="28333E1D"/>
    <w:rsid w:val="28454BD6"/>
    <w:rsid w:val="28455253"/>
    <w:rsid w:val="284B72B3"/>
    <w:rsid w:val="28551971"/>
    <w:rsid w:val="285B1C53"/>
    <w:rsid w:val="289F7086"/>
    <w:rsid w:val="28B906C0"/>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E06E4"/>
    <w:rsid w:val="2BA50BF7"/>
    <w:rsid w:val="2BBF00EC"/>
    <w:rsid w:val="2BC37CFD"/>
    <w:rsid w:val="2BD5237F"/>
    <w:rsid w:val="2BE536CE"/>
    <w:rsid w:val="2BE758D9"/>
    <w:rsid w:val="2BF346BB"/>
    <w:rsid w:val="2C09049E"/>
    <w:rsid w:val="2C0A653C"/>
    <w:rsid w:val="2C191F85"/>
    <w:rsid w:val="2C2314A5"/>
    <w:rsid w:val="2C9B371B"/>
    <w:rsid w:val="2CE82D6F"/>
    <w:rsid w:val="2CF52657"/>
    <w:rsid w:val="2D1304B2"/>
    <w:rsid w:val="2D343236"/>
    <w:rsid w:val="2D575011"/>
    <w:rsid w:val="2DD15014"/>
    <w:rsid w:val="2DF72DE4"/>
    <w:rsid w:val="2E0220AF"/>
    <w:rsid w:val="2E4B082A"/>
    <w:rsid w:val="2E59653C"/>
    <w:rsid w:val="2E5D4E86"/>
    <w:rsid w:val="2E5D790B"/>
    <w:rsid w:val="2E9A3C18"/>
    <w:rsid w:val="2EBB0FEE"/>
    <w:rsid w:val="2EC63002"/>
    <w:rsid w:val="2F0A6B38"/>
    <w:rsid w:val="2F6745F9"/>
    <w:rsid w:val="2F946CCB"/>
    <w:rsid w:val="2FD25781"/>
    <w:rsid w:val="2FDC745C"/>
    <w:rsid w:val="2FEA14DE"/>
    <w:rsid w:val="2FFD7934"/>
    <w:rsid w:val="303D1BD7"/>
    <w:rsid w:val="306C3B5F"/>
    <w:rsid w:val="30733ACD"/>
    <w:rsid w:val="30792F04"/>
    <w:rsid w:val="308769EC"/>
    <w:rsid w:val="308C3862"/>
    <w:rsid w:val="309379D8"/>
    <w:rsid w:val="30A270F7"/>
    <w:rsid w:val="30DF1478"/>
    <w:rsid w:val="30EC586F"/>
    <w:rsid w:val="316F45A7"/>
    <w:rsid w:val="319C6071"/>
    <w:rsid w:val="31AC537E"/>
    <w:rsid w:val="31E3679B"/>
    <w:rsid w:val="31E732FD"/>
    <w:rsid w:val="31ED329B"/>
    <w:rsid w:val="323A55DB"/>
    <w:rsid w:val="32517576"/>
    <w:rsid w:val="32BE5C2C"/>
    <w:rsid w:val="32FB6478"/>
    <w:rsid w:val="33263B3F"/>
    <w:rsid w:val="336963EB"/>
    <w:rsid w:val="33816EEB"/>
    <w:rsid w:val="33EB55CD"/>
    <w:rsid w:val="33EC4C02"/>
    <w:rsid w:val="340D2360"/>
    <w:rsid w:val="3410665D"/>
    <w:rsid w:val="34160775"/>
    <w:rsid w:val="34211214"/>
    <w:rsid w:val="342E63AB"/>
    <w:rsid w:val="345E59F9"/>
    <w:rsid w:val="34950E68"/>
    <w:rsid w:val="34986E94"/>
    <w:rsid w:val="349A13A6"/>
    <w:rsid w:val="34AF62C9"/>
    <w:rsid w:val="34CB4388"/>
    <w:rsid w:val="34DE2CCB"/>
    <w:rsid w:val="34FA6E12"/>
    <w:rsid w:val="354D7158"/>
    <w:rsid w:val="358D5588"/>
    <w:rsid w:val="35F06A27"/>
    <w:rsid w:val="363A3B40"/>
    <w:rsid w:val="365302AE"/>
    <w:rsid w:val="36607A0A"/>
    <w:rsid w:val="366E227C"/>
    <w:rsid w:val="366F2E0D"/>
    <w:rsid w:val="367B6A5C"/>
    <w:rsid w:val="36880681"/>
    <w:rsid w:val="36A74ADA"/>
    <w:rsid w:val="36AD60D5"/>
    <w:rsid w:val="36B224F9"/>
    <w:rsid w:val="36EC0CC9"/>
    <w:rsid w:val="37202102"/>
    <w:rsid w:val="373F410B"/>
    <w:rsid w:val="37EE7094"/>
    <w:rsid w:val="38296C89"/>
    <w:rsid w:val="383002EB"/>
    <w:rsid w:val="38586797"/>
    <w:rsid w:val="385D15DF"/>
    <w:rsid w:val="38BC0149"/>
    <w:rsid w:val="38D87D1C"/>
    <w:rsid w:val="392C199E"/>
    <w:rsid w:val="39636459"/>
    <w:rsid w:val="396B7F6C"/>
    <w:rsid w:val="39B417A9"/>
    <w:rsid w:val="39FC5695"/>
    <w:rsid w:val="3A006D8E"/>
    <w:rsid w:val="3A160475"/>
    <w:rsid w:val="3A3651E5"/>
    <w:rsid w:val="3A744481"/>
    <w:rsid w:val="3A8C7BEF"/>
    <w:rsid w:val="3A906246"/>
    <w:rsid w:val="3B2349B7"/>
    <w:rsid w:val="3B616CFF"/>
    <w:rsid w:val="3B6259F6"/>
    <w:rsid w:val="3B781D15"/>
    <w:rsid w:val="3B976654"/>
    <w:rsid w:val="3BC01EFC"/>
    <w:rsid w:val="3BCA786A"/>
    <w:rsid w:val="3BCC7C51"/>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04F26"/>
    <w:rsid w:val="3E7B5D6B"/>
    <w:rsid w:val="3E843E66"/>
    <w:rsid w:val="3E8F51FE"/>
    <w:rsid w:val="3E926F87"/>
    <w:rsid w:val="3E9A59DE"/>
    <w:rsid w:val="3E9D22B0"/>
    <w:rsid w:val="3EAF4836"/>
    <w:rsid w:val="3EC33DFA"/>
    <w:rsid w:val="3F060E16"/>
    <w:rsid w:val="3F1D1096"/>
    <w:rsid w:val="3F2F0234"/>
    <w:rsid w:val="3F6363FE"/>
    <w:rsid w:val="3F756B8F"/>
    <w:rsid w:val="3F95482B"/>
    <w:rsid w:val="4019356B"/>
    <w:rsid w:val="401A366A"/>
    <w:rsid w:val="40415912"/>
    <w:rsid w:val="40592157"/>
    <w:rsid w:val="406E1CAE"/>
    <w:rsid w:val="40A0133A"/>
    <w:rsid w:val="40C31A53"/>
    <w:rsid w:val="40FF545D"/>
    <w:rsid w:val="410067C8"/>
    <w:rsid w:val="418F0D2A"/>
    <w:rsid w:val="41A0381C"/>
    <w:rsid w:val="41D01505"/>
    <w:rsid w:val="42474939"/>
    <w:rsid w:val="424C3C57"/>
    <w:rsid w:val="425B5A17"/>
    <w:rsid w:val="42613FF3"/>
    <w:rsid w:val="42660D96"/>
    <w:rsid w:val="428667D2"/>
    <w:rsid w:val="42CD1CE0"/>
    <w:rsid w:val="42CE6A67"/>
    <w:rsid w:val="42E1381E"/>
    <w:rsid w:val="42ED6459"/>
    <w:rsid w:val="42FE58DD"/>
    <w:rsid w:val="43174B3D"/>
    <w:rsid w:val="434B790E"/>
    <w:rsid w:val="4360274F"/>
    <w:rsid w:val="439549EC"/>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D228A"/>
    <w:rsid w:val="46893F2B"/>
    <w:rsid w:val="46957BD9"/>
    <w:rsid w:val="46C4686E"/>
    <w:rsid w:val="473D6F57"/>
    <w:rsid w:val="477B778F"/>
    <w:rsid w:val="478203EC"/>
    <w:rsid w:val="478C6918"/>
    <w:rsid w:val="47B025FA"/>
    <w:rsid w:val="4809698F"/>
    <w:rsid w:val="4811697D"/>
    <w:rsid w:val="487A3E25"/>
    <w:rsid w:val="488B5503"/>
    <w:rsid w:val="48937E21"/>
    <w:rsid w:val="489A0361"/>
    <w:rsid w:val="48B94FF3"/>
    <w:rsid w:val="48E06C50"/>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E13FD"/>
    <w:rsid w:val="4B9739F7"/>
    <w:rsid w:val="4BEE2503"/>
    <w:rsid w:val="4C245A30"/>
    <w:rsid w:val="4C467355"/>
    <w:rsid w:val="4CB6685F"/>
    <w:rsid w:val="4CC367FE"/>
    <w:rsid w:val="4CC7452C"/>
    <w:rsid w:val="4D077F3C"/>
    <w:rsid w:val="4D123355"/>
    <w:rsid w:val="4D2770F7"/>
    <w:rsid w:val="4D2A3B31"/>
    <w:rsid w:val="4D312C52"/>
    <w:rsid w:val="4D905305"/>
    <w:rsid w:val="4D964A72"/>
    <w:rsid w:val="4D9C1254"/>
    <w:rsid w:val="4E5125DD"/>
    <w:rsid w:val="4E793892"/>
    <w:rsid w:val="4E800872"/>
    <w:rsid w:val="4EC569ED"/>
    <w:rsid w:val="4ED50EA1"/>
    <w:rsid w:val="4EEC050C"/>
    <w:rsid w:val="4F104EC3"/>
    <w:rsid w:val="4F47354A"/>
    <w:rsid w:val="4F741207"/>
    <w:rsid w:val="4F805A1B"/>
    <w:rsid w:val="4F911C54"/>
    <w:rsid w:val="4FE625E0"/>
    <w:rsid w:val="5021480F"/>
    <w:rsid w:val="503A2AB3"/>
    <w:rsid w:val="50962ECB"/>
    <w:rsid w:val="50A42E38"/>
    <w:rsid w:val="50A4577F"/>
    <w:rsid w:val="50B73D1F"/>
    <w:rsid w:val="50BD5BC9"/>
    <w:rsid w:val="50C11EEE"/>
    <w:rsid w:val="50DD3A58"/>
    <w:rsid w:val="50E97CFC"/>
    <w:rsid w:val="50FA4028"/>
    <w:rsid w:val="510D65B7"/>
    <w:rsid w:val="511157AB"/>
    <w:rsid w:val="5142540C"/>
    <w:rsid w:val="518832C8"/>
    <w:rsid w:val="519D3C50"/>
    <w:rsid w:val="51A0432A"/>
    <w:rsid w:val="51A86090"/>
    <w:rsid w:val="51B7396D"/>
    <w:rsid w:val="520774F7"/>
    <w:rsid w:val="522E4CC3"/>
    <w:rsid w:val="5244713B"/>
    <w:rsid w:val="52615633"/>
    <w:rsid w:val="526F4DE4"/>
    <w:rsid w:val="52977FD4"/>
    <w:rsid w:val="52A25790"/>
    <w:rsid w:val="52A96B6F"/>
    <w:rsid w:val="52B45975"/>
    <w:rsid w:val="52C2699A"/>
    <w:rsid w:val="52CC5897"/>
    <w:rsid w:val="52D94AA4"/>
    <w:rsid w:val="52EA3A62"/>
    <w:rsid w:val="52F50BB8"/>
    <w:rsid w:val="53097272"/>
    <w:rsid w:val="53306A92"/>
    <w:rsid w:val="53544462"/>
    <w:rsid w:val="5397158E"/>
    <w:rsid w:val="53CA4689"/>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442A9"/>
    <w:rsid w:val="55DC29B6"/>
    <w:rsid w:val="55DD4241"/>
    <w:rsid w:val="55E55DA1"/>
    <w:rsid w:val="56102960"/>
    <w:rsid w:val="56471638"/>
    <w:rsid w:val="566B6D1E"/>
    <w:rsid w:val="57032A2C"/>
    <w:rsid w:val="570F5219"/>
    <w:rsid w:val="575D12B5"/>
    <w:rsid w:val="57610A87"/>
    <w:rsid w:val="577B1140"/>
    <w:rsid w:val="577B7F21"/>
    <w:rsid w:val="577F181B"/>
    <w:rsid w:val="57853D0D"/>
    <w:rsid w:val="57921984"/>
    <w:rsid w:val="579737F0"/>
    <w:rsid w:val="57AB7B30"/>
    <w:rsid w:val="57AF5251"/>
    <w:rsid w:val="57B26373"/>
    <w:rsid w:val="57B63F04"/>
    <w:rsid w:val="57CD20C2"/>
    <w:rsid w:val="57D675AB"/>
    <w:rsid w:val="57D73717"/>
    <w:rsid w:val="57D95FDD"/>
    <w:rsid w:val="58365DDC"/>
    <w:rsid w:val="583E1858"/>
    <w:rsid w:val="58917D2F"/>
    <w:rsid w:val="5894085C"/>
    <w:rsid w:val="58AE4F0C"/>
    <w:rsid w:val="58B85899"/>
    <w:rsid w:val="58E363A9"/>
    <w:rsid w:val="58FE646D"/>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A5E4B"/>
    <w:rsid w:val="5B2E1A1D"/>
    <w:rsid w:val="5B7420A1"/>
    <w:rsid w:val="5B843A1C"/>
    <w:rsid w:val="5B873E3F"/>
    <w:rsid w:val="5C02690E"/>
    <w:rsid w:val="5C096E4A"/>
    <w:rsid w:val="5C196DA7"/>
    <w:rsid w:val="5C2A048C"/>
    <w:rsid w:val="5C361105"/>
    <w:rsid w:val="5C80234E"/>
    <w:rsid w:val="5C887829"/>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41518"/>
    <w:rsid w:val="5FFE1E36"/>
    <w:rsid w:val="600476F8"/>
    <w:rsid w:val="60232584"/>
    <w:rsid w:val="607330CE"/>
    <w:rsid w:val="60825176"/>
    <w:rsid w:val="609F2AC4"/>
    <w:rsid w:val="60D26802"/>
    <w:rsid w:val="60FA2EE8"/>
    <w:rsid w:val="61054A27"/>
    <w:rsid w:val="610A52BC"/>
    <w:rsid w:val="611D2366"/>
    <w:rsid w:val="61421856"/>
    <w:rsid w:val="615227C4"/>
    <w:rsid w:val="61654E3F"/>
    <w:rsid w:val="6182292A"/>
    <w:rsid w:val="619F7F92"/>
    <w:rsid w:val="61F94C26"/>
    <w:rsid w:val="62000E56"/>
    <w:rsid w:val="624D5575"/>
    <w:rsid w:val="624F3E49"/>
    <w:rsid w:val="62632286"/>
    <w:rsid w:val="62885958"/>
    <w:rsid w:val="62F40B65"/>
    <w:rsid w:val="62FC2CFE"/>
    <w:rsid w:val="63024505"/>
    <w:rsid w:val="635600A5"/>
    <w:rsid w:val="635B1DB5"/>
    <w:rsid w:val="63711FED"/>
    <w:rsid w:val="63880DDC"/>
    <w:rsid w:val="638D750D"/>
    <w:rsid w:val="63AC6CC0"/>
    <w:rsid w:val="63C257AC"/>
    <w:rsid w:val="64055776"/>
    <w:rsid w:val="640F2F10"/>
    <w:rsid w:val="64240056"/>
    <w:rsid w:val="643E143A"/>
    <w:rsid w:val="64491666"/>
    <w:rsid w:val="646A2E11"/>
    <w:rsid w:val="648B6EEF"/>
    <w:rsid w:val="64C158BF"/>
    <w:rsid w:val="64CE2EAA"/>
    <w:rsid w:val="653C3090"/>
    <w:rsid w:val="65854376"/>
    <w:rsid w:val="658767BE"/>
    <w:rsid w:val="65892531"/>
    <w:rsid w:val="6616739F"/>
    <w:rsid w:val="66195831"/>
    <w:rsid w:val="662E75B1"/>
    <w:rsid w:val="66342C2E"/>
    <w:rsid w:val="663E784C"/>
    <w:rsid w:val="66692CC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E364C"/>
    <w:rsid w:val="693E15D3"/>
    <w:rsid w:val="69627681"/>
    <w:rsid w:val="6977531D"/>
    <w:rsid w:val="69CC2BFF"/>
    <w:rsid w:val="69FD55B8"/>
    <w:rsid w:val="6A0B1C62"/>
    <w:rsid w:val="6A2406C8"/>
    <w:rsid w:val="6A6257BB"/>
    <w:rsid w:val="6A681023"/>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711C1"/>
    <w:rsid w:val="6E8335BD"/>
    <w:rsid w:val="6E8E12EF"/>
    <w:rsid w:val="6E972936"/>
    <w:rsid w:val="6ED446C5"/>
    <w:rsid w:val="6F2A7D94"/>
    <w:rsid w:val="6F8331F1"/>
    <w:rsid w:val="6FAE1A09"/>
    <w:rsid w:val="6FD75BF8"/>
    <w:rsid w:val="707723D0"/>
    <w:rsid w:val="70F5661B"/>
    <w:rsid w:val="7105557C"/>
    <w:rsid w:val="71360107"/>
    <w:rsid w:val="713B688E"/>
    <w:rsid w:val="71810055"/>
    <w:rsid w:val="71D43752"/>
    <w:rsid w:val="71F1796A"/>
    <w:rsid w:val="72154626"/>
    <w:rsid w:val="72262B5D"/>
    <w:rsid w:val="72283FF7"/>
    <w:rsid w:val="722E7212"/>
    <w:rsid w:val="723A0474"/>
    <w:rsid w:val="725923E4"/>
    <w:rsid w:val="72864BF7"/>
    <w:rsid w:val="729023FC"/>
    <w:rsid w:val="734B31CC"/>
    <w:rsid w:val="73740F3F"/>
    <w:rsid w:val="73C0646E"/>
    <w:rsid w:val="73F67656"/>
    <w:rsid w:val="74143FCA"/>
    <w:rsid w:val="742222F5"/>
    <w:rsid w:val="74476126"/>
    <w:rsid w:val="74706664"/>
    <w:rsid w:val="747F3682"/>
    <w:rsid w:val="749C4185"/>
    <w:rsid w:val="74E53505"/>
    <w:rsid w:val="74FA31C0"/>
    <w:rsid w:val="75067759"/>
    <w:rsid w:val="752E6DCD"/>
    <w:rsid w:val="7551380D"/>
    <w:rsid w:val="755C1FAC"/>
    <w:rsid w:val="75600BE5"/>
    <w:rsid w:val="7564475C"/>
    <w:rsid w:val="7583797F"/>
    <w:rsid w:val="75D20F1D"/>
    <w:rsid w:val="75DA2C18"/>
    <w:rsid w:val="75F54412"/>
    <w:rsid w:val="761D08E0"/>
    <w:rsid w:val="7621100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A1928"/>
    <w:rsid w:val="78E172CC"/>
    <w:rsid w:val="78EA1D1F"/>
    <w:rsid w:val="78F543CA"/>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D6614"/>
    <w:rsid w:val="7AD03545"/>
    <w:rsid w:val="7AD05746"/>
    <w:rsid w:val="7B1F257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B5C40"/>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link w:val="322"/>
    <w:autoRedefine/>
    <w:qFormat/>
    <w:uiPriority w:val="0"/>
    <w:pPr>
      <w:ind w:firstLine="420"/>
    </w:pPr>
    <w:rPr>
      <w:rFonts w:hAnsi="Calibri" w:cs="Times New Roman"/>
      <w:snapToGrid/>
      <w:szCs w:val="20"/>
    </w:rPr>
  </w:style>
  <w:style w:type="paragraph" w:styleId="61">
    <w:name w:val="Body Text First Indent 2"/>
    <w:basedOn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3 字符"/>
    <w:autoRedefine/>
    <w:qFormat/>
    <w:uiPriority w:val="9"/>
    <w:rPr>
      <w:b/>
      <w:bCs/>
      <w:kern w:val="2"/>
      <w:sz w:val="32"/>
      <w:szCs w:val="32"/>
    </w:rPr>
  </w:style>
  <w:style w:type="character" w:customStyle="1" w:styleId="80">
    <w:name w:val="标题 2 字符"/>
    <w:autoRedefine/>
    <w:qFormat/>
    <w:uiPriority w:val="0"/>
    <w:rPr>
      <w:rFonts w:ascii="仿宋_GB2312" w:hAnsi="Times New Roman" w:eastAsia="仿宋_GB2312" w:cs="Times New Roman"/>
      <w:b/>
      <w:kern w:val="2"/>
      <w:sz w:val="24"/>
      <w:lang w:val="zh-CN"/>
    </w:rPr>
  </w:style>
  <w:style w:type="character" w:customStyle="1" w:styleId="8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2">
    <w:name w:val="标题 1 字符"/>
    <w:autoRedefine/>
    <w:qFormat/>
    <w:uiPriority w:val="9"/>
    <w:rPr>
      <w:rFonts w:ascii="Arial" w:hAnsi="Arial" w:eastAsia="黑体" w:cs="Arial"/>
      <w:b/>
      <w:bCs/>
      <w:snapToGrid w:val="0"/>
      <w:kern w:val="44"/>
      <w:sz w:val="44"/>
      <w:szCs w:val="44"/>
    </w:rPr>
  </w:style>
  <w:style w:type="character" w:customStyle="1" w:styleId="83">
    <w:name w:val="标题 5 字符"/>
    <w:link w:val="7"/>
    <w:autoRedefine/>
    <w:qFormat/>
    <w:uiPriority w:val="9"/>
    <w:rPr>
      <w:b/>
      <w:bCs/>
      <w:kern w:val="2"/>
      <w:sz w:val="28"/>
      <w:szCs w:val="28"/>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ascii="仿宋" w:hAnsi="仿宋" w:eastAsia="仿宋" w:cs="仿宋"/>
      <w:b/>
      <w:kern w:val="2"/>
      <w:sz w:val="24"/>
      <w:szCs w:val="24"/>
    </w:rPr>
  </w:style>
  <w:style w:type="paragraph" w:customStyle="1" w:styleId="134">
    <w:name w:val="正文2"/>
    <w:basedOn w:val="1"/>
    <w:link w:val="133"/>
    <w:autoRedefine/>
    <w:qFormat/>
    <w:uiPriority w:val="0"/>
    <w:pPr>
      <w:snapToGrid w:val="0"/>
      <w:spacing w:line="360" w:lineRule="auto"/>
      <w:ind w:firstLine="482" w:firstLineChars="200"/>
    </w:pPr>
    <w:rPr>
      <w:rFonts w:ascii="仿宋" w:hAnsi="仿宋" w:eastAsia="仿宋" w:cs="仿宋"/>
      <w:b/>
      <w:sz w:val="24"/>
    </w:rPr>
  </w:style>
  <w:style w:type="character" w:customStyle="1" w:styleId="135">
    <w:name w:val="Char Char24"/>
    <w:autoRedefine/>
    <w:qFormat/>
    <w:uiPriority w:val="6"/>
    <w:rPr>
      <w:kern w:val="1"/>
      <w:sz w:val="21"/>
    </w:rPr>
  </w:style>
  <w:style w:type="character" w:customStyle="1" w:styleId="136">
    <w:name w:val="副标题 字符"/>
    <w:link w:val="46"/>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69"/>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2"/>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5"/>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8"/>
    <w:autoRedefine/>
    <w:qFormat/>
    <w:uiPriority w:val="10"/>
    <w:rPr>
      <w:b/>
      <w:sz w:val="24"/>
      <w:lang w:val="en-GB"/>
    </w:rPr>
  </w:style>
  <w:style w:type="character" w:customStyle="1" w:styleId="289">
    <w:name w:val="font81"/>
    <w:basedOn w:val="69"/>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6"/>
    <w:autoRedefine/>
    <w:qFormat/>
    <w:uiPriority w:val="0"/>
    <w:rPr>
      <w:rFonts w:ascii="黑体" w:hAnsi="Courier New" w:eastAsia="黑体"/>
    </w:rPr>
  </w:style>
  <w:style w:type="character" w:customStyle="1" w:styleId="303">
    <w:name w:val="正文文本 2 字符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basedOn w:val="69"/>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4"/>
    <w:autoRedefine/>
    <w:qFormat/>
    <w:uiPriority w:val="0"/>
    <w:pPr>
      <w:ind w:firstLine="480"/>
      <w:outlineLvl w:val="2"/>
    </w:pPr>
    <w:rPr>
      <w:rFonts w:ascii="仿宋_GB2312" w:hAnsi="宋体" w:eastAsia="仿宋_GB2312"/>
      <w:color w:val="000000"/>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7"/>
    <w:next w:val="237"/>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7"/>
    <w:next w:val="237"/>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basedOn w:val="69"/>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autoRedefine/>
    <w:semiHidden/>
    <w:unhideWhenUsed/>
    <w:qFormat/>
    <w:uiPriority w:val="99"/>
    <w:rPr>
      <w:color w:val="605E5C"/>
      <w:shd w:val="clear" w:color="auto" w:fill="E1DFDD"/>
    </w:rPr>
  </w:style>
  <w:style w:type="character" w:customStyle="1" w:styleId="965">
    <w:name w:val="font121"/>
    <w:basedOn w:val="69"/>
    <w:autoRedefine/>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A0567-D605-40F6-A900-76436B167D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183</Pages>
  <Words>36053</Words>
  <Characters>38254</Characters>
  <Lines>305</Lines>
  <Paragraphs>85</Paragraphs>
  <TotalTime>65</TotalTime>
  <ScaleCrop>false</ScaleCrop>
  <LinksUpToDate>false</LinksUpToDate>
  <CharactersWithSpaces>41780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粥小粒</cp:lastModifiedBy>
  <cp:lastPrinted>2021-12-27T11:06:00Z</cp:lastPrinted>
  <dcterms:modified xsi:type="dcterms:W3CDTF">2024-05-10T10:30:16Z</dcterms:modified>
  <dc:title>杭州市市民卡扩大发卡工程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F81DC524AD8346CCB86460BB563AAD84_13</vt:lpwstr>
  </property>
</Properties>
</file>