
<file path=[Content_Types].xml><?xml version="1.0" encoding="utf-8"?>
<Types xmlns="http://schemas.openxmlformats.org/package/2006/content-types">
  <Default ContentType="image/jpeg" Extension="jpeg"/>
  <Default ContentType="image/.jpg" Extension="jpg"/>
  <Default ContentType="image/png" Extension="png"/>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header+xml" PartName="/word/header4.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4307" w:hRule="atLeast"/>
        </w:trPr>
        <w:tc>
          <w:tcPr>
            <w:tcW w:w="9732" w:type="dxa"/>
            <w:noWrap w:val="0"/>
            <w:vAlign w:val="top"/>
          </w:tcPr>
          <w:p>
            <w:pPr>
              <w:tabs>
                <w:tab w:val="left" w:pos="8375"/>
              </w:tabs>
              <w:rPr>
                <w:rFonts w:hint="eastAsia" w:ascii="宋体" w:hAnsi="宋体" w:cs="宋体"/>
                <w:b/>
                <w:sz w:val="22"/>
                <w:szCs w:val="22"/>
              </w:rPr>
            </w:pPr>
            <w:bookmarkStart w:id="153" w:name="_GoBack"/>
            <w:bookmarkEnd w:id="153"/>
          </w:p>
          <w:p>
            <w:pPr>
              <w:jc w:val="center"/>
              <w:rPr>
                <w:rFonts w:hint="eastAsia" w:ascii="宋体" w:hAnsi="宋体" w:cs="宋体"/>
                <w:b/>
                <w:bCs/>
                <w:color w:val="000000"/>
                <w:spacing w:val="85"/>
                <w:sz w:val="36"/>
                <w:szCs w:val="36"/>
              </w:rPr>
            </w:pPr>
          </w:p>
          <w:p>
            <w:pPr>
              <w:jc w:val="center"/>
              <w:rPr>
                <w:rFonts w:hint="eastAsia" w:ascii="宋体" w:hAnsi="宋体" w:cs="宋体"/>
                <w:color w:val="000000"/>
                <w:sz w:val="84"/>
                <w:szCs w:val="84"/>
              </w:rPr>
            </w:pPr>
            <w:r>
              <w:rPr>
                <w:rFonts w:hint="eastAsia" w:ascii="宋体" w:hAnsi="宋体" w:cs="宋体"/>
                <w:b/>
                <w:bCs/>
                <w:color w:val="000000"/>
                <w:spacing w:val="85"/>
                <w:sz w:val="84"/>
                <w:szCs w:val="84"/>
              </w:rPr>
              <w:t>公开招标</w:t>
            </w:r>
            <w:r>
              <w:rPr>
                <w:rFonts w:hint="eastAsia" w:ascii="宋体" w:hAnsi="宋体" w:cs="宋体"/>
                <w:b/>
                <w:bCs/>
                <w:color w:val="000000"/>
                <w:sz w:val="84"/>
                <w:szCs w:val="84"/>
              </w:rPr>
              <w:t>文件</w:t>
            </w:r>
          </w:p>
          <w:p>
            <w:pPr>
              <w:spacing w:line="440" w:lineRule="exact"/>
              <w:ind w:left="1148"/>
              <w:rPr>
                <w:rFonts w:hint="eastAsia" w:ascii="宋体" w:hAnsi="宋体" w:cs="宋体"/>
                <w:b/>
                <w:bCs/>
                <w:sz w:val="36"/>
                <w:szCs w:val="36"/>
              </w:rPr>
            </w:pPr>
          </w:p>
          <w:p>
            <w:pPr>
              <w:spacing w:line="440" w:lineRule="exact"/>
              <w:ind w:left="1148"/>
              <w:rPr>
                <w:rFonts w:hint="eastAsia" w:ascii="宋体" w:hAnsi="宋体" w:cs="宋体"/>
                <w:b/>
                <w:bCs/>
                <w:sz w:val="36"/>
                <w:szCs w:val="36"/>
              </w:rPr>
            </w:pPr>
          </w:p>
          <w:p>
            <w:pPr>
              <w:spacing w:line="440" w:lineRule="exact"/>
              <w:ind w:left="3553" w:leftChars="869" w:hanging="1728" w:hangingChars="480"/>
              <w:rPr>
                <w:rFonts w:hint="eastAsia" w:ascii="宋体" w:hAnsi="宋体" w:cs="宋体"/>
                <w:bCs/>
                <w:sz w:val="36"/>
                <w:szCs w:val="36"/>
              </w:rPr>
            </w:pPr>
            <w:r>
              <w:rPr>
                <w:rFonts w:hint="eastAsia" w:ascii="宋体" w:hAnsi="宋体" w:cs="宋体"/>
                <w:bCs/>
                <w:sz w:val="36"/>
                <w:szCs w:val="36"/>
                <w:u w:val="none" w:color="800080"/>
              </w:rPr>
              <w:t>项目名称：</w:t>
            </w:r>
            <w:r>
              <w:rPr>
                <w:rFonts w:hint="eastAsia" w:ascii="宋体" w:hAnsi="宋体" w:cs="宋体"/>
                <w:bCs/>
                <w:sz w:val="36"/>
                <w:szCs w:val="36"/>
              </w:rPr>
              <w:t>苍南县公安局**数据中心机房</w:t>
            </w:r>
          </w:p>
          <w:p>
            <w:pPr>
              <w:spacing w:line="440" w:lineRule="exact"/>
              <w:rPr>
                <w:rFonts w:hint="eastAsia" w:ascii="宋体" w:hAnsi="宋体" w:cs="宋体"/>
                <w:bCs/>
                <w:sz w:val="36"/>
                <w:szCs w:val="36"/>
              </w:rPr>
            </w:pPr>
          </w:p>
          <w:p>
            <w:pPr>
              <w:spacing w:line="440" w:lineRule="exact"/>
              <w:rPr>
                <w:rFonts w:hint="eastAsia" w:ascii="宋体" w:hAnsi="宋体" w:cs="宋体"/>
                <w:bCs/>
                <w:sz w:val="36"/>
                <w:szCs w:val="36"/>
              </w:rPr>
            </w:pPr>
          </w:p>
          <w:p>
            <w:pPr>
              <w:spacing w:line="440" w:lineRule="exact"/>
              <w:rPr>
                <w:rFonts w:hint="eastAsia" w:ascii="宋体" w:hAnsi="宋体" w:cs="宋体"/>
                <w:bCs/>
                <w:sz w:val="36"/>
                <w:szCs w:val="36"/>
              </w:rPr>
            </w:pPr>
          </w:p>
          <w:p>
            <w:pPr>
              <w:spacing w:line="440" w:lineRule="exact"/>
              <w:ind w:left="3541" w:leftChars="860" w:hanging="1735" w:hangingChars="482"/>
              <w:rPr>
                <w:rFonts w:hint="eastAsia" w:ascii="宋体" w:hAnsi="宋体" w:cs="宋体"/>
                <w:bCs/>
                <w:color w:val="000000"/>
                <w:sz w:val="36"/>
                <w:szCs w:val="36"/>
              </w:rPr>
            </w:pPr>
          </w:p>
          <w:p>
            <w:pPr>
              <w:spacing w:line="440" w:lineRule="exact"/>
              <w:ind w:firstLine="1800" w:firstLineChars="500"/>
              <w:rPr>
                <w:rFonts w:hint="eastAsia" w:ascii="宋体" w:hAnsi="宋体" w:cs="宋体"/>
                <w:bCs/>
                <w:color w:val="000000"/>
                <w:sz w:val="36"/>
                <w:szCs w:val="36"/>
              </w:rPr>
            </w:pPr>
            <w:r>
              <w:rPr>
                <w:rFonts w:hint="eastAsia" w:ascii="宋体" w:hAnsi="宋体" w:cs="宋体"/>
                <w:bCs/>
                <w:color w:val="000000"/>
                <w:sz w:val="36"/>
                <w:szCs w:val="36"/>
              </w:rPr>
              <w:t>采 购 人：苍南县公安局</w:t>
            </w:r>
          </w:p>
          <w:p>
            <w:pPr>
              <w:spacing w:line="440" w:lineRule="exact"/>
              <w:rPr>
                <w:rFonts w:hint="eastAsia" w:ascii="宋体" w:hAnsi="宋体" w:cs="宋体"/>
                <w:bCs/>
                <w:color w:val="000000"/>
                <w:sz w:val="36"/>
                <w:szCs w:val="36"/>
              </w:rPr>
            </w:pPr>
          </w:p>
          <w:p>
            <w:pPr>
              <w:spacing w:line="440" w:lineRule="exact"/>
              <w:rPr>
                <w:rFonts w:hint="eastAsia" w:ascii="宋体" w:hAnsi="宋体" w:cs="宋体"/>
                <w:bCs/>
                <w:color w:val="000000"/>
                <w:sz w:val="36"/>
                <w:szCs w:val="36"/>
              </w:rPr>
            </w:pPr>
          </w:p>
          <w:p>
            <w:pPr>
              <w:spacing w:line="440" w:lineRule="exact"/>
              <w:rPr>
                <w:rFonts w:hint="eastAsia" w:ascii="宋体" w:hAnsi="宋体" w:cs="宋体"/>
                <w:bCs/>
                <w:color w:val="000000"/>
                <w:sz w:val="36"/>
                <w:szCs w:val="36"/>
              </w:rPr>
            </w:pPr>
          </w:p>
          <w:p>
            <w:pPr>
              <w:spacing w:line="440" w:lineRule="exact"/>
              <w:rPr>
                <w:rFonts w:hint="eastAsia" w:ascii="宋体" w:hAnsi="宋体" w:cs="宋体"/>
                <w:bCs/>
                <w:color w:val="000000"/>
                <w:sz w:val="36"/>
                <w:szCs w:val="36"/>
              </w:rPr>
            </w:pPr>
          </w:p>
          <w:p>
            <w:pPr>
              <w:spacing w:line="440" w:lineRule="exact"/>
              <w:ind w:firstLine="1800" w:firstLineChars="500"/>
              <w:rPr>
                <w:rFonts w:hint="eastAsia" w:ascii="宋体" w:hAnsi="宋体" w:cs="宋体"/>
                <w:bCs/>
                <w:color w:val="000000"/>
                <w:sz w:val="36"/>
                <w:szCs w:val="36"/>
              </w:rPr>
            </w:pPr>
            <w:r>
              <w:rPr>
                <w:rFonts w:hint="eastAsia" w:ascii="宋体" w:hAnsi="宋体" w:cs="宋体"/>
                <w:bCs/>
                <w:color w:val="000000"/>
                <w:sz w:val="36"/>
                <w:szCs w:val="36"/>
              </w:rPr>
              <w:t>代理机构：杭州华旗招标代理有限公司</w:t>
            </w:r>
          </w:p>
          <w:p>
            <w:pPr>
              <w:spacing w:line="440" w:lineRule="exact"/>
              <w:ind w:firstLine="1800" w:firstLineChars="500"/>
              <w:rPr>
                <w:rFonts w:hint="eastAsia" w:ascii="宋体" w:hAnsi="宋体" w:cs="宋体"/>
                <w:bCs/>
                <w:color w:val="000000"/>
                <w:sz w:val="36"/>
                <w:szCs w:val="36"/>
              </w:rPr>
            </w:pPr>
            <w:r>
              <w:rPr>
                <w:rFonts w:hint="eastAsia" w:ascii="宋体" w:hAnsi="宋体" w:cs="宋体"/>
                <w:bCs/>
                <w:color w:val="000000"/>
                <w:sz w:val="36"/>
                <w:szCs w:val="36"/>
              </w:rPr>
              <w:t>联 系 人：陈先生</w:t>
            </w:r>
          </w:p>
          <w:p>
            <w:pPr>
              <w:spacing w:line="440" w:lineRule="exact"/>
              <w:ind w:firstLine="1800" w:firstLineChars="500"/>
              <w:rPr>
                <w:rFonts w:hint="eastAsia" w:ascii="宋体" w:hAnsi="宋体" w:cs="宋体"/>
                <w:bCs/>
                <w:color w:val="000000"/>
                <w:sz w:val="36"/>
                <w:szCs w:val="36"/>
              </w:rPr>
            </w:pPr>
            <w:r>
              <w:rPr>
                <w:rFonts w:hint="eastAsia" w:ascii="宋体" w:hAnsi="宋体" w:cs="宋体"/>
                <w:bCs/>
                <w:color w:val="000000"/>
                <w:sz w:val="36"/>
                <w:szCs w:val="36"/>
              </w:rPr>
              <w:t>联系电话：13738772079</w:t>
            </w:r>
          </w:p>
          <w:p>
            <w:pPr>
              <w:spacing w:line="440" w:lineRule="exact"/>
              <w:ind w:firstLine="2335" w:firstLineChars="646"/>
              <w:rPr>
                <w:rFonts w:hint="eastAsia" w:ascii="宋体" w:hAnsi="宋体" w:cs="宋体"/>
                <w:b/>
                <w:color w:val="000000"/>
                <w:sz w:val="36"/>
                <w:szCs w:val="36"/>
              </w:rPr>
            </w:pPr>
          </w:p>
          <w:p>
            <w:pPr>
              <w:pStyle w:val="5"/>
              <w:rPr>
                <w:rFonts w:hint="eastAsia" w:ascii="宋体" w:hAnsi="宋体" w:eastAsia="宋体" w:cs="宋体"/>
                <w:sz w:val="36"/>
                <w:szCs w:val="36"/>
              </w:rPr>
            </w:pPr>
          </w:p>
          <w:p>
            <w:pPr>
              <w:spacing w:line="440" w:lineRule="exact"/>
              <w:ind w:firstLine="2335" w:firstLineChars="646"/>
              <w:rPr>
                <w:rFonts w:hint="eastAsia" w:ascii="宋体" w:hAnsi="宋体" w:cs="宋体"/>
                <w:b/>
                <w:color w:val="000000"/>
                <w:sz w:val="36"/>
                <w:szCs w:val="36"/>
              </w:rPr>
            </w:pPr>
          </w:p>
          <w:p>
            <w:pPr>
              <w:spacing w:line="440" w:lineRule="exact"/>
              <w:rPr>
                <w:rFonts w:hint="eastAsia" w:ascii="宋体" w:hAnsi="宋体" w:cs="宋体"/>
                <w:bCs/>
                <w:color w:val="000000"/>
                <w:sz w:val="36"/>
                <w:szCs w:val="36"/>
              </w:rPr>
            </w:pPr>
          </w:p>
          <w:p>
            <w:pPr>
              <w:pStyle w:val="27"/>
              <w:ind w:left="99" w:leftChars="47" w:firstLine="54" w:firstLineChars="15"/>
              <w:jc w:val="center"/>
              <w:rPr>
                <w:rFonts w:hint="eastAsia" w:ascii="宋体" w:hAnsi="宋体" w:cs="宋体"/>
                <w:bCs/>
                <w:sz w:val="36"/>
                <w:szCs w:val="36"/>
              </w:rPr>
            </w:pPr>
            <w:r>
              <w:rPr>
                <w:rFonts w:hint="eastAsia" w:ascii="宋体" w:hAnsi="宋体" w:cs="宋体"/>
                <w:bCs/>
                <w:sz w:val="36"/>
                <w:szCs w:val="36"/>
              </w:rPr>
              <w:t xml:space="preserve">  监督机构：苍南县政府采购监督管理办公室</w:t>
            </w:r>
          </w:p>
          <w:p>
            <w:pPr>
              <w:ind w:firstLine="2919" w:firstLineChars="811"/>
              <w:rPr>
                <w:rFonts w:hint="eastAsia" w:ascii="宋体" w:hAnsi="宋体" w:cs="宋体"/>
                <w:bCs/>
                <w:sz w:val="36"/>
                <w:szCs w:val="36"/>
              </w:rPr>
            </w:pPr>
            <w:r>
              <w:rPr>
                <w:rFonts w:hint="eastAsia" w:ascii="宋体" w:hAnsi="宋体" w:cs="宋体"/>
                <w:bCs/>
                <w:sz w:val="36"/>
                <w:szCs w:val="36"/>
              </w:rPr>
              <w:t xml:space="preserve">                                         </w:t>
            </w:r>
          </w:p>
          <w:p>
            <w:pPr>
              <w:ind w:firstLine="2919" w:firstLineChars="811"/>
              <w:rPr>
                <w:rFonts w:hint="eastAsia" w:ascii="宋体" w:hAnsi="宋体" w:cs="宋体"/>
                <w:bCs/>
                <w:sz w:val="22"/>
                <w:szCs w:val="22"/>
              </w:rPr>
            </w:pPr>
            <w:r>
              <w:rPr>
                <w:rFonts w:hint="eastAsia" w:ascii="宋体" w:hAnsi="宋体" w:cs="宋体"/>
                <w:bCs/>
                <w:sz w:val="36"/>
                <w:szCs w:val="36"/>
              </w:rPr>
              <w:t xml:space="preserve">                                       </w:t>
            </w:r>
            <w:r>
              <w:rPr>
                <w:rFonts w:hint="eastAsia" w:ascii="宋体" w:hAnsi="宋体" w:cs="宋体"/>
                <w:bCs/>
                <w:sz w:val="22"/>
                <w:szCs w:val="22"/>
              </w:rPr>
              <w:t xml:space="preserve">  </w:t>
            </w:r>
          </w:p>
          <w:p>
            <w:pPr>
              <w:jc w:val="center"/>
              <w:rPr>
                <w:rFonts w:hint="eastAsia" w:ascii="宋体" w:hAnsi="宋体" w:cs="宋体"/>
                <w:sz w:val="22"/>
                <w:szCs w:val="22"/>
              </w:rPr>
            </w:pPr>
            <w:r>
              <w:rPr>
                <w:rFonts w:hint="eastAsia" w:ascii="宋体" w:hAnsi="宋体" w:cs="宋体"/>
                <w:bCs/>
                <w:sz w:val="36"/>
                <w:szCs w:val="36"/>
              </w:rPr>
              <w:t xml:space="preserve"> 二〇二〇年十二月</w:t>
            </w:r>
          </w:p>
        </w:tc>
      </w:tr>
    </w:tbl>
    <w:p>
      <w:pPr>
        <w:pStyle w:val="5"/>
        <w:spacing w:before="0" w:after="0"/>
        <w:jc w:val="both"/>
        <w:rPr>
          <w:rFonts w:hint="eastAsia" w:ascii="宋体" w:hAnsi="宋体" w:eastAsia="宋体" w:cs="宋体"/>
          <w:b/>
          <w:bCs/>
          <w:spacing w:val="0"/>
          <w:sz w:val="22"/>
          <w:szCs w:val="22"/>
        </w:rPr>
        <w:sectPr>
          <w:footerReference r:id="rId4" w:type="default"/>
          <w:headerReference r:id="rId3" w:type="even"/>
          <w:footerReference r:id="rId5" w:type="even"/>
          <w:pgSz w:w="11906" w:h="16838"/>
          <w:pgMar w:top="1417" w:right="1417" w:bottom="1417" w:left="1417" w:header="851" w:footer="992" w:gutter="0"/>
          <w:pgNumType w:start="0"/>
          <w:cols w:space="720" w:num="1"/>
          <w:docGrid w:type="lines" w:linePitch="324" w:charSpace="0"/>
        </w:sectPr>
      </w:pPr>
      <w:bookmarkStart w:id="0" w:name="_Toc14741"/>
      <w:bookmarkStart w:id="1" w:name="_Toc31974"/>
      <w:bookmarkStart w:id="2" w:name="_Toc542"/>
      <w:bookmarkStart w:id="3" w:name="OLE_LINK25"/>
    </w:p>
    <w:bookmarkEnd w:id="0"/>
    <w:bookmarkEnd w:id="1"/>
    <w:bookmarkEnd w:id="2"/>
    <w:bookmarkEnd w:id="3"/>
    <w:p>
      <w:pPr>
        <w:pStyle w:val="39"/>
        <w:keepNext w:val="0"/>
        <w:keepLines w:val="0"/>
        <w:widowControl/>
        <w:suppressLineNumbers w:val="0"/>
        <w:spacing w:before="50" w:beforeAutospacing="0" w:after="50" w:afterAutospacing="0"/>
        <w:ind w:left="0" w:right="0"/>
        <w:rPr>
          <w:rFonts w:hint="eastAsia" w:ascii="宋体" w:hAnsi="宋体" w:eastAsia="宋体" w:cs="宋体"/>
          <w:sz w:val="22"/>
          <w:szCs w:val="22"/>
        </w:rPr>
      </w:pPr>
      <w:bookmarkStart w:id="4" w:name="_Toc24219"/>
      <w:bookmarkStart w:id="5" w:name="_Toc16714"/>
      <w:bookmarkStart w:id="6" w:name="_Toc1499"/>
      <w:r>
        <w:rPr>
          <w:rFonts w:hint="eastAsia" w:ascii="宋体" w:hAnsi="宋体" w:eastAsia="宋体" w:cs="宋体"/>
          <w:sz w:val="22"/>
          <w:szCs w:val="22"/>
          <w:lang w:val="en-US" w:eastAsia="zh-CN"/>
        </w:rPr>
        <w:t>项目概况</w:t>
      </w:r>
      <w:r>
        <w:rPr>
          <w:rFonts w:hint="eastAsia" w:ascii="宋体" w:hAnsi="宋体" w:eastAsia="宋体" w:cs="宋体"/>
          <w:sz w:val="22"/>
          <w:szCs w:val="22"/>
        </w:rPr>
        <w:t xml:space="preserve">                                                </w:t>
      </w:r>
    </w:p>
    <w:p>
      <w:pPr>
        <w:pStyle w:val="39"/>
        <w:keepNext w:val="0"/>
        <w:keepLines w:val="0"/>
        <w:widowControl/>
        <w:suppressLineNumbers w:val="0"/>
        <w:spacing w:before="50" w:beforeAutospacing="0" w:after="50" w:afterAutospacing="0"/>
        <w:ind w:right="0"/>
        <w:rPr>
          <w:rFonts w:hint="eastAsia" w:ascii="宋体" w:hAnsi="宋体" w:eastAsia="宋体" w:cs="宋体"/>
          <w:sz w:val="22"/>
          <w:szCs w:val="22"/>
        </w:rPr>
      </w:pPr>
      <w:r>
        <w:rPr>
          <w:rFonts w:hint="eastAsia" w:ascii="宋体" w:hAnsi="宋体" w:eastAsia="宋体" w:cs="宋体"/>
          <w:sz w:val="22"/>
          <w:szCs w:val="22"/>
        </w:rPr>
        <w:t>苍南县公安局**数据中心机房项目的潜在投标人应在政采云平http://zfcg.czt.zj.gov.cn）获取（下载）招标文件，并于2021年01月12日 09:30（北京时间）前递交（上传）投标文件。                             </w:t>
      </w:r>
    </w:p>
    <w:p>
      <w:pPr>
        <w:pStyle w:val="39"/>
        <w:keepNext w:val="0"/>
        <w:keepLines w:val="0"/>
        <w:widowControl/>
        <w:suppressLineNumbers w:val="0"/>
        <w:spacing w:before="170" w:beforeAutospacing="0" w:after="170" w:afterAutospacing="0" w:line="200" w:lineRule="atLeast"/>
        <w:ind w:left="0" w:right="0"/>
        <w:jc w:val="both"/>
        <w:rPr>
          <w:rFonts w:hint="eastAsia" w:ascii="宋体" w:hAnsi="宋体" w:eastAsia="宋体" w:cs="宋体"/>
          <w:sz w:val="22"/>
          <w:szCs w:val="22"/>
        </w:rPr>
      </w:pPr>
      <w:r>
        <w:rPr>
          <w:rStyle w:val="46"/>
          <w:rFonts w:hint="eastAsia" w:ascii="宋体" w:hAnsi="宋体" w:eastAsia="宋体" w:cs="宋体"/>
          <w:sz w:val="22"/>
          <w:szCs w:val="22"/>
        </w:rPr>
        <w:t>一、项目基本情况</w:t>
      </w:r>
      <w:r>
        <w:rPr>
          <w:rFonts w:hint="eastAsia" w:ascii="宋体" w:hAnsi="宋体" w:eastAsia="宋体" w:cs="宋体"/>
          <w:sz w:val="22"/>
          <w:szCs w:val="22"/>
        </w:rPr>
        <w:t>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项目编号：CNDL2020572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项目名称：苍南县公安局**数据中心机房</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预算金额（元）：6240000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最高限价（元）：6130000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采购需求：</w:t>
      </w:r>
    </w:p>
    <w:p>
      <w:pPr>
        <w:pStyle w:val="39"/>
        <w:keepNext w:val="0"/>
        <w:keepLines w:val="0"/>
        <w:widowControl/>
        <w:suppressLineNumbers w:val="0"/>
        <w:spacing w:before="50" w:beforeAutospacing="0" w:after="50" w:afterAutospacing="0" w:line="315" w:lineRule="atLeast"/>
        <w:ind w:left="0" w:right="0"/>
        <w:rPr>
          <w:rFonts w:hint="eastAsia" w:ascii="宋体" w:hAnsi="宋体" w:eastAsia="宋体" w:cs="宋体"/>
          <w:sz w:val="22"/>
          <w:szCs w:val="22"/>
        </w:rPr>
      </w:pPr>
      <w:r>
        <w:rPr>
          <w:rFonts w:hint="eastAsia" w:ascii="宋体" w:hAnsi="宋体" w:eastAsia="宋体" w:cs="宋体"/>
          <w:sz w:val="22"/>
          <w:szCs w:val="22"/>
        </w:rPr>
        <w:t>    </w:t>
      </w:r>
      <w:r>
        <w:rPr>
          <w:rFonts w:hint="eastAsia" w:ascii="宋体" w:hAnsi="宋体" w:eastAsia="宋体" w:cs="宋体"/>
          <w:sz w:val="22"/>
          <w:szCs w:val="22"/>
        </w:rPr>
        <w:br w:type="textWrapping"/>
      </w:r>
      <w:r>
        <w:rPr>
          <w:rFonts w:hint="eastAsia" w:ascii="宋体" w:hAnsi="宋体" w:eastAsia="宋体" w:cs="宋体"/>
          <w:sz w:val="22"/>
          <w:szCs w:val="22"/>
        </w:rPr>
        <w:t>    标项名称: 苍南县公安局**数据中心机房 </w:t>
      </w:r>
      <w:r>
        <w:rPr>
          <w:rFonts w:hint="eastAsia" w:ascii="宋体" w:hAnsi="宋体" w:eastAsia="宋体" w:cs="宋体"/>
          <w:sz w:val="22"/>
          <w:szCs w:val="22"/>
        </w:rPr>
        <w:br w:type="textWrapping"/>
      </w:r>
      <w:r>
        <w:rPr>
          <w:rFonts w:hint="eastAsia" w:ascii="宋体" w:hAnsi="宋体" w:eastAsia="宋体" w:cs="宋体"/>
          <w:sz w:val="22"/>
          <w:szCs w:val="22"/>
        </w:rPr>
        <w:t>    数量: 不限  </w:t>
      </w:r>
      <w:r>
        <w:rPr>
          <w:rFonts w:hint="eastAsia" w:ascii="宋体" w:hAnsi="宋体" w:eastAsia="宋体" w:cs="宋体"/>
          <w:sz w:val="22"/>
          <w:szCs w:val="22"/>
        </w:rPr>
        <w:br w:type="textWrapping"/>
      </w:r>
      <w:r>
        <w:rPr>
          <w:rFonts w:hint="eastAsia" w:ascii="宋体" w:hAnsi="宋体" w:eastAsia="宋体" w:cs="宋体"/>
          <w:sz w:val="22"/>
          <w:szCs w:val="22"/>
        </w:rPr>
        <w:t>    预算金额（元）: 6240000 </w:t>
      </w:r>
      <w:r>
        <w:rPr>
          <w:rFonts w:hint="eastAsia" w:ascii="宋体" w:hAnsi="宋体" w:eastAsia="宋体" w:cs="宋体"/>
          <w:sz w:val="22"/>
          <w:szCs w:val="22"/>
        </w:rPr>
        <w:br w:type="textWrapping"/>
      </w:r>
      <w:r>
        <w:rPr>
          <w:rFonts w:hint="eastAsia" w:ascii="宋体" w:hAnsi="宋体" w:eastAsia="宋体" w:cs="宋体"/>
          <w:sz w:val="22"/>
          <w:szCs w:val="22"/>
        </w:rPr>
        <w:t>    简要规格描述或项目基本概况介绍、用途：详见要求 </w:t>
      </w:r>
      <w:r>
        <w:rPr>
          <w:rFonts w:hint="eastAsia" w:ascii="宋体" w:hAnsi="宋体" w:eastAsia="宋体" w:cs="宋体"/>
          <w:sz w:val="22"/>
          <w:szCs w:val="22"/>
        </w:rPr>
        <w:br w:type="textWrapping"/>
      </w:r>
      <w:r>
        <w:rPr>
          <w:rFonts w:hint="eastAsia" w:ascii="宋体" w:hAnsi="宋体" w:eastAsia="宋体" w:cs="宋体"/>
          <w:sz w:val="22"/>
          <w:szCs w:val="22"/>
        </w:rPr>
        <w:t>    备注：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合同履约期限：240日历天</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本项目（否）接受联合体投标。</w:t>
      </w:r>
    </w:p>
    <w:p>
      <w:pPr>
        <w:pStyle w:val="39"/>
        <w:keepNext w:val="0"/>
        <w:keepLines w:val="0"/>
        <w:widowControl/>
        <w:suppressLineNumbers w:val="0"/>
        <w:spacing w:before="150" w:beforeAutospacing="0" w:after="150" w:afterAutospacing="0" w:line="200" w:lineRule="atLeast"/>
        <w:ind w:left="0" w:right="0"/>
        <w:rPr>
          <w:rFonts w:hint="eastAsia" w:ascii="宋体" w:hAnsi="宋体" w:eastAsia="宋体" w:cs="宋体"/>
          <w:sz w:val="22"/>
          <w:szCs w:val="22"/>
        </w:rPr>
      </w:pPr>
      <w:r>
        <w:rPr>
          <w:rStyle w:val="46"/>
          <w:rFonts w:hint="eastAsia" w:ascii="宋体" w:hAnsi="宋体" w:eastAsia="宋体" w:cs="宋体"/>
          <w:sz w:val="22"/>
          <w:szCs w:val="22"/>
        </w:rPr>
        <w:t>二、申请人的资格要求：</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1.满足《中华人民共和国政府采购法》第二十二条规定；未被“信用中国”（www.creditchina.gov.cn)、中国政府采购网（www.ccgp.gov.cn）列入失信被执行人、重大税收违法案件当事人名单、政府采购严重违法失信行为记录名单。</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2.落实政府采购政策需满足的资格要求：无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3.本项目的特定资格要求：标项一:具备电子与智能化工程专业承包贰级及以上资质 </w:t>
      </w:r>
    </w:p>
    <w:p>
      <w:pPr>
        <w:pStyle w:val="39"/>
        <w:keepNext w:val="0"/>
        <w:keepLines w:val="0"/>
        <w:widowControl/>
        <w:suppressLineNumbers w:val="0"/>
        <w:spacing w:before="170" w:beforeAutospacing="0" w:after="170" w:afterAutospacing="0" w:line="200" w:lineRule="atLeast"/>
        <w:ind w:left="0" w:right="0"/>
        <w:jc w:val="both"/>
        <w:rPr>
          <w:rFonts w:hint="eastAsia" w:ascii="宋体" w:hAnsi="宋体" w:eastAsia="宋体" w:cs="宋体"/>
          <w:sz w:val="22"/>
          <w:szCs w:val="22"/>
        </w:rPr>
      </w:pPr>
      <w:r>
        <w:rPr>
          <w:rStyle w:val="46"/>
          <w:rFonts w:hint="eastAsia" w:ascii="宋体" w:hAnsi="宋体" w:eastAsia="宋体" w:cs="宋体"/>
          <w:sz w:val="22"/>
          <w:szCs w:val="22"/>
        </w:rPr>
        <w:t>三、获取招标文件</w:t>
      </w:r>
      <w:r>
        <w:rPr>
          <w:rFonts w:hint="eastAsia" w:ascii="宋体" w:hAnsi="宋体" w:eastAsia="宋体" w:cs="宋体"/>
          <w:sz w:val="22"/>
          <w:szCs w:val="22"/>
        </w:rPr>
        <w:t>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w:t>
      </w:r>
      <w:r>
        <w:rPr>
          <w:rFonts w:hint="eastAsia" w:ascii="宋体" w:hAnsi="宋体" w:eastAsia="宋体" w:cs="宋体"/>
          <w:sz w:val="22"/>
          <w:szCs w:val="22"/>
          <w:u w:val="none"/>
        </w:rPr>
        <w:t>时间：/至2021年01月12日 ，每天上午00:00至12:00 ，下午12:00至23:59（北京时间，线上获取法定节假日均可，线下获取文件法定节假日除外）</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地点（网址）：政采云平台（http://zfcg.czt.zj.gov.cn）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方式：潜在供应商登陆政采云平台，在线申请获取招标文件（进入“项目采购”应用，在获取招标文件菜单中选择项目，申请获取招标文件，本项目招标文件不收取工本费；仅需浏览招标文件的供应商可点击“游客，浏览招标文件”或直接下载招标文件浏览）；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售价（元）：0 </w:t>
      </w:r>
    </w:p>
    <w:p>
      <w:pPr>
        <w:pStyle w:val="39"/>
        <w:keepNext w:val="0"/>
        <w:keepLines w:val="0"/>
        <w:widowControl/>
        <w:suppressLineNumbers w:val="0"/>
        <w:spacing w:before="170" w:beforeAutospacing="0" w:after="170" w:afterAutospacing="0" w:line="200" w:lineRule="atLeast"/>
        <w:ind w:left="0" w:right="0"/>
        <w:jc w:val="both"/>
        <w:rPr>
          <w:rFonts w:hint="eastAsia" w:ascii="宋体" w:hAnsi="宋体" w:eastAsia="宋体" w:cs="宋体"/>
          <w:sz w:val="22"/>
          <w:szCs w:val="22"/>
        </w:rPr>
      </w:pPr>
      <w:r>
        <w:rPr>
          <w:rStyle w:val="46"/>
          <w:rFonts w:hint="eastAsia" w:ascii="宋体" w:hAnsi="宋体" w:eastAsia="宋体" w:cs="宋体"/>
          <w:sz w:val="22"/>
          <w:szCs w:val="22"/>
        </w:rPr>
        <w:t>四、提交投标文件截止时间、开标时间和地点</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w:t>
      </w:r>
      <w:r>
        <w:rPr>
          <w:rFonts w:hint="eastAsia" w:ascii="宋体" w:hAnsi="宋体" w:eastAsia="宋体" w:cs="宋体"/>
          <w:sz w:val="22"/>
          <w:szCs w:val="22"/>
          <w:u w:val="none"/>
        </w:rPr>
        <w:t> 提交投标文件截止时间：2021年01月12日 09:30（北京时间）</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w:t>
      </w:r>
      <w:r>
        <w:rPr>
          <w:rFonts w:hint="eastAsia" w:ascii="宋体" w:hAnsi="宋体" w:eastAsia="宋体" w:cs="宋体"/>
          <w:sz w:val="22"/>
          <w:szCs w:val="22"/>
          <w:u w:val="none"/>
        </w:rPr>
        <w:t> 投标地点（网址）：通过“政府采购云平台（www.zcygov.cn）”实行在线投标响应；</w:t>
      </w:r>
      <w:r>
        <w:rPr>
          <w:rFonts w:hint="eastAsia" w:ascii="宋体" w:hAnsi="宋体" w:eastAsia="宋体" w:cs="宋体"/>
          <w:sz w:val="22"/>
          <w:szCs w:val="22"/>
        </w:rPr>
        <w:t>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u w:val="none"/>
        </w:rPr>
        <w:t>    开标时间：2021年01月12日 09:30</w:t>
      </w:r>
      <w:r>
        <w:rPr>
          <w:rFonts w:hint="eastAsia" w:ascii="宋体" w:hAnsi="宋体" w:eastAsia="宋体" w:cs="宋体"/>
          <w:sz w:val="22"/>
          <w:szCs w:val="22"/>
        </w:rPr>
        <w:t>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u w:val="none"/>
        </w:rPr>
        <w:t>    开标地点（网址）：通过“政府采购云平台（www.zcygov.cn）”实行在线投标响应；</w:t>
      </w:r>
      <w:r>
        <w:rPr>
          <w:rFonts w:hint="eastAsia" w:ascii="宋体" w:hAnsi="宋体" w:eastAsia="宋体" w:cs="宋体"/>
          <w:sz w:val="22"/>
          <w:szCs w:val="22"/>
        </w:rPr>
        <w:t>  </w:t>
      </w:r>
    </w:p>
    <w:p>
      <w:pPr>
        <w:pStyle w:val="39"/>
        <w:keepNext w:val="0"/>
        <w:keepLines w:val="0"/>
        <w:widowControl/>
        <w:suppressLineNumbers w:val="0"/>
        <w:spacing w:before="170" w:beforeAutospacing="0" w:after="170" w:afterAutospacing="0" w:line="200" w:lineRule="atLeast"/>
        <w:ind w:left="0" w:right="0"/>
        <w:jc w:val="both"/>
        <w:rPr>
          <w:rFonts w:hint="eastAsia" w:ascii="宋体" w:hAnsi="宋体" w:eastAsia="宋体" w:cs="宋体"/>
          <w:sz w:val="22"/>
          <w:szCs w:val="22"/>
        </w:rPr>
      </w:pPr>
      <w:r>
        <w:rPr>
          <w:rStyle w:val="46"/>
          <w:rFonts w:hint="eastAsia" w:ascii="宋体" w:hAnsi="宋体" w:eastAsia="宋体" w:cs="宋体"/>
          <w:sz w:val="22"/>
          <w:szCs w:val="22"/>
        </w:rPr>
        <w:t>五、公告期限</w:t>
      </w:r>
      <w:r>
        <w:rPr>
          <w:rFonts w:hint="eastAsia" w:ascii="宋体" w:hAnsi="宋体" w:eastAsia="宋体" w:cs="宋体"/>
          <w:sz w:val="22"/>
          <w:szCs w:val="22"/>
        </w:rPr>
        <w:t> </w:t>
      </w:r>
    </w:p>
    <w:p>
      <w:pPr>
        <w:pStyle w:val="39"/>
        <w:keepNext w:val="0"/>
        <w:keepLines w:val="0"/>
        <w:widowControl/>
        <w:suppressLineNumbers w:val="0"/>
        <w:spacing w:before="50" w:beforeAutospacing="0" w:after="50" w:afterAutospacing="0"/>
        <w:ind w:left="0" w:right="0"/>
        <w:rPr>
          <w:rFonts w:hint="eastAsia" w:ascii="宋体" w:hAnsi="宋体" w:eastAsia="宋体" w:cs="宋体"/>
          <w:sz w:val="22"/>
          <w:szCs w:val="22"/>
        </w:rPr>
      </w:pPr>
      <w:r>
        <w:rPr>
          <w:rFonts w:hint="eastAsia" w:ascii="宋体" w:hAnsi="宋体" w:eastAsia="宋体" w:cs="宋体"/>
          <w:sz w:val="22"/>
          <w:szCs w:val="22"/>
        </w:rPr>
        <w:t>    自本公告发布之日起5个工作日。</w:t>
      </w:r>
    </w:p>
    <w:p>
      <w:pPr>
        <w:pStyle w:val="39"/>
        <w:keepNext w:val="0"/>
        <w:keepLines w:val="0"/>
        <w:widowControl/>
        <w:suppressLineNumbers w:val="0"/>
        <w:spacing w:before="170" w:beforeAutospacing="0" w:after="170" w:afterAutospacing="0" w:line="200" w:lineRule="atLeast"/>
        <w:ind w:left="0" w:right="0"/>
        <w:jc w:val="both"/>
        <w:rPr>
          <w:rFonts w:hint="eastAsia" w:ascii="宋体" w:hAnsi="宋体" w:eastAsia="宋体" w:cs="宋体"/>
          <w:sz w:val="22"/>
          <w:szCs w:val="22"/>
        </w:rPr>
      </w:pPr>
      <w:r>
        <w:rPr>
          <w:rStyle w:val="46"/>
          <w:rFonts w:hint="eastAsia" w:ascii="宋体" w:hAnsi="宋体" w:eastAsia="宋体" w:cs="宋体"/>
          <w:sz w:val="22"/>
          <w:szCs w:val="22"/>
        </w:rPr>
        <w:t>六、其他补充事宜</w:t>
      </w:r>
    </w:p>
    <w:p>
      <w:pPr>
        <w:pStyle w:val="39"/>
        <w:keepNext w:val="0"/>
        <w:keepLines w:val="0"/>
        <w:widowControl/>
        <w:suppressLineNumbers w:val="0"/>
        <w:spacing w:before="50" w:beforeAutospacing="0" w:after="50" w:afterAutospacing="0" w:line="315" w:lineRule="atLeast"/>
        <w:ind w:left="0" w:right="0"/>
        <w:rPr>
          <w:rFonts w:hint="eastAsia" w:ascii="宋体" w:hAnsi="宋体" w:eastAsia="宋体" w:cs="宋体"/>
          <w:sz w:val="22"/>
          <w:szCs w:val="22"/>
        </w:rPr>
      </w:pPr>
      <w:r>
        <w:rPr>
          <w:rFonts w:hint="eastAsia" w:ascii="宋体" w:hAnsi="宋体" w:eastAsia="宋体" w:cs="宋体"/>
          <w:sz w:val="22"/>
          <w:szCs w:val="22"/>
        </w:rPr>
        <w:t>    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ascii="宋体" w:hAnsi="宋体" w:eastAsia="宋体" w:cs="宋体"/>
          <w:sz w:val="22"/>
          <w:szCs w:val="22"/>
        </w:rPr>
        <w:br w:type="textWrapping"/>
      </w:r>
      <w:r>
        <w:rPr>
          <w:rFonts w:hint="eastAsia" w:ascii="宋体" w:hAnsi="宋体" w:eastAsia="宋体" w:cs="宋体"/>
          <w:sz w:val="22"/>
          <w:szCs w:val="22"/>
        </w:rPr>
        <w:t>    2.其他事项：无  </w:t>
      </w:r>
    </w:p>
    <w:p>
      <w:pPr>
        <w:pStyle w:val="39"/>
        <w:keepNext w:val="0"/>
        <w:keepLines w:val="0"/>
        <w:widowControl/>
        <w:suppressLineNumbers w:val="0"/>
        <w:spacing w:before="170" w:beforeAutospacing="0" w:after="170" w:afterAutospacing="0" w:line="320" w:lineRule="atLeast"/>
        <w:ind w:left="0" w:right="0"/>
        <w:jc w:val="both"/>
        <w:rPr>
          <w:rFonts w:hint="eastAsia" w:ascii="宋体" w:hAnsi="宋体" w:eastAsia="宋体" w:cs="宋体"/>
          <w:sz w:val="22"/>
          <w:szCs w:val="22"/>
        </w:rPr>
      </w:pPr>
      <w:r>
        <w:rPr>
          <w:rStyle w:val="46"/>
          <w:rFonts w:hint="eastAsia" w:ascii="宋体" w:hAnsi="宋体" w:eastAsia="宋体" w:cs="宋体"/>
          <w:sz w:val="22"/>
          <w:szCs w:val="22"/>
        </w:rPr>
        <w:t>七、对本次采购提出询问、质疑、投诉，请按以下方式联系</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1.采购人信息</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名    称：苍南县公安局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地    址：苍南县公安局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传    真：/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项目联系人（询问）：徐先生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项目联系方式（询问）：(0577) 599-66910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质疑联系人：超级机构管理员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质疑联系方式：15868715103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w:t>
      </w:r>
      <w:r>
        <w:rPr>
          <w:rFonts w:hint="eastAsia" w:ascii="宋体" w:hAnsi="宋体" w:eastAsia="宋体" w:cs="宋体"/>
          <w:sz w:val="22"/>
          <w:szCs w:val="22"/>
        </w:rPr>
        <w:br w:type="textWrapping"/>
      </w:r>
      <w:r>
        <w:rPr>
          <w:rFonts w:hint="eastAsia" w:ascii="宋体" w:hAnsi="宋体" w:eastAsia="宋体" w:cs="宋体"/>
          <w:sz w:val="22"/>
          <w:szCs w:val="22"/>
        </w:rPr>
        <w:t>    2.采购代理机构信息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名    称：杭州华旗招标代理有限公司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地    址：牛山商务大厦907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传    真：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项目联系人（询问）：陈维文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项目联系方式（询问）：13738772079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质疑联系人：黄鹏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质疑联系方式：13676441826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w:t>
      </w:r>
      <w:r>
        <w:rPr>
          <w:rFonts w:hint="eastAsia" w:ascii="宋体" w:hAnsi="宋体" w:eastAsia="宋体" w:cs="宋体"/>
          <w:sz w:val="22"/>
          <w:szCs w:val="22"/>
        </w:rPr>
        <w:br w:type="textWrapping"/>
      </w:r>
      <w:r>
        <w:rPr>
          <w:rFonts w:hint="eastAsia" w:ascii="宋体" w:hAnsi="宋体" w:eastAsia="宋体" w:cs="宋体"/>
          <w:sz w:val="22"/>
          <w:szCs w:val="22"/>
        </w:rPr>
        <w:t>    3.同级政府采购监督管理部门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名    称：苍南县政府采购监督管理办公室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地    址：苍南县灵溪镇春晖路555号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传    真：0577-59867927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联系人 ：陈先生             </w:t>
      </w:r>
    </w:p>
    <w:p>
      <w:pPr>
        <w:pStyle w:val="39"/>
        <w:keepNext w:val="0"/>
        <w:keepLines w:val="0"/>
        <w:widowControl/>
        <w:suppressLineNumbers w:val="0"/>
        <w:spacing w:before="50" w:beforeAutospacing="0" w:after="50" w:afterAutospacing="0" w:line="200" w:lineRule="atLeast"/>
        <w:ind w:left="0" w:right="0"/>
        <w:rPr>
          <w:rFonts w:hint="eastAsia" w:ascii="宋体" w:hAnsi="宋体" w:eastAsia="宋体" w:cs="宋体"/>
          <w:sz w:val="22"/>
          <w:szCs w:val="22"/>
        </w:rPr>
      </w:pPr>
      <w:r>
        <w:rPr>
          <w:rFonts w:hint="eastAsia" w:ascii="宋体" w:hAnsi="宋体" w:eastAsia="宋体" w:cs="宋体"/>
          <w:sz w:val="22"/>
          <w:szCs w:val="22"/>
        </w:rPr>
        <w:t>    监督投诉电话：0577-59867927           </w:t>
      </w:r>
      <w:r>
        <w:rPr>
          <w:rFonts w:hint="eastAsia" w:ascii="宋体" w:hAnsi="宋体" w:eastAsia="宋体" w:cs="宋体"/>
          <w:sz w:val="22"/>
          <w:szCs w:val="22"/>
        </w:rPr>
        <w:br w:type="textWrapping"/>
      </w:r>
      <w:r>
        <w:rPr>
          <w:rFonts w:hint="eastAsia" w:ascii="宋体" w:hAnsi="宋体" w:eastAsia="宋体" w:cs="宋体"/>
          <w:sz w:val="22"/>
          <w:szCs w:val="22"/>
        </w:rPr>
        <w:t>         </w:t>
      </w:r>
    </w:p>
    <w:p>
      <w:pPr>
        <w:pStyle w:val="39"/>
        <w:keepNext w:val="0"/>
        <w:keepLines w:val="0"/>
        <w:widowControl/>
        <w:suppressLineNumbers w:val="0"/>
        <w:spacing w:before="50" w:beforeAutospacing="0" w:after="50" w:afterAutospacing="0"/>
        <w:ind w:left="0" w:right="0"/>
        <w:rPr>
          <w:rFonts w:hint="eastAsia" w:ascii="宋体" w:hAnsi="宋体" w:eastAsia="宋体" w:cs="宋体"/>
          <w:sz w:val="22"/>
          <w:szCs w:val="22"/>
        </w:rPr>
      </w:pP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kern w:val="0"/>
          <w:sz w:val="22"/>
          <w:szCs w:val="22"/>
          <w:lang w:val="en-US" w:eastAsia="zh-CN" w:bidi="ar"/>
        </w:rPr>
        <w:t>若对项目采购电子交易系统操作有疑问，可登录政采云（https://www.zcygov.cn/），点击右侧咨询小采，获取采小蜜智能服务管家帮助，或拨打政采云服务热线400-881-7190获取热线服务帮助。       </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kern w:val="0"/>
          <w:sz w:val="22"/>
          <w:szCs w:val="22"/>
          <w:lang w:val="en-US" w:eastAsia="zh-CN" w:bidi="ar"/>
        </w:rPr>
        <w:t>CA问题联系电话（人工）：汇信CA 400-888-4636；天谷CA 400-087-8198。</w:t>
      </w:r>
    </w:p>
    <w:p>
      <w:pPr>
        <w:pStyle w:val="39"/>
        <w:keepNext w:val="0"/>
        <w:keepLines w:val="0"/>
        <w:widowControl/>
        <w:suppressLineNumbers w:val="0"/>
        <w:spacing w:before="50" w:beforeAutospacing="0" w:after="50" w:afterAutospacing="0"/>
        <w:ind w:left="0" w:right="0"/>
      </w:pPr>
    </w:p>
    <w:p>
      <w:pPr>
        <w:pStyle w:val="5"/>
        <w:spacing w:before="0" w:after="0"/>
        <w:jc w:val="center"/>
        <w:rPr>
          <w:rFonts w:hint="eastAsia" w:ascii="宋体" w:hAnsi="宋体" w:eastAsia="宋体" w:cs="宋体"/>
          <w:b/>
          <w:bCs/>
          <w:spacing w:val="0"/>
          <w:sz w:val="22"/>
          <w:szCs w:val="22"/>
        </w:rPr>
      </w:pPr>
      <w:r>
        <w:rPr>
          <w:rFonts w:hint="eastAsia" w:ascii="宋体" w:hAnsi="宋体" w:eastAsia="宋体" w:cs="宋体"/>
          <w:b/>
          <w:bCs/>
          <w:spacing w:val="0"/>
          <w:sz w:val="22"/>
          <w:szCs w:val="22"/>
        </w:rPr>
        <w:t>投 标 通 知 (邀 请) 书</w:t>
      </w:r>
      <w:bookmarkEnd w:id="4"/>
      <w:bookmarkEnd w:id="5"/>
      <w:bookmarkEnd w:id="6"/>
    </w:p>
    <w:p>
      <w:pPr>
        <w:spacing w:line="440" w:lineRule="exact"/>
        <w:ind w:firstLine="440" w:firstLineChars="200"/>
        <w:rPr>
          <w:rFonts w:hint="eastAsia" w:ascii="宋体" w:hAnsi="宋体" w:cs="宋体"/>
          <w:kern w:val="0"/>
          <w:sz w:val="22"/>
          <w:szCs w:val="22"/>
        </w:rPr>
      </w:pPr>
      <w:r>
        <w:rPr>
          <w:rFonts w:hint="eastAsia" w:ascii="宋体" w:hAnsi="宋体" w:cs="宋体"/>
          <w:kern w:val="0"/>
          <w:sz w:val="22"/>
          <w:szCs w:val="22"/>
        </w:rPr>
        <w:t>杭州华旗招标代理有限公司对苍南县公安局**数据中心机房进行公开招标，特通知贵公司（企业）前来投标。并请按招标文件的要求认真准备好投标文件，按时前来投标。</w:t>
      </w:r>
    </w:p>
    <w:tbl>
      <w:tblPr>
        <w:tblStyle w:val="43"/>
        <w:tblW w:w="96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06"/>
        <w:gridCol w:w="7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6" w:type="dxa"/>
            <w:tcBorders>
              <w:top w:val="double" w:color="auto" w:sz="4" w:space="0"/>
              <w:left w:val="double" w:color="auto" w:sz="4" w:space="0"/>
            </w:tcBorders>
            <w:noWrap w:val="0"/>
            <w:vAlign w:val="center"/>
          </w:tcPr>
          <w:p>
            <w:pPr>
              <w:spacing w:line="360" w:lineRule="auto"/>
              <w:jc w:val="center"/>
              <w:rPr>
                <w:rFonts w:hint="eastAsia" w:ascii="宋体" w:hAnsi="宋体" w:cs="宋体"/>
                <w:sz w:val="22"/>
                <w:szCs w:val="22"/>
              </w:rPr>
            </w:pPr>
            <w:r>
              <w:rPr>
                <w:rFonts w:hint="eastAsia" w:ascii="宋体" w:hAnsi="宋体" w:cs="宋体"/>
                <w:sz w:val="22"/>
                <w:szCs w:val="22"/>
              </w:rPr>
              <w:t>采购编号</w:t>
            </w:r>
          </w:p>
        </w:tc>
        <w:tc>
          <w:tcPr>
            <w:tcW w:w="7332" w:type="dxa"/>
            <w:tcBorders>
              <w:top w:val="double" w:color="auto" w:sz="4" w:space="0"/>
              <w:right w:val="double" w:color="auto" w:sz="4" w:space="0"/>
            </w:tcBorders>
            <w:noWrap w:val="0"/>
            <w:vAlign w:val="center"/>
          </w:tcPr>
          <w:p>
            <w:pPr>
              <w:spacing w:line="360" w:lineRule="auto"/>
              <w:rPr>
                <w:rFonts w:hint="eastAsia" w:ascii="宋体" w:hAnsi="宋体" w:eastAsia="宋体" w:cs="宋体"/>
                <w:sz w:val="22"/>
                <w:szCs w:val="22"/>
                <w:lang w:eastAsia="zh-CN"/>
              </w:rPr>
            </w:pPr>
            <w:r>
              <w:rPr>
                <w:rFonts w:hint="eastAsia" w:ascii="宋体" w:hAnsi="宋体" w:cs="宋体"/>
                <w:sz w:val="22"/>
                <w:szCs w:val="22"/>
                <w:lang w:eastAsia="zh-CN"/>
              </w:rPr>
              <w:t>CNDL2020572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6" w:type="dxa"/>
            <w:tcBorders>
              <w:left w:val="double" w:color="auto" w:sz="4" w:space="0"/>
            </w:tcBorders>
            <w:noWrap w:val="0"/>
            <w:vAlign w:val="center"/>
          </w:tcPr>
          <w:p>
            <w:pPr>
              <w:spacing w:line="360" w:lineRule="auto"/>
              <w:jc w:val="center"/>
              <w:rPr>
                <w:rFonts w:hint="eastAsia" w:ascii="宋体" w:hAnsi="宋体" w:cs="宋体"/>
                <w:sz w:val="22"/>
                <w:szCs w:val="22"/>
                <w:u w:val="none" w:color="800080"/>
              </w:rPr>
            </w:pPr>
            <w:r>
              <w:rPr>
                <w:rFonts w:hint="eastAsia" w:ascii="宋体" w:hAnsi="宋体" w:cs="宋体"/>
                <w:sz w:val="22"/>
                <w:szCs w:val="22"/>
                <w:u w:val="none" w:color="800080"/>
              </w:rPr>
              <w:t>采购内容</w:t>
            </w:r>
          </w:p>
        </w:tc>
        <w:tc>
          <w:tcPr>
            <w:tcW w:w="7332" w:type="dxa"/>
            <w:tcBorders>
              <w:right w:val="double" w:color="auto" w:sz="4" w:space="0"/>
            </w:tcBorders>
            <w:noWrap w:val="0"/>
            <w:vAlign w:val="center"/>
          </w:tcPr>
          <w:p>
            <w:pPr>
              <w:tabs>
                <w:tab w:val="center" w:pos="3342"/>
              </w:tabs>
              <w:spacing w:line="360" w:lineRule="auto"/>
              <w:rPr>
                <w:rFonts w:hint="eastAsia" w:ascii="宋体" w:hAnsi="宋体" w:cs="宋体"/>
                <w:sz w:val="22"/>
                <w:szCs w:val="22"/>
                <w:u w:val="none" w:color="800080"/>
              </w:rPr>
            </w:pPr>
            <w:r>
              <w:rPr>
                <w:rFonts w:hint="eastAsia" w:ascii="宋体" w:hAnsi="宋体" w:cs="宋体"/>
                <w:sz w:val="22"/>
                <w:szCs w:val="22"/>
                <w:u w:val="none" w:color="800080"/>
              </w:rPr>
              <w:t>苍南县公安局**数据中心机房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6" w:type="dxa"/>
            <w:tcBorders>
              <w:left w:val="double" w:color="auto" w:sz="4" w:space="0"/>
            </w:tcBorders>
            <w:noWrap w:val="0"/>
            <w:vAlign w:val="center"/>
          </w:tcPr>
          <w:p>
            <w:pPr>
              <w:spacing w:line="360" w:lineRule="auto"/>
              <w:jc w:val="center"/>
              <w:rPr>
                <w:rFonts w:hint="eastAsia" w:ascii="宋体" w:hAnsi="宋体" w:cs="宋体"/>
                <w:b/>
                <w:bCs/>
                <w:sz w:val="22"/>
                <w:szCs w:val="22"/>
              </w:rPr>
            </w:pPr>
            <w:r>
              <w:rPr>
                <w:rFonts w:hint="eastAsia" w:ascii="宋体" w:hAnsi="宋体" w:cs="宋体"/>
                <w:b/>
                <w:bCs/>
                <w:sz w:val="22"/>
                <w:szCs w:val="22"/>
              </w:rPr>
              <w:t>资金来源</w:t>
            </w:r>
          </w:p>
        </w:tc>
        <w:tc>
          <w:tcPr>
            <w:tcW w:w="7332" w:type="dxa"/>
            <w:tcBorders>
              <w:right w:val="double" w:color="auto" w:sz="4" w:space="0"/>
            </w:tcBorders>
            <w:noWrap w:val="0"/>
            <w:vAlign w:val="center"/>
          </w:tcPr>
          <w:p>
            <w:pPr>
              <w:spacing w:line="360" w:lineRule="auto"/>
              <w:rPr>
                <w:rFonts w:hint="eastAsia" w:ascii="宋体" w:hAnsi="宋体" w:cs="宋体"/>
                <w:sz w:val="22"/>
                <w:szCs w:val="22"/>
              </w:rPr>
            </w:pPr>
            <w:r>
              <w:rPr>
                <w:rFonts w:hint="eastAsia" w:ascii="宋体" w:hAnsi="宋体" w:cs="宋体"/>
                <w:sz w:val="22"/>
                <w:szCs w:val="22"/>
              </w:rPr>
              <w:t>财政资金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6" w:type="dxa"/>
            <w:tcBorders>
              <w:left w:val="double" w:color="auto" w:sz="4" w:space="0"/>
            </w:tcBorders>
            <w:noWrap w:val="0"/>
            <w:vAlign w:val="center"/>
          </w:tcPr>
          <w:p>
            <w:pPr>
              <w:spacing w:line="360" w:lineRule="auto"/>
              <w:jc w:val="center"/>
              <w:rPr>
                <w:rFonts w:hint="eastAsia" w:ascii="宋体" w:hAnsi="宋体" w:cs="宋体"/>
                <w:b/>
                <w:bCs/>
                <w:sz w:val="22"/>
                <w:szCs w:val="22"/>
              </w:rPr>
            </w:pPr>
            <w:r>
              <w:rPr>
                <w:rFonts w:hint="eastAsia" w:ascii="宋体" w:hAnsi="宋体" w:cs="宋体"/>
                <w:b/>
                <w:bCs/>
                <w:sz w:val="22"/>
                <w:szCs w:val="22"/>
              </w:rPr>
              <w:t>采购方式</w:t>
            </w:r>
          </w:p>
        </w:tc>
        <w:tc>
          <w:tcPr>
            <w:tcW w:w="7332" w:type="dxa"/>
            <w:tcBorders>
              <w:right w:val="double" w:color="auto" w:sz="4" w:space="0"/>
            </w:tcBorders>
            <w:noWrap w:val="0"/>
            <w:vAlign w:val="center"/>
          </w:tcPr>
          <w:p>
            <w:pPr>
              <w:spacing w:line="360" w:lineRule="auto"/>
              <w:rPr>
                <w:rFonts w:hint="eastAsia" w:ascii="宋体" w:hAnsi="宋体" w:cs="宋体"/>
                <w:sz w:val="22"/>
                <w:szCs w:val="22"/>
              </w:rPr>
            </w:pPr>
            <w:r>
              <w:rPr>
                <w:rFonts w:hint="eastAsia" w:ascii="宋体" w:hAnsi="宋体" w:cs="宋体"/>
                <w:sz w:val="22"/>
                <w:szCs w:val="22"/>
              </w:rPr>
              <w:t>公开招标（电子交易）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6" w:type="dxa"/>
            <w:tcBorders>
              <w:left w:val="double" w:color="auto" w:sz="4" w:space="0"/>
            </w:tcBorders>
            <w:noWrap w:val="0"/>
            <w:vAlign w:val="center"/>
          </w:tcPr>
          <w:p>
            <w:pPr>
              <w:spacing w:line="360" w:lineRule="auto"/>
              <w:ind w:firstLine="663" w:firstLineChars="300"/>
              <w:rPr>
                <w:rFonts w:hint="eastAsia" w:ascii="宋体" w:hAnsi="宋体" w:cs="宋体"/>
                <w:b/>
                <w:bCs/>
                <w:sz w:val="22"/>
                <w:szCs w:val="22"/>
              </w:rPr>
            </w:pPr>
            <w:r>
              <w:rPr>
                <w:rFonts w:hint="eastAsia" w:ascii="宋体" w:hAnsi="宋体" w:cs="宋体"/>
                <w:b/>
                <w:bCs/>
                <w:sz w:val="22"/>
                <w:szCs w:val="22"/>
              </w:rPr>
              <w:t>最高限价</w:t>
            </w:r>
          </w:p>
        </w:tc>
        <w:tc>
          <w:tcPr>
            <w:tcW w:w="7332" w:type="dxa"/>
            <w:tcBorders>
              <w:right w:val="double" w:color="auto" w:sz="4" w:space="0"/>
            </w:tcBorders>
            <w:noWrap w:val="0"/>
            <w:vAlign w:val="center"/>
          </w:tcPr>
          <w:p>
            <w:pPr>
              <w:spacing w:line="360" w:lineRule="auto"/>
              <w:rPr>
                <w:rFonts w:hint="eastAsia" w:ascii="宋体" w:hAnsi="宋体" w:cs="宋体"/>
                <w:b/>
                <w:bCs/>
                <w:sz w:val="22"/>
                <w:szCs w:val="22"/>
              </w:rPr>
            </w:pPr>
            <w:r>
              <w:rPr>
                <w:rFonts w:hint="eastAsia" w:ascii="宋体" w:hAnsi="宋体" w:cs="宋体"/>
                <w:b/>
                <w:bCs/>
                <w:sz w:val="22"/>
                <w:szCs w:val="22"/>
                <w:lang w:val="en-US" w:eastAsia="zh-CN"/>
              </w:rPr>
              <w:t>613</w:t>
            </w:r>
            <w:r>
              <w:rPr>
                <w:rFonts w:hint="eastAsia" w:ascii="宋体" w:hAnsi="宋体" w:cs="宋体"/>
                <w:b/>
                <w:bCs/>
                <w:sz w:val="22"/>
                <w:szCs w:val="22"/>
              </w:rPr>
              <w:t>万元（供应商报价超出最高限价</w:t>
            </w:r>
            <w:r>
              <w:rPr>
                <w:rFonts w:hint="eastAsia" w:ascii="宋体" w:hAnsi="宋体" w:cs="宋体"/>
                <w:b/>
                <w:bCs/>
                <w:sz w:val="22"/>
                <w:szCs w:val="22"/>
                <w:lang w:val="en-US" w:eastAsia="zh-CN"/>
              </w:rPr>
              <w:t>或</w:t>
            </w:r>
            <w:r>
              <w:rPr>
                <w:rFonts w:hint="eastAsia" w:ascii="宋体" w:hAnsi="宋体" w:cs="宋体"/>
                <w:b/>
                <w:bCs/>
                <w:sz w:val="22"/>
                <w:szCs w:val="22"/>
              </w:rPr>
              <w:t>预算的，该供应商按无效响应文件处理。）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jc w:val="center"/>
        </w:trPr>
        <w:tc>
          <w:tcPr>
            <w:tcW w:w="2306" w:type="dxa"/>
            <w:tcBorders>
              <w:left w:val="double" w:color="auto" w:sz="4" w:space="0"/>
            </w:tcBorders>
            <w:noWrap w:val="0"/>
            <w:vAlign w:val="center"/>
          </w:tcPr>
          <w:p>
            <w:pPr>
              <w:adjustRightInd w:val="0"/>
              <w:spacing w:line="300" w:lineRule="exact"/>
              <w:rPr>
                <w:rFonts w:hint="eastAsia" w:ascii="宋体" w:hAnsi="宋体" w:cs="宋体"/>
                <w:b/>
                <w:bCs/>
                <w:color w:val="000000"/>
                <w:sz w:val="22"/>
                <w:szCs w:val="22"/>
              </w:rPr>
            </w:pPr>
            <w:r>
              <w:rPr>
                <w:rFonts w:hint="eastAsia" w:ascii="宋体" w:hAnsi="宋体" w:cs="宋体"/>
                <w:b/>
                <w:bCs/>
                <w:color w:val="000000"/>
                <w:sz w:val="22"/>
                <w:szCs w:val="22"/>
              </w:rPr>
              <w:t>是否接受联合体投标</w:t>
            </w:r>
          </w:p>
        </w:tc>
        <w:tc>
          <w:tcPr>
            <w:tcW w:w="7332" w:type="dxa"/>
            <w:tcBorders>
              <w:right w:val="double" w:color="auto" w:sz="4" w:space="0"/>
            </w:tcBorders>
            <w:noWrap w:val="0"/>
            <w:vAlign w:val="center"/>
          </w:tcPr>
          <w:p>
            <w:pPr>
              <w:adjustRightInd w:val="0"/>
              <w:spacing w:line="300" w:lineRule="exact"/>
              <w:rPr>
                <w:rFonts w:hint="eastAsia" w:ascii="宋体" w:hAnsi="宋体" w:cs="宋体"/>
                <w:color w:val="000000"/>
                <w:sz w:val="22"/>
                <w:szCs w:val="22"/>
              </w:rPr>
            </w:pPr>
            <w:r>
              <w:rPr>
                <w:rFonts w:hint="eastAsia" w:ascii="宋体" w:hAnsi="宋体" w:cs="宋体"/>
                <w:color w:val="000000"/>
                <w:sz w:val="22"/>
                <w:szCs w:val="22"/>
              </w:rPr>
              <w:t>☑不接受</w:t>
            </w:r>
          </w:p>
          <w:p>
            <w:pPr>
              <w:adjustRightInd w:val="0"/>
              <w:spacing w:line="300" w:lineRule="exact"/>
              <w:rPr>
                <w:rFonts w:hint="eastAsia" w:ascii="宋体" w:hAnsi="宋体" w:cs="宋体"/>
                <w:i/>
                <w:color w:val="000000"/>
                <w:sz w:val="22"/>
                <w:szCs w:val="22"/>
              </w:rPr>
            </w:pPr>
            <w:r>
              <w:rPr>
                <w:rFonts w:hint="eastAsia" w:ascii="宋体" w:hAnsi="宋体" w:cs="宋体"/>
                <w:color w:val="000000"/>
                <w:sz w:val="22"/>
                <w:szCs w:val="22"/>
              </w:rPr>
              <w:t>□接受：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06" w:type="dxa"/>
            <w:tcBorders>
              <w:left w:val="double" w:color="auto" w:sz="4" w:space="0"/>
            </w:tcBorders>
            <w:noWrap w:val="0"/>
            <w:vAlign w:val="center"/>
          </w:tcPr>
          <w:p>
            <w:pPr>
              <w:spacing w:line="360" w:lineRule="auto"/>
              <w:jc w:val="center"/>
              <w:rPr>
                <w:rFonts w:hint="eastAsia" w:ascii="宋体" w:hAnsi="宋体" w:cs="宋体"/>
                <w:b/>
                <w:bCs/>
                <w:sz w:val="22"/>
                <w:szCs w:val="22"/>
              </w:rPr>
            </w:pPr>
            <w:r>
              <w:rPr>
                <w:rFonts w:hint="eastAsia" w:ascii="宋体" w:hAnsi="宋体" w:cs="宋体"/>
                <w:b/>
                <w:bCs/>
                <w:sz w:val="22"/>
                <w:szCs w:val="22"/>
              </w:rPr>
              <w:t>确定成交供应商办法</w:t>
            </w:r>
          </w:p>
        </w:tc>
        <w:tc>
          <w:tcPr>
            <w:tcW w:w="7332" w:type="dxa"/>
            <w:tcBorders>
              <w:right w:val="double" w:color="auto" w:sz="4" w:space="0"/>
            </w:tcBorders>
            <w:noWrap w:val="0"/>
            <w:vAlign w:val="center"/>
          </w:tcPr>
          <w:p>
            <w:pPr>
              <w:spacing w:line="360" w:lineRule="auto"/>
              <w:rPr>
                <w:rFonts w:hint="eastAsia" w:ascii="宋体" w:hAnsi="宋体" w:cs="宋体"/>
                <w:sz w:val="22"/>
                <w:szCs w:val="22"/>
              </w:rPr>
            </w:pPr>
            <w:r>
              <w:rPr>
                <w:rFonts w:hint="eastAsia" w:ascii="宋体" w:hAnsi="宋体" w:cs="宋体"/>
                <w:sz w:val="22"/>
                <w:szCs w:val="22"/>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2306" w:type="dxa"/>
            <w:tcBorders>
              <w:left w:val="double" w:color="auto" w:sz="4" w:space="0"/>
            </w:tcBorders>
            <w:noWrap w:val="0"/>
            <w:vAlign w:val="center"/>
          </w:tcPr>
          <w:p>
            <w:pPr>
              <w:spacing w:line="360" w:lineRule="auto"/>
              <w:jc w:val="center"/>
              <w:rPr>
                <w:rFonts w:hint="eastAsia" w:ascii="宋体" w:hAnsi="宋体" w:cs="宋体"/>
                <w:b/>
                <w:bCs/>
                <w:sz w:val="22"/>
                <w:szCs w:val="22"/>
              </w:rPr>
            </w:pPr>
            <w:r>
              <w:rPr>
                <w:rFonts w:hint="eastAsia" w:ascii="宋体" w:hAnsi="宋体" w:cs="宋体"/>
                <w:b/>
                <w:bCs/>
                <w:sz w:val="22"/>
                <w:szCs w:val="22"/>
              </w:rPr>
              <w:t>报价有效期</w:t>
            </w:r>
          </w:p>
        </w:tc>
        <w:tc>
          <w:tcPr>
            <w:tcW w:w="7332" w:type="dxa"/>
            <w:tcBorders>
              <w:right w:val="double" w:color="auto" w:sz="4" w:space="0"/>
            </w:tcBorders>
            <w:noWrap w:val="0"/>
            <w:vAlign w:val="center"/>
          </w:tcPr>
          <w:p>
            <w:pPr>
              <w:spacing w:line="360" w:lineRule="auto"/>
              <w:rPr>
                <w:rFonts w:hint="eastAsia" w:ascii="宋体" w:hAnsi="宋体" w:cs="宋体"/>
                <w:sz w:val="22"/>
                <w:szCs w:val="22"/>
              </w:rPr>
            </w:pPr>
            <w:r>
              <w:rPr>
                <w:rFonts w:hint="eastAsia" w:ascii="宋体" w:hAnsi="宋体" w:cs="宋体"/>
                <w:sz w:val="22"/>
                <w:szCs w:val="22"/>
              </w:rPr>
              <w:t>90日历天（自招标文件递交截止日起计算）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6" w:type="dxa"/>
            <w:tcBorders>
              <w:left w:val="double" w:color="auto" w:sz="4" w:space="0"/>
            </w:tcBorders>
            <w:noWrap w:val="0"/>
            <w:vAlign w:val="center"/>
          </w:tcPr>
          <w:p>
            <w:pPr>
              <w:spacing w:line="360" w:lineRule="auto"/>
              <w:jc w:val="center"/>
              <w:rPr>
                <w:rFonts w:hint="eastAsia" w:ascii="宋体" w:hAnsi="宋体" w:cs="宋体"/>
                <w:b/>
                <w:bCs/>
                <w:sz w:val="22"/>
                <w:szCs w:val="22"/>
              </w:rPr>
            </w:pPr>
            <w:r>
              <w:rPr>
                <w:rFonts w:hint="eastAsia" w:ascii="宋体" w:hAnsi="宋体" w:cs="宋体"/>
                <w:b/>
                <w:bCs/>
                <w:kern w:val="0"/>
                <w:sz w:val="22"/>
                <w:szCs w:val="22"/>
              </w:rPr>
              <w:t>投标</w:t>
            </w:r>
            <w:r>
              <w:rPr>
                <w:rFonts w:hint="eastAsia" w:ascii="宋体" w:hAnsi="宋体" w:cs="宋体"/>
                <w:b/>
                <w:bCs/>
                <w:sz w:val="22"/>
                <w:szCs w:val="22"/>
              </w:rPr>
              <w:t>文件递交平台与招标平台</w:t>
            </w:r>
          </w:p>
        </w:tc>
        <w:tc>
          <w:tcPr>
            <w:tcW w:w="7332" w:type="dxa"/>
            <w:tcBorders>
              <w:right w:val="double" w:color="auto" w:sz="4" w:space="0"/>
            </w:tcBorders>
            <w:noWrap w:val="0"/>
            <w:vAlign w:val="center"/>
          </w:tcPr>
          <w:p>
            <w:pPr>
              <w:spacing w:line="360" w:lineRule="auto"/>
              <w:rPr>
                <w:rFonts w:hint="eastAsia" w:ascii="宋体" w:hAnsi="宋体" w:cs="宋体"/>
                <w:sz w:val="22"/>
                <w:szCs w:val="22"/>
              </w:rPr>
            </w:pPr>
            <w:r>
              <w:rPr>
                <w:rFonts w:hint="eastAsia" w:ascii="宋体" w:hAnsi="宋体" w:cs="宋体"/>
                <w:kern w:val="0"/>
                <w:sz w:val="22"/>
                <w:szCs w:val="22"/>
              </w:rPr>
              <w:t>政采云平台（www.zcygov.cn）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6" w:type="dxa"/>
            <w:tcBorders>
              <w:left w:val="double" w:color="auto" w:sz="4" w:space="0"/>
            </w:tcBorders>
            <w:noWrap w:val="0"/>
            <w:vAlign w:val="center"/>
          </w:tcPr>
          <w:p>
            <w:pPr>
              <w:spacing w:line="360" w:lineRule="auto"/>
              <w:jc w:val="center"/>
              <w:rPr>
                <w:rFonts w:hint="eastAsia" w:ascii="宋体" w:hAnsi="宋体" w:cs="宋体"/>
                <w:b/>
                <w:bCs/>
                <w:sz w:val="22"/>
                <w:szCs w:val="22"/>
              </w:rPr>
            </w:pPr>
            <w:r>
              <w:rPr>
                <w:rFonts w:hint="eastAsia" w:ascii="宋体" w:hAnsi="宋体" w:cs="宋体"/>
                <w:b/>
                <w:bCs/>
                <w:kern w:val="0"/>
                <w:sz w:val="22"/>
                <w:szCs w:val="22"/>
              </w:rPr>
              <w:t>投标文件</w:t>
            </w:r>
            <w:r>
              <w:rPr>
                <w:rFonts w:hint="eastAsia" w:ascii="宋体" w:hAnsi="宋体" w:cs="宋体"/>
                <w:b/>
                <w:bCs/>
                <w:sz w:val="22"/>
                <w:szCs w:val="22"/>
              </w:rPr>
              <w:t>递交截止时间与</w:t>
            </w:r>
            <w:r>
              <w:rPr>
                <w:rFonts w:hint="eastAsia" w:ascii="宋体" w:hAnsi="宋体" w:cs="宋体"/>
                <w:b/>
                <w:bCs/>
                <w:kern w:val="0"/>
                <w:sz w:val="22"/>
                <w:szCs w:val="22"/>
              </w:rPr>
              <w:t>招标</w:t>
            </w:r>
            <w:r>
              <w:rPr>
                <w:rFonts w:hint="eastAsia" w:ascii="宋体" w:hAnsi="宋体" w:cs="宋体"/>
                <w:b/>
                <w:bCs/>
                <w:sz w:val="22"/>
                <w:szCs w:val="22"/>
              </w:rPr>
              <w:t>开始时间</w:t>
            </w:r>
          </w:p>
        </w:tc>
        <w:tc>
          <w:tcPr>
            <w:tcW w:w="7332" w:type="dxa"/>
            <w:tcBorders>
              <w:right w:val="double" w:color="auto" w:sz="4" w:space="0"/>
            </w:tcBorders>
            <w:noWrap w:val="0"/>
            <w:vAlign w:val="center"/>
          </w:tcPr>
          <w:p>
            <w:pPr>
              <w:widowControl/>
              <w:snapToGrid w:val="0"/>
              <w:spacing w:line="360" w:lineRule="auto"/>
              <w:ind w:left="62" w:right="62"/>
              <w:rPr>
                <w:rFonts w:hint="eastAsia" w:ascii="宋体" w:hAnsi="宋体" w:cs="宋体"/>
                <w:sz w:val="22"/>
                <w:szCs w:val="22"/>
              </w:rPr>
            </w:pPr>
            <w:r>
              <w:rPr>
                <w:rFonts w:hint="eastAsia" w:ascii="宋体" w:hAnsi="宋体" w:cs="宋体"/>
                <w:kern w:val="0"/>
                <w:sz w:val="22"/>
                <w:szCs w:val="22"/>
                <w:u w:val="single"/>
              </w:rPr>
              <w:t>202</w:t>
            </w:r>
            <w:r>
              <w:rPr>
                <w:rFonts w:hint="eastAsia" w:ascii="宋体" w:hAnsi="宋体" w:cs="宋体"/>
                <w:kern w:val="0"/>
                <w:sz w:val="22"/>
                <w:szCs w:val="22"/>
                <w:u w:val="single"/>
                <w:lang w:val="en-US" w:eastAsia="zh-CN"/>
              </w:rPr>
              <w:t>1</w:t>
            </w:r>
            <w:r>
              <w:rPr>
                <w:rFonts w:hint="eastAsia" w:ascii="宋体" w:hAnsi="宋体" w:cs="宋体"/>
                <w:kern w:val="0"/>
                <w:sz w:val="22"/>
                <w:szCs w:val="22"/>
                <w:u w:val="single"/>
              </w:rPr>
              <w:t>年</w:t>
            </w:r>
            <w:r>
              <w:rPr>
                <w:rFonts w:hint="eastAsia" w:ascii="宋体" w:hAnsi="宋体" w:cs="宋体"/>
                <w:kern w:val="0"/>
                <w:sz w:val="22"/>
                <w:szCs w:val="22"/>
                <w:u w:val="single"/>
                <w:lang w:val="en-US" w:eastAsia="zh-CN"/>
              </w:rPr>
              <w:t>1</w:t>
            </w:r>
            <w:r>
              <w:rPr>
                <w:rFonts w:hint="eastAsia" w:ascii="宋体" w:hAnsi="宋体" w:cs="宋体"/>
                <w:kern w:val="0"/>
                <w:sz w:val="22"/>
                <w:szCs w:val="22"/>
                <w:u w:val="single"/>
              </w:rPr>
              <w:t>月</w:t>
            </w:r>
            <w:r>
              <w:rPr>
                <w:rFonts w:hint="eastAsia" w:ascii="宋体" w:hAnsi="宋体" w:cs="宋体"/>
                <w:kern w:val="0"/>
                <w:sz w:val="22"/>
                <w:szCs w:val="22"/>
                <w:u w:val="single"/>
                <w:lang w:val="en-US" w:eastAsia="zh-CN"/>
              </w:rPr>
              <w:t>12</w:t>
            </w:r>
            <w:r>
              <w:rPr>
                <w:rFonts w:hint="eastAsia" w:ascii="宋体" w:hAnsi="宋体" w:cs="宋体"/>
                <w:kern w:val="0"/>
                <w:sz w:val="22"/>
                <w:szCs w:val="22"/>
                <w:u w:val="single"/>
              </w:rPr>
              <w:t>日</w:t>
            </w:r>
            <w:r>
              <w:rPr>
                <w:rFonts w:hint="eastAsia" w:ascii="宋体" w:hAnsi="宋体" w:cs="宋体"/>
                <w:kern w:val="0"/>
                <w:sz w:val="22"/>
                <w:szCs w:val="22"/>
                <w:u w:val="single"/>
                <w:lang w:val="en-US" w:eastAsia="zh-CN"/>
              </w:rPr>
              <w:t>09</w:t>
            </w:r>
            <w:r>
              <w:rPr>
                <w:rFonts w:hint="eastAsia" w:ascii="宋体" w:hAnsi="宋体" w:cs="宋体"/>
                <w:kern w:val="0"/>
                <w:sz w:val="22"/>
                <w:szCs w:val="22"/>
                <w:u w:val="single"/>
              </w:rPr>
              <w:t>时</w:t>
            </w:r>
            <w:r>
              <w:rPr>
                <w:rFonts w:hint="eastAsia" w:ascii="宋体" w:hAnsi="宋体" w:cs="宋体"/>
                <w:kern w:val="0"/>
                <w:sz w:val="22"/>
                <w:szCs w:val="22"/>
                <w:u w:val="single"/>
                <w:lang w:val="en-US" w:eastAsia="zh-CN"/>
              </w:rPr>
              <w:t>3</w:t>
            </w:r>
            <w:r>
              <w:rPr>
                <w:rFonts w:hint="eastAsia" w:ascii="宋体" w:hAnsi="宋体" w:cs="宋体"/>
                <w:kern w:val="0"/>
                <w:sz w:val="22"/>
                <w:szCs w:val="22"/>
                <w:u w:val="single"/>
              </w:rPr>
              <w:t xml:space="preserve">0分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6" w:type="dxa"/>
            <w:tcBorders>
              <w:left w:val="double" w:color="auto" w:sz="4" w:space="0"/>
            </w:tcBorders>
            <w:noWrap w:val="0"/>
            <w:vAlign w:val="center"/>
          </w:tcPr>
          <w:p>
            <w:pPr>
              <w:spacing w:line="360" w:lineRule="auto"/>
              <w:jc w:val="center"/>
              <w:rPr>
                <w:rFonts w:hint="eastAsia" w:ascii="宋体" w:hAnsi="宋体" w:cs="宋体"/>
                <w:b/>
                <w:bCs/>
                <w:sz w:val="22"/>
                <w:szCs w:val="22"/>
              </w:rPr>
            </w:pPr>
            <w:r>
              <w:rPr>
                <w:rFonts w:hint="eastAsia" w:ascii="宋体" w:hAnsi="宋体" w:cs="宋体"/>
                <w:b/>
                <w:bCs/>
                <w:sz w:val="22"/>
                <w:szCs w:val="22"/>
              </w:rPr>
              <w:t>保证金</w:t>
            </w:r>
          </w:p>
        </w:tc>
        <w:tc>
          <w:tcPr>
            <w:tcW w:w="7332" w:type="dxa"/>
            <w:tcBorders>
              <w:right w:val="double" w:color="auto" w:sz="4" w:space="0"/>
            </w:tcBorders>
            <w:noWrap w:val="0"/>
            <w:vAlign w:val="center"/>
          </w:tcPr>
          <w:p>
            <w:pPr>
              <w:adjustRightInd w:val="0"/>
              <w:snapToGrid w:val="0"/>
              <w:spacing w:line="360" w:lineRule="auto"/>
              <w:rPr>
                <w:rFonts w:hint="eastAsia" w:ascii="宋体" w:hAnsi="宋体" w:cs="宋体"/>
                <w:sz w:val="22"/>
                <w:szCs w:val="22"/>
              </w:rPr>
            </w:pPr>
            <w:r>
              <w:rPr>
                <w:rFonts w:hint="eastAsia" w:ascii="宋体" w:hAnsi="宋体" w:cs="宋体"/>
                <w:sz w:val="22"/>
                <w:szCs w:val="22"/>
              </w:rPr>
              <w:t xml:space="preserve">依据浙江省财政厅关于明确政府采购保证金管理工5 号文件规定，本项目供应商无需缴纳投标保证金。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6" w:type="dxa"/>
            <w:tcBorders>
              <w:left w:val="double" w:color="auto" w:sz="4" w:space="0"/>
            </w:tcBorders>
            <w:noWrap w:val="0"/>
            <w:vAlign w:val="center"/>
          </w:tcPr>
          <w:p>
            <w:pPr>
              <w:snapToGrid w:val="0"/>
              <w:spacing w:line="360" w:lineRule="auto"/>
              <w:jc w:val="center"/>
              <w:rPr>
                <w:rFonts w:hint="eastAsia" w:ascii="宋体" w:hAnsi="宋体" w:cs="宋体"/>
                <w:b/>
                <w:bCs/>
                <w:sz w:val="22"/>
                <w:szCs w:val="22"/>
              </w:rPr>
            </w:pPr>
            <w:r>
              <w:rPr>
                <w:rFonts w:hint="eastAsia" w:ascii="宋体" w:hAnsi="宋体" w:cs="宋体"/>
                <w:b/>
                <w:bCs/>
                <w:sz w:val="22"/>
                <w:szCs w:val="22"/>
              </w:rPr>
              <w:t>投标</w:t>
            </w:r>
            <w:r>
              <w:rPr>
                <w:rFonts w:hint="eastAsia" w:ascii="宋体" w:hAnsi="宋体" w:cs="宋体"/>
                <w:b/>
                <w:bCs/>
                <w:sz w:val="22"/>
                <w:szCs w:val="22"/>
                <w:lang w:bidi="ar"/>
              </w:rPr>
              <w:t>文件的编制</w:t>
            </w:r>
          </w:p>
        </w:tc>
        <w:tc>
          <w:tcPr>
            <w:tcW w:w="7332" w:type="dxa"/>
            <w:tcBorders>
              <w:right w:val="double" w:color="auto" w:sz="4" w:space="0"/>
            </w:tcBorders>
            <w:noWrap w:val="0"/>
            <w:vAlign w:val="center"/>
          </w:tcPr>
          <w:p>
            <w:pPr>
              <w:spacing w:line="360" w:lineRule="auto"/>
              <w:rPr>
                <w:rFonts w:hint="eastAsia" w:ascii="宋体" w:hAnsi="宋体" w:cs="宋体"/>
                <w:sz w:val="22"/>
                <w:szCs w:val="22"/>
                <w:lang w:bidi="ar"/>
              </w:rPr>
            </w:pPr>
            <w:r>
              <w:rPr>
                <w:rFonts w:hint="eastAsia" w:ascii="宋体" w:hAnsi="宋体" w:cs="宋体"/>
                <w:sz w:val="22"/>
                <w:szCs w:val="22"/>
                <w:lang w:bidi="ar"/>
              </w:rPr>
              <w:t>供应商应先安装“政采云电子交易客户端”和申领“CA数字证书”，并按照本采购文件和“政采云平台”的要求，通过“政采云电子交易客户端”编制并加密响应文件。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6" w:type="dxa"/>
            <w:tcBorders>
              <w:left w:val="double" w:color="auto" w:sz="4" w:space="0"/>
            </w:tcBorders>
            <w:noWrap w:val="0"/>
            <w:vAlign w:val="center"/>
          </w:tcPr>
          <w:p>
            <w:pPr>
              <w:snapToGrid w:val="0"/>
              <w:spacing w:line="360" w:lineRule="auto"/>
              <w:jc w:val="center"/>
              <w:rPr>
                <w:rFonts w:hint="eastAsia" w:ascii="宋体" w:hAnsi="宋体" w:cs="宋体"/>
                <w:b/>
                <w:bCs/>
                <w:sz w:val="22"/>
                <w:szCs w:val="22"/>
              </w:rPr>
            </w:pPr>
            <w:r>
              <w:rPr>
                <w:rFonts w:hint="eastAsia" w:ascii="宋体" w:hAnsi="宋体" w:cs="宋体"/>
                <w:b/>
                <w:bCs/>
                <w:sz w:val="22"/>
                <w:szCs w:val="22"/>
              </w:rPr>
              <w:t>投标</w:t>
            </w:r>
            <w:r>
              <w:rPr>
                <w:rFonts w:hint="eastAsia" w:ascii="宋体" w:hAnsi="宋体" w:cs="宋体"/>
                <w:b/>
                <w:bCs/>
                <w:sz w:val="22"/>
                <w:szCs w:val="22"/>
                <w:lang w:bidi="ar"/>
              </w:rPr>
              <w:t>文件的签章</w:t>
            </w:r>
          </w:p>
        </w:tc>
        <w:tc>
          <w:tcPr>
            <w:tcW w:w="7332" w:type="dxa"/>
            <w:tcBorders>
              <w:right w:val="double" w:color="auto" w:sz="4" w:space="0"/>
            </w:tcBorders>
            <w:noWrap w:val="0"/>
            <w:vAlign w:val="center"/>
          </w:tcPr>
          <w:p>
            <w:pPr>
              <w:spacing w:line="360" w:lineRule="auto"/>
              <w:rPr>
                <w:rFonts w:hint="eastAsia" w:ascii="宋体" w:hAnsi="宋体" w:cs="宋体"/>
                <w:sz w:val="22"/>
                <w:szCs w:val="22"/>
                <w:lang w:bidi="ar"/>
              </w:rPr>
            </w:pPr>
            <w:r>
              <w:rPr>
                <w:rFonts w:hint="eastAsia" w:ascii="宋体" w:hAnsi="宋体" w:cs="宋体"/>
                <w:sz w:val="22"/>
                <w:szCs w:val="22"/>
                <w:lang w:bidi="ar"/>
              </w:rPr>
              <w:t>☑电子签章（招标文件里要求盖公章使用电子签章）。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6" w:type="dxa"/>
            <w:tcBorders>
              <w:left w:val="double" w:color="auto" w:sz="4" w:space="0"/>
            </w:tcBorders>
            <w:noWrap w:val="0"/>
            <w:vAlign w:val="center"/>
          </w:tcPr>
          <w:p>
            <w:pPr>
              <w:snapToGrid w:val="0"/>
              <w:spacing w:line="360" w:lineRule="auto"/>
              <w:jc w:val="center"/>
              <w:rPr>
                <w:rFonts w:hint="eastAsia" w:ascii="宋体" w:hAnsi="宋体" w:cs="宋体"/>
                <w:b/>
                <w:bCs/>
                <w:sz w:val="22"/>
                <w:szCs w:val="22"/>
              </w:rPr>
            </w:pPr>
            <w:r>
              <w:rPr>
                <w:rFonts w:hint="eastAsia" w:ascii="宋体" w:hAnsi="宋体" w:cs="宋体"/>
                <w:b/>
                <w:bCs/>
                <w:sz w:val="22"/>
                <w:szCs w:val="22"/>
              </w:rPr>
              <w:t>投标</w:t>
            </w:r>
            <w:r>
              <w:rPr>
                <w:rFonts w:hint="eastAsia" w:ascii="宋体" w:hAnsi="宋体" w:cs="宋体"/>
                <w:b/>
                <w:bCs/>
                <w:sz w:val="22"/>
                <w:szCs w:val="22"/>
                <w:lang w:bidi="ar"/>
              </w:rPr>
              <w:t>文件的形式</w:t>
            </w:r>
          </w:p>
        </w:tc>
        <w:tc>
          <w:tcPr>
            <w:tcW w:w="7332" w:type="dxa"/>
            <w:tcBorders>
              <w:right w:val="double" w:color="auto" w:sz="4" w:space="0"/>
            </w:tcBorders>
            <w:noWrap w:val="0"/>
            <w:vAlign w:val="center"/>
          </w:tcPr>
          <w:p>
            <w:pPr>
              <w:spacing w:line="360" w:lineRule="auto"/>
              <w:rPr>
                <w:rFonts w:hint="eastAsia" w:ascii="宋体" w:hAnsi="宋体" w:cs="宋体"/>
                <w:sz w:val="22"/>
                <w:szCs w:val="22"/>
                <w:lang w:bidi="ar"/>
              </w:rPr>
            </w:pPr>
            <w:r>
              <w:rPr>
                <w:rFonts w:hint="eastAsia" w:ascii="宋体" w:hAnsi="宋体" w:cs="宋体"/>
                <w:sz w:val="22"/>
                <w:szCs w:val="22"/>
                <w:lang w:bidi="ar"/>
              </w:rPr>
              <w:t>☑电子响应文件（包括《电子加密响应文件》和《备份响应文件》，在响应文件编制完成后同时生成）；</w:t>
            </w:r>
          </w:p>
          <w:p>
            <w:pPr>
              <w:spacing w:line="360" w:lineRule="auto"/>
              <w:rPr>
                <w:rFonts w:hint="eastAsia" w:ascii="宋体" w:hAnsi="宋体" w:cs="宋体"/>
                <w:sz w:val="22"/>
                <w:szCs w:val="22"/>
                <w:lang w:bidi="ar"/>
              </w:rPr>
            </w:pPr>
            <w:r>
              <w:rPr>
                <w:rFonts w:hint="eastAsia" w:ascii="宋体" w:hAnsi="宋体" w:cs="宋体"/>
                <w:sz w:val="22"/>
                <w:szCs w:val="22"/>
                <w:lang w:bidi="ar"/>
              </w:rPr>
              <w:t>（1）《电子加密响应文件》是指通过“政采云电子交易客户端”完成响应文件编制后生成并加密的数据电文形式的响应文件。</w:t>
            </w:r>
          </w:p>
          <w:p>
            <w:pPr>
              <w:spacing w:line="360" w:lineRule="auto"/>
              <w:rPr>
                <w:rFonts w:hint="eastAsia" w:ascii="宋体" w:hAnsi="宋体" w:cs="宋体"/>
                <w:sz w:val="22"/>
                <w:szCs w:val="22"/>
                <w:lang w:bidi="ar"/>
              </w:rPr>
            </w:pPr>
            <w:r>
              <w:rPr>
                <w:rFonts w:hint="eastAsia" w:ascii="宋体" w:hAnsi="宋体" w:cs="宋体"/>
                <w:sz w:val="22"/>
                <w:szCs w:val="22"/>
                <w:lang w:bidi="ar"/>
              </w:rPr>
              <w:t>（2）《备份响应文件》是指与《电子加密响应文件》同时生成的数据电文形式的电子文件（备份响应文件），其他方式编制的备份响应文件视为无效备份响应文件。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6" w:type="dxa"/>
            <w:tcBorders>
              <w:left w:val="double" w:color="auto" w:sz="4" w:space="0"/>
            </w:tcBorders>
            <w:noWrap w:val="0"/>
            <w:vAlign w:val="center"/>
          </w:tcPr>
          <w:p>
            <w:pPr>
              <w:spacing w:line="360" w:lineRule="auto"/>
              <w:jc w:val="center"/>
              <w:rPr>
                <w:rFonts w:hint="eastAsia" w:ascii="宋体" w:hAnsi="宋体" w:cs="宋体"/>
                <w:b/>
                <w:bCs/>
                <w:sz w:val="22"/>
                <w:szCs w:val="22"/>
              </w:rPr>
            </w:pPr>
            <w:r>
              <w:rPr>
                <w:rFonts w:hint="eastAsia" w:ascii="宋体" w:hAnsi="宋体" w:cs="宋体"/>
                <w:b/>
                <w:bCs/>
                <w:sz w:val="22"/>
                <w:szCs w:val="22"/>
              </w:rPr>
              <w:t>投标</w:t>
            </w:r>
            <w:r>
              <w:rPr>
                <w:rFonts w:hint="eastAsia" w:ascii="宋体" w:hAnsi="宋体" w:cs="宋体"/>
                <w:b/>
                <w:bCs/>
                <w:sz w:val="22"/>
                <w:szCs w:val="22"/>
                <w:lang w:bidi="ar"/>
              </w:rPr>
              <w:t>文件份数</w:t>
            </w:r>
          </w:p>
        </w:tc>
        <w:tc>
          <w:tcPr>
            <w:tcW w:w="7332" w:type="dxa"/>
            <w:tcBorders>
              <w:right w:val="double" w:color="auto" w:sz="4" w:space="0"/>
            </w:tcBorders>
            <w:noWrap w:val="0"/>
            <w:vAlign w:val="center"/>
          </w:tcPr>
          <w:p>
            <w:pPr>
              <w:spacing w:line="360" w:lineRule="auto"/>
              <w:rPr>
                <w:rFonts w:hint="eastAsia" w:ascii="宋体" w:hAnsi="宋体" w:cs="宋体"/>
                <w:sz w:val="22"/>
                <w:szCs w:val="22"/>
                <w:lang w:bidi="ar"/>
              </w:rPr>
            </w:pPr>
            <w:r>
              <w:rPr>
                <w:rFonts w:hint="eastAsia" w:ascii="宋体" w:hAnsi="宋体" w:cs="宋体"/>
                <w:sz w:val="22"/>
                <w:szCs w:val="22"/>
                <w:lang w:bidi="ar"/>
              </w:rPr>
              <w:t>（1）《电子加密响应文件》：在线上传递交。</w:t>
            </w:r>
          </w:p>
          <w:p>
            <w:pPr>
              <w:spacing w:line="360" w:lineRule="auto"/>
              <w:rPr>
                <w:rFonts w:hint="eastAsia" w:ascii="宋体" w:hAnsi="宋体" w:cs="宋体"/>
                <w:sz w:val="22"/>
                <w:szCs w:val="22"/>
                <w:lang w:bidi="ar"/>
              </w:rPr>
            </w:pPr>
            <w:r>
              <w:rPr>
                <w:rFonts w:hint="eastAsia" w:ascii="宋体" w:hAnsi="宋体" w:cs="宋体"/>
                <w:sz w:val="22"/>
                <w:szCs w:val="22"/>
                <w:lang w:bidi="ar"/>
              </w:rPr>
              <w:t>（2）《备份响应文件》：密封包装后（EMS邮寄形式）投标截止时间前递交或邮寄、数量一份（受件地址：</w:t>
            </w:r>
            <w:r>
              <w:rPr>
                <w:rFonts w:hint="eastAsia" w:ascii="宋体" w:hAnsi="宋体" w:cs="宋体"/>
                <w:b/>
                <w:bCs/>
                <w:sz w:val="22"/>
                <w:szCs w:val="22"/>
              </w:rPr>
              <w:t>苍南县灵溪镇上江小区13栋5号</w:t>
            </w:r>
            <w:r>
              <w:rPr>
                <w:rFonts w:hint="eastAsia" w:ascii="宋体" w:hAnsi="宋体" w:cs="宋体"/>
                <w:sz w:val="22"/>
                <w:szCs w:val="22"/>
                <w:lang w:bidi="ar"/>
              </w:rPr>
              <w:t>，陈先生收，邮编325800，电话</w:t>
            </w:r>
            <w:r>
              <w:rPr>
                <w:rFonts w:hint="eastAsia" w:ascii="宋体" w:hAnsi="宋体" w:cs="宋体"/>
                <w:sz w:val="22"/>
                <w:szCs w:val="22"/>
              </w:rPr>
              <w:t>13738772079</w:t>
            </w:r>
            <w:r>
              <w:rPr>
                <w:rFonts w:hint="eastAsia" w:ascii="宋体" w:hAnsi="宋体" w:cs="宋体"/>
                <w:sz w:val="22"/>
                <w:szCs w:val="22"/>
                <w:lang w:bidi="ar"/>
              </w:rPr>
              <w:t>）。投标供应商需自行考虑/承担邮寄运输过程中运输耗费时间及其他不可预测风险，建议在投标截止时前一天送达至代理公司,避免逾期递交。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6" w:type="dxa"/>
            <w:tcBorders>
              <w:left w:val="double" w:color="auto" w:sz="4" w:space="0"/>
            </w:tcBorders>
            <w:noWrap w:val="0"/>
            <w:vAlign w:val="center"/>
          </w:tcPr>
          <w:p>
            <w:pPr>
              <w:spacing w:line="360" w:lineRule="auto"/>
              <w:jc w:val="center"/>
              <w:rPr>
                <w:rFonts w:hint="eastAsia" w:ascii="宋体" w:hAnsi="宋体" w:cs="宋体"/>
                <w:b/>
                <w:bCs/>
                <w:sz w:val="22"/>
                <w:szCs w:val="22"/>
              </w:rPr>
            </w:pPr>
            <w:r>
              <w:rPr>
                <w:rFonts w:hint="eastAsia" w:ascii="宋体" w:hAnsi="宋体" w:cs="宋体"/>
                <w:b/>
                <w:bCs/>
                <w:sz w:val="22"/>
                <w:szCs w:val="22"/>
                <w:lang w:bidi="ar"/>
              </w:rPr>
              <w:t>响应文件的上传和递交</w:t>
            </w:r>
          </w:p>
        </w:tc>
        <w:tc>
          <w:tcPr>
            <w:tcW w:w="7332" w:type="dxa"/>
            <w:tcBorders>
              <w:right w:val="double" w:color="auto" w:sz="4" w:space="0"/>
            </w:tcBorders>
            <w:noWrap w:val="0"/>
            <w:vAlign w:val="center"/>
          </w:tcPr>
          <w:p>
            <w:pPr>
              <w:spacing w:line="360" w:lineRule="auto"/>
              <w:rPr>
                <w:rFonts w:hint="eastAsia" w:ascii="宋体" w:hAnsi="宋体" w:cs="宋体"/>
                <w:sz w:val="22"/>
                <w:szCs w:val="22"/>
                <w:lang w:bidi="ar"/>
              </w:rPr>
            </w:pPr>
            <w:r>
              <w:rPr>
                <w:rFonts w:hint="eastAsia" w:ascii="宋体" w:hAnsi="宋体" w:cs="宋体"/>
                <w:sz w:val="22"/>
                <w:szCs w:val="22"/>
                <w:lang w:bidi="ar"/>
              </w:rPr>
              <w:t>（1）《电子加密响应文件》的上传、递交：</w:t>
            </w:r>
          </w:p>
          <w:p>
            <w:pPr>
              <w:spacing w:line="360" w:lineRule="auto"/>
              <w:rPr>
                <w:rFonts w:hint="eastAsia" w:ascii="宋体" w:hAnsi="宋体" w:cs="宋体"/>
                <w:sz w:val="22"/>
                <w:szCs w:val="22"/>
                <w:lang w:bidi="ar"/>
              </w:rPr>
            </w:pPr>
            <w:r>
              <w:rPr>
                <w:rFonts w:hint="eastAsia" w:ascii="宋体" w:hAnsi="宋体" w:cs="宋体"/>
                <w:sz w:val="22"/>
                <w:szCs w:val="22"/>
                <w:lang w:bidi="ar"/>
              </w:rPr>
              <w:t>a.投标供应商应在投标截止时间前将《电子加密响应文件》成功上传递交至“政采云平台”，否则投标无效。</w:t>
            </w:r>
          </w:p>
          <w:p>
            <w:pPr>
              <w:spacing w:line="360" w:lineRule="auto"/>
              <w:rPr>
                <w:rFonts w:hint="eastAsia" w:ascii="宋体" w:hAnsi="宋体" w:cs="宋体"/>
                <w:sz w:val="22"/>
                <w:szCs w:val="22"/>
                <w:lang w:bidi="ar"/>
              </w:rPr>
            </w:pPr>
            <w:r>
              <w:rPr>
                <w:rFonts w:hint="eastAsia" w:ascii="宋体" w:hAnsi="宋体" w:cs="宋体"/>
                <w:sz w:val="22"/>
                <w:szCs w:val="22"/>
                <w:lang w:bidi="ar"/>
              </w:rPr>
              <w:t>b.《电子加密响应文件》成功上传递交后，供应商可自行打印投标文件接收回执。</w:t>
            </w:r>
          </w:p>
          <w:p>
            <w:pPr>
              <w:spacing w:line="360" w:lineRule="auto"/>
              <w:rPr>
                <w:rFonts w:hint="eastAsia" w:ascii="宋体" w:hAnsi="宋体" w:cs="宋体"/>
                <w:sz w:val="22"/>
                <w:szCs w:val="22"/>
                <w:lang w:bidi="ar"/>
              </w:rPr>
            </w:pPr>
            <w:r>
              <w:rPr>
                <w:rFonts w:hint="eastAsia" w:ascii="宋体" w:hAnsi="宋体" w:cs="宋体"/>
                <w:sz w:val="22"/>
                <w:szCs w:val="22"/>
                <w:lang w:bidi="ar"/>
              </w:rPr>
              <w:t>（2）《备份响应文件》的密封包装、递交：</w:t>
            </w:r>
          </w:p>
          <w:p>
            <w:pPr>
              <w:spacing w:line="360" w:lineRule="auto"/>
              <w:rPr>
                <w:rFonts w:hint="eastAsia" w:ascii="宋体" w:hAnsi="宋体" w:cs="宋体"/>
                <w:sz w:val="22"/>
                <w:szCs w:val="22"/>
                <w:lang w:bidi="ar"/>
              </w:rPr>
            </w:pPr>
            <w:r>
              <w:rPr>
                <w:rFonts w:hint="eastAsia" w:ascii="宋体" w:hAnsi="宋体" w:cs="宋体"/>
                <w:sz w:val="22"/>
                <w:szCs w:val="22"/>
                <w:lang w:bidi="ar"/>
              </w:rPr>
              <w:t>a.投标供应商在“政采云平台”完成《电子加密响应文件》的上传递交后，还可以人工递交或（EMS邮寄形式）在投标截止时间前递交以U盘存储的 《备份响应文件》（一份）；</w:t>
            </w:r>
          </w:p>
          <w:p>
            <w:pPr>
              <w:spacing w:line="360" w:lineRule="auto"/>
              <w:rPr>
                <w:rFonts w:hint="eastAsia" w:ascii="宋体" w:hAnsi="宋体" w:cs="宋体"/>
                <w:sz w:val="22"/>
                <w:szCs w:val="22"/>
                <w:lang w:bidi="ar"/>
              </w:rPr>
            </w:pPr>
            <w:r>
              <w:rPr>
                <w:rFonts w:hint="eastAsia" w:ascii="宋体" w:hAnsi="宋体" w:cs="宋体"/>
                <w:sz w:val="22"/>
                <w:szCs w:val="22"/>
                <w:lang w:bidi="ar"/>
              </w:rPr>
              <w:t>b.《备份响应文件》应当密封包装，并在包装上标注投标项目名称、投标单位名称并加盖公章。没有密封包装或者逾期邮寄送达至指定地点的《备份响应文件》将不予接收；</w:t>
            </w:r>
          </w:p>
          <w:p>
            <w:pPr>
              <w:spacing w:line="360" w:lineRule="auto"/>
              <w:rPr>
                <w:rFonts w:hint="eastAsia" w:ascii="宋体" w:hAnsi="宋体" w:cs="宋体"/>
                <w:sz w:val="22"/>
                <w:szCs w:val="22"/>
                <w:lang w:bidi="ar"/>
              </w:rPr>
            </w:pPr>
            <w:r>
              <w:rPr>
                <w:rFonts w:hint="eastAsia" w:ascii="宋体" w:hAnsi="宋体" w:cs="宋体"/>
                <w:sz w:val="22"/>
                <w:szCs w:val="22"/>
                <w:lang w:bidi="ar"/>
              </w:rPr>
              <w:t>c.投标供应商可以不提供“备份投标文件”。未提供“备份投标文件”的投标供应商自行承担“电子加密投标文件”解密失败造成的投标无效的后果。</w:t>
            </w:r>
          </w:p>
          <w:p>
            <w:pPr>
              <w:spacing w:line="360" w:lineRule="auto"/>
              <w:rPr>
                <w:rFonts w:hint="eastAsia" w:ascii="宋体" w:hAnsi="宋体" w:cs="宋体"/>
                <w:sz w:val="22"/>
                <w:szCs w:val="22"/>
                <w:lang w:bidi="ar"/>
              </w:rPr>
            </w:pPr>
            <w:r>
              <w:rPr>
                <w:rFonts w:hint="eastAsia" w:ascii="宋体" w:hAnsi="宋体" w:cs="宋体"/>
                <w:sz w:val="22"/>
                <w:szCs w:val="22"/>
                <w:lang w:bidi="ar"/>
              </w:rPr>
              <w:t>d.通过“政采云平台”成功上传递交的《电子加密响应文件》已按时解密的，《备份响应文件》自动失效。投标截止时间前，投标供应商仅递交了《备份响应文件》而未将《电子加密响应文件》成功上传至“政采云平台”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6" w:type="dxa"/>
            <w:tcBorders>
              <w:left w:val="double" w:color="auto" w:sz="4" w:space="0"/>
            </w:tcBorders>
            <w:noWrap w:val="0"/>
            <w:vAlign w:val="center"/>
          </w:tcPr>
          <w:p>
            <w:pPr>
              <w:spacing w:line="360" w:lineRule="auto"/>
              <w:jc w:val="center"/>
              <w:rPr>
                <w:rFonts w:hint="eastAsia" w:ascii="宋体" w:hAnsi="宋体" w:cs="宋体"/>
                <w:b/>
                <w:bCs/>
                <w:sz w:val="22"/>
                <w:szCs w:val="22"/>
                <w:lang w:bidi="ar"/>
              </w:rPr>
            </w:pPr>
            <w:r>
              <w:rPr>
                <w:rFonts w:hint="eastAsia" w:ascii="宋体" w:hAnsi="宋体" w:cs="宋体"/>
                <w:b/>
                <w:bCs/>
                <w:sz w:val="22"/>
                <w:szCs w:val="22"/>
                <w:lang w:bidi="ar"/>
              </w:rPr>
              <w:t>电子加密投标文件的解密和异常情况处理</w:t>
            </w:r>
          </w:p>
          <w:p>
            <w:pPr>
              <w:snapToGrid w:val="0"/>
              <w:spacing w:line="360" w:lineRule="auto"/>
              <w:jc w:val="center"/>
              <w:rPr>
                <w:rFonts w:hint="eastAsia" w:ascii="宋体" w:hAnsi="宋体" w:cs="宋体"/>
                <w:b/>
                <w:bCs/>
                <w:sz w:val="22"/>
                <w:szCs w:val="22"/>
              </w:rPr>
            </w:pPr>
          </w:p>
        </w:tc>
        <w:tc>
          <w:tcPr>
            <w:tcW w:w="7332" w:type="dxa"/>
            <w:tcBorders>
              <w:right w:val="double" w:color="auto" w:sz="4" w:space="0"/>
            </w:tcBorders>
            <w:noWrap w:val="0"/>
            <w:vAlign w:val="center"/>
          </w:tcPr>
          <w:p>
            <w:pPr>
              <w:spacing w:line="360" w:lineRule="auto"/>
              <w:rPr>
                <w:rFonts w:hint="eastAsia" w:ascii="宋体" w:hAnsi="宋体" w:cs="宋体"/>
                <w:sz w:val="22"/>
                <w:szCs w:val="22"/>
                <w:lang w:bidi="ar"/>
              </w:rPr>
            </w:pPr>
            <w:r>
              <w:rPr>
                <w:rFonts w:hint="eastAsia" w:ascii="宋体" w:hAnsi="宋体" w:cs="宋体"/>
                <w:sz w:val="22"/>
                <w:szCs w:val="22"/>
                <w:lang w:bidi="ar"/>
              </w:rPr>
              <w:t>（1）开标后，采购组织机构将向各投标供应商发出《电子加密响应文件》的解密通知，各投标供应商代表应当在接到解密通知后按政采云规定时间内自行完成《电子加密响应文件》的在线解密。</w:t>
            </w:r>
          </w:p>
          <w:p>
            <w:pPr>
              <w:spacing w:line="360" w:lineRule="auto"/>
              <w:rPr>
                <w:rFonts w:hint="eastAsia" w:ascii="宋体" w:hAnsi="宋体" w:cs="宋体"/>
                <w:sz w:val="22"/>
                <w:szCs w:val="22"/>
                <w:lang w:bidi="ar"/>
              </w:rPr>
            </w:pPr>
            <w:r>
              <w:rPr>
                <w:rFonts w:hint="eastAsia" w:ascii="宋体" w:hAnsi="宋体" w:cs="宋体"/>
                <w:sz w:val="22"/>
                <w:szCs w:val="22"/>
                <w:lang w:bidi="ar"/>
              </w:rPr>
              <w:t>（2）通过“政采云平台”成功上传递交的《电子加密投标文件》无法按时解密，投标供应商如递交了《备份投标文件》的，以《备份投标文件》为依据（由采购组织机构按“政采云平台”操作规范将《备份投标文件》上传至《政采云平台》，上传成功后，《电子加密投标文件》自动失效），否则视为投标文件撤回，放弃投标。</w:t>
            </w:r>
          </w:p>
          <w:p>
            <w:pPr>
              <w:spacing w:line="360" w:lineRule="auto"/>
              <w:rPr>
                <w:rFonts w:hint="eastAsia" w:ascii="宋体" w:hAnsi="宋体" w:cs="宋体"/>
                <w:sz w:val="22"/>
                <w:szCs w:val="22"/>
                <w:lang w:bidi="ar"/>
              </w:rPr>
            </w:pPr>
            <w:r>
              <w:rPr>
                <w:rFonts w:hint="eastAsia" w:ascii="宋体" w:hAnsi="宋体" w:cs="宋体"/>
                <w:sz w:val="22"/>
                <w:szCs w:val="22"/>
                <w:lang w:bidi="ar"/>
              </w:rPr>
              <w:t>（3）投标截止时间前，投标供应商仅递交了“备份投标文件”而未将电子加密投标文件上传至“政采云平台”的，投标无效。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6" w:type="dxa"/>
            <w:tcBorders>
              <w:left w:val="double" w:color="auto" w:sz="4" w:space="0"/>
            </w:tcBorders>
            <w:noWrap w:val="0"/>
            <w:vAlign w:val="center"/>
          </w:tcPr>
          <w:p>
            <w:pPr>
              <w:spacing w:line="360" w:lineRule="auto"/>
              <w:jc w:val="center"/>
              <w:rPr>
                <w:rFonts w:hint="eastAsia" w:ascii="宋体" w:hAnsi="宋体" w:cs="宋体"/>
                <w:b/>
                <w:bCs/>
                <w:sz w:val="22"/>
                <w:szCs w:val="22"/>
                <w:lang w:bidi="ar"/>
              </w:rPr>
            </w:pPr>
            <w:r>
              <w:rPr>
                <w:rFonts w:hint="eastAsia" w:ascii="宋体" w:hAnsi="宋体" w:cs="宋体"/>
                <w:b/>
                <w:bCs/>
                <w:sz w:val="22"/>
                <w:szCs w:val="22"/>
                <w:lang w:bidi="ar"/>
              </w:rPr>
              <w:t>节能环保政策</w:t>
            </w:r>
          </w:p>
        </w:tc>
        <w:tc>
          <w:tcPr>
            <w:tcW w:w="7332" w:type="dxa"/>
            <w:tcBorders>
              <w:right w:val="double" w:color="auto" w:sz="4" w:space="0"/>
            </w:tcBorders>
            <w:noWrap w:val="0"/>
            <w:vAlign w:val="center"/>
          </w:tcPr>
          <w:p>
            <w:pPr>
              <w:spacing w:line="360" w:lineRule="auto"/>
              <w:rPr>
                <w:rFonts w:hint="eastAsia" w:ascii="宋体" w:hAnsi="宋体" w:cs="宋体"/>
                <w:sz w:val="22"/>
                <w:szCs w:val="22"/>
                <w:lang w:bidi="ar"/>
              </w:rPr>
            </w:pPr>
            <w:r>
              <w:rPr>
                <w:rFonts w:hint="eastAsia" w:ascii="宋体" w:hAnsi="宋体" w:cs="宋体"/>
                <w:sz w:val="22"/>
                <w:szCs w:val="22"/>
                <w:lang w:bidi="ar"/>
              </w:rPr>
              <w:t>（1）节能产品、环境标志产品的强制采购政策</w:t>
            </w:r>
          </w:p>
          <w:p>
            <w:pPr>
              <w:spacing w:line="360" w:lineRule="auto"/>
              <w:rPr>
                <w:rFonts w:hint="eastAsia" w:ascii="宋体" w:hAnsi="宋体" w:cs="宋体"/>
                <w:sz w:val="22"/>
                <w:szCs w:val="22"/>
                <w:lang w:bidi="ar"/>
              </w:rPr>
            </w:pPr>
            <w:r>
              <w:rPr>
                <w:rFonts w:hint="eastAsia" w:ascii="宋体" w:hAnsi="宋体" w:cs="宋体"/>
                <w:sz w:val="22"/>
                <w:szCs w:val="22"/>
                <w:lang w:bidi="ar"/>
              </w:rPr>
              <w:t>根据财政部、国家发展和改革委员会、生态环境部等部门公布的政府采购节能产品、环境标志产品品目清单的规定，依据品目清单和认证证书实施政府优先采购和强制采购。采购人拟采购的产品属于品目清单范围内的强制采购品目的，供应商提供的产品应具有国家确定的认证机构出具的、处于有效期之内的节能产品、环境标志产品认证证书，并在响应文件中提供该产品节能产品、环境标志产品认证证书，否则无效。（注：本项目执行最新政府采购节能产品、环境标志产品品目清单。）</w:t>
            </w:r>
          </w:p>
          <w:p>
            <w:pPr>
              <w:spacing w:line="360" w:lineRule="auto"/>
              <w:rPr>
                <w:rFonts w:hint="eastAsia" w:ascii="宋体" w:hAnsi="宋体" w:cs="宋体"/>
                <w:sz w:val="22"/>
                <w:szCs w:val="22"/>
                <w:lang w:bidi="ar"/>
              </w:rPr>
            </w:pPr>
            <w:r>
              <w:rPr>
                <w:rFonts w:hint="eastAsia" w:ascii="宋体" w:hAnsi="宋体" w:cs="宋体"/>
                <w:sz w:val="22"/>
                <w:szCs w:val="22"/>
                <w:lang w:bidi="ar"/>
              </w:rPr>
              <w:t>（2）节能产品、环境标志产品的优先采购政策</w:t>
            </w:r>
          </w:p>
          <w:p>
            <w:pPr>
              <w:spacing w:line="360" w:lineRule="auto"/>
              <w:rPr>
                <w:rFonts w:hint="eastAsia" w:ascii="宋体" w:hAnsi="宋体" w:cs="宋体"/>
                <w:sz w:val="22"/>
                <w:szCs w:val="22"/>
                <w:lang w:bidi="ar"/>
              </w:rPr>
            </w:pPr>
            <w:r>
              <w:rPr>
                <w:rFonts w:hint="eastAsia" w:ascii="宋体" w:hAnsi="宋体" w:cs="宋体"/>
                <w:sz w:val="22"/>
                <w:szCs w:val="22"/>
                <w:lang w:bidi="ar"/>
              </w:rPr>
              <w:t>根据财政部、国家发展和改革委员会、生态环境部等部门公布的政府采购节能产品、环境标志产品品目清单的规定、依据品目清单和认证证书实施政府优先采购和强制采购。采购人拟采购的产品属于品目清单范围内的优先采购品目的，供应商提供的产品应具有国家确定的认证机构出具的、处于有效期之内的节能产品、环境标志产品认证证书，并在响应文件中提供该产品节能产品、环境标志产品认证证书。</w:t>
            </w:r>
          </w:p>
          <w:p>
            <w:pPr>
              <w:spacing w:line="360" w:lineRule="auto"/>
              <w:rPr>
                <w:rFonts w:hint="eastAsia" w:ascii="宋体" w:hAnsi="宋体" w:cs="宋体"/>
                <w:sz w:val="22"/>
                <w:szCs w:val="22"/>
                <w:lang w:bidi="ar"/>
              </w:rPr>
            </w:pPr>
            <w:r>
              <w:rPr>
                <w:rFonts w:hint="eastAsia" w:ascii="宋体" w:hAnsi="宋体" w:cs="宋体"/>
                <w:sz w:val="22"/>
                <w:szCs w:val="22"/>
                <w:lang w:bidi="ar"/>
              </w:rPr>
              <w:t>（注：本项目执行最新政府采购节能产品、环境标志产品品目清单。）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6" w:type="dxa"/>
            <w:tcBorders>
              <w:left w:val="double" w:color="auto" w:sz="4" w:space="0"/>
            </w:tcBorders>
            <w:noWrap w:val="0"/>
            <w:vAlign w:val="center"/>
          </w:tcPr>
          <w:p>
            <w:pPr>
              <w:spacing w:line="360" w:lineRule="auto"/>
              <w:jc w:val="center"/>
              <w:rPr>
                <w:rFonts w:hint="eastAsia" w:ascii="宋体" w:hAnsi="宋体" w:cs="宋体"/>
                <w:b/>
                <w:bCs/>
                <w:sz w:val="22"/>
                <w:szCs w:val="22"/>
              </w:rPr>
            </w:pPr>
            <w:r>
              <w:rPr>
                <w:rFonts w:hint="eastAsia" w:ascii="宋体" w:hAnsi="宋体" w:cs="宋体"/>
                <w:b/>
                <w:bCs/>
                <w:sz w:val="22"/>
                <w:szCs w:val="22"/>
              </w:rPr>
              <w:t>质疑时间及事项</w:t>
            </w:r>
          </w:p>
        </w:tc>
        <w:tc>
          <w:tcPr>
            <w:tcW w:w="7332" w:type="dxa"/>
            <w:tcBorders>
              <w:right w:val="double" w:color="auto" w:sz="4" w:space="0"/>
            </w:tcBorders>
            <w:noWrap w:val="0"/>
            <w:vAlign w:val="center"/>
          </w:tcPr>
          <w:p>
            <w:pPr>
              <w:spacing w:line="360" w:lineRule="auto"/>
              <w:rPr>
                <w:rFonts w:hint="eastAsia" w:ascii="宋体" w:hAnsi="宋体" w:cs="宋体"/>
                <w:sz w:val="22"/>
                <w:szCs w:val="22"/>
              </w:rPr>
            </w:pPr>
            <w:r>
              <w:rPr>
                <w:rFonts w:hint="eastAsia" w:ascii="宋体" w:hAnsi="宋体" w:cs="宋体"/>
                <w:sz w:val="22"/>
                <w:szCs w:val="22"/>
              </w:rPr>
              <w:t>在采购公告质疑时间前一次性提出所有询问和质疑事项并以书面形式壹式贰份原件送达至代理机构，非法定代表人办理，需授权代理人全权负责，提交《法定代表人授权委托书原件》附后，《质疑函》范本请到“浙江政府采购网-下载专区-疑投诉模板”下载编制。逾期不递交的，视为放弃上述权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6" w:type="dxa"/>
            <w:tcBorders>
              <w:left w:val="double" w:color="auto" w:sz="4" w:space="0"/>
              <w:bottom w:val="single" w:color="auto" w:sz="4" w:space="0"/>
            </w:tcBorders>
            <w:noWrap w:val="0"/>
            <w:vAlign w:val="center"/>
          </w:tcPr>
          <w:p>
            <w:pPr>
              <w:spacing w:line="360" w:lineRule="auto"/>
              <w:jc w:val="center"/>
              <w:rPr>
                <w:rFonts w:hint="eastAsia" w:ascii="宋体" w:hAnsi="宋体" w:cs="宋体"/>
                <w:b/>
                <w:bCs/>
                <w:sz w:val="22"/>
                <w:szCs w:val="22"/>
              </w:rPr>
            </w:pPr>
            <w:r>
              <w:rPr>
                <w:rFonts w:hint="eastAsia" w:ascii="宋体" w:hAnsi="宋体" w:cs="宋体"/>
                <w:b/>
                <w:bCs/>
                <w:sz w:val="22"/>
                <w:szCs w:val="22"/>
              </w:rPr>
              <w:t>信用记录</w:t>
            </w:r>
          </w:p>
        </w:tc>
        <w:tc>
          <w:tcPr>
            <w:tcW w:w="7332" w:type="dxa"/>
            <w:tcBorders>
              <w:bottom w:val="single" w:color="auto" w:sz="4" w:space="0"/>
              <w:right w:val="double" w:color="auto" w:sz="4" w:space="0"/>
            </w:tcBorders>
            <w:noWrap w:val="0"/>
            <w:vAlign w:val="center"/>
          </w:tcPr>
          <w:p>
            <w:pPr>
              <w:spacing w:line="360" w:lineRule="auto"/>
              <w:rPr>
                <w:rFonts w:hint="eastAsia" w:ascii="宋体" w:hAnsi="宋体" w:cs="宋体"/>
                <w:sz w:val="22"/>
                <w:szCs w:val="22"/>
              </w:rPr>
            </w:pPr>
            <w:r>
              <w:rPr>
                <w:rFonts w:hint="eastAsia" w:ascii="宋体" w:hAnsi="宋体" w:cs="宋体"/>
                <w:sz w:val="22"/>
                <w:szCs w:val="22"/>
              </w:rPr>
              <w:t>根据《财政部关于在政府采购活动中查询及使用信用记录的通知》（财库〔2016〕125号）相关规定，采购组织机构将统一通过“信用中国”网站（www.creditchina.gov.cn）、中国政府采购网（www.ccgp.gov.cn）等渠道查询供应商信用记录，对供应商信用记录进行甄别。凡是列入失信被执行人、重大税收违法案件当事人名单、政府采购严重违法失信行为记录名单及其他不符合《中华人民共和国政府采购法》第二十二条规定条件的供应商，一律拒绝其参加本次政府采购活动。相关处理办法如下：</w:t>
            </w:r>
          </w:p>
          <w:p>
            <w:pPr>
              <w:spacing w:line="360" w:lineRule="auto"/>
              <w:rPr>
                <w:rFonts w:hint="eastAsia" w:ascii="宋体" w:hAnsi="宋体" w:cs="宋体"/>
                <w:sz w:val="22"/>
                <w:szCs w:val="22"/>
              </w:rPr>
            </w:pPr>
            <w:r>
              <w:rPr>
                <w:rFonts w:hint="eastAsia" w:ascii="宋体" w:hAnsi="宋体" w:cs="宋体"/>
                <w:sz w:val="22"/>
                <w:szCs w:val="22"/>
              </w:rPr>
              <w:t>（1）投标截止时间前发现供应商存在上述“被拒绝情形”的，拒绝其报名登记。</w:t>
            </w:r>
          </w:p>
          <w:p>
            <w:pPr>
              <w:spacing w:line="360" w:lineRule="auto"/>
              <w:rPr>
                <w:rFonts w:hint="eastAsia" w:ascii="宋体" w:hAnsi="宋体" w:cs="宋体"/>
                <w:sz w:val="22"/>
                <w:szCs w:val="22"/>
              </w:rPr>
            </w:pPr>
            <w:r>
              <w:rPr>
                <w:rFonts w:hint="eastAsia" w:ascii="宋体" w:hAnsi="宋体" w:cs="宋体"/>
                <w:sz w:val="22"/>
                <w:szCs w:val="22"/>
              </w:rPr>
              <w:t>（2）投标截止时间后、采购结果公告前发现供应商存在上述“被拒绝情形”的，对其递交的投标文件（响应文件）作无效标处理。</w:t>
            </w:r>
          </w:p>
          <w:p>
            <w:pPr>
              <w:spacing w:line="360" w:lineRule="auto"/>
              <w:rPr>
                <w:rFonts w:hint="eastAsia" w:ascii="宋体" w:hAnsi="宋体" w:cs="宋体"/>
                <w:sz w:val="22"/>
                <w:szCs w:val="22"/>
              </w:rPr>
            </w:pPr>
            <w:r>
              <w:rPr>
                <w:rFonts w:hint="eastAsia" w:ascii="宋体" w:hAnsi="宋体" w:cs="宋体"/>
                <w:sz w:val="22"/>
                <w:szCs w:val="22"/>
              </w:rPr>
              <w:t>（3）采购结果公告后（合同签订前）发现中标单位存在上述“被拒绝情形”的，取消其中标资格。</w:t>
            </w:r>
          </w:p>
          <w:p>
            <w:pPr>
              <w:spacing w:line="360" w:lineRule="auto"/>
              <w:rPr>
                <w:rFonts w:hint="eastAsia" w:ascii="宋体" w:hAnsi="宋体" w:cs="宋体"/>
                <w:sz w:val="22"/>
                <w:szCs w:val="22"/>
              </w:rPr>
            </w:pPr>
            <w:r>
              <w:rPr>
                <w:rFonts w:hint="eastAsia" w:ascii="宋体" w:hAnsi="宋体" w:cs="宋体"/>
                <w:sz w:val="22"/>
                <w:szCs w:val="22"/>
              </w:rPr>
              <w:t>（4）“被拒绝情形”是指列入失信被执行人、重大税收违法案件当事人名单、政府采购严重违法失信行为记录名单及其他不符合《中华人民共和国政府采购法》第二十二条规定条件的情形。</w:t>
            </w:r>
          </w:p>
          <w:p>
            <w:pPr>
              <w:spacing w:line="360" w:lineRule="auto"/>
              <w:rPr>
                <w:rFonts w:hint="eastAsia" w:ascii="宋体" w:hAnsi="宋体" w:cs="宋体"/>
                <w:sz w:val="22"/>
                <w:szCs w:val="22"/>
              </w:rPr>
            </w:pPr>
            <w:r>
              <w:rPr>
                <w:rFonts w:hint="eastAsia" w:ascii="宋体" w:hAnsi="宋体" w:cs="宋体"/>
                <w:sz w:val="22"/>
                <w:szCs w:val="22"/>
              </w:rPr>
              <w:t>（5）查询工作由采购组织机构（采购人或采购代理机构）统一进行，并以统一记录的形式留存备案。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6" w:type="dxa"/>
            <w:tcBorders>
              <w:left w:val="double" w:color="auto" w:sz="4" w:space="0"/>
              <w:bottom w:val="single" w:color="auto" w:sz="4" w:space="0"/>
            </w:tcBorders>
            <w:noWrap w:val="0"/>
            <w:vAlign w:val="center"/>
          </w:tcPr>
          <w:p>
            <w:pPr>
              <w:spacing w:line="360" w:lineRule="auto"/>
              <w:jc w:val="center"/>
              <w:rPr>
                <w:rFonts w:hint="eastAsia" w:ascii="宋体" w:hAnsi="宋体" w:cs="宋体"/>
                <w:b/>
                <w:bCs/>
                <w:sz w:val="22"/>
                <w:szCs w:val="22"/>
              </w:rPr>
            </w:pPr>
            <w:r>
              <w:rPr>
                <w:rFonts w:hint="eastAsia" w:ascii="宋体" w:hAnsi="宋体" w:cs="宋体"/>
                <w:b/>
                <w:bCs/>
                <w:sz w:val="22"/>
                <w:szCs w:val="22"/>
              </w:rPr>
              <w:t>合同履约管理</w:t>
            </w:r>
          </w:p>
        </w:tc>
        <w:tc>
          <w:tcPr>
            <w:tcW w:w="7332" w:type="dxa"/>
            <w:tcBorders>
              <w:bottom w:val="single" w:color="auto" w:sz="4" w:space="0"/>
              <w:right w:val="double" w:color="auto" w:sz="4" w:space="0"/>
            </w:tcBorders>
            <w:noWrap w:val="0"/>
            <w:vAlign w:val="center"/>
          </w:tcPr>
          <w:p>
            <w:pPr>
              <w:spacing w:line="360" w:lineRule="auto"/>
              <w:rPr>
                <w:rFonts w:hint="eastAsia" w:ascii="宋体" w:hAnsi="宋体" w:cs="宋体"/>
                <w:sz w:val="22"/>
                <w:szCs w:val="22"/>
              </w:rPr>
            </w:pPr>
            <w:r>
              <w:rPr>
                <w:rFonts w:hint="eastAsia" w:ascii="宋体" w:hAnsi="宋体" w:cs="宋体"/>
                <w:sz w:val="22"/>
                <w:szCs w:val="22"/>
              </w:rPr>
              <w:t>合同签订后，采购人依法加强对合同履约进行管理，并在中标单位供货、项目验收等重要关节，如实填写《合同验收报告》（表附合同条款中），并及时向同级财政部门报告验收过程中遇到的问题。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06" w:type="dxa"/>
            <w:tcBorders>
              <w:left w:val="double" w:color="auto" w:sz="4" w:space="0"/>
              <w:bottom w:val="double" w:color="auto" w:sz="4" w:space="0"/>
            </w:tcBorders>
            <w:noWrap w:val="0"/>
            <w:vAlign w:val="center"/>
          </w:tcPr>
          <w:p>
            <w:pPr>
              <w:pStyle w:val="19"/>
              <w:spacing w:before="0" w:line="360" w:lineRule="auto"/>
              <w:jc w:val="center"/>
              <w:rPr>
                <w:rFonts w:hint="eastAsia" w:ascii="宋体" w:hAnsi="宋体" w:cs="宋体"/>
                <w:b/>
                <w:bCs/>
                <w:sz w:val="22"/>
                <w:szCs w:val="22"/>
              </w:rPr>
            </w:pPr>
            <w:r>
              <w:rPr>
                <w:rFonts w:hint="eastAsia" w:ascii="宋体" w:hAnsi="宋体" w:cs="宋体"/>
                <w:b/>
                <w:bCs/>
                <w:sz w:val="22"/>
                <w:szCs w:val="22"/>
              </w:rPr>
              <w:t>备注</w:t>
            </w:r>
          </w:p>
        </w:tc>
        <w:tc>
          <w:tcPr>
            <w:tcW w:w="7332" w:type="dxa"/>
            <w:tcBorders>
              <w:bottom w:val="double" w:color="auto" w:sz="4" w:space="0"/>
              <w:right w:val="double" w:color="auto" w:sz="4" w:space="0"/>
            </w:tcBorders>
            <w:noWrap w:val="0"/>
            <w:vAlign w:val="center"/>
          </w:tcPr>
          <w:p>
            <w:pPr>
              <w:numPr>
                <w:ilvl w:val="0"/>
                <w:numId w:val="3"/>
              </w:numPr>
              <w:adjustRightInd w:val="0"/>
              <w:snapToGrid w:val="0"/>
              <w:spacing w:line="360" w:lineRule="auto"/>
              <w:rPr>
                <w:rFonts w:hint="eastAsia" w:ascii="宋体" w:hAnsi="宋体" w:cs="宋体"/>
                <w:sz w:val="22"/>
                <w:szCs w:val="22"/>
              </w:rPr>
            </w:pPr>
            <w:r>
              <w:rPr>
                <w:rFonts w:hint="eastAsia" w:ascii="宋体" w:hAnsi="宋体" w:cs="宋体"/>
                <w:sz w:val="22"/>
                <w:szCs w:val="22"/>
              </w:rPr>
              <w:t>如发现招标文件及其评审办法中存在含糊不清、相互矛盾、多种含义以及歧视性不公正条款或违法违规等内容时，请在规定的质疑截止时间前向采购机构或采购人书面提交《询问函》或《质疑函》反映，逾期不得再对招标文件的条款提出质疑。</w:t>
            </w:r>
          </w:p>
          <w:p>
            <w:pPr>
              <w:numPr>
                <w:ilvl w:val="0"/>
                <w:numId w:val="3"/>
              </w:numPr>
              <w:adjustRightInd w:val="0"/>
              <w:snapToGrid w:val="0"/>
              <w:spacing w:line="360" w:lineRule="auto"/>
              <w:rPr>
                <w:rFonts w:hint="eastAsia" w:ascii="宋体" w:hAnsi="宋体" w:cs="宋体"/>
                <w:sz w:val="22"/>
                <w:szCs w:val="22"/>
              </w:rPr>
            </w:pPr>
            <w:r>
              <w:rPr>
                <w:rFonts w:hint="eastAsia" w:ascii="宋体" w:hAnsi="宋体" w:cs="宋体"/>
                <w:sz w:val="22"/>
                <w:szCs w:val="22"/>
              </w:rPr>
              <w:t>在线投标时如遇平台操作/技术问题详询政采云客服400-881-7190。</w:t>
            </w:r>
          </w:p>
          <w:p>
            <w:pPr>
              <w:numPr>
                <w:ilvl w:val="0"/>
                <w:numId w:val="3"/>
              </w:numPr>
              <w:adjustRightInd w:val="0"/>
              <w:snapToGrid w:val="0"/>
              <w:spacing w:line="360" w:lineRule="auto"/>
              <w:rPr>
                <w:rFonts w:hint="eastAsia" w:ascii="宋体" w:hAnsi="宋体" w:cs="宋体"/>
                <w:sz w:val="22"/>
                <w:szCs w:val="22"/>
              </w:rPr>
            </w:pPr>
            <w:r>
              <w:rPr>
                <w:rFonts w:hint="eastAsia" w:ascii="宋体" w:hAnsi="宋体" w:cs="宋体"/>
                <w:sz w:val="22"/>
                <w:szCs w:val="22"/>
              </w:rPr>
              <w:t>投标截止时间后，供应商登录政采云平台，用“项目采购-开标评标”功能对电子投标文件进行在线解密。在线解密电子投标文件时间为开标时间起规定时间内，否则视为放弃投标。</w:t>
            </w:r>
          </w:p>
          <w:p>
            <w:pPr>
              <w:numPr>
                <w:ilvl w:val="0"/>
                <w:numId w:val="3"/>
              </w:numPr>
              <w:adjustRightInd w:val="0"/>
              <w:snapToGrid w:val="0"/>
              <w:spacing w:line="360" w:lineRule="auto"/>
              <w:rPr>
                <w:rFonts w:hint="eastAsia" w:ascii="宋体" w:hAnsi="宋体" w:cs="宋体"/>
                <w:sz w:val="22"/>
                <w:szCs w:val="22"/>
              </w:rPr>
            </w:pPr>
            <w:r>
              <w:rPr>
                <w:rFonts w:hint="eastAsia" w:ascii="宋体" w:hAnsi="宋体" w:cs="宋体"/>
                <w:sz w:val="22"/>
                <w:szCs w:val="22"/>
              </w:rPr>
              <w:t>所有开标流程，均在线上完成，请各供应商务必不要离开电脑太久，并留意手机短信。（请提前检查“政采云”内，关于“项目采购”的岗位权限是否已勾选上。如有问题，请致电400-8817190）</w:t>
            </w:r>
          </w:p>
          <w:p>
            <w:pPr>
              <w:numPr>
                <w:ilvl w:val="0"/>
                <w:numId w:val="3"/>
              </w:numPr>
              <w:adjustRightInd w:val="0"/>
              <w:snapToGrid w:val="0"/>
              <w:spacing w:line="360" w:lineRule="auto"/>
              <w:rPr>
                <w:rFonts w:hint="eastAsia" w:ascii="宋体" w:hAnsi="宋体" w:cs="宋体"/>
                <w:sz w:val="22"/>
                <w:szCs w:val="22"/>
              </w:rPr>
            </w:pPr>
            <w:r>
              <w:rPr>
                <w:rFonts w:hint="eastAsia" w:ascii="宋体" w:hAnsi="宋体" w:cs="宋体"/>
                <w:sz w:val="22"/>
                <w:szCs w:val="22"/>
              </w:rPr>
              <w:t>供应商无须到开标现场，只需自备电脑在规定时间前进行在线解密文件即可。</w:t>
            </w:r>
          </w:p>
          <w:p>
            <w:pPr>
              <w:numPr>
                <w:ilvl w:val="0"/>
                <w:numId w:val="3"/>
              </w:numPr>
              <w:adjustRightInd w:val="0"/>
              <w:snapToGrid w:val="0"/>
              <w:spacing w:line="360" w:lineRule="auto"/>
              <w:rPr>
                <w:rFonts w:hint="eastAsia" w:ascii="宋体" w:hAnsi="宋体" w:cs="宋体"/>
                <w:sz w:val="22"/>
                <w:szCs w:val="22"/>
              </w:rPr>
            </w:pPr>
            <w:r>
              <w:rPr>
                <w:rFonts w:hint="eastAsia" w:ascii="宋体" w:hAnsi="宋体" w:cs="宋体"/>
                <w:sz w:val="22"/>
                <w:szCs w:val="22"/>
              </w:rPr>
              <w:t>本招标文件的解释权归采购代理机构与采购人所有。</w:t>
            </w:r>
          </w:p>
          <w:p>
            <w:pPr>
              <w:numPr>
                <w:ilvl w:val="0"/>
                <w:numId w:val="3"/>
              </w:numPr>
              <w:adjustRightInd w:val="0"/>
              <w:snapToGrid w:val="0"/>
              <w:spacing w:line="360" w:lineRule="auto"/>
              <w:rPr>
                <w:rFonts w:hint="eastAsia" w:ascii="宋体" w:hAnsi="宋体" w:cs="宋体"/>
                <w:sz w:val="22"/>
                <w:szCs w:val="22"/>
              </w:rPr>
            </w:pPr>
            <w:r>
              <w:rPr>
                <w:rFonts w:hint="eastAsia" w:ascii="宋体" w:hAnsi="宋体" w:cs="宋体"/>
                <w:sz w:val="22"/>
                <w:szCs w:val="22"/>
              </w:rPr>
              <w:t>如遇“政采云平台”电子化开标或评审程序调整的，按调整后程序执行。</w:t>
            </w:r>
          </w:p>
          <w:p>
            <w:pPr>
              <w:numPr>
                <w:ilvl w:val="0"/>
                <w:numId w:val="3"/>
              </w:numPr>
              <w:adjustRightInd w:val="0"/>
              <w:snapToGrid w:val="0"/>
              <w:spacing w:line="360" w:lineRule="auto"/>
              <w:rPr>
                <w:rFonts w:hint="eastAsia" w:ascii="宋体" w:hAnsi="宋体" w:cs="宋体"/>
                <w:sz w:val="22"/>
                <w:szCs w:val="22"/>
              </w:rPr>
            </w:pPr>
            <w:r>
              <w:rPr>
                <w:rFonts w:hint="eastAsia" w:ascii="宋体" w:hAnsi="宋体" w:cs="宋体"/>
                <w:sz w:val="22"/>
                <w:szCs w:val="22"/>
              </w:rPr>
              <w:t>联合体投标的须提供联合体协议，联合体格式自拟。联合体主体须明确，联合体所有单位均须提供营业执照，其他签字盖章及电子标政采云账号等只需联合体主体即可。</w:t>
            </w:r>
          </w:p>
        </w:tc>
      </w:tr>
    </w:tbl>
    <w:p>
      <w:pPr>
        <w:autoSpaceDE w:val="0"/>
        <w:autoSpaceDN w:val="0"/>
        <w:snapToGrid w:val="0"/>
        <w:jc w:val="center"/>
        <w:textAlignment w:val="bottom"/>
        <w:rPr>
          <w:rFonts w:hint="eastAsia" w:ascii="宋体" w:hAnsi="宋体" w:cs="宋体"/>
          <w:b/>
          <w:sz w:val="22"/>
          <w:szCs w:val="22"/>
        </w:rPr>
      </w:pPr>
      <w:r>
        <w:rPr>
          <w:rFonts w:hint="eastAsia" w:ascii="宋体" w:hAnsi="宋体" w:cs="宋体"/>
          <w:b/>
          <w:sz w:val="22"/>
          <w:szCs w:val="22"/>
        </w:rPr>
        <w:br w:type="page"/>
      </w:r>
    </w:p>
    <w:p>
      <w:pPr>
        <w:autoSpaceDE w:val="0"/>
        <w:autoSpaceDN w:val="0"/>
        <w:snapToGrid w:val="0"/>
        <w:spacing w:line="440" w:lineRule="atLeast"/>
        <w:jc w:val="center"/>
        <w:textAlignment w:val="bottom"/>
        <w:rPr>
          <w:rFonts w:hint="eastAsia" w:ascii="宋体" w:hAnsi="宋体" w:cs="宋体"/>
          <w:b/>
          <w:bCs/>
          <w:kern w:val="44"/>
          <w:sz w:val="36"/>
          <w:szCs w:val="36"/>
        </w:rPr>
      </w:pPr>
      <w:r>
        <w:rPr>
          <w:rFonts w:hint="eastAsia" w:ascii="宋体" w:hAnsi="宋体" w:cs="宋体"/>
          <w:b/>
          <w:bCs/>
          <w:kern w:val="44"/>
          <w:sz w:val="36"/>
          <w:szCs w:val="36"/>
        </w:rPr>
        <w:t>采购文件总目录</w:t>
      </w:r>
    </w:p>
    <w:p>
      <w:pPr>
        <w:pStyle w:val="32"/>
        <w:tabs>
          <w:tab w:val="right" w:leader="dot" w:pos="9040"/>
        </w:tabs>
        <w:rPr>
          <w:rFonts w:hint="eastAsia" w:ascii="宋体" w:hAnsi="宋体" w:cs="宋体"/>
          <w:sz w:val="24"/>
          <w:szCs w:val="24"/>
        </w:rPr>
      </w:pPr>
      <w:r>
        <w:rPr>
          <w:rFonts w:hint="eastAsia" w:ascii="宋体" w:hAnsi="宋体" w:cs="宋体"/>
          <w:sz w:val="24"/>
          <w:szCs w:val="24"/>
          <w:u w:val="thick"/>
        </w:rPr>
        <w:fldChar w:fldCharType="begin"/>
      </w:r>
      <w:r>
        <w:rPr>
          <w:rFonts w:hint="eastAsia" w:ascii="宋体" w:hAnsi="宋体" w:cs="宋体"/>
          <w:sz w:val="24"/>
          <w:szCs w:val="24"/>
          <w:u w:val="thick"/>
        </w:rPr>
        <w:instrText xml:space="preserve">TOC \o "1-3" \h \u </w:instrText>
      </w:r>
      <w:r>
        <w:rPr>
          <w:rFonts w:hint="eastAsia" w:ascii="宋体" w:hAnsi="宋体" w:cs="宋体"/>
          <w:sz w:val="24"/>
          <w:szCs w:val="24"/>
          <w:u w:val="thick"/>
        </w:rPr>
        <w:fldChar w:fldCharType="separate"/>
      </w:r>
      <w:r>
        <w:rPr>
          <w:rFonts w:hint="eastAsia" w:ascii="宋体" w:hAnsi="宋体" w:cs="宋体"/>
          <w:sz w:val="24"/>
          <w:szCs w:val="24"/>
          <w:u w:val="thick"/>
        </w:rPr>
        <w:fldChar w:fldCharType="begin"/>
      </w:r>
      <w:r>
        <w:rPr>
          <w:rFonts w:hint="eastAsia" w:ascii="宋体" w:hAnsi="宋体" w:cs="宋体"/>
          <w:sz w:val="24"/>
          <w:szCs w:val="24"/>
        </w:rPr>
        <w:instrText xml:space="preserve"> HYPERLINK \l _Toc542 </w:instrText>
      </w:r>
      <w:r>
        <w:rPr>
          <w:rFonts w:hint="eastAsia" w:ascii="宋体" w:hAnsi="宋体" w:cs="宋体"/>
          <w:sz w:val="24"/>
          <w:szCs w:val="24"/>
        </w:rPr>
        <w:fldChar w:fldCharType="separate"/>
      </w:r>
      <w:r>
        <w:rPr>
          <w:rFonts w:hint="eastAsia" w:ascii="宋体" w:hAnsi="宋体" w:cs="宋体"/>
          <w:sz w:val="24"/>
          <w:szCs w:val="24"/>
        </w:rPr>
        <w:t>招标公告</w:t>
      </w:r>
      <w:r>
        <w:rPr>
          <w:rFonts w:hint="eastAsia" w:ascii="宋体" w:hAnsi="宋体" w:cs="宋体"/>
          <w:sz w:val="24"/>
          <w:szCs w:val="24"/>
        </w:rPr>
        <w:tab/>
      </w:r>
      <w:r>
        <w:rPr>
          <w:rFonts w:hint="eastAsia" w:ascii="宋体" w:hAnsi="宋体" w:cs="宋体"/>
          <w:sz w:val="24"/>
          <w:szCs w:val="24"/>
          <w:u w:val="thick"/>
        </w:rPr>
        <w:fldChar w:fldCharType="end"/>
      </w:r>
    </w:p>
    <w:p>
      <w:pPr>
        <w:pStyle w:val="32"/>
        <w:tabs>
          <w:tab w:val="right" w:leader="dot" w:pos="9040"/>
        </w:tabs>
        <w:rPr>
          <w:rFonts w:hint="eastAsia" w:ascii="宋体" w:hAnsi="宋体" w:cs="宋体"/>
          <w:sz w:val="24"/>
          <w:szCs w:val="24"/>
        </w:rPr>
      </w:pPr>
      <w:r>
        <w:rPr>
          <w:rFonts w:hint="eastAsia" w:ascii="宋体" w:hAnsi="宋体" w:cs="宋体"/>
          <w:sz w:val="24"/>
          <w:szCs w:val="24"/>
          <w:u w:val="thick"/>
        </w:rPr>
        <w:fldChar w:fldCharType="begin"/>
      </w:r>
      <w:r>
        <w:rPr>
          <w:rFonts w:hint="eastAsia" w:ascii="宋体" w:hAnsi="宋体" w:cs="宋体"/>
          <w:sz w:val="24"/>
          <w:szCs w:val="24"/>
        </w:rPr>
        <w:instrText xml:space="preserve"> HYPERLINK \l _Toc1499 </w:instrText>
      </w:r>
      <w:r>
        <w:rPr>
          <w:rFonts w:hint="eastAsia" w:ascii="宋体" w:hAnsi="宋体" w:cs="宋体"/>
          <w:sz w:val="24"/>
          <w:szCs w:val="24"/>
        </w:rPr>
        <w:fldChar w:fldCharType="separate"/>
      </w:r>
      <w:r>
        <w:rPr>
          <w:rFonts w:hint="eastAsia" w:ascii="宋体" w:hAnsi="宋体" w:cs="宋体"/>
          <w:sz w:val="24"/>
          <w:szCs w:val="24"/>
        </w:rPr>
        <w:t>投 标 通 知 (邀 请) 书</w:t>
      </w:r>
      <w:r>
        <w:rPr>
          <w:rFonts w:hint="eastAsia" w:ascii="宋体" w:hAnsi="宋体" w:cs="宋体"/>
          <w:sz w:val="24"/>
          <w:szCs w:val="24"/>
        </w:rPr>
        <w:tab/>
      </w:r>
      <w:r>
        <w:rPr>
          <w:rFonts w:hint="eastAsia" w:ascii="宋体" w:hAnsi="宋体" w:cs="宋体"/>
          <w:sz w:val="24"/>
          <w:szCs w:val="24"/>
          <w:u w:val="thick"/>
        </w:rPr>
        <w:fldChar w:fldCharType="end"/>
      </w:r>
    </w:p>
    <w:p>
      <w:pPr>
        <w:pStyle w:val="32"/>
        <w:tabs>
          <w:tab w:val="right" w:leader="dot" w:pos="9040"/>
        </w:tabs>
        <w:rPr>
          <w:rFonts w:hint="eastAsia" w:ascii="宋体" w:hAnsi="宋体" w:cs="宋体"/>
          <w:sz w:val="24"/>
          <w:szCs w:val="24"/>
        </w:rPr>
      </w:pPr>
      <w:r>
        <w:rPr>
          <w:rFonts w:hint="eastAsia" w:ascii="宋体" w:hAnsi="宋体" w:cs="宋体"/>
          <w:sz w:val="24"/>
          <w:szCs w:val="24"/>
          <w:u w:val="thick"/>
        </w:rPr>
        <w:fldChar w:fldCharType="begin"/>
      </w:r>
      <w:r>
        <w:rPr>
          <w:rFonts w:hint="eastAsia" w:ascii="宋体" w:hAnsi="宋体" w:cs="宋体"/>
          <w:sz w:val="24"/>
          <w:szCs w:val="24"/>
        </w:rPr>
        <w:instrText xml:space="preserve"> HYPERLINK \l _Toc9139 </w:instrText>
      </w:r>
      <w:r>
        <w:rPr>
          <w:rFonts w:hint="eastAsia" w:ascii="宋体" w:hAnsi="宋体" w:cs="宋体"/>
          <w:sz w:val="24"/>
          <w:szCs w:val="24"/>
        </w:rPr>
        <w:fldChar w:fldCharType="separate"/>
      </w:r>
      <w:r>
        <w:rPr>
          <w:rFonts w:hint="eastAsia" w:ascii="宋体" w:hAnsi="宋体" w:cs="宋体"/>
          <w:sz w:val="24"/>
          <w:szCs w:val="24"/>
        </w:rPr>
        <w:t>第一部份   项目简介</w:t>
      </w:r>
      <w:r>
        <w:rPr>
          <w:rFonts w:hint="eastAsia" w:ascii="宋体" w:hAnsi="宋体" w:cs="宋体"/>
          <w:sz w:val="24"/>
          <w:szCs w:val="24"/>
        </w:rPr>
        <w:tab/>
      </w:r>
      <w:r>
        <w:rPr>
          <w:rFonts w:hint="eastAsia" w:ascii="宋体" w:hAnsi="宋体" w:cs="宋体"/>
          <w:sz w:val="24"/>
          <w:szCs w:val="24"/>
          <w:u w:val="thick"/>
        </w:rPr>
        <w:fldChar w:fldCharType="end"/>
      </w:r>
    </w:p>
    <w:p>
      <w:pPr>
        <w:pStyle w:val="32"/>
        <w:tabs>
          <w:tab w:val="right" w:leader="dot" w:pos="9040"/>
        </w:tabs>
        <w:rPr>
          <w:rFonts w:hint="eastAsia" w:ascii="宋体" w:hAnsi="宋体" w:cs="宋体"/>
          <w:sz w:val="24"/>
          <w:szCs w:val="24"/>
        </w:rPr>
      </w:pPr>
      <w:r>
        <w:rPr>
          <w:rFonts w:hint="eastAsia" w:ascii="宋体" w:hAnsi="宋体" w:cs="宋体"/>
          <w:sz w:val="24"/>
          <w:szCs w:val="24"/>
          <w:u w:val="thick"/>
        </w:rPr>
        <w:fldChar w:fldCharType="begin"/>
      </w:r>
      <w:r>
        <w:rPr>
          <w:rFonts w:hint="eastAsia" w:ascii="宋体" w:hAnsi="宋体" w:cs="宋体"/>
          <w:sz w:val="24"/>
          <w:szCs w:val="24"/>
        </w:rPr>
        <w:instrText xml:space="preserve"> HYPERLINK \l _Toc19884 </w:instrText>
      </w:r>
      <w:r>
        <w:rPr>
          <w:rFonts w:hint="eastAsia" w:ascii="宋体" w:hAnsi="宋体" w:cs="宋体"/>
          <w:sz w:val="24"/>
          <w:szCs w:val="24"/>
        </w:rPr>
        <w:fldChar w:fldCharType="separate"/>
      </w:r>
      <w:r>
        <w:rPr>
          <w:rFonts w:hint="eastAsia" w:ascii="宋体" w:hAnsi="宋体" w:cs="宋体"/>
          <w:sz w:val="24"/>
          <w:szCs w:val="24"/>
        </w:rPr>
        <w:t>第二部分   采购内容及技术要求</w:t>
      </w:r>
      <w:r>
        <w:rPr>
          <w:rFonts w:hint="eastAsia" w:ascii="宋体" w:hAnsi="宋体" w:cs="宋体"/>
          <w:sz w:val="24"/>
          <w:szCs w:val="24"/>
        </w:rPr>
        <w:tab/>
      </w:r>
      <w:r>
        <w:rPr>
          <w:rFonts w:hint="eastAsia" w:ascii="宋体" w:hAnsi="宋体" w:cs="宋体"/>
          <w:sz w:val="24"/>
          <w:szCs w:val="24"/>
          <w:u w:val="thick"/>
        </w:rPr>
        <w:fldChar w:fldCharType="end"/>
      </w:r>
    </w:p>
    <w:p>
      <w:pPr>
        <w:pStyle w:val="32"/>
        <w:tabs>
          <w:tab w:val="right" w:leader="dot" w:pos="9040"/>
        </w:tabs>
        <w:rPr>
          <w:rFonts w:hint="eastAsia" w:ascii="宋体" w:hAnsi="宋体" w:cs="宋体"/>
          <w:sz w:val="24"/>
          <w:szCs w:val="24"/>
        </w:rPr>
      </w:pPr>
      <w:r>
        <w:rPr>
          <w:rFonts w:hint="eastAsia" w:ascii="宋体" w:hAnsi="宋体" w:cs="宋体"/>
          <w:sz w:val="24"/>
          <w:szCs w:val="24"/>
          <w:u w:val="thick"/>
        </w:rPr>
        <w:fldChar w:fldCharType="begin"/>
      </w:r>
      <w:r>
        <w:rPr>
          <w:rFonts w:hint="eastAsia" w:ascii="宋体" w:hAnsi="宋体" w:cs="宋体"/>
          <w:sz w:val="24"/>
          <w:szCs w:val="24"/>
        </w:rPr>
        <w:instrText xml:space="preserve"> HYPERLINK \l _Toc23201 </w:instrText>
      </w:r>
      <w:r>
        <w:rPr>
          <w:rFonts w:hint="eastAsia" w:ascii="宋体" w:hAnsi="宋体" w:cs="宋体"/>
          <w:sz w:val="24"/>
          <w:szCs w:val="24"/>
        </w:rPr>
        <w:fldChar w:fldCharType="separate"/>
      </w:r>
      <w:r>
        <w:rPr>
          <w:rFonts w:hint="eastAsia" w:ascii="宋体" w:hAnsi="宋体" w:cs="宋体"/>
          <w:sz w:val="24"/>
          <w:szCs w:val="24"/>
        </w:rPr>
        <w:t>第三部分   供应商须知</w:t>
      </w:r>
      <w:r>
        <w:rPr>
          <w:rFonts w:hint="eastAsia" w:ascii="宋体" w:hAnsi="宋体" w:cs="宋体"/>
          <w:sz w:val="24"/>
          <w:szCs w:val="24"/>
        </w:rPr>
        <w:tab/>
      </w:r>
      <w:r>
        <w:rPr>
          <w:rFonts w:hint="eastAsia" w:ascii="宋体" w:hAnsi="宋体" w:cs="宋体"/>
          <w:sz w:val="24"/>
          <w:szCs w:val="24"/>
          <w:u w:val="thick"/>
        </w:rPr>
        <w:fldChar w:fldCharType="end"/>
      </w:r>
    </w:p>
    <w:p>
      <w:pPr>
        <w:pStyle w:val="32"/>
        <w:tabs>
          <w:tab w:val="right" w:leader="dot" w:pos="9040"/>
        </w:tabs>
        <w:rPr>
          <w:rFonts w:hint="eastAsia" w:ascii="宋体" w:hAnsi="宋体" w:cs="宋体"/>
          <w:sz w:val="24"/>
          <w:szCs w:val="24"/>
        </w:rPr>
      </w:pPr>
      <w:r>
        <w:rPr>
          <w:rFonts w:hint="eastAsia" w:ascii="宋体" w:hAnsi="宋体" w:cs="宋体"/>
          <w:sz w:val="24"/>
          <w:szCs w:val="24"/>
          <w:u w:val="thick"/>
        </w:rPr>
        <w:fldChar w:fldCharType="begin"/>
      </w:r>
      <w:r>
        <w:rPr>
          <w:rFonts w:hint="eastAsia" w:ascii="宋体" w:hAnsi="宋体" w:cs="宋体"/>
          <w:sz w:val="24"/>
          <w:szCs w:val="24"/>
        </w:rPr>
        <w:instrText xml:space="preserve"> HYPERLINK \l _Toc18628 </w:instrText>
      </w:r>
      <w:r>
        <w:rPr>
          <w:rFonts w:hint="eastAsia" w:ascii="宋体" w:hAnsi="宋体" w:cs="宋体"/>
          <w:sz w:val="24"/>
          <w:szCs w:val="24"/>
        </w:rPr>
        <w:fldChar w:fldCharType="separate"/>
      </w:r>
      <w:r>
        <w:rPr>
          <w:rFonts w:hint="eastAsia" w:ascii="宋体" w:hAnsi="宋体" w:cs="宋体"/>
          <w:sz w:val="24"/>
          <w:szCs w:val="24"/>
        </w:rPr>
        <w:t>第四部分、合同格式</w:t>
      </w:r>
      <w:bookmarkStart w:id="7" w:name="_Hlt45296402"/>
      <w:bookmarkStart w:id="8" w:name="_Hlt45296403"/>
      <w:r>
        <w:rPr>
          <w:rFonts w:hint="eastAsia" w:ascii="宋体" w:hAnsi="宋体" w:cs="宋体"/>
          <w:sz w:val="24"/>
          <w:szCs w:val="24"/>
        </w:rPr>
        <w:t>（</w:t>
      </w:r>
      <w:bookmarkEnd w:id="7"/>
      <w:bookmarkEnd w:id="8"/>
      <w:r>
        <w:rPr>
          <w:rFonts w:hint="eastAsia" w:ascii="宋体" w:hAnsi="宋体" w:cs="宋体"/>
          <w:sz w:val="24"/>
          <w:szCs w:val="24"/>
        </w:rPr>
        <w:t>参考）</w:t>
      </w:r>
      <w:r>
        <w:rPr>
          <w:rFonts w:hint="eastAsia" w:ascii="宋体" w:hAnsi="宋体" w:cs="宋体"/>
          <w:sz w:val="24"/>
          <w:szCs w:val="24"/>
        </w:rPr>
        <w:tab/>
      </w:r>
      <w:r>
        <w:rPr>
          <w:rFonts w:hint="eastAsia" w:ascii="宋体" w:hAnsi="宋体" w:cs="宋体"/>
          <w:sz w:val="24"/>
          <w:szCs w:val="24"/>
          <w:u w:val="thick"/>
        </w:rPr>
        <w:fldChar w:fldCharType="end"/>
      </w:r>
    </w:p>
    <w:p>
      <w:pPr>
        <w:pStyle w:val="32"/>
        <w:tabs>
          <w:tab w:val="right" w:leader="dot" w:pos="9040"/>
        </w:tabs>
        <w:rPr>
          <w:rFonts w:hint="eastAsia" w:ascii="宋体" w:hAnsi="宋体" w:cs="宋体"/>
          <w:sz w:val="24"/>
          <w:szCs w:val="24"/>
        </w:rPr>
      </w:pPr>
      <w:r>
        <w:rPr>
          <w:rFonts w:hint="eastAsia" w:ascii="宋体" w:hAnsi="宋体" w:cs="宋体"/>
          <w:sz w:val="24"/>
          <w:szCs w:val="24"/>
        </w:rPr>
        <w:t>第五部分  投标文件格式</w:t>
      </w:r>
      <w:r>
        <w:rPr>
          <w:rFonts w:hint="eastAsia" w:ascii="宋体" w:hAnsi="宋体" w:cs="宋体"/>
          <w:sz w:val="24"/>
          <w:szCs w:val="24"/>
        </w:rPr>
        <w:tab/>
      </w:r>
    </w:p>
    <w:p>
      <w:pPr>
        <w:pStyle w:val="32"/>
        <w:tabs>
          <w:tab w:val="right" w:leader="dot" w:pos="9040"/>
        </w:tabs>
        <w:rPr>
          <w:rFonts w:hint="eastAsia" w:ascii="宋体" w:hAnsi="宋体" w:cs="宋体"/>
          <w:sz w:val="24"/>
          <w:szCs w:val="24"/>
        </w:rPr>
      </w:pPr>
      <w:r>
        <w:rPr>
          <w:rFonts w:hint="eastAsia" w:ascii="宋体" w:hAnsi="宋体" w:cs="宋体"/>
          <w:sz w:val="24"/>
          <w:szCs w:val="24"/>
          <w:u w:val="thick"/>
        </w:rPr>
        <w:fldChar w:fldCharType="begin"/>
      </w:r>
      <w:r>
        <w:rPr>
          <w:rFonts w:hint="eastAsia" w:ascii="宋体" w:hAnsi="宋体" w:cs="宋体"/>
          <w:sz w:val="24"/>
          <w:szCs w:val="24"/>
        </w:rPr>
        <w:instrText xml:space="preserve"> HYPERLINK \l _Toc15699 </w:instrText>
      </w:r>
      <w:r>
        <w:rPr>
          <w:rFonts w:hint="eastAsia" w:ascii="宋体" w:hAnsi="宋体" w:cs="宋体"/>
          <w:sz w:val="24"/>
          <w:szCs w:val="24"/>
        </w:rPr>
        <w:fldChar w:fldCharType="separate"/>
      </w:r>
      <w:r>
        <w:rPr>
          <w:rFonts w:hint="eastAsia" w:ascii="宋体" w:hAnsi="宋体" w:cs="宋体"/>
          <w:sz w:val="24"/>
          <w:szCs w:val="24"/>
        </w:rPr>
        <w:t>第六部分   评标办法</w:t>
      </w:r>
      <w:r>
        <w:rPr>
          <w:rFonts w:hint="eastAsia" w:ascii="宋体" w:hAnsi="宋体" w:cs="宋体"/>
          <w:sz w:val="24"/>
          <w:szCs w:val="24"/>
        </w:rPr>
        <w:tab/>
      </w:r>
      <w:r>
        <w:rPr>
          <w:rFonts w:hint="eastAsia" w:ascii="宋体" w:hAnsi="宋体" w:cs="宋体"/>
          <w:sz w:val="24"/>
          <w:szCs w:val="24"/>
          <w:u w:val="thick"/>
        </w:rPr>
        <w:fldChar w:fldCharType="end"/>
      </w:r>
    </w:p>
    <w:p>
      <w:pPr>
        <w:pStyle w:val="32"/>
        <w:tabs>
          <w:tab w:val="right" w:leader="dot" w:pos="9040"/>
        </w:tabs>
        <w:rPr>
          <w:rFonts w:hint="eastAsia" w:ascii="宋体" w:hAnsi="宋体" w:cs="宋体"/>
          <w:sz w:val="24"/>
          <w:szCs w:val="24"/>
        </w:rPr>
      </w:pPr>
    </w:p>
    <w:p>
      <w:pPr>
        <w:autoSpaceDE w:val="0"/>
        <w:autoSpaceDN w:val="0"/>
        <w:adjustRightInd w:val="0"/>
        <w:spacing w:before="120" w:line="360" w:lineRule="auto"/>
        <w:rPr>
          <w:rFonts w:hint="eastAsia" w:ascii="宋体" w:hAnsi="宋体" w:cs="宋体"/>
          <w:sz w:val="24"/>
          <w:szCs w:val="24"/>
          <w:u w:val="thick"/>
        </w:rPr>
      </w:pPr>
      <w:r>
        <w:rPr>
          <w:rFonts w:hint="eastAsia" w:ascii="宋体" w:hAnsi="宋体" w:cs="宋体"/>
          <w:sz w:val="24"/>
          <w:szCs w:val="24"/>
          <w:u w:val="thick"/>
        </w:rPr>
        <w:fldChar w:fldCharType="end"/>
      </w:r>
    </w:p>
    <w:p>
      <w:pPr>
        <w:autoSpaceDE w:val="0"/>
        <w:autoSpaceDN w:val="0"/>
        <w:adjustRightInd w:val="0"/>
        <w:spacing w:line="360" w:lineRule="auto"/>
        <w:textAlignment w:val="bottom"/>
        <w:rPr>
          <w:rFonts w:hint="eastAsia" w:ascii="宋体" w:hAnsi="宋体" w:cs="宋体"/>
          <w:sz w:val="24"/>
          <w:szCs w:val="24"/>
          <w:u w:val="thick"/>
        </w:rPr>
      </w:pPr>
      <w:r>
        <w:rPr>
          <w:rFonts w:hint="eastAsia" w:ascii="宋体" w:hAnsi="宋体" w:cs="宋体"/>
          <w:sz w:val="24"/>
          <w:szCs w:val="24"/>
          <w:u w:val="thick"/>
        </w:rPr>
        <w:t>注：采购文件中有的条款及要求以加粗、加下划线或符号★、▲的形式强调，这些特别强调的条款及内容有些是重要条款，供应商对重要条款的响应程度将作为评审工作的主要依据之一</w:t>
      </w:r>
      <w:bookmarkStart w:id="9" w:name="_Toc9139"/>
      <w:bookmarkStart w:id="10" w:name="_Toc21087"/>
      <w:bookmarkStart w:id="11" w:name="_Toc13835"/>
    </w:p>
    <w:p>
      <w:pPr>
        <w:bidi w:val="0"/>
        <w:rPr>
          <w:rFonts w:hint="eastAsia"/>
          <w:kern w:val="2"/>
          <w:sz w:val="21"/>
          <w:lang w:val="en-US" w:eastAsia="zh-CN" w:bidi="ar-SA"/>
        </w:rPr>
      </w:pPr>
    </w:p>
    <w:p>
      <w:pPr>
        <w:bidi w:val="0"/>
        <w:rPr>
          <w:rFonts w:hint="eastAsia"/>
          <w:lang w:val="en-US" w:eastAsia="zh-CN"/>
        </w:rPr>
      </w:pPr>
    </w:p>
    <w:p>
      <w:pPr>
        <w:tabs>
          <w:tab w:val="center" w:pos="4538"/>
        </w:tabs>
        <w:bidi w:val="0"/>
        <w:jc w:val="left"/>
        <w:rPr>
          <w:rFonts w:hint="eastAsia"/>
          <w:lang w:val="en-US" w:eastAsia="zh-CN"/>
        </w:rPr>
        <w:sectPr>
          <w:headerReference r:id="rId6" w:type="default"/>
          <w:footerReference r:id="rId7" w:type="default"/>
          <w:pgSz w:w="11911" w:h="16838"/>
          <w:pgMar w:top="1417" w:right="1417" w:bottom="1417" w:left="1417" w:header="0" w:footer="1134" w:gutter="0"/>
          <w:cols w:space="720" w:num="1"/>
        </w:sectPr>
      </w:pPr>
      <w:r>
        <w:rPr>
          <w:rFonts w:hint="eastAsia"/>
          <w:lang w:val="en-US" w:eastAsia="zh-CN"/>
        </w:rPr>
        <w:tab/>
      </w:r>
    </w:p>
    <w:p>
      <w:pPr>
        <w:autoSpaceDE w:val="0"/>
        <w:autoSpaceDN w:val="0"/>
        <w:adjustRightInd w:val="0"/>
        <w:spacing w:line="360" w:lineRule="auto"/>
        <w:ind w:firstLine="2530" w:firstLineChars="700"/>
        <w:textAlignment w:val="bottom"/>
        <w:rPr>
          <w:rStyle w:val="98"/>
          <w:rFonts w:hint="eastAsia" w:ascii="宋体" w:hAnsi="宋体" w:eastAsia="宋体" w:cs="宋体"/>
          <w:b/>
          <w:bCs/>
          <w:spacing w:val="0"/>
          <w:sz w:val="36"/>
          <w:szCs w:val="36"/>
        </w:rPr>
      </w:pPr>
      <w:r>
        <w:rPr>
          <w:rStyle w:val="98"/>
          <w:rFonts w:hint="eastAsia" w:ascii="宋体" w:hAnsi="宋体" w:eastAsia="宋体" w:cs="宋体"/>
          <w:b/>
          <w:bCs/>
          <w:spacing w:val="0"/>
          <w:sz w:val="36"/>
          <w:szCs w:val="36"/>
        </w:rPr>
        <w:t>第一部份   项目简介</w:t>
      </w:r>
    </w:p>
    <w:bookmarkEnd w:id="9"/>
    <w:bookmarkEnd w:id="10"/>
    <w:bookmarkEnd w:id="11"/>
    <w:p>
      <w:pPr>
        <w:pStyle w:val="36"/>
        <w:adjustRightInd w:val="0"/>
        <w:spacing w:line="360" w:lineRule="auto"/>
        <w:ind w:firstLine="521" w:firstLineChars="237"/>
        <w:rPr>
          <w:rFonts w:hint="eastAsia" w:ascii="宋体" w:hAnsi="宋体" w:eastAsia="宋体" w:cs="宋体"/>
          <w:sz w:val="22"/>
          <w:szCs w:val="22"/>
        </w:rPr>
      </w:pPr>
      <w:r>
        <w:rPr>
          <w:rFonts w:hint="eastAsia" w:ascii="宋体" w:hAnsi="宋体" w:eastAsia="宋体" w:cs="宋体"/>
          <w:sz w:val="22"/>
          <w:szCs w:val="22"/>
        </w:rPr>
        <w:t>一、项目简介</w:t>
      </w:r>
    </w:p>
    <w:p>
      <w:pPr>
        <w:snapToGrid w:val="0"/>
        <w:spacing w:line="360" w:lineRule="auto"/>
        <w:ind w:firstLine="541" w:firstLineChars="246"/>
        <w:rPr>
          <w:rFonts w:hint="eastAsia" w:ascii="宋体" w:hAnsi="宋体" w:cs="宋体"/>
          <w:color w:val="000000"/>
          <w:sz w:val="22"/>
          <w:szCs w:val="22"/>
        </w:rPr>
      </w:pPr>
      <w:r>
        <w:rPr>
          <w:rFonts w:hint="eastAsia" w:ascii="宋体" w:hAnsi="宋体" w:cs="宋体"/>
          <w:color w:val="000000"/>
          <w:sz w:val="22"/>
          <w:szCs w:val="22"/>
        </w:rPr>
        <w:t>杭州华旗招标代理有限公司受苍南县公安局委托，以公开招标方式采购苍南县公安局**数据中心机房，本次招标资金已经落实。</w:t>
      </w:r>
    </w:p>
    <w:p>
      <w:pPr>
        <w:snapToGrid w:val="0"/>
        <w:spacing w:line="360" w:lineRule="auto"/>
        <w:ind w:firstLine="541" w:firstLineChars="246"/>
        <w:rPr>
          <w:rFonts w:hint="eastAsia"/>
        </w:rPr>
      </w:pPr>
      <w:r>
        <w:rPr>
          <w:rFonts w:hint="eastAsia" w:ascii="宋体" w:hAnsi="宋体" w:cs="宋体"/>
          <w:color w:val="000000"/>
          <w:sz w:val="22"/>
          <w:szCs w:val="22"/>
        </w:rPr>
        <w:t>我们热情欢迎有关公司（企业）前来进行投标</w:t>
      </w:r>
      <w:r>
        <w:rPr>
          <w:rFonts w:hint="eastAsia" w:ascii="宋体" w:hAnsi="宋体" w:cs="宋体"/>
          <w:sz w:val="22"/>
          <w:szCs w:val="22"/>
        </w:rPr>
        <w:t>。</w:t>
      </w:r>
    </w:p>
    <w:p>
      <w:pPr>
        <w:autoSpaceDE w:val="0"/>
        <w:autoSpaceDN w:val="0"/>
        <w:adjustRightInd w:val="0"/>
        <w:spacing w:line="360" w:lineRule="auto"/>
        <w:jc w:val="center"/>
        <w:textAlignment w:val="bottom"/>
        <w:rPr>
          <w:rStyle w:val="98"/>
          <w:rFonts w:hint="eastAsia" w:ascii="宋体" w:hAnsi="宋体" w:eastAsia="宋体" w:cs="宋体"/>
          <w:b/>
          <w:bCs/>
          <w:spacing w:val="0"/>
          <w:sz w:val="36"/>
          <w:szCs w:val="36"/>
        </w:rPr>
      </w:pPr>
      <w:bookmarkStart w:id="12" w:name="_Toc6747"/>
      <w:bookmarkStart w:id="13" w:name="_Toc19884"/>
      <w:bookmarkStart w:id="14" w:name="_Toc2649"/>
      <w:r>
        <w:rPr>
          <w:rStyle w:val="98"/>
          <w:rFonts w:hint="eastAsia" w:ascii="宋体" w:hAnsi="宋体" w:eastAsia="宋体" w:cs="宋体"/>
          <w:b/>
          <w:bCs/>
          <w:spacing w:val="0"/>
          <w:sz w:val="36"/>
          <w:szCs w:val="36"/>
        </w:rPr>
        <w:t>第二部分   采购内容及技术要求</w:t>
      </w:r>
    </w:p>
    <w:bookmarkEnd w:id="12"/>
    <w:bookmarkEnd w:id="13"/>
    <w:bookmarkEnd w:id="14"/>
    <w:p>
      <w:pPr>
        <w:pStyle w:val="6"/>
        <w:spacing w:before="0" w:after="0"/>
        <w:rPr>
          <w:rFonts w:hint="eastAsia" w:ascii="宋体" w:hAnsi="宋体" w:eastAsia="宋体" w:cs="宋体"/>
          <w:b/>
          <w:bCs/>
          <w:sz w:val="22"/>
          <w:szCs w:val="22"/>
        </w:rPr>
      </w:pPr>
      <w:bookmarkStart w:id="15" w:name="_Toc2355"/>
      <w:r>
        <w:rPr>
          <w:rFonts w:hint="eastAsia" w:ascii="宋体" w:hAnsi="宋体" w:eastAsia="宋体" w:cs="宋体"/>
          <w:b/>
          <w:bCs/>
          <w:sz w:val="22"/>
          <w:szCs w:val="22"/>
        </w:rPr>
        <w:t>一、总则</w:t>
      </w:r>
      <w:bookmarkEnd w:id="15"/>
    </w:p>
    <w:p>
      <w:pPr>
        <w:pStyle w:val="24"/>
        <w:adjustRightInd w:val="0"/>
        <w:snapToGrid w:val="0"/>
        <w:spacing w:line="360" w:lineRule="auto"/>
        <w:ind w:firstLine="482"/>
        <w:rPr>
          <w:rFonts w:hint="eastAsia" w:hAnsi="宋体" w:cs="宋体"/>
          <w:color w:val="000000"/>
          <w:sz w:val="22"/>
          <w:szCs w:val="22"/>
        </w:rPr>
      </w:pPr>
      <w:r>
        <w:rPr>
          <w:rFonts w:hint="eastAsia" w:hAnsi="宋体" w:cs="宋体"/>
          <w:color w:val="000000"/>
          <w:sz w:val="22"/>
          <w:szCs w:val="22"/>
        </w:rPr>
        <w:t>1.1 潜在供应商领取招标文件后,必须按国家《保密法》以及保密工作的相关规定，对招标文件内容应承担保密义务，维护采购人的权益，发生窃、泄密事件潜在供应商应承担相应的法律责任。</w:t>
      </w:r>
    </w:p>
    <w:p>
      <w:pPr>
        <w:pStyle w:val="24"/>
        <w:adjustRightInd w:val="0"/>
        <w:snapToGrid w:val="0"/>
        <w:spacing w:line="360" w:lineRule="auto"/>
        <w:ind w:firstLine="482"/>
        <w:rPr>
          <w:rFonts w:hint="eastAsia" w:hAnsi="宋体" w:cs="宋体"/>
          <w:color w:val="000000"/>
          <w:sz w:val="22"/>
          <w:szCs w:val="22"/>
        </w:rPr>
      </w:pPr>
      <w:r>
        <w:rPr>
          <w:rFonts w:hint="eastAsia" w:hAnsi="宋体" w:cs="宋体"/>
          <w:color w:val="000000"/>
          <w:sz w:val="22"/>
          <w:szCs w:val="22"/>
        </w:rPr>
        <w:t>1.2 供应商一旦参与本次采购活动，即被视为接受了本招标文件的所有内容，如有任何异议，均需在答疑截止时间前以书面形式提出。</w:t>
      </w:r>
    </w:p>
    <w:p>
      <w:pPr>
        <w:pStyle w:val="24"/>
        <w:adjustRightInd w:val="0"/>
        <w:snapToGrid w:val="0"/>
        <w:spacing w:line="360" w:lineRule="auto"/>
        <w:ind w:firstLine="440" w:firstLineChars="200"/>
        <w:rPr>
          <w:rFonts w:hint="eastAsia" w:hAnsi="宋体" w:cs="宋体"/>
          <w:color w:val="000000"/>
          <w:sz w:val="22"/>
          <w:szCs w:val="22"/>
        </w:rPr>
      </w:pPr>
      <w:r>
        <w:rPr>
          <w:rFonts w:hint="eastAsia" w:hAnsi="宋体" w:cs="宋体"/>
          <w:color w:val="000000"/>
          <w:sz w:val="22"/>
          <w:szCs w:val="22"/>
        </w:rPr>
        <w:t>1.3 供应商须对所投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pPr>
        <w:pStyle w:val="24"/>
        <w:adjustRightInd w:val="0"/>
        <w:snapToGrid w:val="0"/>
        <w:spacing w:line="360" w:lineRule="auto"/>
        <w:ind w:firstLine="440" w:firstLineChars="200"/>
        <w:rPr>
          <w:rFonts w:hint="eastAsia" w:hAnsi="宋体" w:cs="宋体"/>
          <w:color w:val="000000"/>
          <w:sz w:val="22"/>
          <w:szCs w:val="22"/>
        </w:rPr>
      </w:pPr>
      <w:r>
        <w:rPr>
          <w:rFonts w:hint="eastAsia" w:hAnsi="宋体" w:cs="宋体"/>
          <w:color w:val="000000"/>
          <w:sz w:val="22"/>
          <w:szCs w:val="22"/>
        </w:rPr>
        <w:t>　1.4本技术规范要求提出的是最低限度的基本技术要求，并未对所有技术细节作出规定，供应商应提供符合本技术要求和国家标准、行业标准的优质产品。</w:t>
      </w:r>
    </w:p>
    <w:p>
      <w:pPr>
        <w:pStyle w:val="6"/>
        <w:numPr>
          <w:ilvl w:val="0"/>
          <w:numId w:val="4"/>
        </w:numPr>
        <w:spacing w:before="0" w:after="0"/>
        <w:rPr>
          <w:rFonts w:hint="eastAsia" w:ascii="宋体" w:hAnsi="宋体" w:eastAsia="宋体" w:cs="宋体"/>
          <w:sz w:val="22"/>
          <w:szCs w:val="22"/>
        </w:rPr>
      </w:pPr>
      <w:r>
        <w:rPr>
          <w:rFonts w:hint="eastAsia" w:ascii="宋体" w:hAnsi="宋体" w:eastAsia="宋体" w:cs="宋体"/>
          <w:sz w:val="22"/>
          <w:szCs w:val="22"/>
        </w:rPr>
        <w:t>采购内容及具体技术要求</w:t>
      </w:r>
    </w:p>
    <w:p>
      <w:pPr>
        <w:rPr>
          <w:rFonts w:hint="eastAsia" w:ascii="宋体" w:hAnsi="宋体" w:cs="宋体"/>
          <w:sz w:val="22"/>
          <w:szCs w:val="22"/>
        </w:rPr>
      </w:pPr>
      <w:r>
        <w:rPr>
          <w:rFonts w:hint="eastAsia" w:ascii="宋体" w:hAnsi="宋体" w:cs="宋体"/>
          <w:sz w:val="22"/>
          <w:szCs w:val="22"/>
        </w:rPr>
        <w:t>1、本次采购内容清单</w:t>
      </w:r>
    </w:p>
    <w:tbl>
      <w:tblPr>
        <w:tblStyle w:val="43"/>
        <w:tblW w:w="965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1"/>
        <w:gridCol w:w="1050"/>
        <w:gridCol w:w="3556"/>
        <w:gridCol w:w="924"/>
        <w:gridCol w:w="949"/>
        <w:gridCol w:w="231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wBefore w:w="0" w:type="auto"/>
          <w:wAfter w:w="0" w:type="auto"/>
          <w:trHeight w:val="90" w:hRule="atLeast"/>
        </w:trPr>
        <w:tc>
          <w:tcPr>
            <w:tcW w:w="861" w:type="dxa"/>
            <w:noWrap w:val="0"/>
            <w:vAlign w:val="top"/>
          </w:tcPr>
          <w:p>
            <w:pPr>
              <w:pStyle w:val="117"/>
              <w:spacing w:line="460" w:lineRule="exact"/>
              <w:jc w:val="center"/>
              <w:rPr>
                <w:rFonts w:hint="eastAsia"/>
                <w:sz w:val="22"/>
                <w:szCs w:val="22"/>
              </w:rPr>
            </w:pPr>
            <w:r>
              <w:rPr>
                <w:rFonts w:hint="eastAsia"/>
                <w:sz w:val="22"/>
                <w:szCs w:val="22"/>
              </w:rPr>
              <w:t>序号</w:t>
            </w:r>
          </w:p>
        </w:tc>
        <w:tc>
          <w:tcPr>
            <w:tcW w:w="4606" w:type="dxa"/>
            <w:gridSpan w:val="2"/>
            <w:noWrap w:val="0"/>
            <w:vAlign w:val="top"/>
          </w:tcPr>
          <w:p>
            <w:pPr>
              <w:pStyle w:val="117"/>
              <w:spacing w:line="460" w:lineRule="exact"/>
              <w:jc w:val="center"/>
              <w:rPr>
                <w:rFonts w:hint="eastAsia"/>
                <w:sz w:val="22"/>
                <w:szCs w:val="22"/>
              </w:rPr>
            </w:pPr>
            <w:r>
              <w:rPr>
                <w:rFonts w:hint="eastAsia"/>
                <w:sz w:val="22"/>
                <w:szCs w:val="22"/>
              </w:rPr>
              <w:t>项目名称</w:t>
            </w:r>
          </w:p>
        </w:tc>
        <w:tc>
          <w:tcPr>
            <w:tcW w:w="924" w:type="dxa"/>
            <w:noWrap w:val="0"/>
            <w:vAlign w:val="top"/>
          </w:tcPr>
          <w:p>
            <w:pPr>
              <w:pStyle w:val="117"/>
              <w:spacing w:line="460" w:lineRule="exact"/>
              <w:jc w:val="center"/>
              <w:rPr>
                <w:rFonts w:hint="eastAsia"/>
                <w:sz w:val="22"/>
                <w:szCs w:val="22"/>
              </w:rPr>
            </w:pPr>
            <w:r>
              <w:rPr>
                <w:rFonts w:hint="eastAsia"/>
                <w:sz w:val="22"/>
                <w:szCs w:val="22"/>
              </w:rPr>
              <w:t>数量</w:t>
            </w:r>
          </w:p>
        </w:tc>
        <w:tc>
          <w:tcPr>
            <w:tcW w:w="949" w:type="dxa"/>
            <w:noWrap w:val="0"/>
            <w:vAlign w:val="top"/>
          </w:tcPr>
          <w:p>
            <w:pPr>
              <w:pStyle w:val="117"/>
              <w:spacing w:line="460" w:lineRule="exact"/>
              <w:jc w:val="center"/>
              <w:rPr>
                <w:rFonts w:hint="eastAsia"/>
                <w:sz w:val="22"/>
                <w:szCs w:val="22"/>
              </w:rPr>
            </w:pPr>
            <w:r>
              <w:rPr>
                <w:rFonts w:hint="eastAsia"/>
                <w:sz w:val="22"/>
                <w:szCs w:val="22"/>
              </w:rPr>
              <w:t>单位</w:t>
            </w:r>
          </w:p>
        </w:tc>
        <w:tc>
          <w:tcPr>
            <w:tcW w:w="2318" w:type="dxa"/>
            <w:noWrap w:val="0"/>
            <w:vAlign w:val="top"/>
          </w:tcPr>
          <w:p>
            <w:pPr>
              <w:pStyle w:val="117"/>
              <w:spacing w:line="460" w:lineRule="exact"/>
              <w:jc w:val="center"/>
              <w:rPr>
                <w:rFonts w:hint="eastAsia"/>
                <w:sz w:val="22"/>
                <w:szCs w:val="22"/>
              </w:rPr>
            </w:pPr>
            <w:r>
              <w:rPr>
                <w:rFonts w:hint="eastAsia"/>
                <w:sz w:val="22"/>
                <w:szCs w:val="22"/>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wBefore w:w="0" w:type="auto"/>
          <w:wAfter w:w="0" w:type="auto"/>
          <w:trHeight w:val="90" w:hRule="atLeast"/>
        </w:trPr>
        <w:tc>
          <w:tcPr>
            <w:tcW w:w="861" w:type="dxa"/>
            <w:noWrap w:val="0"/>
            <w:vAlign w:val="top"/>
          </w:tcPr>
          <w:p>
            <w:pPr>
              <w:pStyle w:val="117"/>
              <w:spacing w:line="460" w:lineRule="exact"/>
              <w:jc w:val="center"/>
              <w:rPr>
                <w:rFonts w:hint="eastAsia"/>
                <w:sz w:val="22"/>
                <w:szCs w:val="22"/>
              </w:rPr>
            </w:pPr>
            <w:r>
              <w:rPr>
                <w:rFonts w:hint="eastAsia"/>
                <w:sz w:val="22"/>
                <w:szCs w:val="22"/>
              </w:rPr>
              <w:t>1</w:t>
            </w:r>
          </w:p>
        </w:tc>
        <w:tc>
          <w:tcPr>
            <w:tcW w:w="4606" w:type="dxa"/>
            <w:gridSpan w:val="2"/>
            <w:noWrap w:val="0"/>
            <w:vAlign w:val="top"/>
          </w:tcPr>
          <w:p>
            <w:pPr>
              <w:pStyle w:val="117"/>
              <w:spacing w:line="460" w:lineRule="exact"/>
              <w:jc w:val="center"/>
              <w:rPr>
                <w:rFonts w:hint="eastAsia"/>
                <w:sz w:val="22"/>
                <w:szCs w:val="22"/>
              </w:rPr>
            </w:pPr>
            <w:r>
              <w:rPr>
                <w:rFonts w:hint="eastAsia"/>
                <w:sz w:val="22"/>
                <w:szCs w:val="22"/>
              </w:rPr>
              <w:t>机房基础环境装修（</w:t>
            </w:r>
            <w:r>
              <w:rPr>
                <w:rFonts w:hint="eastAsia"/>
                <w:sz w:val="22"/>
                <w:szCs w:val="22"/>
                <w:lang w:val="en-US"/>
              </w:rPr>
              <w:t>含建筑、加固、安装</w:t>
            </w:r>
            <w:r>
              <w:rPr>
                <w:rFonts w:hint="eastAsia"/>
                <w:sz w:val="22"/>
                <w:szCs w:val="22"/>
              </w:rPr>
              <w:t>）</w:t>
            </w:r>
          </w:p>
        </w:tc>
        <w:tc>
          <w:tcPr>
            <w:tcW w:w="924" w:type="dxa"/>
            <w:noWrap w:val="0"/>
            <w:vAlign w:val="top"/>
          </w:tcPr>
          <w:p>
            <w:pPr>
              <w:pStyle w:val="117"/>
              <w:spacing w:line="460" w:lineRule="exact"/>
              <w:jc w:val="center"/>
              <w:rPr>
                <w:rFonts w:hint="eastAsia"/>
                <w:sz w:val="22"/>
                <w:szCs w:val="22"/>
              </w:rPr>
            </w:pPr>
            <w:r>
              <w:rPr>
                <w:rFonts w:hint="eastAsia"/>
                <w:sz w:val="22"/>
                <w:szCs w:val="22"/>
              </w:rPr>
              <w:t>1</w:t>
            </w:r>
          </w:p>
        </w:tc>
        <w:tc>
          <w:tcPr>
            <w:tcW w:w="949" w:type="dxa"/>
            <w:noWrap w:val="0"/>
            <w:vAlign w:val="top"/>
          </w:tcPr>
          <w:p>
            <w:pPr>
              <w:pStyle w:val="117"/>
              <w:spacing w:line="460" w:lineRule="exact"/>
              <w:jc w:val="center"/>
              <w:rPr>
                <w:rFonts w:hint="eastAsia"/>
                <w:sz w:val="22"/>
                <w:szCs w:val="22"/>
              </w:rPr>
            </w:pPr>
            <w:r>
              <w:rPr>
                <w:rFonts w:hint="eastAsia"/>
                <w:sz w:val="22"/>
                <w:szCs w:val="22"/>
              </w:rPr>
              <w:t>项</w:t>
            </w:r>
          </w:p>
        </w:tc>
        <w:tc>
          <w:tcPr>
            <w:tcW w:w="2318" w:type="dxa"/>
            <w:noWrap w:val="0"/>
            <w:vAlign w:val="top"/>
          </w:tcPr>
          <w:p>
            <w:pPr>
              <w:pStyle w:val="117"/>
              <w:spacing w:line="460" w:lineRule="exact"/>
              <w:ind w:left="928"/>
              <w:jc w:val="center"/>
              <w:rPr>
                <w:rFonts w:hint="eastAsia"/>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wBefore w:w="0" w:type="auto"/>
          <w:wAfter w:w="0" w:type="auto"/>
          <w:trHeight w:val="90" w:hRule="atLeast"/>
        </w:trPr>
        <w:tc>
          <w:tcPr>
            <w:tcW w:w="861" w:type="dxa"/>
            <w:vMerge w:val="restart"/>
            <w:noWrap w:val="0"/>
            <w:vAlign w:val="top"/>
          </w:tcPr>
          <w:p>
            <w:pPr>
              <w:pStyle w:val="117"/>
              <w:spacing w:line="460" w:lineRule="exact"/>
              <w:ind w:left="928"/>
              <w:jc w:val="center"/>
              <w:rPr>
                <w:rFonts w:hint="eastAsia"/>
                <w:sz w:val="22"/>
                <w:szCs w:val="22"/>
              </w:rPr>
            </w:pPr>
          </w:p>
          <w:p>
            <w:pPr>
              <w:pStyle w:val="117"/>
              <w:spacing w:line="460" w:lineRule="exact"/>
              <w:jc w:val="center"/>
              <w:rPr>
                <w:rFonts w:hint="eastAsia"/>
                <w:sz w:val="22"/>
                <w:szCs w:val="22"/>
              </w:rPr>
            </w:pPr>
            <w:r>
              <w:rPr>
                <w:rFonts w:hint="eastAsia"/>
                <w:sz w:val="22"/>
                <w:szCs w:val="22"/>
              </w:rPr>
              <w:t>2</w:t>
            </w:r>
          </w:p>
        </w:tc>
        <w:tc>
          <w:tcPr>
            <w:tcW w:w="1050" w:type="dxa"/>
            <w:vMerge w:val="restart"/>
            <w:noWrap w:val="0"/>
            <w:vAlign w:val="top"/>
          </w:tcPr>
          <w:p>
            <w:pPr>
              <w:pStyle w:val="117"/>
              <w:spacing w:line="460" w:lineRule="exact"/>
              <w:ind w:left="928"/>
              <w:jc w:val="center"/>
              <w:rPr>
                <w:rFonts w:hint="eastAsia"/>
                <w:sz w:val="22"/>
                <w:szCs w:val="22"/>
              </w:rPr>
            </w:pPr>
          </w:p>
          <w:p>
            <w:pPr>
              <w:pStyle w:val="117"/>
              <w:spacing w:line="460" w:lineRule="exact"/>
              <w:ind w:left="928"/>
              <w:jc w:val="center"/>
              <w:rPr>
                <w:rFonts w:hint="eastAsia"/>
                <w:sz w:val="22"/>
                <w:szCs w:val="22"/>
              </w:rPr>
            </w:pPr>
          </w:p>
          <w:p>
            <w:pPr>
              <w:pStyle w:val="117"/>
              <w:spacing w:line="460" w:lineRule="exact"/>
              <w:ind w:left="928"/>
              <w:jc w:val="center"/>
              <w:rPr>
                <w:rFonts w:hint="eastAsia"/>
                <w:sz w:val="22"/>
                <w:szCs w:val="22"/>
              </w:rPr>
            </w:pPr>
          </w:p>
          <w:p>
            <w:pPr>
              <w:pStyle w:val="117"/>
              <w:spacing w:line="460" w:lineRule="exact"/>
              <w:jc w:val="center"/>
              <w:rPr>
                <w:rFonts w:hint="eastAsia"/>
                <w:sz w:val="22"/>
                <w:szCs w:val="22"/>
              </w:rPr>
            </w:pPr>
            <w:r>
              <w:rPr>
                <w:rFonts w:hint="eastAsia"/>
                <w:sz w:val="22"/>
                <w:szCs w:val="22"/>
              </w:rPr>
              <w:t>机房设备安装</w:t>
            </w:r>
          </w:p>
        </w:tc>
        <w:tc>
          <w:tcPr>
            <w:tcW w:w="3556" w:type="dxa"/>
            <w:noWrap w:val="0"/>
            <w:vAlign w:val="top"/>
          </w:tcPr>
          <w:p>
            <w:pPr>
              <w:pStyle w:val="117"/>
              <w:spacing w:line="460" w:lineRule="exact"/>
              <w:jc w:val="center"/>
              <w:rPr>
                <w:rFonts w:hint="eastAsia"/>
                <w:sz w:val="22"/>
                <w:szCs w:val="22"/>
              </w:rPr>
            </w:pPr>
            <w:r>
              <w:rPr>
                <w:rFonts w:hint="eastAsia"/>
                <w:sz w:val="22"/>
                <w:szCs w:val="22"/>
              </w:rPr>
              <w:t>模块化机房</w:t>
            </w:r>
          </w:p>
        </w:tc>
        <w:tc>
          <w:tcPr>
            <w:tcW w:w="924" w:type="dxa"/>
            <w:noWrap w:val="0"/>
            <w:vAlign w:val="top"/>
          </w:tcPr>
          <w:p>
            <w:pPr>
              <w:pStyle w:val="117"/>
              <w:spacing w:line="460" w:lineRule="exact"/>
              <w:jc w:val="center"/>
              <w:rPr>
                <w:rFonts w:hint="eastAsia"/>
                <w:sz w:val="22"/>
                <w:szCs w:val="22"/>
              </w:rPr>
            </w:pPr>
            <w:r>
              <w:rPr>
                <w:rFonts w:hint="eastAsia"/>
                <w:sz w:val="22"/>
                <w:szCs w:val="22"/>
              </w:rPr>
              <w:t>1</w:t>
            </w:r>
          </w:p>
        </w:tc>
        <w:tc>
          <w:tcPr>
            <w:tcW w:w="949" w:type="dxa"/>
            <w:noWrap w:val="0"/>
            <w:vAlign w:val="top"/>
          </w:tcPr>
          <w:p>
            <w:pPr>
              <w:pStyle w:val="117"/>
              <w:spacing w:line="460" w:lineRule="exact"/>
              <w:jc w:val="center"/>
              <w:rPr>
                <w:rFonts w:hint="eastAsia"/>
                <w:sz w:val="22"/>
                <w:szCs w:val="22"/>
              </w:rPr>
            </w:pPr>
            <w:r>
              <w:rPr>
                <w:rFonts w:hint="eastAsia"/>
                <w:sz w:val="22"/>
                <w:szCs w:val="22"/>
              </w:rPr>
              <w:t>项</w:t>
            </w:r>
          </w:p>
        </w:tc>
        <w:tc>
          <w:tcPr>
            <w:tcW w:w="2318" w:type="dxa"/>
            <w:vMerge w:val="restart"/>
            <w:noWrap w:val="0"/>
            <w:vAlign w:val="top"/>
          </w:tcPr>
          <w:p>
            <w:pPr>
              <w:pStyle w:val="117"/>
              <w:spacing w:line="460" w:lineRule="exact"/>
              <w:ind w:left="928"/>
              <w:jc w:val="center"/>
              <w:rPr>
                <w:rFonts w:hint="eastAsia"/>
                <w:sz w:val="22"/>
                <w:szCs w:val="22"/>
              </w:rPr>
            </w:pPr>
          </w:p>
          <w:p>
            <w:pPr>
              <w:pStyle w:val="117"/>
              <w:spacing w:line="460" w:lineRule="exact"/>
              <w:ind w:left="928"/>
              <w:jc w:val="center"/>
              <w:rPr>
                <w:rFonts w:hint="eastAsia"/>
                <w:sz w:val="22"/>
                <w:szCs w:val="22"/>
              </w:rPr>
            </w:pPr>
          </w:p>
          <w:p>
            <w:pPr>
              <w:pStyle w:val="117"/>
              <w:spacing w:line="460" w:lineRule="exact"/>
              <w:jc w:val="center"/>
              <w:rPr>
                <w:rFonts w:hint="eastAsia"/>
                <w:sz w:val="22"/>
                <w:szCs w:val="22"/>
              </w:rPr>
            </w:pPr>
            <w:r>
              <w:rPr>
                <w:rFonts w:hint="eastAsia"/>
                <w:sz w:val="22"/>
                <w:szCs w:val="22"/>
              </w:rPr>
              <w:t>三年质保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wBefore w:w="0" w:type="auto"/>
          <w:wAfter w:w="0" w:type="auto"/>
          <w:trHeight w:val="90" w:hRule="atLeast"/>
        </w:trPr>
        <w:tc>
          <w:tcPr>
            <w:tcW w:w="861" w:type="dxa"/>
            <w:vMerge w:val="continue"/>
            <w:tcBorders>
              <w:top w:val="nil"/>
            </w:tcBorders>
            <w:noWrap w:val="0"/>
            <w:vAlign w:val="top"/>
          </w:tcPr>
          <w:p>
            <w:pPr>
              <w:pStyle w:val="117"/>
              <w:spacing w:line="460" w:lineRule="exact"/>
              <w:ind w:left="928"/>
              <w:jc w:val="center"/>
              <w:rPr>
                <w:rFonts w:hint="eastAsia"/>
                <w:sz w:val="22"/>
                <w:szCs w:val="22"/>
              </w:rPr>
            </w:pPr>
          </w:p>
        </w:tc>
        <w:tc>
          <w:tcPr>
            <w:tcW w:w="1050" w:type="dxa"/>
            <w:vMerge w:val="continue"/>
            <w:tcBorders>
              <w:top w:val="nil"/>
            </w:tcBorders>
            <w:noWrap w:val="0"/>
            <w:vAlign w:val="top"/>
          </w:tcPr>
          <w:p>
            <w:pPr>
              <w:pStyle w:val="117"/>
              <w:spacing w:line="460" w:lineRule="exact"/>
              <w:ind w:left="928"/>
              <w:jc w:val="center"/>
              <w:rPr>
                <w:rFonts w:hint="eastAsia"/>
                <w:sz w:val="22"/>
                <w:szCs w:val="22"/>
              </w:rPr>
            </w:pPr>
          </w:p>
        </w:tc>
        <w:tc>
          <w:tcPr>
            <w:tcW w:w="3556" w:type="dxa"/>
            <w:noWrap w:val="0"/>
            <w:vAlign w:val="top"/>
          </w:tcPr>
          <w:p>
            <w:pPr>
              <w:pStyle w:val="117"/>
              <w:spacing w:line="460" w:lineRule="exact"/>
              <w:jc w:val="center"/>
              <w:rPr>
                <w:rFonts w:hint="eastAsia"/>
                <w:sz w:val="22"/>
                <w:szCs w:val="22"/>
              </w:rPr>
            </w:pPr>
            <w:r>
              <w:rPr>
                <w:rFonts w:hint="eastAsia"/>
                <w:sz w:val="22"/>
                <w:szCs w:val="22"/>
              </w:rPr>
              <w:t>综合布线系统</w:t>
            </w:r>
          </w:p>
        </w:tc>
        <w:tc>
          <w:tcPr>
            <w:tcW w:w="924" w:type="dxa"/>
            <w:noWrap w:val="0"/>
            <w:vAlign w:val="top"/>
          </w:tcPr>
          <w:p>
            <w:pPr>
              <w:pStyle w:val="117"/>
              <w:spacing w:line="460" w:lineRule="exact"/>
              <w:jc w:val="center"/>
              <w:rPr>
                <w:rFonts w:hint="eastAsia"/>
                <w:sz w:val="22"/>
                <w:szCs w:val="22"/>
              </w:rPr>
            </w:pPr>
            <w:r>
              <w:rPr>
                <w:rFonts w:hint="eastAsia"/>
                <w:sz w:val="22"/>
                <w:szCs w:val="22"/>
              </w:rPr>
              <w:t>1</w:t>
            </w:r>
          </w:p>
        </w:tc>
        <w:tc>
          <w:tcPr>
            <w:tcW w:w="949" w:type="dxa"/>
            <w:noWrap w:val="0"/>
            <w:vAlign w:val="top"/>
          </w:tcPr>
          <w:p>
            <w:pPr>
              <w:pStyle w:val="117"/>
              <w:spacing w:line="460" w:lineRule="exact"/>
              <w:jc w:val="center"/>
              <w:rPr>
                <w:rFonts w:hint="eastAsia"/>
                <w:sz w:val="22"/>
                <w:szCs w:val="22"/>
              </w:rPr>
            </w:pPr>
            <w:r>
              <w:rPr>
                <w:rFonts w:hint="eastAsia"/>
                <w:sz w:val="22"/>
                <w:szCs w:val="22"/>
              </w:rPr>
              <w:t>项</w:t>
            </w:r>
          </w:p>
        </w:tc>
        <w:tc>
          <w:tcPr>
            <w:tcW w:w="2318" w:type="dxa"/>
            <w:vMerge w:val="continue"/>
            <w:noWrap w:val="0"/>
            <w:vAlign w:val="top"/>
          </w:tcPr>
          <w:p>
            <w:pPr>
              <w:pStyle w:val="117"/>
              <w:spacing w:line="460" w:lineRule="exact"/>
              <w:ind w:left="928"/>
              <w:jc w:val="center"/>
              <w:rPr>
                <w:rFonts w:hint="eastAsia"/>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wBefore w:w="0" w:type="auto"/>
          <w:wAfter w:w="0" w:type="auto"/>
          <w:trHeight w:val="90" w:hRule="atLeast"/>
        </w:trPr>
        <w:tc>
          <w:tcPr>
            <w:tcW w:w="861" w:type="dxa"/>
            <w:vMerge w:val="continue"/>
            <w:tcBorders>
              <w:top w:val="nil"/>
            </w:tcBorders>
            <w:noWrap w:val="0"/>
            <w:vAlign w:val="top"/>
          </w:tcPr>
          <w:p>
            <w:pPr>
              <w:pStyle w:val="117"/>
              <w:spacing w:line="460" w:lineRule="exact"/>
              <w:ind w:left="928"/>
              <w:jc w:val="center"/>
              <w:rPr>
                <w:rFonts w:hint="eastAsia"/>
                <w:sz w:val="22"/>
                <w:szCs w:val="22"/>
              </w:rPr>
            </w:pPr>
          </w:p>
        </w:tc>
        <w:tc>
          <w:tcPr>
            <w:tcW w:w="1050" w:type="dxa"/>
            <w:vMerge w:val="continue"/>
            <w:tcBorders>
              <w:top w:val="nil"/>
            </w:tcBorders>
            <w:noWrap w:val="0"/>
            <w:vAlign w:val="top"/>
          </w:tcPr>
          <w:p>
            <w:pPr>
              <w:pStyle w:val="117"/>
              <w:spacing w:line="460" w:lineRule="exact"/>
              <w:ind w:left="928"/>
              <w:jc w:val="center"/>
              <w:rPr>
                <w:rFonts w:hint="eastAsia"/>
                <w:sz w:val="22"/>
                <w:szCs w:val="22"/>
              </w:rPr>
            </w:pPr>
          </w:p>
        </w:tc>
        <w:tc>
          <w:tcPr>
            <w:tcW w:w="3556" w:type="dxa"/>
            <w:noWrap w:val="0"/>
            <w:vAlign w:val="top"/>
          </w:tcPr>
          <w:p>
            <w:pPr>
              <w:pStyle w:val="117"/>
              <w:spacing w:line="460" w:lineRule="exact"/>
              <w:jc w:val="center"/>
              <w:rPr>
                <w:rFonts w:hint="eastAsia"/>
                <w:sz w:val="22"/>
                <w:szCs w:val="22"/>
              </w:rPr>
            </w:pPr>
            <w:r>
              <w:rPr>
                <w:rFonts w:hint="eastAsia"/>
                <w:sz w:val="22"/>
                <w:szCs w:val="22"/>
              </w:rPr>
              <w:t>防雷接地系统</w:t>
            </w:r>
          </w:p>
        </w:tc>
        <w:tc>
          <w:tcPr>
            <w:tcW w:w="924" w:type="dxa"/>
            <w:noWrap w:val="0"/>
            <w:vAlign w:val="top"/>
          </w:tcPr>
          <w:p>
            <w:pPr>
              <w:pStyle w:val="117"/>
              <w:spacing w:line="460" w:lineRule="exact"/>
              <w:jc w:val="center"/>
              <w:rPr>
                <w:rFonts w:hint="eastAsia"/>
                <w:sz w:val="22"/>
                <w:szCs w:val="22"/>
              </w:rPr>
            </w:pPr>
            <w:r>
              <w:rPr>
                <w:rFonts w:hint="eastAsia"/>
                <w:sz w:val="22"/>
                <w:szCs w:val="22"/>
              </w:rPr>
              <w:t>1</w:t>
            </w:r>
          </w:p>
        </w:tc>
        <w:tc>
          <w:tcPr>
            <w:tcW w:w="949" w:type="dxa"/>
            <w:noWrap w:val="0"/>
            <w:vAlign w:val="top"/>
          </w:tcPr>
          <w:p>
            <w:pPr>
              <w:pStyle w:val="117"/>
              <w:spacing w:line="460" w:lineRule="exact"/>
              <w:jc w:val="center"/>
              <w:rPr>
                <w:rFonts w:hint="eastAsia"/>
                <w:sz w:val="22"/>
                <w:szCs w:val="22"/>
              </w:rPr>
            </w:pPr>
            <w:r>
              <w:rPr>
                <w:rFonts w:hint="eastAsia"/>
                <w:sz w:val="22"/>
                <w:szCs w:val="22"/>
              </w:rPr>
              <w:t>项</w:t>
            </w:r>
          </w:p>
        </w:tc>
        <w:tc>
          <w:tcPr>
            <w:tcW w:w="2318" w:type="dxa"/>
            <w:vMerge w:val="continue"/>
            <w:noWrap w:val="0"/>
            <w:vAlign w:val="top"/>
          </w:tcPr>
          <w:p>
            <w:pPr>
              <w:pStyle w:val="117"/>
              <w:spacing w:line="460" w:lineRule="exact"/>
              <w:ind w:left="928"/>
              <w:jc w:val="center"/>
              <w:rPr>
                <w:rFonts w:hint="eastAsia"/>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wBefore w:w="0" w:type="auto"/>
          <w:wAfter w:w="0" w:type="auto"/>
          <w:trHeight w:val="90" w:hRule="atLeast"/>
        </w:trPr>
        <w:tc>
          <w:tcPr>
            <w:tcW w:w="861" w:type="dxa"/>
            <w:vMerge w:val="continue"/>
            <w:tcBorders>
              <w:top w:val="nil"/>
            </w:tcBorders>
            <w:noWrap w:val="0"/>
            <w:vAlign w:val="top"/>
          </w:tcPr>
          <w:p>
            <w:pPr>
              <w:pStyle w:val="117"/>
              <w:spacing w:line="460" w:lineRule="exact"/>
              <w:ind w:left="928"/>
              <w:jc w:val="center"/>
              <w:rPr>
                <w:rFonts w:hint="eastAsia"/>
                <w:sz w:val="22"/>
                <w:szCs w:val="22"/>
              </w:rPr>
            </w:pPr>
          </w:p>
        </w:tc>
        <w:tc>
          <w:tcPr>
            <w:tcW w:w="1050" w:type="dxa"/>
            <w:vMerge w:val="continue"/>
            <w:tcBorders>
              <w:top w:val="nil"/>
            </w:tcBorders>
            <w:noWrap w:val="0"/>
            <w:vAlign w:val="top"/>
          </w:tcPr>
          <w:p>
            <w:pPr>
              <w:pStyle w:val="117"/>
              <w:spacing w:line="460" w:lineRule="exact"/>
              <w:ind w:left="928"/>
              <w:jc w:val="center"/>
              <w:rPr>
                <w:rFonts w:hint="eastAsia"/>
                <w:sz w:val="22"/>
                <w:szCs w:val="22"/>
              </w:rPr>
            </w:pPr>
          </w:p>
        </w:tc>
        <w:tc>
          <w:tcPr>
            <w:tcW w:w="3556" w:type="dxa"/>
            <w:noWrap w:val="0"/>
            <w:vAlign w:val="top"/>
          </w:tcPr>
          <w:p>
            <w:pPr>
              <w:pStyle w:val="117"/>
              <w:spacing w:line="460" w:lineRule="exact"/>
              <w:jc w:val="center"/>
              <w:rPr>
                <w:rFonts w:hint="eastAsia"/>
                <w:sz w:val="22"/>
                <w:szCs w:val="22"/>
              </w:rPr>
            </w:pPr>
            <w:r>
              <w:rPr>
                <w:rFonts w:hint="eastAsia"/>
                <w:sz w:val="22"/>
                <w:szCs w:val="22"/>
              </w:rPr>
              <w:t>消防工程</w:t>
            </w:r>
          </w:p>
        </w:tc>
        <w:tc>
          <w:tcPr>
            <w:tcW w:w="924" w:type="dxa"/>
            <w:noWrap w:val="0"/>
            <w:vAlign w:val="top"/>
          </w:tcPr>
          <w:p>
            <w:pPr>
              <w:pStyle w:val="117"/>
              <w:spacing w:line="460" w:lineRule="exact"/>
              <w:jc w:val="center"/>
              <w:rPr>
                <w:rFonts w:hint="eastAsia"/>
                <w:sz w:val="22"/>
                <w:szCs w:val="22"/>
              </w:rPr>
            </w:pPr>
            <w:r>
              <w:rPr>
                <w:rFonts w:hint="eastAsia"/>
                <w:sz w:val="22"/>
                <w:szCs w:val="22"/>
              </w:rPr>
              <w:t>1</w:t>
            </w:r>
          </w:p>
        </w:tc>
        <w:tc>
          <w:tcPr>
            <w:tcW w:w="949" w:type="dxa"/>
            <w:noWrap w:val="0"/>
            <w:vAlign w:val="top"/>
          </w:tcPr>
          <w:p>
            <w:pPr>
              <w:pStyle w:val="117"/>
              <w:spacing w:line="460" w:lineRule="exact"/>
              <w:jc w:val="center"/>
              <w:rPr>
                <w:rFonts w:hint="eastAsia"/>
                <w:sz w:val="22"/>
                <w:szCs w:val="22"/>
              </w:rPr>
            </w:pPr>
            <w:r>
              <w:rPr>
                <w:rFonts w:hint="eastAsia"/>
                <w:sz w:val="22"/>
                <w:szCs w:val="22"/>
              </w:rPr>
              <w:t>项</w:t>
            </w:r>
          </w:p>
        </w:tc>
        <w:tc>
          <w:tcPr>
            <w:tcW w:w="2318" w:type="dxa"/>
            <w:vMerge w:val="continue"/>
            <w:noWrap w:val="0"/>
            <w:vAlign w:val="top"/>
          </w:tcPr>
          <w:p>
            <w:pPr>
              <w:pStyle w:val="117"/>
              <w:spacing w:line="460" w:lineRule="exact"/>
              <w:ind w:left="928"/>
              <w:jc w:val="center"/>
              <w:rPr>
                <w:rFonts w:hint="eastAsia"/>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wBefore w:w="0" w:type="auto"/>
          <w:wAfter w:w="0" w:type="auto"/>
          <w:trHeight w:val="90" w:hRule="atLeast"/>
        </w:trPr>
        <w:tc>
          <w:tcPr>
            <w:tcW w:w="861" w:type="dxa"/>
            <w:vMerge w:val="continue"/>
            <w:tcBorders>
              <w:top w:val="nil"/>
            </w:tcBorders>
            <w:noWrap w:val="0"/>
            <w:vAlign w:val="top"/>
          </w:tcPr>
          <w:p>
            <w:pPr>
              <w:pStyle w:val="117"/>
              <w:spacing w:line="460" w:lineRule="exact"/>
              <w:ind w:left="928"/>
              <w:jc w:val="center"/>
              <w:rPr>
                <w:rFonts w:hint="eastAsia"/>
                <w:sz w:val="22"/>
                <w:szCs w:val="22"/>
              </w:rPr>
            </w:pPr>
          </w:p>
        </w:tc>
        <w:tc>
          <w:tcPr>
            <w:tcW w:w="1050" w:type="dxa"/>
            <w:vMerge w:val="continue"/>
            <w:tcBorders>
              <w:top w:val="nil"/>
            </w:tcBorders>
            <w:noWrap w:val="0"/>
            <w:vAlign w:val="top"/>
          </w:tcPr>
          <w:p>
            <w:pPr>
              <w:pStyle w:val="117"/>
              <w:spacing w:line="460" w:lineRule="exact"/>
              <w:ind w:left="928"/>
              <w:jc w:val="center"/>
              <w:rPr>
                <w:rFonts w:hint="eastAsia"/>
                <w:sz w:val="22"/>
                <w:szCs w:val="22"/>
              </w:rPr>
            </w:pPr>
          </w:p>
        </w:tc>
        <w:tc>
          <w:tcPr>
            <w:tcW w:w="3556" w:type="dxa"/>
            <w:noWrap w:val="0"/>
            <w:vAlign w:val="top"/>
          </w:tcPr>
          <w:p>
            <w:pPr>
              <w:pStyle w:val="117"/>
              <w:spacing w:line="460" w:lineRule="exact"/>
              <w:jc w:val="center"/>
              <w:rPr>
                <w:rFonts w:hint="eastAsia"/>
                <w:sz w:val="22"/>
                <w:szCs w:val="22"/>
              </w:rPr>
            </w:pPr>
            <w:r>
              <w:rPr>
                <w:rFonts w:hint="eastAsia"/>
                <w:sz w:val="22"/>
                <w:szCs w:val="22"/>
              </w:rPr>
              <w:t>安全防范系统及管理中心</w:t>
            </w:r>
          </w:p>
        </w:tc>
        <w:tc>
          <w:tcPr>
            <w:tcW w:w="924" w:type="dxa"/>
            <w:noWrap w:val="0"/>
            <w:vAlign w:val="top"/>
          </w:tcPr>
          <w:p>
            <w:pPr>
              <w:pStyle w:val="117"/>
              <w:spacing w:line="460" w:lineRule="exact"/>
              <w:jc w:val="center"/>
              <w:rPr>
                <w:rFonts w:hint="eastAsia"/>
                <w:sz w:val="22"/>
                <w:szCs w:val="22"/>
              </w:rPr>
            </w:pPr>
            <w:r>
              <w:rPr>
                <w:rFonts w:hint="eastAsia"/>
                <w:sz w:val="22"/>
                <w:szCs w:val="22"/>
              </w:rPr>
              <w:t>1</w:t>
            </w:r>
          </w:p>
        </w:tc>
        <w:tc>
          <w:tcPr>
            <w:tcW w:w="949" w:type="dxa"/>
            <w:noWrap w:val="0"/>
            <w:vAlign w:val="top"/>
          </w:tcPr>
          <w:p>
            <w:pPr>
              <w:pStyle w:val="117"/>
              <w:spacing w:line="460" w:lineRule="exact"/>
              <w:jc w:val="center"/>
              <w:rPr>
                <w:rFonts w:hint="eastAsia"/>
                <w:sz w:val="22"/>
                <w:szCs w:val="22"/>
              </w:rPr>
            </w:pPr>
            <w:r>
              <w:rPr>
                <w:rFonts w:hint="eastAsia"/>
                <w:sz w:val="22"/>
                <w:szCs w:val="22"/>
              </w:rPr>
              <w:t>项</w:t>
            </w:r>
          </w:p>
        </w:tc>
        <w:tc>
          <w:tcPr>
            <w:tcW w:w="2318" w:type="dxa"/>
            <w:vMerge w:val="continue"/>
            <w:noWrap w:val="0"/>
            <w:vAlign w:val="top"/>
          </w:tcPr>
          <w:p>
            <w:pPr>
              <w:pStyle w:val="117"/>
              <w:spacing w:line="460" w:lineRule="exact"/>
              <w:ind w:left="928"/>
              <w:jc w:val="center"/>
              <w:rPr>
                <w:rFonts w:hint="eastAsia"/>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wBefore w:w="0" w:type="auto"/>
          <w:wAfter w:w="0" w:type="auto"/>
          <w:trHeight w:val="90" w:hRule="atLeast"/>
        </w:trPr>
        <w:tc>
          <w:tcPr>
            <w:tcW w:w="861" w:type="dxa"/>
            <w:vMerge w:val="continue"/>
            <w:tcBorders>
              <w:top w:val="nil"/>
            </w:tcBorders>
            <w:noWrap w:val="0"/>
            <w:vAlign w:val="top"/>
          </w:tcPr>
          <w:p>
            <w:pPr>
              <w:pStyle w:val="117"/>
              <w:spacing w:line="460" w:lineRule="exact"/>
              <w:ind w:left="928"/>
              <w:jc w:val="center"/>
              <w:rPr>
                <w:rFonts w:hint="eastAsia"/>
                <w:sz w:val="22"/>
                <w:szCs w:val="22"/>
              </w:rPr>
            </w:pPr>
          </w:p>
        </w:tc>
        <w:tc>
          <w:tcPr>
            <w:tcW w:w="1050" w:type="dxa"/>
            <w:vMerge w:val="continue"/>
            <w:tcBorders>
              <w:top w:val="nil"/>
            </w:tcBorders>
            <w:noWrap w:val="0"/>
            <w:vAlign w:val="top"/>
          </w:tcPr>
          <w:p>
            <w:pPr>
              <w:pStyle w:val="117"/>
              <w:spacing w:line="460" w:lineRule="exact"/>
              <w:ind w:left="928"/>
              <w:jc w:val="center"/>
              <w:rPr>
                <w:rFonts w:hint="eastAsia"/>
                <w:sz w:val="22"/>
                <w:szCs w:val="22"/>
              </w:rPr>
            </w:pPr>
          </w:p>
        </w:tc>
        <w:tc>
          <w:tcPr>
            <w:tcW w:w="3556" w:type="dxa"/>
            <w:noWrap w:val="0"/>
            <w:vAlign w:val="top"/>
          </w:tcPr>
          <w:p>
            <w:pPr>
              <w:pStyle w:val="117"/>
              <w:spacing w:line="460" w:lineRule="exact"/>
              <w:jc w:val="center"/>
              <w:rPr>
                <w:rFonts w:hint="eastAsia"/>
                <w:sz w:val="22"/>
                <w:szCs w:val="22"/>
              </w:rPr>
            </w:pPr>
            <w:r>
              <w:rPr>
                <w:rFonts w:hint="eastAsia"/>
                <w:sz w:val="22"/>
                <w:szCs w:val="22"/>
              </w:rPr>
              <w:t>机房搬迁</w:t>
            </w:r>
          </w:p>
        </w:tc>
        <w:tc>
          <w:tcPr>
            <w:tcW w:w="924" w:type="dxa"/>
            <w:noWrap w:val="0"/>
            <w:vAlign w:val="top"/>
          </w:tcPr>
          <w:p>
            <w:pPr>
              <w:pStyle w:val="117"/>
              <w:spacing w:line="460" w:lineRule="exact"/>
              <w:jc w:val="center"/>
              <w:rPr>
                <w:rFonts w:hint="eastAsia"/>
                <w:sz w:val="22"/>
                <w:szCs w:val="22"/>
              </w:rPr>
            </w:pPr>
            <w:r>
              <w:rPr>
                <w:rFonts w:hint="eastAsia"/>
                <w:sz w:val="22"/>
                <w:szCs w:val="22"/>
              </w:rPr>
              <w:t>1</w:t>
            </w:r>
          </w:p>
        </w:tc>
        <w:tc>
          <w:tcPr>
            <w:tcW w:w="949" w:type="dxa"/>
            <w:noWrap w:val="0"/>
            <w:vAlign w:val="top"/>
          </w:tcPr>
          <w:p>
            <w:pPr>
              <w:pStyle w:val="117"/>
              <w:spacing w:line="460" w:lineRule="exact"/>
              <w:jc w:val="center"/>
              <w:rPr>
                <w:rFonts w:hint="eastAsia"/>
                <w:sz w:val="22"/>
                <w:szCs w:val="22"/>
              </w:rPr>
            </w:pPr>
            <w:r>
              <w:rPr>
                <w:rFonts w:hint="eastAsia"/>
                <w:sz w:val="22"/>
                <w:szCs w:val="22"/>
              </w:rPr>
              <w:t>项</w:t>
            </w:r>
          </w:p>
        </w:tc>
        <w:tc>
          <w:tcPr>
            <w:tcW w:w="2318" w:type="dxa"/>
            <w:vMerge w:val="continue"/>
            <w:noWrap w:val="0"/>
            <w:vAlign w:val="top"/>
          </w:tcPr>
          <w:p>
            <w:pPr>
              <w:pStyle w:val="117"/>
              <w:spacing w:line="460" w:lineRule="exact"/>
              <w:ind w:left="928"/>
              <w:jc w:val="center"/>
              <w:rPr>
                <w:rFonts w:hint="eastAsia"/>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wBefore w:w="0" w:type="auto"/>
          <w:wAfter w:w="0" w:type="auto"/>
          <w:trHeight w:val="90" w:hRule="atLeast"/>
        </w:trPr>
        <w:tc>
          <w:tcPr>
            <w:tcW w:w="861" w:type="dxa"/>
            <w:noWrap w:val="0"/>
            <w:vAlign w:val="top"/>
          </w:tcPr>
          <w:p>
            <w:pPr>
              <w:pStyle w:val="117"/>
              <w:spacing w:line="460" w:lineRule="exact"/>
              <w:jc w:val="center"/>
              <w:rPr>
                <w:rFonts w:hint="eastAsia"/>
                <w:sz w:val="22"/>
                <w:szCs w:val="22"/>
              </w:rPr>
            </w:pPr>
            <w:r>
              <w:rPr>
                <w:rFonts w:hint="eastAsia"/>
                <w:sz w:val="22"/>
                <w:szCs w:val="22"/>
              </w:rPr>
              <w:t>3</w:t>
            </w:r>
          </w:p>
        </w:tc>
        <w:tc>
          <w:tcPr>
            <w:tcW w:w="4606" w:type="dxa"/>
            <w:gridSpan w:val="2"/>
            <w:noWrap w:val="0"/>
            <w:vAlign w:val="top"/>
          </w:tcPr>
          <w:p>
            <w:pPr>
              <w:pStyle w:val="117"/>
              <w:spacing w:line="460" w:lineRule="exact"/>
              <w:jc w:val="center"/>
              <w:rPr>
                <w:rFonts w:hint="eastAsia"/>
                <w:sz w:val="22"/>
                <w:szCs w:val="22"/>
              </w:rPr>
            </w:pPr>
            <w:r>
              <w:rPr>
                <w:rFonts w:hint="eastAsia"/>
                <w:sz w:val="22"/>
                <w:szCs w:val="22"/>
              </w:rPr>
              <w:t>机房信息系统安全防护</w:t>
            </w:r>
          </w:p>
        </w:tc>
        <w:tc>
          <w:tcPr>
            <w:tcW w:w="924" w:type="dxa"/>
            <w:noWrap w:val="0"/>
            <w:vAlign w:val="top"/>
          </w:tcPr>
          <w:p>
            <w:pPr>
              <w:pStyle w:val="117"/>
              <w:spacing w:line="460" w:lineRule="exact"/>
              <w:jc w:val="center"/>
              <w:rPr>
                <w:rFonts w:hint="eastAsia"/>
                <w:sz w:val="22"/>
                <w:szCs w:val="22"/>
              </w:rPr>
            </w:pPr>
            <w:r>
              <w:rPr>
                <w:rFonts w:hint="eastAsia"/>
                <w:sz w:val="22"/>
                <w:szCs w:val="22"/>
              </w:rPr>
              <w:t>1</w:t>
            </w:r>
          </w:p>
        </w:tc>
        <w:tc>
          <w:tcPr>
            <w:tcW w:w="949" w:type="dxa"/>
            <w:noWrap w:val="0"/>
            <w:vAlign w:val="top"/>
          </w:tcPr>
          <w:p>
            <w:pPr>
              <w:pStyle w:val="117"/>
              <w:spacing w:line="460" w:lineRule="exact"/>
              <w:jc w:val="center"/>
              <w:rPr>
                <w:rFonts w:hint="eastAsia"/>
                <w:sz w:val="22"/>
                <w:szCs w:val="22"/>
              </w:rPr>
            </w:pPr>
            <w:r>
              <w:rPr>
                <w:rFonts w:hint="eastAsia"/>
                <w:sz w:val="22"/>
                <w:szCs w:val="22"/>
              </w:rPr>
              <w:t>项</w:t>
            </w:r>
          </w:p>
        </w:tc>
        <w:tc>
          <w:tcPr>
            <w:tcW w:w="2318" w:type="dxa"/>
            <w:noWrap w:val="0"/>
            <w:vAlign w:val="top"/>
          </w:tcPr>
          <w:p>
            <w:pPr>
              <w:pStyle w:val="117"/>
              <w:spacing w:line="460" w:lineRule="exact"/>
              <w:jc w:val="center"/>
              <w:rPr>
                <w:rFonts w:hint="eastAsia"/>
                <w:sz w:val="22"/>
                <w:szCs w:val="22"/>
              </w:rPr>
            </w:pPr>
            <w:r>
              <w:rPr>
                <w:rFonts w:hint="eastAsia"/>
                <w:sz w:val="22"/>
                <w:szCs w:val="22"/>
              </w:rPr>
              <w:t>三年质保（特殊除外）</w:t>
            </w:r>
          </w:p>
        </w:tc>
      </w:tr>
    </w:tbl>
    <w:p>
      <w:pPr>
        <w:pStyle w:val="117"/>
        <w:spacing w:line="460" w:lineRule="exact"/>
        <w:rPr>
          <w:b/>
          <w:bCs/>
          <w:sz w:val="22"/>
          <w:szCs w:val="22"/>
          <w:lang w:val="en-US"/>
        </w:rPr>
      </w:pPr>
      <w:r>
        <w:rPr>
          <w:rFonts w:hint="eastAsia"/>
          <w:b/>
          <w:bCs/>
          <w:sz w:val="22"/>
          <w:szCs w:val="22"/>
          <w:lang w:val="en-US"/>
        </w:rPr>
        <w:t>2、具体技术要求</w:t>
      </w:r>
    </w:p>
    <w:p>
      <w:pPr>
        <w:pStyle w:val="117"/>
        <w:spacing w:line="460" w:lineRule="exact"/>
        <w:rPr>
          <w:rFonts w:hint="eastAsia"/>
          <w:sz w:val="22"/>
          <w:szCs w:val="22"/>
        </w:rPr>
      </w:pPr>
      <w:r>
        <w:rPr>
          <w:rFonts w:hint="eastAsia"/>
          <w:sz w:val="22"/>
          <w:szCs w:val="22"/>
          <w:lang w:val="en-US"/>
        </w:rPr>
        <w:t>2.1、</w:t>
      </w:r>
      <w:r>
        <w:rPr>
          <w:rFonts w:hint="eastAsia"/>
          <w:sz w:val="22"/>
          <w:szCs w:val="22"/>
        </w:rPr>
        <w:t>机房基础环境装修</w:t>
      </w:r>
      <w:bookmarkStart w:id="16" w:name="_TOC_250001"/>
    </w:p>
    <w:p>
      <w:pPr>
        <w:pStyle w:val="117"/>
        <w:spacing w:line="460" w:lineRule="exact"/>
        <w:rPr>
          <w:rFonts w:hint="eastAsia"/>
          <w:sz w:val="22"/>
          <w:szCs w:val="22"/>
        </w:rPr>
      </w:pPr>
      <w:r>
        <w:rPr>
          <w:rFonts w:hint="eastAsia"/>
          <w:sz w:val="22"/>
          <w:szCs w:val="22"/>
          <w:lang w:val="en-US"/>
        </w:rPr>
        <w:t>2.1.1、建筑</w:t>
      </w:r>
    </w:p>
    <w:tbl>
      <w:tblPr>
        <w:tblStyle w:val="43"/>
        <w:tblW w:w="9638"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0" w:type="dxa"/>
          <w:bottom w:w="0" w:type="dxa"/>
          <w:right w:w="0" w:type="dxa"/>
        </w:tblCellMar>
      </w:tblPr>
      <w:tblGrid>
        <w:gridCol w:w="856"/>
        <w:gridCol w:w="1068"/>
        <w:gridCol w:w="6043"/>
        <w:gridCol w:w="788"/>
        <w:gridCol w:w="883"/>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序号</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项目名称</w:t>
            </w:r>
          </w:p>
        </w:tc>
        <w:tc>
          <w:tcPr>
            <w:tcW w:w="6136"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项目特征</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计量</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单位</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工程量</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砌筑工程</w:t>
            </w:r>
          </w:p>
        </w:tc>
        <w:tc>
          <w:tcPr>
            <w:tcW w:w="6136" w:type="dxa"/>
            <w:shd w:val="clear" w:color="auto" w:fill="FFFFFF"/>
            <w:noWrap w:val="0"/>
            <w:tcMar>
              <w:top w:w="10" w:type="dxa"/>
              <w:left w:w="10" w:type="dxa"/>
              <w:right w:w="10" w:type="dxa"/>
            </w:tcMar>
            <w:vAlign w:val="center"/>
          </w:tcPr>
          <w:p>
            <w:pPr>
              <w:jc w:val="left"/>
              <w:rPr>
                <w:rFonts w:hint="eastAsia" w:ascii="宋体" w:hAnsi="宋体" w:cs="宋体"/>
                <w:color w:val="000000"/>
                <w:sz w:val="22"/>
                <w:szCs w:val="22"/>
              </w:rPr>
            </w:pPr>
          </w:p>
        </w:tc>
        <w:tc>
          <w:tcPr>
            <w:tcW w:w="800"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887"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砌块墙</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1、240厚水泥标准砖；</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2、M7.5水泥砂浆砌筑。</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m3</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35.56</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门窗工程</w:t>
            </w:r>
          </w:p>
        </w:tc>
        <w:tc>
          <w:tcPr>
            <w:tcW w:w="6136" w:type="dxa"/>
            <w:shd w:val="clear" w:color="auto" w:fill="FFFFFF"/>
            <w:noWrap w:val="0"/>
            <w:tcMar>
              <w:top w:w="10" w:type="dxa"/>
              <w:left w:w="10" w:type="dxa"/>
              <w:right w:w="10" w:type="dxa"/>
            </w:tcMar>
            <w:vAlign w:val="center"/>
          </w:tcPr>
          <w:p>
            <w:pPr>
              <w:jc w:val="left"/>
              <w:rPr>
                <w:rFonts w:hint="eastAsia" w:ascii="宋体" w:hAnsi="宋体" w:cs="宋体"/>
                <w:color w:val="000000"/>
                <w:sz w:val="22"/>
                <w:szCs w:val="22"/>
              </w:rPr>
            </w:pPr>
          </w:p>
        </w:tc>
        <w:tc>
          <w:tcPr>
            <w:tcW w:w="800"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887"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木质门</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实木平开门：</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1.洞口尺寸1000*2200；</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2.含门套、门锁及其他五金、配件等；</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3、隐蔽木结构部分表面必须涂刷一级饰面型防火涂料。</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樘</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9</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3</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木质门</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实木平开门：</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1.洞口尺寸1200*2200；</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2.含门套、门锁及其他五金、配件等；</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3、隐蔽木结构部分表面必须涂刷一级饰面型防火涂料。</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樘</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4</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木质门</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实木平开门：</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1.洞口尺寸600*2200；</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2.含门套、门锁及其他五金、配件等；</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3、隐蔽木结构部分表面必须涂刷一级饰面型防火涂料。</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樘</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5</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木质门</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甲级防火门：</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1.洞口尺寸1580*2200；</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2.含门套、门锁及其他五金、配件等；</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3、隐蔽木结构部分表面必须涂刷一级饰面型防火涂料。</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樘</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6</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木质门</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甲级防火门：</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1.洞口尺寸1000*2200；</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2.含门套、门锁及其他五金、配件等；</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3、隐蔽木结构部分表面必须涂刷一级饰面型防火涂料。</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樘</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7</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全玻自由门</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防火玻璃双开门：</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1、洞口尺寸1500*2200；</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2、玻璃采用防火玻璃。</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樘</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8</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全玻自由门</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玻璃移门：</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1、门洞尺寸2160*2700；</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2、玻璃采用15厚钢化玻璃</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樘</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9</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石材窗台板</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1、大理石20厚窗台板。</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4.14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10</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暗门</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暗门：</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1、门洞尺寸为1000*2200；</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2、含门套、门锁及其他五金、配件等；</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3、饰面板同木饰面背景墙。</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樘</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楼地面装饰工程</w:t>
            </w:r>
          </w:p>
        </w:tc>
        <w:tc>
          <w:tcPr>
            <w:tcW w:w="6136" w:type="dxa"/>
            <w:shd w:val="clear" w:color="auto" w:fill="FFFFFF"/>
            <w:noWrap w:val="0"/>
            <w:tcMar>
              <w:top w:w="10" w:type="dxa"/>
              <w:left w:w="10" w:type="dxa"/>
              <w:right w:w="10" w:type="dxa"/>
            </w:tcMar>
            <w:vAlign w:val="center"/>
          </w:tcPr>
          <w:p>
            <w:pPr>
              <w:jc w:val="left"/>
              <w:rPr>
                <w:rFonts w:hint="eastAsia" w:ascii="宋体" w:hAnsi="宋体" w:cs="宋体"/>
                <w:color w:val="000000"/>
                <w:sz w:val="22"/>
                <w:szCs w:val="22"/>
              </w:rPr>
            </w:pPr>
          </w:p>
        </w:tc>
        <w:tc>
          <w:tcPr>
            <w:tcW w:w="800"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887"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11</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保温隔热楼地面</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1、20厚B级橡塑保温材料</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68.53</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12</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石材楼地面</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1、中国黑大理石 20厚；</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 20厚1：:2.5水泥砂浆，表面撒适量水泥粉末压平整，表面撒水泥粉；</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2.06</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13</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块料楼地面</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1、米白色大理石地砖600*600；</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 20厚1:3水泥砂浆，表面撒适量水泥粉末压平整，表面撒水泥粉；</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65.70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14</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竹、木（复合）地板</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1、强化复合地板；</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2、20厚1:3水泥砂浆找平 ；</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3、刷水泥浆一道（内掺建筑胶）；</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196.02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15</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防静电活动地板</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1、防静电地板；</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2、20水泥砂浆找平；</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339.47</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16</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石材踢脚线</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1、100mm高黑色大理石踢脚线。</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19.42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17</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金属踢脚线</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1、100mm高黑钛金不锈钢踢脚线。</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14.50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墙、柱面装饰与隔断、幕墙工程</w:t>
            </w:r>
          </w:p>
        </w:tc>
        <w:tc>
          <w:tcPr>
            <w:tcW w:w="6136" w:type="dxa"/>
            <w:shd w:val="clear" w:color="auto" w:fill="FFFFFF"/>
            <w:noWrap w:val="0"/>
            <w:tcMar>
              <w:top w:w="10" w:type="dxa"/>
              <w:left w:w="10" w:type="dxa"/>
              <w:right w:w="10" w:type="dxa"/>
            </w:tcMar>
            <w:vAlign w:val="center"/>
          </w:tcPr>
          <w:p>
            <w:pPr>
              <w:jc w:val="left"/>
              <w:rPr>
                <w:rFonts w:hint="eastAsia" w:ascii="宋体" w:hAnsi="宋体" w:cs="宋体"/>
                <w:color w:val="000000"/>
                <w:sz w:val="22"/>
                <w:szCs w:val="22"/>
              </w:rPr>
            </w:pPr>
          </w:p>
        </w:tc>
        <w:tc>
          <w:tcPr>
            <w:tcW w:w="800"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887"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18</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墙面一般抹灰</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1、内墙墙面20厚水泥砂浆抹灰；</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228.59</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19</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墙面装饰板</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1、墙面彩钢板；</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2、75主龙骨，钢龙骨。</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134.21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20</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墙面装饰板</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窗户封堵：</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1、窗户玻璃贴膜；</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2、窗户采用12厚石膏板封堵。</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52.49</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21</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墙面装饰板</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铝塑板墙面：</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1、15厚细木工板基层；</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2、铝塑板墙面。</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218.23</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22</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金属隔断</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120厚轻钢龙骨隔断：</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1、竖龙骨C100型 壁厚1.0mm 间距400 横向C100龙骨 壁厚1.0mm 贯穿龙骨1.0mm；</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2、双面封12厚防潮石膏板；</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3、板缝贴胶带、点锈；</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4、详见图纸。</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55.68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23</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玻璃隔断</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玻璃隔断：</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1、双面12mm防火玻璃，铝合金包边。</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99.35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24</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玻璃隔断</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1、铝合金边框，18厚防爆钢化玻璃。</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11.77</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天棚工程</w:t>
            </w:r>
          </w:p>
        </w:tc>
        <w:tc>
          <w:tcPr>
            <w:tcW w:w="6136" w:type="dxa"/>
            <w:shd w:val="clear" w:color="auto" w:fill="FFFFFF"/>
            <w:noWrap w:val="0"/>
            <w:tcMar>
              <w:top w:w="10" w:type="dxa"/>
              <w:left w:w="10" w:type="dxa"/>
              <w:right w:w="10" w:type="dxa"/>
            </w:tcMar>
            <w:vAlign w:val="center"/>
          </w:tcPr>
          <w:p>
            <w:pPr>
              <w:jc w:val="left"/>
              <w:rPr>
                <w:rFonts w:hint="eastAsia" w:ascii="宋体" w:hAnsi="宋体" w:cs="宋体"/>
                <w:color w:val="000000"/>
                <w:sz w:val="22"/>
                <w:szCs w:val="22"/>
              </w:rPr>
            </w:pPr>
          </w:p>
        </w:tc>
        <w:tc>
          <w:tcPr>
            <w:tcW w:w="800"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887"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25</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天棚抹灰</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1、素水泥浆一道甩毛（内掺建筑胶）；</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2、天棚抹灰找平。</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452.13</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26</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吊顶天棚</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1、轻钢龙骨纸面石膏板吊顶，龙骨规格：U50上人型龙骨；</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2、单层石膏板吊顶，厚度为12mm；</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3、板缝贴胶带、点锈。</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244.63</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27</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吊顶天棚</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1、轻钢龙骨纸面侧面石膏板吊顶，龙骨规格：U50上人型龙骨；</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2、单层石膏板吊顶，厚度为12mm；</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3、板缝贴胶带、点锈。</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46.25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28</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吊顶天棚</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1、轻钢龙骨成品装饰木吊顶，龙骨规格：U50上人型龙骨；</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2、成品装饰木面板；</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14.70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29</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吊顶天棚</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1、铝扣板（600*600）；</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2、龙骨规格：主龙骨：U50上人型龙骨。</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285.40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油漆、涂料、裱糊工程</w:t>
            </w:r>
          </w:p>
        </w:tc>
        <w:tc>
          <w:tcPr>
            <w:tcW w:w="6136" w:type="dxa"/>
            <w:shd w:val="clear" w:color="auto" w:fill="FFFFFF"/>
            <w:noWrap w:val="0"/>
            <w:tcMar>
              <w:top w:w="10" w:type="dxa"/>
              <w:left w:w="10" w:type="dxa"/>
              <w:right w:w="10" w:type="dxa"/>
            </w:tcMar>
            <w:vAlign w:val="center"/>
          </w:tcPr>
          <w:p>
            <w:pPr>
              <w:jc w:val="left"/>
              <w:rPr>
                <w:rFonts w:hint="eastAsia" w:ascii="宋体" w:hAnsi="宋体" w:cs="宋体"/>
                <w:color w:val="000000"/>
                <w:sz w:val="22"/>
                <w:szCs w:val="22"/>
              </w:rPr>
            </w:pPr>
          </w:p>
        </w:tc>
        <w:tc>
          <w:tcPr>
            <w:tcW w:w="800"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887"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30</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抹灰面油漆</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涂防静电漆三遍。</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658.04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31</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墙面喷刷涂料</w:t>
            </w:r>
          </w:p>
        </w:tc>
        <w:tc>
          <w:tcPr>
            <w:tcW w:w="6136" w:type="dxa"/>
            <w:shd w:val="clear" w:color="auto" w:fill="FFFFFF"/>
            <w:noWrap w:val="0"/>
            <w:tcMar>
              <w:top w:w="10" w:type="dxa"/>
              <w:left w:w="10" w:type="dxa"/>
              <w:right w:w="10" w:type="dxa"/>
            </w:tcMar>
            <w:vAlign w:val="center"/>
          </w:tcPr>
          <w:p>
            <w:pPr>
              <w:widowControl/>
              <w:textAlignment w:val="center"/>
              <w:rPr>
                <w:rFonts w:hint="eastAsia" w:ascii="宋体" w:hAnsi="宋体" w:cs="宋体"/>
                <w:color w:val="000000"/>
                <w:sz w:val="22"/>
                <w:szCs w:val="22"/>
              </w:rPr>
            </w:pPr>
            <w:r>
              <w:rPr>
                <w:rFonts w:hint="eastAsia" w:ascii="宋体" w:hAnsi="宋体" w:cs="宋体"/>
                <w:color w:val="000000"/>
                <w:sz w:val="22"/>
                <w:szCs w:val="22"/>
              </w:rPr>
              <w:t>内墙乳胶漆：（其中主机房需使用防火漆）</w:t>
            </w:r>
            <w:r>
              <w:rPr>
                <w:rFonts w:hint="eastAsia" w:ascii="宋体" w:hAnsi="宋体" w:cs="宋体"/>
                <w:color w:val="000000"/>
                <w:sz w:val="22"/>
                <w:szCs w:val="22"/>
              </w:rPr>
              <w:br w:type="textWrapping"/>
            </w:r>
            <w:r>
              <w:rPr>
                <w:rFonts w:hint="eastAsia" w:ascii="宋体" w:hAnsi="宋体" w:cs="宋体"/>
                <w:color w:val="000000"/>
                <w:sz w:val="22"/>
                <w:szCs w:val="22"/>
              </w:rPr>
              <w:t>1、腻子粉刮二遍；</w:t>
            </w:r>
            <w:r>
              <w:rPr>
                <w:rFonts w:hint="eastAsia" w:ascii="宋体" w:hAnsi="宋体" w:cs="宋体"/>
                <w:color w:val="000000"/>
                <w:sz w:val="22"/>
                <w:szCs w:val="22"/>
              </w:rPr>
              <w:br w:type="textWrapping"/>
            </w:r>
            <w:r>
              <w:rPr>
                <w:rFonts w:hint="eastAsia" w:ascii="宋体" w:hAnsi="宋体" w:cs="宋体"/>
                <w:color w:val="000000"/>
                <w:sz w:val="22"/>
                <w:szCs w:val="22"/>
              </w:rPr>
              <w:t>2、乳胶漆三遍。</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sz w:val="22"/>
                <w:szCs w:val="22"/>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sz w:val="22"/>
                <w:szCs w:val="22"/>
              </w:rPr>
              <w:t>686.92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32</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天棚喷刷涂料</w:t>
            </w:r>
          </w:p>
        </w:tc>
        <w:tc>
          <w:tcPr>
            <w:tcW w:w="6136" w:type="dxa"/>
            <w:shd w:val="clear" w:color="auto" w:fill="FFFFFF"/>
            <w:noWrap w:val="0"/>
            <w:tcMar>
              <w:top w:w="10" w:type="dxa"/>
              <w:left w:w="10" w:type="dxa"/>
              <w:right w:w="10" w:type="dxa"/>
            </w:tcMar>
            <w:vAlign w:val="center"/>
          </w:tcPr>
          <w:p>
            <w:pPr>
              <w:widowControl/>
              <w:textAlignment w:val="center"/>
              <w:rPr>
                <w:rFonts w:hint="eastAsia" w:ascii="宋体" w:hAnsi="宋体" w:cs="宋体"/>
                <w:color w:val="000000"/>
                <w:sz w:val="22"/>
                <w:szCs w:val="22"/>
              </w:rPr>
            </w:pPr>
            <w:r>
              <w:rPr>
                <w:rFonts w:hint="eastAsia" w:ascii="宋体" w:hAnsi="宋体" w:cs="宋体"/>
                <w:color w:val="000000"/>
                <w:sz w:val="22"/>
                <w:szCs w:val="22"/>
              </w:rPr>
              <w:t>天棚石膏板乳胶漆：（其中主机房需使用防火漆）</w:t>
            </w:r>
            <w:r>
              <w:rPr>
                <w:rFonts w:hint="eastAsia" w:ascii="宋体" w:hAnsi="宋体" w:cs="宋体"/>
                <w:color w:val="000000"/>
                <w:sz w:val="22"/>
                <w:szCs w:val="22"/>
              </w:rPr>
              <w:br w:type="textWrapping"/>
            </w:r>
            <w:r>
              <w:rPr>
                <w:rFonts w:hint="eastAsia" w:ascii="宋体" w:hAnsi="宋体" w:cs="宋体"/>
                <w:color w:val="000000"/>
                <w:sz w:val="22"/>
                <w:szCs w:val="22"/>
              </w:rPr>
              <w:t>1、腻子粉刮二遍；</w:t>
            </w:r>
            <w:r>
              <w:rPr>
                <w:rFonts w:hint="eastAsia" w:ascii="宋体" w:hAnsi="宋体" w:cs="宋体"/>
                <w:color w:val="000000"/>
                <w:sz w:val="22"/>
                <w:szCs w:val="22"/>
              </w:rPr>
              <w:br w:type="textWrapping"/>
            </w:r>
            <w:r>
              <w:rPr>
                <w:rFonts w:hint="eastAsia" w:ascii="宋体" w:hAnsi="宋体" w:cs="宋体"/>
                <w:color w:val="000000"/>
                <w:sz w:val="22"/>
                <w:szCs w:val="22"/>
              </w:rPr>
              <w:t>2、乳胶漆三遍。</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sz w:val="22"/>
                <w:szCs w:val="22"/>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sz w:val="22"/>
                <w:szCs w:val="22"/>
              </w:rPr>
              <w:t>290.88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其他装饰工程</w:t>
            </w:r>
          </w:p>
        </w:tc>
        <w:tc>
          <w:tcPr>
            <w:tcW w:w="6136" w:type="dxa"/>
            <w:shd w:val="clear" w:color="auto" w:fill="FFFFFF"/>
            <w:noWrap w:val="0"/>
            <w:tcMar>
              <w:top w:w="10" w:type="dxa"/>
              <w:left w:w="10" w:type="dxa"/>
              <w:right w:w="10" w:type="dxa"/>
            </w:tcMar>
            <w:vAlign w:val="center"/>
          </w:tcPr>
          <w:p>
            <w:pPr>
              <w:jc w:val="left"/>
              <w:rPr>
                <w:rFonts w:hint="eastAsia" w:ascii="宋体" w:hAnsi="宋体" w:cs="宋体"/>
                <w:color w:val="000000"/>
                <w:sz w:val="22"/>
                <w:szCs w:val="22"/>
              </w:rPr>
            </w:pPr>
          </w:p>
        </w:tc>
        <w:tc>
          <w:tcPr>
            <w:tcW w:w="800"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887"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33</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柜子</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定制文件资料柜（5.04m*2.4m）</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组</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34</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设备置物架</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黑色冷轧钢，4层置物架，长2米，宽60CM，高2米</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套</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35</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带玻璃门设备柜</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带玻璃门设备柜，4层，定制</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套</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36</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文件柜</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办公室文件柜（1755mm*2400mm）</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组</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37</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衣柜</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定制衣柜(3660mm*2400mm)</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组</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38</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衣柜</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定制衣柜(1755mm*2400mm)</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组</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39</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衣柜</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定制衣柜(2020mm*2400mm)</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组</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40</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衣柜</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定制衣柜(3950mm*2400mm)</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组</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拆除工程</w:t>
            </w:r>
          </w:p>
        </w:tc>
        <w:tc>
          <w:tcPr>
            <w:tcW w:w="6136" w:type="dxa"/>
            <w:shd w:val="clear" w:color="auto" w:fill="FFFFFF"/>
            <w:noWrap w:val="0"/>
            <w:tcMar>
              <w:top w:w="10" w:type="dxa"/>
              <w:left w:w="10" w:type="dxa"/>
              <w:right w:w="10" w:type="dxa"/>
            </w:tcMar>
            <w:vAlign w:val="center"/>
          </w:tcPr>
          <w:p>
            <w:pPr>
              <w:jc w:val="left"/>
              <w:rPr>
                <w:rFonts w:hint="eastAsia" w:ascii="宋体" w:hAnsi="宋体" w:cs="宋体"/>
                <w:color w:val="000000"/>
                <w:sz w:val="22"/>
                <w:szCs w:val="22"/>
              </w:rPr>
            </w:pPr>
          </w:p>
        </w:tc>
        <w:tc>
          <w:tcPr>
            <w:tcW w:w="800"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887"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41</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砖砌体拆除</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1、黏土实心墙拆除</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m3</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18.16</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42</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楼地面龙骨及饰面拆除</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1、复合地板拆除</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497.81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43</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楼地面龙骨及饰面拆除</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1、防静电地板拆除</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88.37</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44</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墙柱面龙骨及饰面拆除</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1、墙面彩钢板拆除</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219.43</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45</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天棚面龙骨及饰面拆除</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1、硅酸钙板吊顶拆除</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497.81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46</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天棚面龙骨及饰面拆除</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1、铝扣板吊顶拆除</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88.37</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47</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天棚面龙骨及饰面拆除</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石膏板吊顶零星拆除及修补</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1、石膏板吊顶拆除</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2、石膏板修补</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3、板缝贴胶带、点锈</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20.00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48</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金属门窗拆除</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1、现场窗户拆除</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7.78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70"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49</w:t>
            </w:r>
          </w:p>
        </w:tc>
        <w:tc>
          <w:tcPr>
            <w:tcW w:w="1082"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建筑垃圾外运费及清理费</w:t>
            </w:r>
          </w:p>
        </w:tc>
        <w:tc>
          <w:tcPr>
            <w:tcW w:w="6136"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建筑垃圾外运及消纳、施工完毕清理费等费用，一次包干。</w:t>
            </w:r>
          </w:p>
        </w:tc>
        <w:tc>
          <w:tcPr>
            <w:tcW w:w="800"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项</w:t>
            </w:r>
          </w:p>
        </w:tc>
        <w:tc>
          <w:tcPr>
            <w:tcW w:w="88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bl>
    <w:p>
      <w:pPr>
        <w:rPr>
          <w:rFonts w:hint="eastAsia" w:ascii="宋体" w:hAnsi="宋体" w:cs="宋体"/>
          <w:sz w:val="22"/>
          <w:szCs w:val="22"/>
        </w:rPr>
      </w:pPr>
      <w:r>
        <w:rPr>
          <w:rFonts w:hint="eastAsia" w:ascii="宋体" w:hAnsi="宋体" w:cs="宋体"/>
          <w:sz w:val="22"/>
          <w:szCs w:val="22"/>
        </w:rPr>
        <w:t>2.1.2、加固工程</w:t>
      </w:r>
    </w:p>
    <w:tbl>
      <w:tblPr>
        <w:tblStyle w:val="43"/>
        <w:tblW w:w="9638"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0" w:type="dxa"/>
          <w:bottom w:w="0" w:type="dxa"/>
          <w:right w:w="0" w:type="dxa"/>
        </w:tblCellMar>
      </w:tblPr>
      <w:tblGrid>
        <w:gridCol w:w="818"/>
        <w:gridCol w:w="1061"/>
        <w:gridCol w:w="6101"/>
        <w:gridCol w:w="789"/>
        <w:gridCol w:w="869"/>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1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序号</w:t>
            </w:r>
          </w:p>
        </w:tc>
        <w:tc>
          <w:tcPr>
            <w:tcW w:w="106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项目名称</w:t>
            </w:r>
          </w:p>
        </w:tc>
        <w:tc>
          <w:tcPr>
            <w:tcW w:w="610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项目特征</w:t>
            </w:r>
          </w:p>
        </w:tc>
        <w:tc>
          <w:tcPr>
            <w:tcW w:w="78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计量</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单位</w:t>
            </w:r>
          </w:p>
        </w:tc>
        <w:tc>
          <w:tcPr>
            <w:tcW w:w="86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工程量</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18"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106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拆除工程</w:t>
            </w:r>
          </w:p>
        </w:tc>
        <w:tc>
          <w:tcPr>
            <w:tcW w:w="6101" w:type="dxa"/>
            <w:shd w:val="clear" w:color="auto" w:fill="FFFFFF"/>
            <w:noWrap w:val="0"/>
            <w:tcMar>
              <w:top w:w="10" w:type="dxa"/>
              <w:left w:w="10" w:type="dxa"/>
              <w:right w:w="10" w:type="dxa"/>
            </w:tcMar>
            <w:vAlign w:val="center"/>
          </w:tcPr>
          <w:p>
            <w:pPr>
              <w:jc w:val="left"/>
              <w:rPr>
                <w:rFonts w:hint="eastAsia" w:ascii="宋体" w:hAnsi="宋体" w:cs="宋体"/>
                <w:color w:val="000000"/>
                <w:sz w:val="22"/>
                <w:szCs w:val="22"/>
              </w:rPr>
            </w:pPr>
          </w:p>
        </w:tc>
        <w:tc>
          <w:tcPr>
            <w:tcW w:w="789"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869"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1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c>
          <w:tcPr>
            <w:tcW w:w="106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砖砌体拆除</w:t>
            </w:r>
          </w:p>
        </w:tc>
        <w:tc>
          <w:tcPr>
            <w:tcW w:w="6101"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1、黏土实心墙拆除</w:t>
            </w:r>
          </w:p>
        </w:tc>
        <w:tc>
          <w:tcPr>
            <w:tcW w:w="78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m3</w:t>
            </w:r>
          </w:p>
        </w:tc>
        <w:tc>
          <w:tcPr>
            <w:tcW w:w="86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4.28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18"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106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砌筑工程</w:t>
            </w:r>
          </w:p>
        </w:tc>
        <w:tc>
          <w:tcPr>
            <w:tcW w:w="6101" w:type="dxa"/>
            <w:shd w:val="clear" w:color="auto" w:fill="FFFFFF"/>
            <w:noWrap w:val="0"/>
            <w:tcMar>
              <w:top w:w="10" w:type="dxa"/>
              <w:left w:w="10" w:type="dxa"/>
              <w:right w:w="10" w:type="dxa"/>
            </w:tcMar>
            <w:vAlign w:val="center"/>
          </w:tcPr>
          <w:p>
            <w:pPr>
              <w:jc w:val="left"/>
              <w:rPr>
                <w:rFonts w:hint="eastAsia" w:ascii="宋体" w:hAnsi="宋体" w:cs="宋体"/>
                <w:color w:val="000000"/>
                <w:sz w:val="22"/>
                <w:szCs w:val="22"/>
              </w:rPr>
            </w:pPr>
          </w:p>
        </w:tc>
        <w:tc>
          <w:tcPr>
            <w:tcW w:w="789"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869"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1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w:t>
            </w:r>
          </w:p>
        </w:tc>
        <w:tc>
          <w:tcPr>
            <w:tcW w:w="106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砌块墙</w:t>
            </w:r>
          </w:p>
        </w:tc>
        <w:tc>
          <w:tcPr>
            <w:tcW w:w="6101"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1、水泥标准砖、240厚；</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2、M7.5水泥砂浆砌筑。</w:t>
            </w:r>
          </w:p>
        </w:tc>
        <w:tc>
          <w:tcPr>
            <w:tcW w:w="78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m3</w:t>
            </w:r>
          </w:p>
        </w:tc>
        <w:tc>
          <w:tcPr>
            <w:tcW w:w="86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2.41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18"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106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门窗工程</w:t>
            </w:r>
          </w:p>
        </w:tc>
        <w:tc>
          <w:tcPr>
            <w:tcW w:w="6101" w:type="dxa"/>
            <w:shd w:val="clear" w:color="auto" w:fill="FFFFFF"/>
            <w:noWrap w:val="0"/>
            <w:tcMar>
              <w:top w:w="10" w:type="dxa"/>
              <w:left w:w="10" w:type="dxa"/>
              <w:right w:w="10" w:type="dxa"/>
            </w:tcMar>
            <w:vAlign w:val="center"/>
          </w:tcPr>
          <w:p>
            <w:pPr>
              <w:jc w:val="left"/>
              <w:rPr>
                <w:rFonts w:hint="eastAsia" w:ascii="宋体" w:hAnsi="宋体" w:cs="宋体"/>
                <w:color w:val="000000"/>
                <w:sz w:val="22"/>
                <w:szCs w:val="22"/>
              </w:rPr>
            </w:pPr>
          </w:p>
        </w:tc>
        <w:tc>
          <w:tcPr>
            <w:tcW w:w="789"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869"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1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3</w:t>
            </w:r>
          </w:p>
        </w:tc>
        <w:tc>
          <w:tcPr>
            <w:tcW w:w="106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金属（塑钢、断桥）窗</w:t>
            </w:r>
          </w:p>
        </w:tc>
        <w:tc>
          <w:tcPr>
            <w:tcW w:w="6101"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1、利用原窗户安装。</w:t>
            </w:r>
          </w:p>
        </w:tc>
        <w:tc>
          <w:tcPr>
            <w:tcW w:w="78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6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7.78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18"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106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混凝土工程</w:t>
            </w:r>
          </w:p>
        </w:tc>
        <w:tc>
          <w:tcPr>
            <w:tcW w:w="6101" w:type="dxa"/>
            <w:shd w:val="clear" w:color="auto" w:fill="FFFFFF"/>
            <w:noWrap w:val="0"/>
            <w:tcMar>
              <w:top w:w="10" w:type="dxa"/>
              <w:left w:w="10" w:type="dxa"/>
              <w:right w:w="10" w:type="dxa"/>
            </w:tcMar>
            <w:vAlign w:val="center"/>
          </w:tcPr>
          <w:p>
            <w:pPr>
              <w:jc w:val="left"/>
              <w:rPr>
                <w:rFonts w:hint="eastAsia" w:ascii="宋体" w:hAnsi="宋体" w:cs="宋体"/>
                <w:color w:val="000000"/>
                <w:sz w:val="22"/>
                <w:szCs w:val="22"/>
              </w:rPr>
            </w:pPr>
          </w:p>
        </w:tc>
        <w:tc>
          <w:tcPr>
            <w:tcW w:w="789"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869"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1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4</w:t>
            </w:r>
          </w:p>
        </w:tc>
        <w:tc>
          <w:tcPr>
            <w:tcW w:w="106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扶手、压顶</w:t>
            </w:r>
          </w:p>
        </w:tc>
        <w:tc>
          <w:tcPr>
            <w:tcW w:w="6101"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1、现浇混凝土 扶手、压顶^非泵送商品混凝土 C15</w:t>
            </w:r>
          </w:p>
        </w:tc>
        <w:tc>
          <w:tcPr>
            <w:tcW w:w="78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m3</w:t>
            </w:r>
          </w:p>
        </w:tc>
        <w:tc>
          <w:tcPr>
            <w:tcW w:w="86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0.25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1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5</w:t>
            </w:r>
          </w:p>
        </w:tc>
        <w:tc>
          <w:tcPr>
            <w:tcW w:w="106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圈梁</w:t>
            </w:r>
          </w:p>
        </w:tc>
        <w:tc>
          <w:tcPr>
            <w:tcW w:w="6101"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1、现浇混凝土小型构件 复合模板</w:t>
            </w:r>
          </w:p>
        </w:tc>
        <w:tc>
          <w:tcPr>
            <w:tcW w:w="78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6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2.11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18"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106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墙面工程</w:t>
            </w:r>
          </w:p>
        </w:tc>
        <w:tc>
          <w:tcPr>
            <w:tcW w:w="6101" w:type="dxa"/>
            <w:shd w:val="clear" w:color="auto" w:fill="FFFFFF"/>
            <w:noWrap w:val="0"/>
            <w:tcMar>
              <w:top w:w="10" w:type="dxa"/>
              <w:left w:w="10" w:type="dxa"/>
              <w:right w:w="10" w:type="dxa"/>
            </w:tcMar>
            <w:vAlign w:val="center"/>
          </w:tcPr>
          <w:p>
            <w:pPr>
              <w:jc w:val="left"/>
              <w:rPr>
                <w:rFonts w:hint="eastAsia" w:ascii="宋体" w:hAnsi="宋体" w:cs="宋体"/>
                <w:color w:val="000000"/>
                <w:sz w:val="22"/>
                <w:szCs w:val="22"/>
              </w:rPr>
            </w:pPr>
          </w:p>
        </w:tc>
        <w:tc>
          <w:tcPr>
            <w:tcW w:w="789"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869"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1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6</w:t>
            </w:r>
          </w:p>
        </w:tc>
        <w:tc>
          <w:tcPr>
            <w:tcW w:w="106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抹灰面油漆</w:t>
            </w:r>
          </w:p>
        </w:tc>
        <w:tc>
          <w:tcPr>
            <w:tcW w:w="6101"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1、新砌墙体内侧抹灰；</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2、墙面刷乳胶漆。</w:t>
            </w:r>
          </w:p>
        </w:tc>
        <w:tc>
          <w:tcPr>
            <w:tcW w:w="78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6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10.04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1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7</w:t>
            </w:r>
          </w:p>
        </w:tc>
        <w:tc>
          <w:tcPr>
            <w:tcW w:w="106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抹灰面油漆</w:t>
            </w:r>
          </w:p>
        </w:tc>
        <w:tc>
          <w:tcPr>
            <w:tcW w:w="6101"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1、外墙20厚水泥砂浆抹灰；</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2、外墙真石漆。</w:t>
            </w:r>
          </w:p>
        </w:tc>
        <w:tc>
          <w:tcPr>
            <w:tcW w:w="78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m2</w:t>
            </w:r>
          </w:p>
        </w:tc>
        <w:tc>
          <w:tcPr>
            <w:tcW w:w="86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15.57</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18"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106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加固工程</w:t>
            </w:r>
          </w:p>
        </w:tc>
        <w:tc>
          <w:tcPr>
            <w:tcW w:w="6101" w:type="dxa"/>
            <w:shd w:val="clear" w:color="auto" w:fill="FFFFFF"/>
            <w:noWrap w:val="0"/>
            <w:tcMar>
              <w:top w:w="10" w:type="dxa"/>
              <w:left w:w="10" w:type="dxa"/>
              <w:right w:w="10" w:type="dxa"/>
            </w:tcMar>
            <w:vAlign w:val="center"/>
          </w:tcPr>
          <w:p>
            <w:pPr>
              <w:jc w:val="left"/>
              <w:rPr>
                <w:rFonts w:hint="eastAsia" w:ascii="宋体" w:hAnsi="宋体" w:cs="宋体"/>
                <w:color w:val="000000"/>
                <w:sz w:val="22"/>
                <w:szCs w:val="22"/>
              </w:rPr>
            </w:pPr>
          </w:p>
        </w:tc>
        <w:tc>
          <w:tcPr>
            <w:tcW w:w="789"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869"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1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8</w:t>
            </w:r>
          </w:p>
        </w:tc>
        <w:tc>
          <w:tcPr>
            <w:tcW w:w="106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现浇构件钢筋</w:t>
            </w:r>
          </w:p>
        </w:tc>
        <w:tc>
          <w:tcPr>
            <w:tcW w:w="6101"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现浇构件 圆钢 HPB300 综合</w:t>
            </w:r>
          </w:p>
        </w:tc>
        <w:tc>
          <w:tcPr>
            <w:tcW w:w="78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t</w:t>
            </w:r>
          </w:p>
        </w:tc>
        <w:tc>
          <w:tcPr>
            <w:tcW w:w="86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0.518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1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9</w:t>
            </w:r>
          </w:p>
        </w:tc>
        <w:tc>
          <w:tcPr>
            <w:tcW w:w="106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现浇构件钢筋</w:t>
            </w:r>
          </w:p>
        </w:tc>
        <w:tc>
          <w:tcPr>
            <w:tcW w:w="6101"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现浇构件 螺纹钢 HRB400</w:t>
            </w:r>
          </w:p>
        </w:tc>
        <w:tc>
          <w:tcPr>
            <w:tcW w:w="78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t</w:t>
            </w:r>
          </w:p>
        </w:tc>
        <w:tc>
          <w:tcPr>
            <w:tcW w:w="86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1.848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1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10</w:t>
            </w:r>
          </w:p>
        </w:tc>
        <w:tc>
          <w:tcPr>
            <w:tcW w:w="106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钢支架</w:t>
            </w:r>
          </w:p>
        </w:tc>
        <w:tc>
          <w:tcPr>
            <w:tcW w:w="6101"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1、机柜下方搭设整体散力架。</w:t>
            </w:r>
          </w:p>
        </w:tc>
        <w:tc>
          <w:tcPr>
            <w:tcW w:w="78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t</w:t>
            </w:r>
          </w:p>
        </w:tc>
        <w:tc>
          <w:tcPr>
            <w:tcW w:w="86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1.037</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1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11</w:t>
            </w:r>
          </w:p>
        </w:tc>
        <w:tc>
          <w:tcPr>
            <w:tcW w:w="106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现浇混凝土梁截面增大</w:t>
            </w:r>
          </w:p>
        </w:tc>
        <w:tc>
          <w:tcPr>
            <w:tcW w:w="6101"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原有梁截面增大：旧混凝土面凿毛，高强灌浆料浇筑。</w:t>
            </w:r>
          </w:p>
        </w:tc>
        <w:tc>
          <w:tcPr>
            <w:tcW w:w="78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m3</w:t>
            </w:r>
          </w:p>
        </w:tc>
        <w:tc>
          <w:tcPr>
            <w:tcW w:w="86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1.32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1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12</w:t>
            </w:r>
          </w:p>
        </w:tc>
        <w:tc>
          <w:tcPr>
            <w:tcW w:w="106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现浇混凝土叠合加厚板</w:t>
            </w:r>
          </w:p>
        </w:tc>
        <w:tc>
          <w:tcPr>
            <w:tcW w:w="6101"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楼板板面加高50mm，采用高强灌浆料。</w:t>
            </w:r>
          </w:p>
        </w:tc>
        <w:tc>
          <w:tcPr>
            <w:tcW w:w="78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m3</w:t>
            </w:r>
          </w:p>
        </w:tc>
        <w:tc>
          <w:tcPr>
            <w:tcW w:w="86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5.89</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1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13</w:t>
            </w:r>
          </w:p>
        </w:tc>
        <w:tc>
          <w:tcPr>
            <w:tcW w:w="106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植筋</w:t>
            </w:r>
          </w:p>
        </w:tc>
        <w:tc>
          <w:tcPr>
            <w:tcW w:w="6101"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φ8以内</w:t>
            </w:r>
          </w:p>
        </w:tc>
        <w:tc>
          <w:tcPr>
            <w:tcW w:w="78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根</w:t>
            </w:r>
          </w:p>
        </w:tc>
        <w:tc>
          <w:tcPr>
            <w:tcW w:w="86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1639</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1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14</w:t>
            </w:r>
          </w:p>
        </w:tc>
        <w:tc>
          <w:tcPr>
            <w:tcW w:w="106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植筋</w:t>
            </w:r>
          </w:p>
        </w:tc>
        <w:tc>
          <w:tcPr>
            <w:tcW w:w="6101"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φ18以内</w:t>
            </w:r>
          </w:p>
        </w:tc>
        <w:tc>
          <w:tcPr>
            <w:tcW w:w="78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根</w:t>
            </w:r>
          </w:p>
        </w:tc>
        <w:tc>
          <w:tcPr>
            <w:tcW w:w="86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70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1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15</w:t>
            </w:r>
          </w:p>
        </w:tc>
        <w:tc>
          <w:tcPr>
            <w:tcW w:w="1061"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植筋</w:t>
            </w:r>
          </w:p>
        </w:tc>
        <w:tc>
          <w:tcPr>
            <w:tcW w:w="6101" w:type="dxa"/>
            <w:shd w:val="clear" w:color="auto" w:fill="FFFFFF"/>
            <w:noWrap w:val="0"/>
            <w:tcMar>
              <w:top w:w="10" w:type="dxa"/>
              <w:left w:w="10" w:type="dxa"/>
              <w:right w:w="10" w:type="dxa"/>
            </w:tcMar>
            <w:vAlign w:val="center"/>
          </w:tcPr>
          <w:p>
            <w:pPr>
              <w:widowControl/>
              <w:jc w:val="left"/>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φ20以内</w:t>
            </w:r>
          </w:p>
        </w:tc>
        <w:tc>
          <w:tcPr>
            <w:tcW w:w="78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根</w:t>
            </w:r>
          </w:p>
        </w:tc>
        <w:tc>
          <w:tcPr>
            <w:tcW w:w="869"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32</w:t>
            </w:r>
          </w:p>
        </w:tc>
      </w:tr>
    </w:tbl>
    <w:p>
      <w:pPr>
        <w:rPr>
          <w:rFonts w:hint="eastAsia" w:ascii="宋体" w:hAnsi="宋体" w:cs="宋体"/>
          <w:sz w:val="22"/>
          <w:szCs w:val="22"/>
        </w:rPr>
      </w:pPr>
      <w:r>
        <w:rPr>
          <w:rFonts w:hint="eastAsia" w:ascii="宋体" w:hAnsi="宋体" w:cs="宋体"/>
          <w:sz w:val="22"/>
          <w:szCs w:val="22"/>
        </w:rPr>
        <w:t>2.1.3、安装</w:t>
      </w:r>
    </w:p>
    <w:tbl>
      <w:tblPr>
        <w:tblStyle w:val="43"/>
        <w:tblW w:w="9638"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807"/>
        <w:gridCol w:w="1058"/>
        <w:gridCol w:w="6113"/>
        <w:gridCol w:w="815"/>
        <w:gridCol w:w="845"/>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vMerge w:val="restart"/>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序号</w:t>
            </w:r>
          </w:p>
        </w:tc>
        <w:tc>
          <w:tcPr>
            <w:tcW w:w="1058" w:type="dxa"/>
            <w:vMerge w:val="restart"/>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项目名称</w:t>
            </w:r>
          </w:p>
        </w:tc>
        <w:tc>
          <w:tcPr>
            <w:tcW w:w="6113" w:type="dxa"/>
            <w:vMerge w:val="restart"/>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项目特征</w:t>
            </w:r>
          </w:p>
        </w:tc>
        <w:tc>
          <w:tcPr>
            <w:tcW w:w="815" w:type="dxa"/>
            <w:vMerge w:val="restart"/>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计量</w:t>
            </w:r>
          </w:p>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单位</w:t>
            </w:r>
          </w:p>
        </w:tc>
        <w:tc>
          <w:tcPr>
            <w:tcW w:w="845" w:type="dxa"/>
            <w:vMerge w:val="restart"/>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工程量</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vMerge w:val="continue"/>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1058" w:type="dxa"/>
            <w:vMerge w:val="continue"/>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6113" w:type="dxa"/>
            <w:vMerge w:val="continue"/>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815" w:type="dxa"/>
            <w:vMerge w:val="continue"/>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845" w:type="dxa"/>
            <w:vMerge w:val="continue"/>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p>
        </w:tc>
        <w:tc>
          <w:tcPr>
            <w:tcW w:w="6113"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r>
              <w:rPr>
                <w:rFonts w:hint="eastAsia" w:ascii="宋体" w:hAnsi="宋体" w:cs="宋体"/>
                <w:color w:val="000000"/>
                <w:kern w:val="0"/>
                <w:sz w:val="22"/>
                <w:szCs w:val="22"/>
                <w:lang w:bidi="ar"/>
              </w:rPr>
              <w:t>四层技术设备间+资料室</w:t>
            </w:r>
          </w:p>
        </w:tc>
        <w:tc>
          <w:tcPr>
            <w:tcW w:w="815"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845"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普通灯具</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36W LED吸顶灯</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套</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普通灯具</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96W LED吸顶灯</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套</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9638" w:type="dxa"/>
            <w:gridSpan w:val="5"/>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r>
              <w:rPr>
                <w:rFonts w:hint="eastAsia" w:ascii="宋体" w:hAnsi="宋体" w:cs="宋体"/>
                <w:color w:val="000000"/>
                <w:kern w:val="0"/>
                <w:sz w:val="22"/>
                <w:szCs w:val="22"/>
                <w:lang w:bidi="ar"/>
              </w:rPr>
              <w:t>四层主机房一</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3</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照明开关</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单联双控开关</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4</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插座</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5孔插座 86型</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5</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插座</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空调插座</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6</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普通灯具</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LED嵌入式格栅灯 1200*600mm</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套</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7</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空调器</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5P VRV空调  一拖二（主机房一、主机房二各1）</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台</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9638" w:type="dxa"/>
            <w:gridSpan w:val="5"/>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r>
              <w:rPr>
                <w:rFonts w:hint="eastAsia" w:ascii="宋体" w:hAnsi="宋体" w:cs="宋体"/>
                <w:color w:val="000000"/>
                <w:kern w:val="0"/>
                <w:sz w:val="22"/>
                <w:szCs w:val="22"/>
                <w:lang w:bidi="ar"/>
              </w:rPr>
              <w:t>四层主机房二</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8</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照明开关</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单联双控开关</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9</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插座</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5孔插座 86型</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10</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插座</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空调插座</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11</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普通灯具</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LED嵌入式格栅灯 1200*600</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套</w:t>
            </w:r>
          </w:p>
        </w:tc>
        <w:tc>
          <w:tcPr>
            <w:tcW w:w="845" w:type="dxa"/>
            <w:shd w:val="clear" w:color="auto" w:fill="FFFFFF"/>
            <w:noWrap w:val="0"/>
            <w:tcMar>
              <w:top w:w="10" w:type="dxa"/>
              <w:left w:w="10" w:type="dxa"/>
              <w:right w:w="10" w:type="dxa"/>
            </w:tcMar>
            <w:vAlign w:val="center"/>
          </w:tcPr>
          <w:p>
            <w:pPr>
              <w:widowControl/>
              <w:snapToGrid w:val="0"/>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10</w:t>
            </w:r>
          </w:p>
          <w:p>
            <w:pPr>
              <w:widowControl/>
              <w:jc w:val="center"/>
              <w:textAlignment w:val="center"/>
              <w:rPr>
                <w:rFonts w:hint="eastAsia" w:ascii="宋体" w:hAnsi="宋体" w:cs="宋体"/>
                <w:color w:val="000000"/>
                <w:sz w:val="22"/>
                <w:szCs w:val="22"/>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9638" w:type="dxa"/>
            <w:gridSpan w:val="5"/>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r>
              <w:rPr>
                <w:rFonts w:hint="eastAsia" w:ascii="宋体" w:hAnsi="宋体" w:cs="宋体"/>
                <w:color w:val="000000"/>
                <w:kern w:val="0"/>
                <w:sz w:val="22"/>
                <w:szCs w:val="22"/>
                <w:lang w:bidi="ar"/>
              </w:rPr>
              <w:t>四层机房管理中心</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12</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照明开关</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单联双控开关</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13</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插座</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5孔插座 86型</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14</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普通灯具</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LED嵌入式格栅灯 1200*600</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套</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四层走廊</w:t>
            </w:r>
          </w:p>
        </w:tc>
        <w:tc>
          <w:tcPr>
            <w:tcW w:w="6113"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815"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845"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16</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LED线条灯</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LED线条灯</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123.23</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17</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照明开关</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单联双控开关</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18</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装饰灯</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嵌入式筒灯</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套</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9638" w:type="dxa"/>
            <w:gridSpan w:val="5"/>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r>
              <w:rPr>
                <w:rFonts w:hint="eastAsia" w:ascii="宋体" w:hAnsi="宋体" w:cs="宋体"/>
                <w:color w:val="000000"/>
                <w:kern w:val="0"/>
                <w:sz w:val="22"/>
                <w:szCs w:val="22"/>
                <w:lang w:bidi="ar"/>
              </w:rPr>
              <w:t>四层接待室</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19</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照明开关</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单联双控开关</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20</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插座</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5孔插座 86型</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21</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普通灯具</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96W LED吸顶灯</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套</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9638" w:type="dxa"/>
            <w:gridSpan w:val="5"/>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r>
              <w:rPr>
                <w:rFonts w:hint="eastAsia" w:ascii="宋体" w:hAnsi="宋体" w:cs="宋体"/>
                <w:color w:val="000000"/>
                <w:kern w:val="0"/>
                <w:sz w:val="22"/>
                <w:szCs w:val="22"/>
                <w:lang w:bidi="ar"/>
              </w:rPr>
              <w:t>四层值班备勤室</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22</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照明开关</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单联双控开关</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23</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插座</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5孔插座 86型</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24</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插座</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16A空调插座</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25</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普通灯具</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96W LED吸顶灯</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套</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9638" w:type="dxa"/>
            <w:gridSpan w:val="5"/>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r>
              <w:rPr>
                <w:rFonts w:hint="eastAsia" w:ascii="宋体" w:hAnsi="宋体" w:cs="宋体"/>
                <w:color w:val="000000"/>
                <w:kern w:val="0"/>
                <w:sz w:val="22"/>
                <w:szCs w:val="22"/>
                <w:lang w:bidi="ar"/>
              </w:rPr>
              <w:t>四层女值勤室</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26</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照明开关</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单联双控开关</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27</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插座</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5孔插座 86型</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28</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插座</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16A空调插座</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29</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普通灯具</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36W LED吸顶灯</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套</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配电间</w:t>
            </w:r>
          </w:p>
        </w:tc>
        <w:tc>
          <w:tcPr>
            <w:tcW w:w="6113"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815"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c>
          <w:tcPr>
            <w:tcW w:w="845" w:type="dxa"/>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30</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照明开关</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单联双控开关</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31</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插座</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5孔插座 86型</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32</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普通灯具</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LED嵌入式格栅灯 1200*600</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套</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6</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33</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墙面开孔</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墙面开孔费及零星修补费</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项</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9638" w:type="dxa"/>
            <w:gridSpan w:val="5"/>
            <w:shd w:val="clear" w:color="auto" w:fill="FFFFFF"/>
            <w:noWrap w:val="0"/>
            <w:tcMar>
              <w:top w:w="10" w:type="dxa"/>
              <w:left w:w="10" w:type="dxa"/>
              <w:right w:w="10" w:type="dxa"/>
            </w:tcMar>
            <w:vAlign w:val="center"/>
          </w:tcPr>
          <w:p>
            <w:pPr>
              <w:jc w:val="center"/>
              <w:rPr>
                <w:rFonts w:hint="eastAsia" w:ascii="宋体" w:hAnsi="宋体" w:cs="宋体"/>
                <w:color w:val="000000"/>
                <w:sz w:val="22"/>
                <w:szCs w:val="22"/>
              </w:rPr>
            </w:pPr>
            <w:r>
              <w:rPr>
                <w:rFonts w:hint="eastAsia" w:ascii="宋体" w:hAnsi="宋体" w:cs="宋体"/>
                <w:color w:val="000000"/>
                <w:kern w:val="0"/>
                <w:sz w:val="22"/>
                <w:szCs w:val="22"/>
                <w:lang w:bidi="ar"/>
              </w:rPr>
              <w:t>五层机房改造</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ind w:firstLine="220" w:firstLineChars="100"/>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34</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配管</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砖、混凝土结构暗配JDG管 公称直径（mm）25</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m</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229.34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ind w:firstLine="220" w:firstLineChars="100"/>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35</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双绞线缆</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双绞线缆 管内穿放≤4对</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m</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500.36</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36</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信息插座</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双口信息插座</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37</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信息插座</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单口信息插座</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38</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普通灯具</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36W LED吸顶灯</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39</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普通灯具</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96W LED吸顶灯</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套</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40</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照明开关</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单联双控开关</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41</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插座</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5孔插座 86型</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42</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空调器</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7P直流变频一拖5多联机中央空调</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台</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电缆</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kern w:val="0"/>
                <w:sz w:val="22"/>
                <w:szCs w:val="22"/>
                <w:lang w:bidi="ar"/>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43</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电力电缆</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铜芯电力电缆敷设 YJV-4*185+1*95</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600.00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44</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电力电缆</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铜芯电力电缆敷设 YJV-4*70+1*35</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245.00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45</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电力电缆</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铜芯电力电缆敷设 YJV-4*95+1*50</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15.00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46</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电力电缆</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铜芯电力电缆敷设 WDZB-YJV-3*4</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500.00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47</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电力电缆</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铜芯电力电缆敷设 WDZB-YJV-5*10</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480.00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48</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电力电缆头</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户内干包式电力电缆头制作、安装 干包终端头（1kV以下截面mm2以下）35`10mm2及以下三芯及以上电缆头制安</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49</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电力电缆头</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户内干包式电力电缆头制作、安装 干包终端头（1kV以下截面mm2以下）120</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个</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6</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50</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配管</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砖、混凝土结构明配刚性阻燃管 PC25</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1200.00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51</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桥架</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强电桥架 400*100</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88.00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52</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桥架</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强电桥架 200*100</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4.00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53</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桥架</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弱电桥架 300*100</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65.00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54</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桥架</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弱电桥架 200*100</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22.00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55</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配线</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穿照明线 WDZA-BYJ-2.5</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2700.00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56</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配线</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穿照明线 WDZA-BYJR-2.5</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1251.50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57</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配线</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接地线 BVR-70</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120.00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58</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铁构件</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电缆桥架支撑架安装</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kg</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110.00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59</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金属结构刷油</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桥架支撑架刷防锈漆2道，调和漆2道</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kg</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110.00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7" w:type="dxa"/>
            <w:shd w:val="clear" w:color="auto" w:fill="FFFFFF"/>
            <w:noWrap w:val="0"/>
            <w:tcMar>
              <w:top w:w="10" w:type="dxa"/>
              <w:left w:w="10" w:type="dxa"/>
              <w:right w:w="10" w:type="dxa"/>
            </w:tcMar>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60</w:t>
            </w:r>
          </w:p>
        </w:tc>
        <w:tc>
          <w:tcPr>
            <w:tcW w:w="1058"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配管</w:t>
            </w:r>
          </w:p>
        </w:tc>
        <w:tc>
          <w:tcPr>
            <w:tcW w:w="6113"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2*PE100塑料管地埋敷设，泥浆外运运距自行考虑。</w:t>
            </w:r>
          </w:p>
        </w:tc>
        <w:tc>
          <w:tcPr>
            <w:tcW w:w="81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m</w:t>
            </w:r>
          </w:p>
        </w:tc>
        <w:tc>
          <w:tcPr>
            <w:tcW w:w="845" w:type="dxa"/>
            <w:shd w:val="clear" w:color="auto" w:fill="FFFFFF"/>
            <w:noWrap w:val="0"/>
            <w:tcMar>
              <w:top w:w="10" w:type="dxa"/>
              <w:left w:w="10" w:type="dxa"/>
              <w:right w:w="10" w:type="dxa"/>
            </w:tcMar>
            <w:vAlign w:val="center"/>
          </w:tcPr>
          <w:p>
            <w:pPr>
              <w:widowControl/>
              <w:jc w:val="center"/>
              <w:textAlignment w:val="center"/>
              <w:rPr>
                <w:rFonts w:hint="eastAsia" w:ascii="宋体" w:hAnsi="宋体" w:cs="宋体"/>
                <w:color w:val="000000"/>
                <w:sz w:val="22"/>
                <w:szCs w:val="22"/>
              </w:rPr>
            </w:pPr>
            <w:r>
              <w:rPr>
                <w:rFonts w:hint="eastAsia" w:ascii="宋体" w:hAnsi="宋体" w:cs="宋体"/>
                <w:color w:val="000000"/>
                <w:kern w:val="0"/>
                <w:sz w:val="22"/>
                <w:szCs w:val="22"/>
                <w:lang w:bidi="ar"/>
              </w:rPr>
              <w:t>275.00</w:t>
            </w:r>
          </w:p>
        </w:tc>
      </w:tr>
    </w:tbl>
    <w:p>
      <w:pPr>
        <w:pStyle w:val="117"/>
        <w:spacing w:before="37" w:line="460" w:lineRule="exact"/>
        <w:rPr>
          <w:rFonts w:hint="eastAsia"/>
          <w:bCs/>
          <w:sz w:val="22"/>
          <w:szCs w:val="22"/>
          <w:lang w:val="en-US"/>
        </w:rPr>
      </w:pPr>
      <w:r>
        <w:rPr>
          <w:rFonts w:hint="eastAsia"/>
          <w:bCs/>
          <w:sz w:val="22"/>
          <w:szCs w:val="22"/>
          <w:lang w:val="en-US"/>
        </w:rPr>
        <w:t>2.1.4装修具体要求</w:t>
      </w:r>
    </w:p>
    <w:p>
      <w:pPr>
        <w:pStyle w:val="117"/>
        <w:spacing w:before="37" w:line="460" w:lineRule="exact"/>
        <w:rPr>
          <w:rFonts w:hint="eastAsia"/>
          <w:color w:val="000000"/>
          <w:sz w:val="22"/>
          <w:szCs w:val="22"/>
          <w:lang w:bidi="en-US"/>
        </w:rPr>
      </w:pPr>
      <w:r>
        <w:rPr>
          <w:rFonts w:hint="eastAsia"/>
          <w:color w:val="000000"/>
          <w:sz w:val="22"/>
          <w:szCs w:val="22"/>
          <w:lang w:bidi="en-US"/>
        </w:rPr>
        <w:t>数据中心室内装修设计选用材料的燃烧性能应符合《建筑内部装修设计防火规范》GB50222-2017的相关规定。本次数据中心装修主要针对主机房一二、UPS配电间、机房管理中心、接待室、维修室、技术装备间、走廊、</w:t>
      </w:r>
      <w:r>
        <w:rPr>
          <w:rFonts w:hint="eastAsia"/>
          <w:color w:val="000000"/>
          <w:kern w:val="0"/>
          <w:sz w:val="22"/>
          <w:szCs w:val="22"/>
          <w:lang w:val="en-US" w:bidi="ar"/>
        </w:rPr>
        <w:t>技术设备间</w:t>
      </w:r>
      <w:r>
        <w:rPr>
          <w:rFonts w:hint="eastAsia"/>
          <w:color w:val="000000"/>
          <w:sz w:val="22"/>
          <w:szCs w:val="22"/>
          <w:lang w:bidi="en-US"/>
        </w:rPr>
        <w:t>、科技资料室等区域内部装修，包括地面工程，顶面工程，墙、柱面工程，门窗工程等一系列的配套装修工程。机房装修的建设宗旨：设计要体现出作为重要信息汇聚地的室内空间特点，在充分考虑计算系统、网络、空调、UPS等设备的安全性、先进性的前提下，达到高雅、大方、简朴的风格。</w:t>
      </w:r>
    </w:p>
    <w:p>
      <w:pPr>
        <w:pStyle w:val="147"/>
        <w:numPr>
          <w:ilvl w:val="0"/>
          <w:numId w:val="0"/>
        </w:numPr>
        <w:spacing w:after="120" w:line="460" w:lineRule="exact"/>
        <w:rPr>
          <w:rFonts w:hint="eastAsia" w:ascii="宋体" w:hAnsi="宋体" w:cs="宋体"/>
          <w:color w:val="000000"/>
          <w:sz w:val="22"/>
          <w:szCs w:val="22"/>
        </w:rPr>
      </w:pPr>
      <w:bookmarkStart w:id="17" w:name="_Toc50730563"/>
      <w:bookmarkStart w:id="18" w:name="_Toc48296940"/>
      <w:r>
        <w:rPr>
          <w:rFonts w:hint="eastAsia" w:ascii="宋体" w:hAnsi="宋体" w:cs="宋体"/>
          <w:color w:val="000000"/>
          <w:sz w:val="22"/>
          <w:szCs w:val="22"/>
        </w:rPr>
        <w:t>1）材料的选择</w:t>
      </w:r>
      <w:bookmarkEnd w:id="17"/>
      <w:bookmarkEnd w:id="18"/>
    </w:p>
    <w:p>
      <w:pPr>
        <w:pStyle w:val="166"/>
        <w:spacing w:line="460" w:lineRule="exact"/>
        <w:rPr>
          <w:rFonts w:hint="eastAsia" w:ascii="宋体" w:hAnsi="宋体" w:cs="宋体"/>
          <w:color w:val="000000"/>
          <w:sz w:val="22"/>
          <w:szCs w:val="22"/>
          <w:lang w:bidi="en-US"/>
        </w:rPr>
      </w:pPr>
      <w:r>
        <w:rPr>
          <w:rFonts w:hint="eastAsia" w:ascii="宋体" w:hAnsi="宋体" w:cs="宋体"/>
          <w:color w:val="000000"/>
          <w:sz w:val="22"/>
          <w:szCs w:val="22"/>
          <w:lang w:bidi="en-US"/>
        </w:rPr>
        <w:t>在机房装修选材方面，以自然材质为主，乳胶漆、防尘防静电漆、隔墙、玻璃隔断及其他装修材料设计采用A级装修材料；地面及其他装修材料设计采用A级或B1级装修材料；配电室等动力房间设计采用A级装修材料，材料具有气密性好、不起尘、易清洁、变形小、防静电等特点，设计充分考虑环保和使用因素，有利于工作人员的自身健康。机房内装修的隐蔽工程部分，严格按照国家标准，对隐蔽部分材料采取：</w:t>
      </w:r>
    </w:p>
    <w:p>
      <w:pPr>
        <w:pStyle w:val="166"/>
        <w:numPr>
          <w:ilvl w:val="0"/>
          <w:numId w:val="5"/>
        </w:numPr>
        <w:spacing w:line="460" w:lineRule="exact"/>
        <w:rPr>
          <w:rFonts w:hint="eastAsia" w:ascii="宋体" w:hAnsi="宋体" w:cs="宋体"/>
          <w:color w:val="000000"/>
          <w:sz w:val="22"/>
          <w:szCs w:val="22"/>
          <w:lang w:bidi="en-US"/>
        </w:rPr>
      </w:pPr>
      <w:r>
        <w:rPr>
          <w:rFonts w:hint="eastAsia" w:ascii="宋体" w:hAnsi="宋体" w:cs="宋体"/>
          <w:color w:val="000000"/>
          <w:sz w:val="22"/>
          <w:szCs w:val="22"/>
          <w:lang w:bidi="en-US"/>
        </w:rPr>
        <w:t>墙体部分作防潮处理。</w:t>
      </w:r>
    </w:p>
    <w:p>
      <w:pPr>
        <w:pStyle w:val="166"/>
        <w:numPr>
          <w:ilvl w:val="0"/>
          <w:numId w:val="5"/>
        </w:numPr>
        <w:spacing w:line="460" w:lineRule="exact"/>
        <w:rPr>
          <w:rFonts w:hint="eastAsia" w:ascii="宋体" w:hAnsi="宋体" w:cs="宋体"/>
          <w:color w:val="000000"/>
          <w:sz w:val="22"/>
          <w:szCs w:val="22"/>
          <w:lang w:bidi="en-US"/>
        </w:rPr>
      </w:pPr>
      <w:r>
        <w:rPr>
          <w:rFonts w:hint="eastAsia" w:ascii="宋体" w:hAnsi="宋体" w:cs="宋体"/>
          <w:color w:val="000000"/>
          <w:sz w:val="22"/>
          <w:szCs w:val="22"/>
          <w:lang w:bidi="en-US"/>
        </w:rPr>
        <w:t>部分非阻燃材料涂刷防火涂料。</w:t>
      </w:r>
    </w:p>
    <w:p>
      <w:pPr>
        <w:pStyle w:val="166"/>
        <w:spacing w:line="460" w:lineRule="exact"/>
        <w:rPr>
          <w:rFonts w:hint="eastAsia" w:ascii="宋体" w:hAnsi="宋体" w:cs="宋体"/>
          <w:color w:val="000000"/>
          <w:sz w:val="22"/>
          <w:szCs w:val="22"/>
          <w:lang w:bidi="en-US"/>
        </w:rPr>
      </w:pPr>
      <w:r>
        <w:rPr>
          <w:rFonts w:hint="eastAsia" w:ascii="宋体" w:hAnsi="宋体" w:cs="宋体"/>
          <w:color w:val="000000"/>
          <w:sz w:val="22"/>
          <w:szCs w:val="22"/>
          <w:lang w:bidi="en-US"/>
        </w:rPr>
        <w:t>C、所有隐蔽用材符合机房用材性能指标，做到不起尘、阻燃、绝燃，不会产生静电，牢固耐用且无病虫害发生。</w:t>
      </w:r>
    </w:p>
    <w:p>
      <w:pPr>
        <w:pStyle w:val="147"/>
        <w:numPr>
          <w:ilvl w:val="0"/>
          <w:numId w:val="0"/>
        </w:numPr>
        <w:spacing w:after="120" w:line="460" w:lineRule="exact"/>
        <w:rPr>
          <w:rFonts w:hint="eastAsia" w:ascii="宋体" w:hAnsi="宋体" w:cs="宋体"/>
          <w:color w:val="000000"/>
          <w:sz w:val="22"/>
          <w:szCs w:val="22"/>
        </w:rPr>
      </w:pPr>
      <w:bookmarkStart w:id="19" w:name="_Toc48296941"/>
      <w:bookmarkStart w:id="20" w:name="_Toc50730564"/>
      <w:r>
        <w:rPr>
          <w:rFonts w:hint="eastAsia" w:ascii="宋体" w:hAnsi="宋体" w:cs="宋体"/>
          <w:color w:val="000000"/>
          <w:sz w:val="22"/>
          <w:szCs w:val="22"/>
        </w:rPr>
        <w:t>2）顶面工程</w:t>
      </w:r>
      <w:bookmarkEnd w:id="19"/>
      <w:bookmarkEnd w:id="20"/>
    </w:p>
    <w:p>
      <w:pPr>
        <w:pStyle w:val="131"/>
        <w:spacing w:line="460" w:lineRule="exact"/>
        <w:ind w:left="0" w:firstLine="0"/>
        <w:rPr>
          <w:rFonts w:hint="eastAsia" w:ascii="宋体" w:hAnsi="宋体" w:eastAsia="宋体" w:cs="宋体"/>
          <w:color w:val="000000"/>
          <w:sz w:val="22"/>
          <w:szCs w:val="22"/>
        </w:rPr>
      </w:pPr>
      <w:r>
        <w:rPr>
          <w:rFonts w:hint="eastAsia" w:ascii="宋体" w:hAnsi="宋体" w:eastAsia="宋体" w:cs="宋体"/>
          <w:color w:val="000000"/>
          <w:sz w:val="22"/>
          <w:szCs w:val="22"/>
        </w:rPr>
        <w:t>2.1）主机房一、二、机房管理中心工程</w:t>
      </w:r>
    </w:p>
    <w:p>
      <w:pPr>
        <w:pStyle w:val="158"/>
        <w:snapToGrid w:val="0"/>
        <w:spacing w:line="460" w:lineRule="exact"/>
        <w:ind w:firstLine="0"/>
        <w:rPr>
          <w:rFonts w:hint="eastAsia" w:cs="宋体"/>
          <w:color w:val="000000"/>
          <w:kern w:val="0"/>
          <w:sz w:val="22"/>
          <w:szCs w:val="22"/>
        </w:rPr>
      </w:pPr>
      <w:r>
        <w:rPr>
          <w:rFonts w:hint="eastAsia" w:cs="宋体"/>
          <w:color w:val="000000"/>
          <w:sz w:val="22"/>
          <w:szCs w:val="22"/>
          <w:lang w:bidi="en-US"/>
        </w:rPr>
        <w:t>吊顶选用600*600mm规格的铝扣板作为吊顶的主要安装材料，吊顶采用暗架式安装，可拆卸以便检修吊顶内部设备，考虑机房高度，吊顶安装高度距顶面10mm-20mm并对顶面进行清理、预埋、找平、油漆、保温及吊顶等处理，工艺大样图如下</w:t>
      </w:r>
      <w:r>
        <w:rPr>
          <w:rFonts w:hint="eastAsia" w:cs="宋体"/>
          <w:color w:val="000000"/>
          <w:kern w:val="0"/>
          <w:sz w:val="22"/>
          <w:szCs w:val="22"/>
        </w:rPr>
        <w:t>：</w:t>
      </w:r>
    </w:p>
    <w:p>
      <w:pPr>
        <w:pStyle w:val="158"/>
        <w:snapToGrid w:val="0"/>
        <w:spacing w:line="460" w:lineRule="exact"/>
        <w:ind w:firstLine="0"/>
        <w:rPr>
          <w:rFonts w:hint="eastAsia" w:cs="宋体"/>
          <w:color w:val="000000"/>
          <w:kern w:val="0"/>
          <w:sz w:val="22"/>
          <w:szCs w:val="22"/>
        </w:rPr>
      </w:pPr>
    </w:p>
    <w:p>
      <w:pPr>
        <w:pStyle w:val="158"/>
        <w:snapToGrid w:val="0"/>
        <w:spacing w:line="240" w:lineRule="auto"/>
        <w:ind w:firstLine="0"/>
        <w:jc w:val="center"/>
        <w:rPr>
          <w:rFonts w:hint="eastAsia" w:cs="宋体"/>
          <w:color w:val="000000"/>
          <w:kern w:val="0"/>
          <w:sz w:val="22"/>
          <w:szCs w:val="22"/>
        </w:rPr>
      </w:pPr>
      <w:r>
        <w:rPr>
          <w:rFonts w:hint="eastAsia" w:cs="宋体"/>
          <w:color w:val="000000"/>
          <w:sz w:val="22"/>
          <w:szCs w:val="22"/>
          <w:lang w:bidi="en-US"/>
        </w:rPr>
        <w:drawing>
          <wp:inline distT="0" distB="0" distL="114300" distR="114300">
            <wp:extent cx="2906395" cy="1816735"/>
            <wp:effectExtent l="0" t="0" r="8255" b="12065"/>
            <wp:docPr id="3" name="图片 3" descr="C:\Users\ADMINI~1\AppData\Local\Temp\ksohtml6228\wp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C:\Users\ADMINI~1\AppData\Local\Temp\ksohtml6228\wps1.jpg"/>
                    <pic:cNvPicPr>
                      <a:picLocks noChangeAspect="1"/>
                    </pic:cNvPicPr>
                  </pic:nvPicPr>
                  <pic:blipFill>
                    <a:blip r:embed="rId13"/>
                    <a:stretch>
                      <a:fillRect/>
                    </a:stretch>
                  </pic:blipFill>
                  <pic:spPr>
                    <a:xfrm>
                      <a:off x="0" y="0"/>
                      <a:ext cx="2906395" cy="1816735"/>
                    </a:xfrm>
                    <a:prstGeom prst="rect">
                      <a:avLst/>
                    </a:prstGeom>
                    <a:noFill/>
                    <a:ln>
                      <a:noFill/>
                    </a:ln>
                  </pic:spPr>
                </pic:pic>
              </a:graphicData>
            </a:graphic>
          </wp:inline>
        </w:drawing>
      </w: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①清理：施工前先将顶部上遗留的混凝土毛刺、钢筋头等全部切除铲平，并用毛刷进行基本清理，直至将灰尘等清扫干净。</w:t>
      </w: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②找平：后使用水泥砂浆对顶部进行找平施工。</w:t>
      </w: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③油漆：待顶部水泥砂浆找平层完全干透后，在顶部涂刷防水乳胶漆，间隔3天以上涂刷2次，并向下延伸至墙面顶部20cm以上。</w:t>
      </w: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④待防水乳胶漆完全干透后，在顶部刷防尘防静电漆2遍。</w:t>
      </w: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⑤吊杆：顶面处理完成并通过隐蔽工程验收后，吊顶预留件点位处安装φ8钢筋吊杆，吊杆表面经防锈处理，吊杆安装点距离四周墙面间距不小于300mm，吊杆长度根据机房吊顶上净空实际要求选取，保证满足机房净空高度要求。</w:t>
      </w: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⑥铝扣板安装：安装铝扣板应在平直条件下进行，安装时宜从一个方向开始，一次安装，不可多点同时进行，避免结合不良，安装完成后四周采用L型收边条收边。</w:t>
      </w:r>
    </w:p>
    <w:p>
      <w:pPr>
        <w:pStyle w:val="131"/>
        <w:spacing w:line="460" w:lineRule="exact"/>
        <w:ind w:left="0" w:firstLine="0"/>
        <w:rPr>
          <w:rFonts w:hint="eastAsia" w:ascii="宋体" w:hAnsi="宋体" w:eastAsia="宋体" w:cs="宋体"/>
          <w:color w:val="000000"/>
          <w:sz w:val="22"/>
          <w:szCs w:val="22"/>
        </w:rPr>
      </w:pPr>
      <w:r>
        <w:rPr>
          <w:rFonts w:hint="eastAsia" w:ascii="宋体" w:hAnsi="宋体" w:eastAsia="宋体" w:cs="宋体"/>
          <w:color w:val="000000"/>
          <w:sz w:val="22"/>
          <w:szCs w:val="22"/>
        </w:rPr>
        <w:t>2.2）技术装备间、维修间、科技资料室、</w:t>
      </w:r>
      <w:r>
        <w:rPr>
          <w:rFonts w:hint="eastAsia" w:ascii="宋体" w:hAnsi="宋体" w:eastAsia="宋体" w:cs="宋体"/>
          <w:color w:val="000000"/>
          <w:kern w:val="0"/>
          <w:sz w:val="22"/>
          <w:szCs w:val="22"/>
          <w:lang w:bidi="ar"/>
        </w:rPr>
        <w:t>技术设备间</w:t>
      </w: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①顶面：乳胶漆三遍涂白；</w:t>
      </w: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②墙面：乳胶漆三遍涂白；</w:t>
      </w: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③地面：强化复合地板。</w:t>
      </w:r>
    </w:p>
    <w:p>
      <w:pPr>
        <w:pStyle w:val="131"/>
        <w:spacing w:line="460" w:lineRule="exact"/>
        <w:ind w:left="0" w:firstLine="0"/>
        <w:rPr>
          <w:rFonts w:hint="eastAsia" w:ascii="宋体" w:hAnsi="宋体" w:eastAsia="宋体" w:cs="宋体"/>
          <w:color w:val="000000"/>
          <w:sz w:val="22"/>
          <w:szCs w:val="22"/>
        </w:rPr>
      </w:pPr>
      <w:r>
        <w:rPr>
          <w:rFonts w:hint="eastAsia" w:ascii="宋体" w:hAnsi="宋体" w:eastAsia="宋体" w:cs="宋体"/>
          <w:color w:val="000000"/>
          <w:sz w:val="22"/>
          <w:szCs w:val="22"/>
        </w:rPr>
        <w:t>2.3)公共走廊吊顶工程</w:t>
      </w: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公共走廊为公共区域，因此采用石膏板吊顶做简易造型。</w:t>
      </w: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①清理：施工前先将顶部上遗留的混凝土毛刺、钢筋头等全部切除铲平，并用毛刷进行基本清理，直至将灰尘等清扫干净。</w:t>
      </w: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②预埋：顶面清理完成后安装吊顶所需的预埋件，并将顶面上的凹坑填平。</w:t>
      </w: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③石膏板安装：安装石膏板板应在平直条件下进行，安装时宜从一个方向开始，一次安装，不可多点同时进行，避免结合不良，安装完成后四周采用L型收边条收边。</w:t>
      </w:r>
    </w:p>
    <w:p>
      <w:pPr>
        <w:pStyle w:val="147"/>
        <w:numPr>
          <w:ilvl w:val="0"/>
          <w:numId w:val="0"/>
        </w:numPr>
        <w:spacing w:after="120" w:line="460" w:lineRule="exact"/>
        <w:rPr>
          <w:rFonts w:hint="eastAsia" w:ascii="宋体" w:hAnsi="宋体" w:cs="宋体"/>
          <w:color w:val="000000"/>
          <w:sz w:val="22"/>
          <w:szCs w:val="22"/>
        </w:rPr>
      </w:pPr>
      <w:bookmarkStart w:id="21" w:name="_Toc50730565"/>
      <w:bookmarkStart w:id="22" w:name="_Toc48296942"/>
      <w:r>
        <w:rPr>
          <w:rFonts w:hint="eastAsia" w:ascii="宋体" w:hAnsi="宋体" w:cs="宋体"/>
          <w:color w:val="000000"/>
          <w:sz w:val="22"/>
          <w:szCs w:val="22"/>
        </w:rPr>
        <w:t>3）墙面工程</w:t>
      </w:r>
      <w:bookmarkEnd w:id="21"/>
      <w:bookmarkEnd w:id="22"/>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数据中心机主机房墙面工程包括玻璃幕墙侧隔墙，内隔墙及防火玻璃隔断。机房内所有墙面均涂乳胶漆三遍（除主机房一二墙面外）。</w:t>
      </w:r>
    </w:p>
    <w:p>
      <w:pPr>
        <w:pStyle w:val="131"/>
        <w:spacing w:line="460" w:lineRule="exact"/>
        <w:ind w:left="0" w:firstLine="0"/>
        <w:rPr>
          <w:rFonts w:hint="eastAsia" w:ascii="宋体" w:hAnsi="宋体" w:eastAsia="宋体" w:cs="宋体"/>
          <w:color w:val="000000"/>
          <w:kern w:val="0"/>
          <w:sz w:val="22"/>
          <w:szCs w:val="22"/>
        </w:rPr>
      </w:pPr>
      <w:r>
        <w:rPr>
          <w:rFonts w:hint="eastAsia" w:ascii="宋体" w:hAnsi="宋体" w:eastAsia="宋体" w:cs="宋体"/>
          <w:color w:val="000000"/>
          <w:sz w:val="22"/>
          <w:szCs w:val="22"/>
        </w:rPr>
        <w:t>幕墙侧隔墙工程,</w:t>
      </w:r>
      <w:r>
        <w:rPr>
          <w:rFonts w:hint="eastAsia" w:ascii="宋体" w:hAnsi="宋体" w:eastAsia="宋体" w:cs="宋体"/>
          <w:color w:val="000000"/>
          <w:kern w:val="0"/>
          <w:sz w:val="22"/>
          <w:szCs w:val="22"/>
        </w:rPr>
        <w:t>机房内的设备不能够遭受阳光直射，且需与外界环境相对隔绝，因此需对中心机房内窗户进行封堵。</w:t>
      </w: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①贴膜：在玻璃幕墙内侧表面粘贴深色贴膜，起到遮挡视线的作用。</w:t>
      </w: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封堵：石膏板封堵、乳胶漆涂白。</w:t>
      </w:r>
    </w:p>
    <w:p>
      <w:pPr>
        <w:pStyle w:val="166"/>
        <w:spacing w:line="460" w:lineRule="exact"/>
        <w:rPr>
          <w:rFonts w:hint="eastAsia" w:ascii="宋体" w:hAnsi="宋体" w:cs="宋体"/>
          <w:color w:val="000000"/>
          <w:kern w:val="0"/>
          <w:sz w:val="22"/>
          <w:szCs w:val="22"/>
        </w:rPr>
      </w:pPr>
      <w:r>
        <w:rPr>
          <w:rFonts w:hint="eastAsia" w:ascii="宋体" w:hAnsi="宋体" w:cs="宋体"/>
          <w:color w:val="000000"/>
          <w:kern w:val="0"/>
          <w:sz w:val="22"/>
          <w:szCs w:val="22"/>
        </w:rPr>
        <w:t>②龙骨：垂直沿顶面间隔400mm敷设C75轻钢龙骨作为竖龙骨，每间隔1200mm采用75*50的方钢加固，平行顶面间隔1200mm敷设C38龙骨作为通贯龙骨，隔墙高度3m一下用一根通贯龙骨，超过3m时每隔1。2m设置一根通贯龙骨。</w:t>
      </w:r>
    </w:p>
    <w:p>
      <w:pPr>
        <w:pStyle w:val="166"/>
        <w:spacing w:line="460" w:lineRule="exact"/>
        <w:rPr>
          <w:rFonts w:hint="eastAsia" w:ascii="宋体" w:hAnsi="宋体" w:cs="宋体"/>
          <w:color w:val="000000"/>
          <w:kern w:val="0"/>
          <w:sz w:val="22"/>
          <w:szCs w:val="22"/>
        </w:rPr>
      </w:pPr>
      <w:r>
        <w:rPr>
          <w:rFonts w:hint="eastAsia" w:ascii="宋体" w:hAnsi="宋体" w:cs="宋体"/>
          <w:color w:val="000000"/>
          <w:kern w:val="0"/>
          <w:sz w:val="22"/>
          <w:szCs w:val="22"/>
        </w:rPr>
        <w:t>③隔墙：龙骨与玻璃幕墙侧，贴装10mm无石棉纤维水泥平板，机房内侧墙面先贴装12mm单层石膏板作为基层，再贴装0.6mm成品彩钢板（A级不然材料），彩钢板颜色采用亚光色，一般为浅色（米黄色），也可提供厂家色板由使用方选择颜色。隔墙与防静电地板交接处采用12mm阻燃多层板做基层，再贴装1mm拉丝不锈钢踢脚线，工艺大样图如下：</w:t>
      </w:r>
    </w:p>
    <w:p>
      <w:pPr>
        <w:pStyle w:val="166"/>
        <w:spacing w:line="460" w:lineRule="exact"/>
        <w:rPr>
          <w:rFonts w:hint="eastAsia" w:ascii="宋体" w:hAnsi="宋体" w:cs="宋体"/>
          <w:color w:val="000000"/>
          <w:kern w:val="0"/>
          <w:sz w:val="22"/>
          <w:szCs w:val="22"/>
        </w:rPr>
      </w:pPr>
    </w:p>
    <w:p>
      <w:pPr>
        <w:pStyle w:val="166"/>
        <w:spacing w:line="460" w:lineRule="exact"/>
        <w:rPr>
          <w:rFonts w:hint="eastAsia" w:ascii="宋体" w:hAnsi="宋体" w:cs="宋体"/>
          <w:color w:val="000000"/>
          <w:kern w:val="0"/>
          <w:sz w:val="22"/>
          <w:szCs w:val="22"/>
        </w:rPr>
      </w:pPr>
      <w:r>
        <w:rPr>
          <w:rFonts w:hint="eastAsia" w:ascii="宋体" w:hAnsi="宋体" w:cs="宋体"/>
          <w:color w:val="000000"/>
          <w:sz w:val="22"/>
          <w:szCs w:val="22"/>
        </w:rPr>
        <w:drawing>
          <wp:anchor distT="0" distB="0" distL="0" distR="0" simplePos="0" relativeHeight="251660288" behindDoc="0" locked="0" layoutInCell="1" allowOverlap="1">
            <wp:simplePos x="0" y="0"/>
            <wp:positionH relativeFrom="column">
              <wp:posOffset>2029460</wp:posOffset>
            </wp:positionH>
            <wp:positionV relativeFrom="paragraph">
              <wp:posOffset>19050</wp:posOffset>
            </wp:positionV>
            <wp:extent cx="2548890" cy="1605915"/>
            <wp:effectExtent l="0" t="0" r="3810" b="13335"/>
            <wp:wrapSquare wrapText="bothSides"/>
            <wp:docPr id="2"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3"/>
                    <pic:cNvPicPr>
                      <a:picLocks noChangeAspect="1"/>
                    </pic:cNvPicPr>
                  </pic:nvPicPr>
                  <pic:blipFill>
                    <a:blip r:embed="rId14"/>
                    <a:stretch>
                      <a:fillRect/>
                    </a:stretch>
                  </pic:blipFill>
                  <pic:spPr>
                    <a:xfrm>
                      <a:off x="0" y="0"/>
                      <a:ext cx="2548890" cy="1605915"/>
                    </a:xfrm>
                    <a:prstGeom prst="rect">
                      <a:avLst/>
                    </a:prstGeom>
                    <a:noFill/>
                    <a:ln>
                      <a:noFill/>
                    </a:ln>
                  </pic:spPr>
                </pic:pic>
              </a:graphicData>
            </a:graphic>
          </wp:anchor>
        </w:drawing>
      </w:r>
    </w:p>
    <w:p>
      <w:pPr>
        <w:pStyle w:val="166"/>
        <w:spacing w:line="460" w:lineRule="exact"/>
        <w:rPr>
          <w:rFonts w:hint="eastAsia" w:ascii="宋体" w:hAnsi="宋体" w:cs="宋体"/>
          <w:color w:val="000000"/>
          <w:kern w:val="0"/>
          <w:sz w:val="22"/>
          <w:szCs w:val="22"/>
        </w:rPr>
      </w:pPr>
    </w:p>
    <w:p>
      <w:pPr>
        <w:pStyle w:val="166"/>
        <w:spacing w:line="460" w:lineRule="exact"/>
        <w:rPr>
          <w:rFonts w:hint="eastAsia" w:ascii="宋体" w:hAnsi="宋体" w:cs="宋体"/>
          <w:color w:val="000000"/>
          <w:kern w:val="0"/>
          <w:sz w:val="22"/>
          <w:szCs w:val="22"/>
        </w:rPr>
      </w:pPr>
    </w:p>
    <w:p>
      <w:pPr>
        <w:pStyle w:val="166"/>
        <w:spacing w:line="460" w:lineRule="exact"/>
        <w:rPr>
          <w:rFonts w:hint="eastAsia" w:ascii="宋体" w:hAnsi="宋体" w:cs="宋体"/>
          <w:color w:val="000000"/>
          <w:kern w:val="0"/>
          <w:sz w:val="22"/>
          <w:szCs w:val="22"/>
        </w:rPr>
      </w:pPr>
    </w:p>
    <w:p>
      <w:pPr>
        <w:pStyle w:val="166"/>
        <w:spacing w:line="460" w:lineRule="exact"/>
        <w:rPr>
          <w:rFonts w:hint="eastAsia" w:ascii="宋体" w:hAnsi="宋体" w:cs="宋体"/>
          <w:color w:val="000000"/>
          <w:kern w:val="0"/>
          <w:sz w:val="22"/>
          <w:szCs w:val="22"/>
        </w:rPr>
      </w:pPr>
    </w:p>
    <w:p>
      <w:pPr>
        <w:pStyle w:val="131"/>
        <w:spacing w:line="460" w:lineRule="exact"/>
        <w:ind w:left="0" w:firstLine="0"/>
        <w:rPr>
          <w:rFonts w:hint="eastAsia" w:ascii="宋体" w:hAnsi="宋体" w:eastAsia="宋体" w:cs="宋体"/>
          <w:color w:val="000000"/>
          <w:sz w:val="22"/>
          <w:szCs w:val="22"/>
        </w:rPr>
      </w:pPr>
      <w:r>
        <w:rPr>
          <w:rFonts w:hint="eastAsia" w:ascii="宋体" w:hAnsi="宋体" w:eastAsia="宋体" w:cs="宋体"/>
          <w:color w:val="000000"/>
          <w:sz w:val="22"/>
          <w:szCs w:val="22"/>
        </w:rPr>
        <w:t>3.1)玻璃隔断墙工程</w:t>
      </w: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接待室与走廊间采用带304不锈钢包边的12mm厚高强度单层铯钾防火玻璃作为隔墙，耐火等级不低于C1级，耐火极限不低于1小时，防火玻璃是同时满足耐火完整性、耐火隔热性要求的防火玻璃，具有透光、防火(隔烟、隔火、遮挡热辐射)、隔声性能。</w:t>
      </w: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玻璃隔断高度根据顶面与地面间的实际净空要求定制。吊顶上至楼板间顶板采用内外侧两块12mm厚耐火纸面石膏板固定在50角钢上，石膏板表面刷防潮乳胶漆3遍。顶板中间填充50mm厚玻璃棉，顶板下方与防火玻璃交接处采用不锈钢板饰面收口。</w:t>
      </w:r>
    </w:p>
    <w:p>
      <w:pPr>
        <w:pStyle w:val="147"/>
        <w:numPr>
          <w:ilvl w:val="0"/>
          <w:numId w:val="0"/>
        </w:numPr>
        <w:spacing w:after="120" w:line="460" w:lineRule="exact"/>
        <w:rPr>
          <w:rFonts w:hint="eastAsia" w:ascii="宋体" w:hAnsi="宋体" w:cs="宋体"/>
          <w:color w:val="000000"/>
          <w:sz w:val="22"/>
          <w:szCs w:val="22"/>
        </w:rPr>
      </w:pPr>
      <w:bookmarkStart w:id="23" w:name="_Toc50730566"/>
      <w:bookmarkStart w:id="24" w:name="_Toc48296943"/>
      <w:r>
        <w:rPr>
          <w:rFonts w:hint="eastAsia" w:ascii="宋体" w:hAnsi="宋体" w:cs="宋体"/>
          <w:color w:val="000000"/>
          <w:sz w:val="22"/>
          <w:szCs w:val="22"/>
        </w:rPr>
        <w:t>4）地面工程</w:t>
      </w:r>
      <w:bookmarkEnd w:id="23"/>
      <w:bookmarkEnd w:id="24"/>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考虑建筑是旧房子，根据机房承重设计标：</w:t>
      </w:r>
    </w:p>
    <w:p>
      <w:pPr>
        <w:pStyle w:val="158"/>
        <w:snapToGrid w:val="0"/>
        <w:spacing w:line="460" w:lineRule="exact"/>
        <w:ind w:firstLine="0"/>
        <w:rPr>
          <w:rFonts w:hint="eastAsia" w:cs="宋体"/>
          <w:color w:val="000000"/>
          <w:kern w:val="0"/>
          <w:sz w:val="22"/>
          <w:szCs w:val="22"/>
        </w:rPr>
      </w:pP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drawing>
          <wp:anchor distT="0" distB="0" distL="0" distR="0" simplePos="0" relativeHeight="251659264" behindDoc="0" locked="0" layoutInCell="1" allowOverlap="1">
            <wp:simplePos x="0" y="0"/>
            <wp:positionH relativeFrom="column">
              <wp:posOffset>283210</wp:posOffset>
            </wp:positionH>
            <wp:positionV relativeFrom="paragraph">
              <wp:posOffset>79375</wp:posOffset>
            </wp:positionV>
            <wp:extent cx="5175885" cy="2519680"/>
            <wp:effectExtent l="0" t="0" r="5715" b="13970"/>
            <wp:wrapSquare wrapText="bothSides"/>
            <wp:docPr id="1" name="图片 5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5159"/>
                    <pic:cNvPicPr>
                      <a:picLocks noChangeAspect="1"/>
                    </pic:cNvPicPr>
                  </pic:nvPicPr>
                  <pic:blipFill>
                    <a:blip r:embed="rId15"/>
                    <a:stretch>
                      <a:fillRect/>
                    </a:stretch>
                  </pic:blipFill>
                  <pic:spPr>
                    <a:xfrm>
                      <a:off x="0" y="0"/>
                      <a:ext cx="5175885" cy="2519680"/>
                    </a:xfrm>
                    <a:prstGeom prst="rect">
                      <a:avLst/>
                    </a:prstGeom>
                    <a:noFill/>
                    <a:ln>
                      <a:noFill/>
                    </a:ln>
                  </pic:spPr>
                </pic:pic>
              </a:graphicData>
            </a:graphic>
          </wp:anchor>
        </w:drawing>
      </w:r>
    </w:p>
    <w:p>
      <w:pPr>
        <w:pStyle w:val="158"/>
        <w:snapToGrid w:val="0"/>
        <w:spacing w:line="460" w:lineRule="exact"/>
        <w:ind w:firstLine="0"/>
        <w:rPr>
          <w:rFonts w:hint="eastAsia" w:cs="宋体"/>
          <w:color w:val="000000"/>
          <w:kern w:val="0"/>
          <w:sz w:val="22"/>
          <w:szCs w:val="22"/>
        </w:rPr>
      </w:pPr>
    </w:p>
    <w:p>
      <w:pPr>
        <w:pStyle w:val="158"/>
        <w:snapToGrid w:val="0"/>
        <w:spacing w:line="460" w:lineRule="exact"/>
        <w:ind w:firstLine="0"/>
        <w:rPr>
          <w:rFonts w:hint="eastAsia" w:cs="宋体"/>
          <w:color w:val="000000"/>
          <w:kern w:val="0"/>
          <w:sz w:val="22"/>
          <w:szCs w:val="22"/>
        </w:rPr>
      </w:pPr>
    </w:p>
    <w:p>
      <w:pPr>
        <w:pStyle w:val="158"/>
        <w:snapToGrid w:val="0"/>
        <w:spacing w:line="460" w:lineRule="exact"/>
        <w:ind w:firstLine="0"/>
        <w:rPr>
          <w:rFonts w:hint="eastAsia" w:cs="宋体"/>
          <w:color w:val="000000"/>
          <w:kern w:val="0"/>
          <w:sz w:val="22"/>
          <w:szCs w:val="22"/>
        </w:rPr>
      </w:pPr>
    </w:p>
    <w:p>
      <w:pPr>
        <w:pStyle w:val="158"/>
        <w:snapToGrid w:val="0"/>
        <w:spacing w:line="460" w:lineRule="exact"/>
        <w:ind w:firstLine="0"/>
        <w:rPr>
          <w:rFonts w:hint="eastAsia" w:cs="宋体"/>
          <w:color w:val="000000"/>
          <w:kern w:val="0"/>
          <w:sz w:val="22"/>
          <w:szCs w:val="22"/>
        </w:rPr>
      </w:pPr>
    </w:p>
    <w:p>
      <w:pPr>
        <w:pStyle w:val="158"/>
        <w:snapToGrid w:val="0"/>
        <w:spacing w:line="460" w:lineRule="exact"/>
        <w:ind w:firstLine="0"/>
        <w:rPr>
          <w:rFonts w:hint="eastAsia" w:cs="宋体"/>
          <w:color w:val="000000"/>
          <w:kern w:val="0"/>
          <w:sz w:val="22"/>
          <w:szCs w:val="22"/>
        </w:rPr>
      </w:pPr>
    </w:p>
    <w:p>
      <w:pPr>
        <w:pStyle w:val="158"/>
        <w:snapToGrid w:val="0"/>
        <w:spacing w:line="460" w:lineRule="exact"/>
        <w:ind w:firstLine="0"/>
        <w:rPr>
          <w:rFonts w:hint="eastAsia" w:cs="宋体"/>
          <w:color w:val="000000"/>
          <w:kern w:val="0"/>
          <w:sz w:val="22"/>
          <w:szCs w:val="22"/>
        </w:rPr>
      </w:pPr>
    </w:p>
    <w:p>
      <w:pPr>
        <w:pStyle w:val="158"/>
        <w:snapToGrid w:val="0"/>
        <w:spacing w:line="460" w:lineRule="exact"/>
        <w:ind w:firstLine="0"/>
        <w:rPr>
          <w:rFonts w:hint="eastAsia" w:cs="宋体"/>
          <w:color w:val="000000"/>
          <w:kern w:val="0"/>
          <w:sz w:val="22"/>
          <w:szCs w:val="22"/>
        </w:rPr>
      </w:pPr>
    </w:p>
    <w:p>
      <w:pPr>
        <w:pStyle w:val="158"/>
        <w:snapToGrid w:val="0"/>
        <w:spacing w:line="460" w:lineRule="exact"/>
        <w:ind w:firstLine="0"/>
        <w:rPr>
          <w:rFonts w:hint="eastAsia" w:cs="宋体"/>
          <w:color w:val="000000"/>
          <w:kern w:val="0"/>
          <w:sz w:val="22"/>
          <w:szCs w:val="22"/>
        </w:rPr>
      </w:pP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本次项目需要对主机房一、主机房二进行加固处理，本次采用采取以下加固措施：本项内容由专业的单位施工，最终达到数据中心机房荷载的要求 。</w:t>
      </w: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静电地板:主机房区域、配电间、管理中心及走廊区域采用600*600mm规格的全钢防静电地板，高度找平齐平，储藏室及储物间地面则进行防水防尘处理即可。</w:t>
      </w: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由于本次主机房设计采用微模块机柜形式，采用列间空调，因此防静电地板下不作为静压箱使用，考虑主机房区域高度有限，静电地板安装高度为10cm，配电间位于一层，考虑苍南县气候地域环境对机房环境影响，地板安装高度为50cm： 防静电地板切割边封胶处理后安装，不锈钢踢脚板压边装饰。有孔洞如管、槽，作好封堵，并绝对保持围护结构的严密。地板颜色一致，无明显的色差，钢质防静电地板防尘、防静电、防潮、防锈，强度能够满足大型设备荷载。机房与活动地板踢脚线均采用10cm高的拉丝不锈钢踢脚板压边装饰。</w:t>
      </w:r>
    </w:p>
    <w:p>
      <w:pPr>
        <w:pStyle w:val="158"/>
        <w:spacing w:line="460" w:lineRule="exact"/>
        <w:ind w:firstLine="0"/>
        <w:rPr>
          <w:rFonts w:hint="eastAsia" w:cs="宋体"/>
          <w:color w:val="000000"/>
          <w:kern w:val="0"/>
          <w:sz w:val="22"/>
          <w:szCs w:val="22"/>
        </w:rPr>
      </w:pPr>
      <w:r>
        <w:rPr>
          <w:rFonts w:hint="eastAsia" w:cs="宋体"/>
          <w:color w:val="000000"/>
          <w:kern w:val="0"/>
          <w:sz w:val="22"/>
          <w:szCs w:val="22"/>
        </w:rPr>
        <w:t xml:space="preserve">活动地板下的地面和四壁应平整、耐磨、不起尘和易于清洁，地面用水泥砂浆找平后涂刷防水漆和防尘漆二遍后再进行接地网格的安装。 </w:t>
      </w:r>
    </w:p>
    <w:p>
      <w:pPr>
        <w:pStyle w:val="158"/>
        <w:spacing w:line="460" w:lineRule="exact"/>
        <w:ind w:firstLine="0"/>
        <w:rPr>
          <w:rFonts w:hint="eastAsia" w:cs="宋体"/>
          <w:color w:val="000000"/>
          <w:kern w:val="0"/>
          <w:sz w:val="22"/>
          <w:szCs w:val="22"/>
        </w:rPr>
      </w:pPr>
      <w:r>
        <w:rPr>
          <w:rFonts w:hint="eastAsia" w:cs="宋体"/>
          <w:color w:val="000000"/>
          <w:kern w:val="0"/>
          <w:sz w:val="22"/>
          <w:szCs w:val="22"/>
        </w:rPr>
        <w:t>地板钢支架要求接地，实现地面半屏蔽效果。</w:t>
      </w:r>
    </w:p>
    <w:p>
      <w:pPr>
        <w:pStyle w:val="147"/>
        <w:numPr>
          <w:ilvl w:val="0"/>
          <w:numId w:val="0"/>
        </w:numPr>
        <w:spacing w:after="120" w:line="460" w:lineRule="exact"/>
        <w:rPr>
          <w:rFonts w:hint="eastAsia" w:ascii="宋体" w:hAnsi="宋体" w:cs="宋体"/>
          <w:color w:val="000000"/>
          <w:sz w:val="22"/>
          <w:szCs w:val="22"/>
        </w:rPr>
      </w:pPr>
      <w:bookmarkStart w:id="25" w:name="_Toc48296944"/>
      <w:bookmarkStart w:id="26" w:name="_Toc50730567"/>
      <w:r>
        <w:rPr>
          <w:rFonts w:hint="eastAsia" w:ascii="宋体" w:hAnsi="宋体" w:cs="宋体"/>
          <w:color w:val="000000"/>
          <w:sz w:val="22"/>
          <w:szCs w:val="22"/>
        </w:rPr>
        <w:t>5）门窗工程</w:t>
      </w:r>
      <w:bookmarkEnd w:id="25"/>
      <w:bookmarkEnd w:id="26"/>
    </w:p>
    <w:p>
      <w:pPr>
        <w:pStyle w:val="174"/>
        <w:snapToGrid w:val="0"/>
        <w:spacing w:line="460" w:lineRule="exact"/>
        <w:ind w:firstLine="0" w:firstLineChars="0"/>
        <w:rPr>
          <w:rFonts w:hint="eastAsia" w:cs="宋体"/>
          <w:color w:val="000000"/>
          <w:kern w:val="0"/>
          <w:sz w:val="22"/>
          <w:shd w:val="clear" w:color="auto" w:fill="auto"/>
        </w:rPr>
      </w:pPr>
      <w:r>
        <w:rPr>
          <w:rFonts w:hint="eastAsia" w:cs="宋体"/>
          <w:color w:val="000000"/>
          <w:kern w:val="0"/>
          <w:sz w:val="22"/>
          <w:shd w:val="clear" w:color="auto" w:fill="auto"/>
        </w:rPr>
        <w:t>对主机房、配电间区域原有窗户采用轻钢龙骨石膏板进行封堵。</w:t>
      </w: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中心机房区域所有功能房间疏散门均采用甲级防火门，耐火极限不少于2小时，开门方向为疏散方向，且均安装自动闭门器，门框搭接不得小于10mm,扇与门框之间的两侧缝隙不得大于4mm。防火门安装完闭以后的缝隙不能过大，否则防火门的密闭性能难以保证，也难以体现其在火灾条件下抑制火灾及烟气蔓延作用。</w:t>
      </w: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主机房面积超过120㎡，因此设计不少于2个疏散门。由于主机房采用防火玻璃隔断，因此其疏散门门采用不锈钢包边的单层高强度铯钾玻璃制作的防火玻璃门，防火门尺寸为1500*2000mm的双开门。</w:t>
      </w:r>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配电间、控制室、东侧楼梯间出入库采用全钢甲级防火门，防火门尺寸为1500*2000mm的双开门。</w:t>
      </w:r>
    </w:p>
    <w:p>
      <w:pPr>
        <w:pStyle w:val="147"/>
        <w:numPr>
          <w:ilvl w:val="0"/>
          <w:numId w:val="0"/>
        </w:numPr>
        <w:spacing w:after="120" w:line="460" w:lineRule="exact"/>
        <w:rPr>
          <w:rFonts w:hint="eastAsia" w:ascii="宋体" w:hAnsi="宋体" w:cs="宋体"/>
          <w:color w:val="000000"/>
          <w:sz w:val="22"/>
          <w:szCs w:val="22"/>
        </w:rPr>
      </w:pPr>
      <w:bookmarkStart w:id="27" w:name="_Toc50730568"/>
      <w:bookmarkStart w:id="28" w:name="_Toc48296945"/>
      <w:r>
        <w:rPr>
          <w:rFonts w:hint="eastAsia" w:ascii="宋体" w:hAnsi="宋体" w:cs="宋体"/>
          <w:color w:val="000000"/>
          <w:sz w:val="22"/>
          <w:szCs w:val="22"/>
        </w:rPr>
        <w:t>6）隐蔽工程</w:t>
      </w:r>
      <w:bookmarkEnd w:id="27"/>
      <w:bookmarkEnd w:id="28"/>
    </w:p>
    <w:p>
      <w:pPr>
        <w:pStyle w:val="158"/>
        <w:snapToGrid w:val="0"/>
        <w:spacing w:line="460" w:lineRule="exact"/>
        <w:ind w:firstLine="0"/>
        <w:rPr>
          <w:rFonts w:hint="eastAsia" w:cs="宋体"/>
          <w:color w:val="000000"/>
          <w:kern w:val="0"/>
          <w:sz w:val="22"/>
          <w:szCs w:val="22"/>
        </w:rPr>
      </w:pPr>
      <w:r>
        <w:rPr>
          <w:rFonts w:hint="eastAsia" w:cs="宋体"/>
          <w:color w:val="000000"/>
          <w:kern w:val="0"/>
          <w:sz w:val="22"/>
          <w:szCs w:val="22"/>
        </w:rPr>
        <w:t>装饰工程中的隐蔽工程应严格按照国家标准对隐蔽部分材料采取：A、墙体部分作防潮处理，B、部分非阻燃材料必须涂刷防火涂料，C、所有隐蔽用材必须符合机房用材性能指标，做到不起尘、阻燃、绝燃，不会产生静电，牢固耐用并无病虫害发生。</w:t>
      </w:r>
    </w:p>
    <w:p>
      <w:pPr>
        <w:pStyle w:val="158"/>
        <w:numPr>
          <w:ilvl w:val="0"/>
          <w:numId w:val="6"/>
        </w:numPr>
        <w:snapToGrid w:val="0"/>
        <w:spacing w:line="460" w:lineRule="exact"/>
        <w:ind w:firstLine="0"/>
        <w:rPr>
          <w:rFonts w:hint="eastAsia" w:cs="宋体"/>
          <w:b/>
          <w:color w:val="000000"/>
          <w:sz w:val="22"/>
          <w:szCs w:val="22"/>
        </w:rPr>
      </w:pPr>
      <w:r>
        <w:rPr>
          <w:rFonts w:hint="eastAsia" w:cs="宋体"/>
          <w:b/>
          <w:color w:val="000000"/>
          <w:sz w:val="22"/>
          <w:szCs w:val="22"/>
        </w:rPr>
        <w:t>技术规范及标准</w:t>
      </w:r>
    </w:p>
    <w:p>
      <w:pPr>
        <w:spacing w:line="460" w:lineRule="exact"/>
        <w:rPr>
          <w:rFonts w:hint="eastAsia" w:ascii="宋体" w:hAnsi="宋体" w:cs="宋体"/>
          <w:sz w:val="22"/>
          <w:szCs w:val="22"/>
        </w:rPr>
      </w:pPr>
      <w:r>
        <w:rPr>
          <w:rFonts w:hint="eastAsia" w:ascii="宋体" w:hAnsi="宋体" w:cs="宋体"/>
          <w:color w:val="000000"/>
          <w:sz w:val="22"/>
          <w:szCs w:val="22"/>
        </w:rPr>
        <w:t>7.1 依据设计施工图纸和技术文件要求，本工程项目的材料、设备、施工必须达到以下</w:t>
      </w:r>
      <w:r>
        <w:rPr>
          <w:rFonts w:hint="eastAsia" w:ascii="宋体" w:hAnsi="宋体" w:cs="宋体"/>
          <w:sz w:val="22"/>
          <w:szCs w:val="22"/>
        </w:rPr>
        <w:t>现行中华人民共和国及省、市、行业的一切有关法规、规范的要求，如下述标准及规范要求有出入则以较严格者为准。</w:t>
      </w:r>
    </w:p>
    <w:p>
      <w:pPr>
        <w:pStyle w:val="5"/>
        <w:spacing w:before="0" w:after="0" w:line="460" w:lineRule="exact"/>
        <w:ind w:firstLine="268" w:firstLineChars="100"/>
        <w:rPr>
          <w:rFonts w:hint="eastAsia" w:ascii="宋体" w:hAnsi="宋体" w:eastAsia="宋体" w:cs="宋体"/>
          <w:color w:val="000000"/>
          <w:kern w:val="2"/>
          <w:sz w:val="22"/>
          <w:szCs w:val="22"/>
        </w:rPr>
      </w:pPr>
      <w:r>
        <w:rPr>
          <w:rFonts w:hint="eastAsia" w:ascii="宋体" w:hAnsi="宋体" w:eastAsia="宋体" w:cs="宋体"/>
          <w:color w:val="000000"/>
          <w:kern w:val="2"/>
          <w:sz w:val="22"/>
          <w:szCs w:val="22"/>
        </w:rPr>
        <w:t>建筑结构加固工程施工质量验收规范GB50550-2010</w:t>
      </w:r>
    </w:p>
    <w:p>
      <w:pPr>
        <w:spacing w:line="460" w:lineRule="exact"/>
        <w:ind w:firstLine="220" w:firstLineChars="100"/>
        <w:rPr>
          <w:rFonts w:hint="eastAsia" w:ascii="宋体" w:hAnsi="宋体" w:cs="宋体"/>
          <w:color w:val="000000"/>
          <w:sz w:val="22"/>
          <w:szCs w:val="22"/>
        </w:rPr>
      </w:pPr>
      <w:r>
        <w:rPr>
          <w:rFonts w:hint="eastAsia" w:ascii="宋体" w:hAnsi="宋体" w:cs="宋体"/>
          <w:color w:val="000000"/>
          <w:sz w:val="22"/>
          <w:szCs w:val="22"/>
        </w:rPr>
        <w:t>建筑给水排水及采暖工程施工质量验收规范 GB50242-2002</w:t>
      </w:r>
    </w:p>
    <w:p>
      <w:pPr>
        <w:spacing w:line="460" w:lineRule="exact"/>
        <w:ind w:firstLine="220" w:firstLineChars="100"/>
        <w:rPr>
          <w:rFonts w:hint="eastAsia" w:ascii="宋体" w:hAnsi="宋体" w:cs="宋体"/>
          <w:color w:val="000000"/>
          <w:sz w:val="22"/>
          <w:szCs w:val="22"/>
        </w:rPr>
      </w:pPr>
      <w:r>
        <w:rPr>
          <w:rFonts w:hint="eastAsia" w:ascii="宋体" w:hAnsi="宋体" w:cs="宋体"/>
          <w:color w:val="000000"/>
          <w:sz w:val="22"/>
          <w:szCs w:val="22"/>
        </w:rPr>
        <w:t>建筑设计防火规范（GB50016-2014）</w:t>
      </w:r>
    </w:p>
    <w:p>
      <w:pPr>
        <w:spacing w:line="460" w:lineRule="exact"/>
        <w:ind w:firstLine="220" w:firstLineChars="100"/>
        <w:rPr>
          <w:rFonts w:hint="eastAsia" w:ascii="宋体" w:hAnsi="宋体" w:cs="宋体"/>
          <w:color w:val="000000"/>
          <w:sz w:val="22"/>
          <w:szCs w:val="22"/>
        </w:rPr>
      </w:pPr>
      <w:r>
        <w:rPr>
          <w:rFonts w:hint="eastAsia" w:ascii="宋体" w:hAnsi="宋体" w:cs="宋体"/>
          <w:color w:val="000000"/>
          <w:sz w:val="22"/>
          <w:szCs w:val="22"/>
        </w:rPr>
        <w:t>公共建筑节能设计标准（GB50189-2005）</w:t>
      </w:r>
    </w:p>
    <w:p>
      <w:pPr>
        <w:spacing w:line="460" w:lineRule="exact"/>
        <w:ind w:firstLine="220" w:firstLineChars="100"/>
        <w:rPr>
          <w:rFonts w:hint="eastAsia" w:ascii="宋体" w:hAnsi="宋体" w:cs="宋体"/>
          <w:color w:val="000000"/>
          <w:sz w:val="22"/>
          <w:szCs w:val="22"/>
        </w:rPr>
      </w:pPr>
      <w:r>
        <w:rPr>
          <w:rFonts w:hint="eastAsia" w:ascii="宋体" w:hAnsi="宋体" w:cs="宋体"/>
          <w:color w:val="000000"/>
          <w:sz w:val="22"/>
          <w:szCs w:val="22"/>
        </w:rPr>
        <w:t>办公建筑设计规范（JGJ67-2006）</w:t>
      </w:r>
    </w:p>
    <w:p>
      <w:pPr>
        <w:spacing w:line="460" w:lineRule="exact"/>
        <w:ind w:firstLine="220" w:firstLineChars="100"/>
        <w:rPr>
          <w:rFonts w:hint="eastAsia" w:ascii="宋体" w:hAnsi="宋体" w:cs="宋体"/>
          <w:color w:val="000000"/>
          <w:sz w:val="22"/>
          <w:szCs w:val="22"/>
        </w:rPr>
      </w:pPr>
      <w:r>
        <w:rPr>
          <w:rFonts w:hint="eastAsia" w:ascii="宋体" w:hAnsi="宋体" w:cs="宋体"/>
          <w:color w:val="000000"/>
          <w:sz w:val="22"/>
          <w:szCs w:val="22"/>
        </w:rPr>
        <w:t>建筑结构载荷规范（GB50009-2012）</w:t>
      </w:r>
    </w:p>
    <w:p>
      <w:pPr>
        <w:spacing w:line="460" w:lineRule="exact"/>
        <w:ind w:firstLine="220" w:firstLineChars="100"/>
        <w:rPr>
          <w:rFonts w:hint="eastAsia" w:ascii="宋体" w:hAnsi="宋体" w:cs="宋体"/>
          <w:color w:val="000000"/>
          <w:sz w:val="22"/>
          <w:szCs w:val="22"/>
        </w:rPr>
      </w:pPr>
      <w:r>
        <w:rPr>
          <w:rFonts w:hint="eastAsia" w:ascii="宋体" w:hAnsi="宋体" w:cs="宋体"/>
          <w:color w:val="000000"/>
          <w:sz w:val="22"/>
          <w:szCs w:val="22"/>
        </w:rPr>
        <w:t>砌体结构设计规范（GB50003-2011）</w:t>
      </w:r>
    </w:p>
    <w:p>
      <w:pPr>
        <w:spacing w:line="460" w:lineRule="exact"/>
        <w:ind w:firstLine="220" w:firstLineChars="100"/>
        <w:rPr>
          <w:rFonts w:hint="eastAsia" w:ascii="宋体" w:hAnsi="宋体" w:cs="宋体"/>
          <w:color w:val="000000"/>
          <w:sz w:val="22"/>
          <w:szCs w:val="22"/>
        </w:rPr>
      </w:pPr>
      <w:r>
        <w:rPr>
          <w:rFonts w:hint="eastAsia" w:ascii="宋体" w:hAnsi="宋体" w:cs="宋体"/>
          <w:color w:val="000000"/>
          <w:sz w:val="22"/>
          <w:szCs w:val="22"/>
        </w:rPr>
        <w:t>混凝土结构设计规范（GB50010-2010）（2015版本）</w:t>
      </w:r>
    </w:p>
    <w:p>
      <w:pPr>
        <w:spacing w:line="460" w:lineRule="exact"/>
        <w:ind w:firstLine="220" w:firstLineChars="100"/>
        <w:rPr>
          <w:rFonts w:hint="eastAsia" w:ascii="宋体" w:hAnsi="宋体" w:cs="宋体"/>
          <w:color w:val="000000"/>
          <w:sz w:val="22"/>
          <w:szCs w:val="22"/>
        </w:rPr>
      </w:pPr>
      <w:r>
        <w:rPr>
          <w:rFonts w:hint="eastAsia" w:ascii="宋体" w:hAnsi="宋体" w:cs="宋体"/>
          <w:color w:val="000000"/>
          <w:sz w:val="22"/>
          <w:szCs w:val="22"/>
        </w:rPr>
        <w:t>民用建筑修缮工程查勘与设计规程（JGJ 117-98）</w:t>
      </w:r>
    </w:p>
    <w:p>
      <w:pPr>
        <w:spacing w:line="460" w:lineRule="exact"/>
        <w:ind w:firstLine="220" w:firstLineChars="100"/>
        <w:rPr>
          <w:rFonts w:hint="eastAsia" w:ascii="宋体" w:hAnsi="宋体" w:cs="宋体"/>
          <w:color w:val="000000"/>
          <w:sz w:val="22"/>
          <w:szCs w:val="22"/>
        </w:rPr>
      </w:pPr>
      <w:r>
        <w:rPr>
          <w:rFonts w:hint="eastAsia" w:ascii="宋体" w:hAnsi="宋体" w:cs="宋体"/>
          <w:color w:val="000000"/>
          <w:sz w:val="22"/>
          <w:szCs w:val="22"/>
        </w:rPr>
        <w:t>混凝土结构后锚固技术规程（JGJ 145-2013）</w:t>
      </w:r>
    </w:p>
    <w:p>
      <w:pPr>
        <w:spacing w:line="460" w:lineRule="exact"/>
        <w:ind w:firstLine="220" w:firstLineChars="100"/>
        <w:rPr>
          <w:rFonts w:hint="eastAsia" w:ascii="宋体" w:hAnsi="宋体" w:cs="宋体"/>
          <w:color w:val="000000"/>
          <w:sz w:val="22"/>
          <w:szCs w:val="22"/>
        </w:rPr>
      </w:pPr>
      <w:r>
        <w:rPr>
          <w:rFonts w:hint="eastAsia" w:ascii="宋体" w:hAnsi="宋体" w:cs="宋体"/>
          <w:color w:val="000000"/>
          <w:sz w:val="22"/>
          <w:szCs w:val="22"/>
        </w:rPr>
        <w:t>建筑地基基础设计规范（GB50007-2011）</w:t>
      </w:r>
    </w:p>
    <w:p>
      <w:pPr>
        <w:spacing w:line="460" w:lineRule="exact"/>
        <w:ind w:firstLine="220" w:firstLineChars="100"/>
        <w:rPr>
          <w:rFonts w:hint="eastAsia" w:ascii="宋体" w:hAnsi="宋体" w:cs="宋体"/>
          <w:color w:val="000000"/>
          <w:sz w:val="22"/>
          <w:szCs w:val="22"/>
        </w:rPr>
      </w:pPr>
      <w:r>
        <w:rPr>
          <w:rFonts w:hint="eastAsia" w:ascii="宋体" w:hAnsi="宋体" w:cs="宋体"/>
          <w:color w:val="000000"/>
          <w:sz w:val="22"/>
          <w:szCs w:val="22"/>
        </w:rPr>
        <w:t>混凝土结构加固设计规范（GB50367-2013）</w:t>
      </w:r>
    </w:p>
    <w:p>
      <w:pPr>
        <w:spacing w:line="460" w:lineRule="exact"/>
        <w:ind w:firstLine="220" w:firstLineChars="100"/>
        <w:rPr>
          <w:rFonts w:hint="eastAsia" w:ascii="宋体" w:hAnsi="宋体" w:cs="宋体"/>
          <w:color w:val="000000"/>
          <w:sz w:val="22"/>
          <w:szCs w:val="22"/>
        </w:rPr>
      </w:pPr>
      <w:r>
        <w:rPr>
          <w:rFonts w:hint="eastAsia" w:ascii="宋体" w:hAnsi="宋体" w:cs="宋体"/>
          <w:color w:val="000000"/>
          <w:sz w:val="22"/>
          <w:szCs w:val="22"/>
        </w:rPr>
        <w:t>建筑抗震鉴定标准（GB50023-2009）</w:t>
      </w:r>
    </w:p>
    <w:p>
      <w:pPr>
        <w:spacing w:line="460" w:lineRule="exact"/>
        <w:ind w:firstLine="220" w:firstLineChars="100"/>
        <w:rPr>
          <w:rFonts w:hint="eastAsia" w:ascii="宋体" w:hAnsi="宋体" w:cs="宋体"/>
          <w:color w:val="000000"/>
          <w:sz w:val="22"/>
          <w:szCs w:val="22"/>
        </w:rPr>
      </w:pPr>
      <w:r>
        <w:rPr>
          <w:rFonts w:hint="eastAsia" w:ascii="宋体" w:hAnsi="宋体" w:cs="宋体"/>
          <w:color w:val="000000"/>
          <w:sz w:val="22"/>
          <w:szCs w:val="22"/>
        </w:rPr>
        <w:t>建筑抗震加固技术规程（JGJ 116-2009）</w:t>
      </w:r>
    </w:p>
    <w:p>
      <w:pPr>
        <w:spacing w:line="460" w:lineRule="exact"/>
        <w:ind w:firstLine="220" w:firstLineChars="100"/>
        <w:rPr>
          <w:rFonts w:hint="eastAsia" w:ascii="宋体" w:hAnsi="宋体" w:cs="宋体"/>
          <w:color w:val="000000"/>
          <w:sz w:val="22"/>
          <w:szCs w:val="22"/>
        </w:rPr>
      </w:pPr>
      <w:r>
        <w:rPr>
          <w:rFonts w:hint="eastAsia" w:ascii="宋体" w:hAnsi="宋体" w:cs="宋体"/>
          <w:color w:val="000000"/>
          <w:sz w:val="22"/>
          <w:szCs w:val="22"/>
        </w:rPr>
        <w:t>多孔砖砌体结构设计规范（JGJ 137-2001）</w:t>
      </w:r>
    </w:p>
    <w:p>
      <w:pPr>
        <w:pStyle w:val="129"/>
        <w:spacing w:line="460" w:lineRule="exact"/>
        <w:ind w:firstLine="440"/>
        <w:rPr>
          <w:rFonts w:hint="eastAsia" w:ascii="宋体" w:hAnsi="宋体"/>
          <w:sz w:val="22"/>
          <w:szCs w:val="22"/>
        </w:rPr>
      </w:pPr>
      <w:r>
        <w:rPr>
          <w:rFonts w:hint="eastAsia" w:ascii="宋体" w:hAnsi="宋体"/>
          <w:sz w:val="22"/>
          <w:szCs w:val="22"/>
        </w:rPr>
        <w:t>……</w:t>
      </w:r>
    </w:p>
    <w:p>
      <w:pPr>
        <w:pStyle w:val="129"/>
        <w:spacing w:line="460" w:lineRule="exact"/>
        <w:ind w:firstLine="220" w:firstLineChars="100"/>
        <w:rPr>
          <w:rFonts w:hint="eastAsia" w:ascii="宋体" w:hAnsi="宋体"/>
          <w:sz w:val="22"/>
          <w:szCs w:val="22"/>
        </w:rPr>
      </w:pPr>
      <w:r>
        <w:rPr>
          <w:rFonts w:hint="eastAsia" w:ascii="宋体" w:hAnsi="宋体"/>
          <w:sz w:val="22"/>
          <w:szCs w:val="22"/>
        </w:rPr>
        <w:t>7.2以上技术标准和规范由承包人自备，如有不足之处或未能达到国家最新标准时，承包人应使施工及选用的设备和材料符合最新版本的国家标准、规范。</w:t>
      </w:r>
    </w:p>
    <w:p>
      <w:pPr>
        <w:pStyle w:val="158"/>
        <w:snapToGrid w:val="0"/>
        <w:spacing w:line="460" w:lineRule="exact"/>
        <w:ind w:firstLine="220" w:firstLineChars="100"/>
        <w:rPr>
          <w:rFonts w:hint="eastAsia" w:cs="宋体"/>
          <w:b/>
          <w:color w:val="000000"/>
          <w:sz w:val="22"/>
          <w:szCs w:val="22"/>
        </w:rPr>
      </w:pPr>
      <w:r>
        <w:rPr>
          <w:rFonts w:hint="eastAsia" w:cs="宋体"/>
          <w:sz w:val="22"/>
          <w:szCs w:val="22"/>
        </w:rPr>
        <w:t>7.3对施工工艺的特殊要求：详见设计说明及施工图纸</w:t>
      </w:r>
      <w:r>
        <w:rPr>
          <w:rFonts w:hint="eastAsia" w:cs="宋体"/>
          <w:sz w:val="22"/>
          <w:szCs w:val="22"/>
          <w:lang w:eastAsia="zh-CN"/>
        </w:rPr>
        <w:t>，</w:t>
      </w:r>
      <w:r>
        <w:rPr>
          <w:rFonts w:hint="eastAsia" w:cs="宋体"/>
          <w:sz w:val="22"/>
          <w:szCs w:val="22"/>
          <w:lang w:val="en-US" w:eastAsia="zh-CN"/>
        </w:rPr>
        <w:t>供应商应详细查图纸确保施工要求及清单准确</w:t>
      </w:r>
      <w:r>
        <w:rPr>
          <w:rFonts w:hint="eastAsia" w:cs="宋体"/>
          <w:sz w:val="22"/>
          <w:szCs w:val="22"/>
        </w:rPr>
        <w:t>。</w:t>
      </w:r>
    </w:p>
    <w:bookmarkEnd w:id="16"/>
    <w:p>
      <w:pPr>
        <w:pStyle w:val="117"/>
        <w:spacing w:before="37"/>
        <w:rPr>
          <w:rFonts w:hint="eastAsia"/>
          <w:b/>
          <w:bCs/>
          <w:sz w:val="22"/>
          <w:szCs w:val="22"/>
          <w:lang w:val="en-US"/>
        </w:rPr>
      </w:pPr>
      <w:bookmarkStart w:id="29" w:name="6.2.2 机房设备安装分项"/>
      <w:bookmarkEnd w:id="29"/>
    </w:p>
    <w:p>
      <w:pPr>
        <w:pStyle w:val="117"/>
        <w:spacing w:before="37"/>
        <w:rPr>
          <w:rFonts w:hint="eastAsia"/>
          <w:b/>
          <w:bCs/>
          <w:sz w:val="22"/>
          <w:szCs w:val="22"/>
        </w:rPr>
      </w:pPr>
      <w:r>
        <w:rPr>
          <w:rFonts w:hint="eastAsia"/>
          <w:b/>
          <w:bCs/>
          <w:sz w:val="22"/>
          <w:szCs w:val="22"/>
          <w:lang w:val="en-US"/>
        </w:rPr>
        <w:t>2.2、</w:t>
      </w:r>
      <w:r>
        <w:rPr>
          <w:rFonts w:hint="eastAsia"/>
          <w:b/>
          <w:bCs/>
          <w:sz w:val="22"/>
          <w:szCs w:val="22"/>
        </w:rPr>
        <w:t>机房设备安装分项</w:t>
      </w:r>
    </w:p>
    <w:tbl>
      <w:tblPr>
        <w:tblStyle w:val="43"/>
        <w:tblW w:w="951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28"/>
        <w:gridCol w:w="1380"/>
        <w:gridCol w:w="6010"/>
        <w:gridCol w:w="850"/>
        <w:gridCol w:w="65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blHeader/>
          <w:jc w:val="center"/>
        </w:trPr>
        <w:tc>
          <w:tcPr>
            <w:tcW w:w="628" w:type="dxa"/>
            <w:noWrap w:val="0"/>
            <w:vAlign w:val="center"/>
          </w:tcPr>
          <w:p>
            <w:pPr>
              <w:pStyle w:val="117"/>
              <w:jc w:val="center"/>
              <w:rPr>
                <w:rFonts w:hint="eastAsia"/>
                <w:sz w:val="22"/>
                <w:szCs w:val="22"/>
              </w:rPr>
            </w:pPr>
            <w:r>
              <w:rPr>
                <w:rFonts w:hint="eastAsia"/>
                <w:sz w:val="22"/>
                <w:szCs w:val="22"/>
              </w:rPr>
              <w:t>序号</w:t>
            </w:r>
          </w:p>
        </w:tc>
        <w:tc>
          <w:tcPr>
            <w:tcW w:w="1380" w:type="dxa"/>
            <w:noWrap w:val="0"/>
            <w:vAlign w:val="center"/>
          </w:tcPr>
          <w:p>
            <w:pPr>
              <w:pStyle w:val="117"/>
              <w:spacing w:before="37"/>
              <w:jc w:val="center"/>
              <w:rPr>
                <w:rFonts w:hint="eastAsia"/>
                <w:sz w:val="22"/>
                <w:szCs w:val="22"/>
              </w:rPr>
            </w:pPr>
            <w:r>
              <w:rPr>
                <w:rFonts w:hint="eastAsia"/>
                <w:sz w:val="22"/>
                <w:szCs w:val="22"/>
              </w:rPr>
              <w:t>名称</w:t>
            </w:r>
          </w:p>
        </w:tc>
        <w:tc>
          <w:tcPr>
            <w:tcW w:w="6010" w:type="dxa"/>
            <w:noWrap w:val="0"/>
            <w:vAlign w:val="center"/>
          </w:tcPr>
          <w:p>
            <w:pPr>
              <w:pStyle w:val="117"/>
              <w:spacing w:before="37"/>
              <w:ind w:firstLine="2860" w:firstLineChars="1300"/>
              <w:rPr>
                <w:rFonts w:hint="eastAsia"/>
                <w:sz w:val="22"/>
                <w:szCs w:val="22"/>
              </w:rPr>
            </w:pPr>
            <w:r>
              <w:rPr>
                <w:rFonts w:hint="eastAsia"/>
                <w:sz w:val="22"/>
                <w:szCs w:val="22"/>
              </w:rPr>
              <w:t>参数</w:t>
            </w:r>
          </w:p>
        </w:tc>
        <w:tc>
          <w:tcPr>
            <w:tcW w:w="850" w:type="dxa"/>
            <w:noWrap w:val="0"/>
            <w:vAlign w:val="center"/>
          </w:tcPr>
          <w:p>
            <w:pPr>
              <w:pStyle w:val="117"/>
              <w:jc w:val="center"/>
              <w:rPr>
                <w:rFonts w:hint="eastAsia"/>
                <w:sz w:val="22"/>
                <w:szCs w:val="22"/>
              </w:rPr>
            </w:pPr>
            <w:r>
              <w:rPr>
                <w:rFonts w:hint="eastAsia"/>
                <w:sz w:val="22"/>
                <w:szCs w:val="22"/>
              </w:rPr>
              <w:t>单位</w:t>
            </w:r>
          </w:p>
        </w:tc>
        <w:tc>
          <w:tcPr>
            <w:tcW w:w="650" w:type="dxa"/>
            <w:noWrap w:val="0"/>
            <w:vAlign w:val="center"/>
          </w:tcPr>
          <w:p>
            <w:pPr>
              <w:pStyle w:val="117"/>
              <w:jc w:val="center"/>
              <w:rPr>
                <w:rFonts w:hint="eastAsia"/>
                <w:sz w:val="22"/>
                <w:szCs w:val="22"/>
              </w:rPr>
            </w:pPr>
            <w:r>
              <w:rPr>
                <w:rFonts w:hint="eastAsia"/>
                <w:sz w:val="22"/>
                <w:szCs w:val="22"/>
              </w:rPr>
              <w:t>数量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9518" w:type="dxa"/>
            <w:gridSpan w:val="5"/>
            <w:noWrap w:val="0"/>
            <w:vAlign w:val="center"/>
          </w:tcPr>
          <w:p>
            <w:pPr>
              <w:pStyle w:val="117"/>
              <w:jc w:val="center"/>
              <w:rPr>
                <w:rFonts w:hint="eastAsia"/>
                <w:sz w:val="22"/>
                <w:szCs w:val="22"/>
              </w:rPr>
            </w:pPr>
            <w:r>
              <w:rPr>
                <w:rFonts w:hint="eastAsia"/>
                <w:sz w:val="22"/>
                <w:szCs w:val="22"/>
              </w:rPr>
              <w:t>一模块化机房</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8018" w:type="dxa"/>
            <w:gridSpan w:val="3"/>
            <w:noWrap w:val="0"/>
            <w:vAlign w:val="center"/>
          </w:tcPr>
          <w:p>
            <w:pPr>
              <w:pStyle w:val="117"/>
              <w:jc w:val="center"/>
              <w:rPr>
                <w:rFonts w:hint="eastAsia"/>
                <w:sz w:val="22"/>
                <w:szCs w:val="22"/>
              </w:rPr>
            </w:pPr>
            <w:r>
              <w:rPr>
                <w:rFonts w:hint="eastAsia"/>
                <w:b/>
                <w:sz w:val="22"/>
                <w:szCs w:val="22"/>
              </w:rPr>
              <w:t>1）微模块机柜系统</w:t>
            </w:r>
          </w:p>
        </w:tc>
        <w:tc>
          <w:tcPr>
            <w:tcW w:w="850" w:type="dxa"/>
            <w:noWrap w:val="0"/>
            <w:vAlign w:val="center"/>
          </w:tcPr>
          <w:p>
            <w:pPr>
              <w:pStyle w:val="117"/>
              <w:jc w:val="center"/>
              <w:rPr>
                <w:rFonts w:hint="eastAsia"/>
                <w:sz w:val="22"/>
                <w:szCs w:val="22"/>
              </w:rPr>
            </w:pPr>
          </w:p>
        </w:tc>
        <w:tc>
          <w:tcPr>
            <w:tcW w:w="650" w:type="dxa"/>
            <w:noWrap w:val="0"/>
            <w:vAlign w:val="center"/>
          </w:tcPr>
          <w:p>
            <w:pPr>
              <w:pStyle w:val="117"/>
              <w:jc w:val="center"/>
              <w:rPr>
                <w:rFonts w:hint="eastAsia"/>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1</w:t>
            </w:r>
          </w:p>
        </w:tc>
        <w:tc>
          <w:tcPr>
            <w:tcW w:w="1380" w:type="dxa"/>
            <w:noWrap w:val="0"/>
            <w:vAlign w:val="center"/>
          </w:tcPr>
          <w:p>
            <w:pPr>
              <w:pStyle w:val="117"/>
              <w:ind w:right="78"/>
              <w:jc w:val="center"/>
              <w:rPr>
                <w:rFonts w:hint="eastAsia"/>
                <w:sz w:val="22"/>
                <w:szCs w:val="22"/>
              </w:rPr>
            </w:pPr>
            <w:r>
              <w:rPr>
                <w:rFonts w:hint="eastAsia"/>
                <w:sz w:val="22"/>
                <w:szCs w:val="22"/>
              </w:rPr>
              <w:t>服务器机柜</w:t>
            </w:r>
          </w:p>
        </w:tc>
        <w:tc>
          <w:tcPr>
            <w:tcW w:w="6010" w:type="dxa"/>
            <w:noWrap w:val="0"/>
            <w:vAlign w:val="center"/>
          </w:tcPr>
          <w:p>
            <w:pPr>
              <w:pStyle w:val="117"/>
              <w:spacing w:before="35"/>
              <w:ind w:left="109"/>
              <w:rPr>
                <w:rFonts w:hint="eastAsia"/>
                <w:sz w:val="22"/>
                <w:szCs w:val="22"/>
              </w:rPr>
            </w:pPr>
            <w:r>
              <w:rPr>
                <w:rFonts w:hint="eastAsia"/>
                <w:sz w:val="22"/>
                <w:szCs w:val="22"/>
              </w:rPr>
              <w:t>1、机柜尺寸：600*1100*2000mm（宽深高）</w:t>
            </w:r>
          </w:p>
          <w:p>
            <w:pPr>
              <w:pStyle w:val="117"/>
              <w:spacing w:before="70" w:line="304" w:lineRule="auto"/>
              <w:ind w:left="109" w:right="111"/>
              <w:rPr>
                <w:rFonts w:hint="eastAsia"/>
                <w:sz w:val="22"/>
                <w:szCs w:val="22"/>
              </w:rPr>
            </w:pPr>
            <w:r>
              <w:rPr>
                <w:rFonts w:hint="eastAsia"/>
                <w:sz w:val="22"/>
                <w:szCs w:val="22"/>
              </w:rPr>
              <w:t>2</w:t>
            </w:r>
            <w:r>
              <w:rPr>
                <w:rFonts w:hint="eastAsia"/>
                <w:spacing w:val="-5"/>
                <w:sz w:val="22"/>
                <w:szCs w:val="22"/>
              </w:rPr>
              <w:t xml:space="preserve">、机柜主体材质需采用 </w:t>
            </w:r>
            <w:r>
              <w:rPr>
                <w:rFonts w:hint="eastAsia"/>
                <w:sz w:val="22"/>
                <w:szCs w:val="22"/>
              </w:rPr>
              <w:t>A</w:t>
            </w:r>
            <w:r>
              <w:rPr>
                <w:rFonts w:hint="eastAsia"/>
                <w:spacing w:val="-9"/>
                <w:sz w:val="22"/>
                <w:szCs w:val="22"/>
              </w:rPr>
              <w:t xml:space="preserve"> 级冷轧钢板，机柜框架为标准九</w:t>
            </w:r>
            <w:r>
              <w:rPr>
                <w:rFonts w:hint="eastAsia"/>
                <w:sz w:val="22"/>
                <w:szCs w:val="22"/>
              </w:rPr>
              <w:t>折型材焊接而成，具有良好的机械性能。</w:t>
            </w:r>
          </w:p>
          <w:p>
            <w:pPr>
              <w:pStyle w:val="117"/>
              <w:spacing w:line="256" w:lineRule="exact"/>
              <w:ind w:left="109"/>
              <w:rPr>
                <w:rFonts w:hint="eastAsia"/>
                <w:sz w:val="22"/>
                <w:szCs w:val="22"/>
              </w:rPr>
            </w:pPr>
            <w:r>
              <w:rPr>
                <w:rFonts w:hint="eastAsia"/>
                <w:sz w:val="22"/>
                <w:szCs w:val="22"/>
              </w:rPr>
              <w:t>3、投标产品承重需达到动态负载 1000kg，静态负载1300kg，通过加强静态负载可达到 1500kg。</w:t>
            </w:r>
          </w:p>
          <w:p>
            <w:pPr>
              <w:pStyle w:val="117"/>
              <w:spacing w:before="70" w:line="304" w:lineRule="auto"/>
              <w:ind w:left="109" w:right="96"/>
              <w:rPr>
                <w:rFonts w:hint="eastAsia"/>
                <w:sz w:val="22"/>
                <w:szCs w:val="22"/>
              </w:rPr>
            </w:pPr>
            <w:r>
              <w:rPr>
                <w:rFonts w:hint="eastAsia"/>
                <w:sz w:val="22"/>
                <w:szCs w:val="22"/>
              </w:rPr>
              <w:t>4、机柜需满足抗震要求，依照 YD 5083-2005 《电信设备抗地震性能检测规范》标准，投标产品带载 550kg 情况下，需连续通过 8、9 级烈度结构抗地震考核。</w:t>
            </w:r>
          </w:p>
          <w:p>
            <w:pPr>
              <w:pStyle w:val="117"/>
              <w:spacing w:before="3" w:line="304" w:lineRule="auto"/>
              <w:ind w:left="109" w:right="260"/>
              <w:rPr>
                <w:rFonts w:hint="eastAsia"/>
                <w:sz w:val="22"/>
                <w:szCs w:val="22"/>
              </w:rPr>
            </w:pPr>
            <w:r>
              <w:rPr>
                <w:rFonts w:hint="eastAsia"/>
                <w:sz w:val="22"/>
                <w:szCs w:val="22"/>
              </w:rPr>
              <w:t>5、投标产品前后门需采用网孔门设计，网孔为六边形设</w:t>
            </w:r>
            <w:r>
              <w:rPr>
                <w:rFonts w:hint="eastAsia"/>
                <w:spacing w:val="-7"/>
                <w:sz w:val="22"/>
                <w:szCs w:val="22"/>
              </w:rPr>
              <w:t xml:space="preserve">计,通孔率需达 </w:t>
            </w:r>
            <w:r>
              <w:rPr>
                <w:rFonts w:hint="eastAsia"/>
                <w:sz w:val="22"/>
                <w:szCs w:val="22"/>
              </w:rPr>
              <w:t>75</w:t>
            </w:r>
            <w:r>
              <w:rPr>
                <w:rFonts w:hint="eastAsia"/>
                <w:spacing w:val="-1"/>
                <w:sz w:val="22"/>
                <w:szCs w:val="22"/>
              </w:rPr>
              <w:t>％，利于机柜内设备通风散热，适应新</w:t>
            </w:r>
            <w:r>
              <w:rPr>
                <w:rFonts w:hint="eastAsia"/>
                <w:sz w:val="22"/>
                <w:szCs w:val="22"/>
              </w:rPr>
              <w:t>型服务器高热密度的散热需求。</w:t>
            </w:r>
          </w:p>
          <w:p>
            <w:pPr>
              <w:pStyle w:val="117"/>
              <w:spacing w:before="1"/>
              <w:ind w:left="109"/>
              <w:rPr>
                <w:rFonts w:hint="eastAsia"/>
                <w:sz w:val="22"/>
                <w:szCs w:val="22"/>
              </w:rPr>
            </w:pPr>
            <w:r>
              <w:rPr>
                <w:rFonts w:hint="eastAsia"/>
                <w:sz w:val="22"/>
                <w:szCs w:val="22"/>
              </w:rPr>
              <w:t>6、为方便柜内设备上下架，机柜前后门开启角度均应大于等于 130 度。</w:t>
            </w:r>
          </w:p>
        </w:tc>
        <w:tc>
          <w:tcPr>
            <w:tcW w:w="850" w:type="dxa"/>
            <w:noWrap w:val="0"/>
            <w:vAlign w:val="center"/>
          </w:tcPr>
          <w:p>
            <w:pPr>
              <w:pStyle w:val="117"/>
              <w:ind w:left="11"/>
              <w:jc w:val="center"/>
              <w:rPr>
                <w:rFonts w:hint="eastAsia"/>
                <w:sz w:val="22"/>
                <w:szCs w:val="22"/>
              </w:rPr>
            </w:pPr>
            <w:r>
              <w:rPr>
                <w:rFonts w:hint="eastAsia"/>
                <w:w w:val="99"/>
                <w:sz w:val="22"/>
                <w:szCs w:val="22"/>
              </w:rPr>
              <w:t>台</w:t>
            </w:r>
          </w:p>
        </w:tc>
        <w:tc>
          <w:tcPr>
            <w:tcW w:w="650" w:type="dxa"/>
            <w:noWrap w:val="0"/>
            <w:vAlign w:val="center"/>
          </w:tcPr>
          <w:p>
            <w:pPr>
              <w:pStyle w:val="117"/>
              <w:ind w:right="110"/>
              <w:jc w:val="center"/>
              <w:rPr>
                <w:rFonts w:hint="eastAsia"/>
                <w:sz w:val="22"/>
                <w:szCs w:val="22"/>
              </w:rPr>
            </w:pPr>
            <w:r>
              <w:rPr>
                <w:rFonts w:hint="eastAsia"/>
                <w:sz w:val="22"/>
                <w:szCs w:val="22"/>
              </w:rPr>
              <w:t>48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2</w:t>
            </w:r>
          </w:p>
        </w:tc>
        <w:tc>
          <w:tcPr>
            <w:tcW w:w="1380" w:type="dxa"/>
            <w:noWrap w:val="0"/>
            <w:vAlign w:val="center"/>
          </w:tcPr>
          <w:p>
            <w:pPr>
              <w:pStyle w:val="117"/>
              <w:spacing w:before="47"/>
              <w:ind w:right="78"/>
              <w:jc w:val="center"/>
              <w:rPr>
                <w:rFonts w:hint="eastAsia"/>
                <w:sz w:val="22"/>
                <w:szCs w:val="22"/>
              </w:rPr>
            </w:pPr>
            <w:r>
              <w:rPr>
                <w:rFonts w:hint="eastAsia"/>
                <w:sz w:val="22"/>
                <w:szCs w:val="22"/>
              </w:rPr>
              <w:t>列头配电柜</w:t>
            </w:r>
          </w:p>
        </w:tc>
        <w:tc>
          <w:tcPr>
            <w:tcW w:w="6010" w:type="dxa"/>
            <w:noWrap w:val="0"/>
            <w:vAlign w:val="center"/>
          </w:tcPr>
          <w:p>
            <w:pPr>
              <w:pStyle w:val="117"/>
              <w:spacing w:before="47"/>
              <w:ind w:left="109"/>
              <w:rPr>
                <w:rFonts w:hint="eastAsia"/>
                <w:sz w:val="22"/>
                <w:szCs w:val="22"/>
              </w:rPr>
            </w:pPr>
            <w:r>
              <w:rPr>
                <w:rFonts w:hint="eastAsia"/>
                <w:sz w:val="22"/>
                <w:szCs w:val="22"/>
              </w:rPr>
              <w:t>列头柜尺寸 600*1100*2000 ，根据图纸定制</w:t>
            </w:r>
          </w:p>
        </w:tc>
        <w:tc>
          <w:tcPr>
            <w:tcW w:w="850" w:type="dxa"/>
            <w:noWrap w:val="0"/>
            <w:vAlign w:val="center"/>
          </w:tcPr>
          <w:p>
            <w:pPr>
              <w:pStyle w:val="117"/>
              <w:ind w:left="11"/>
              <w:jc w:val="center"/>
              <w:rPr>
                <w:rFonts w:hint="eastAsia"/>
                <w:sz w:val="22"/>
                <w:szCs w:val="22"/>
              </w:rPr>
            </w:pPr>
            <w:r>
              <w:rPr>
                <w:rFonts w:hint="eastAsia"/>
                <w:w w:val="99"/>
                <w:sz w:val="22"/>
                <w:szCs w:val="22"/>
              </w:rPr>
              <w:t>台</w:t>
            </w:r>
          </w:p>
        </w:tc>
        <w:tc>
          <w:tcPr>
            <w:tcW w:w="650" w:type="dxa"/>
            <w:noWrap w:val="0"/>
            <w:vAlign w:val="center"/>
          </w:tcPr>
          <w:p>
            <w:pPr>
              <w:pStyle w:val="117"/>
              <w:ind w:left="13"/>
              <w:jc w:val="center"/>
              <w:rPr>
                <w:rFonts w:hint="eastAsia"/>
                <w:sz w:val="22"/>
                <w:szCs w:val="22"/>
              </w:rPr>
            </w:pPr>
            <w:r>
              <w:rPr>
                <w:rFonts w:hint="eastAsia"/>
                <w:w w:val="99"/>
                <w:sz w:val="22"/>
                <w:szCs w:val="22"/>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3</w:t>
            </w:r>
          </w:p>
        </w:tc>
        <w:tc>
          <w:tcPr>
            <w:tcW w:w="1380" w:type="dxa"/>
            <w:noWrap w:val="0"/>
            <w:vAlign w:val="center"/>
          </w:tcPr>
          <w:p>
            <w:pPr>
              <w:pStyle w:val="117"/>
              <w:ind w:right="78"/>
              <w:jc w:val="center"/>
              <w:rPr>
                <w:rFonts w:hint="eastAsia"/>
                <w:sz w:val="22"/>
                <w:szCs w:val="22"/>
              </w:rPr>
            </w:pPr>
            <w:r>
              <w:rPr>
                <w:rFonts w:hint="eastAsia"/>
                <w:sz w:val="22"/>
                <w:szCs w:val="22"/>
              </w:rPr>
              <w:t>布线列头柜</w:t>
            </w:r>
          </w:p>
        </w:tc>
        <w:tc>
          <w:tcPr>
            <w:tcW w:w="6010" w:type="dxa"/>
            <w:noWrap w:val="0"/>
            <w:vAlign w:val="center"/>
          </w:tcPr>
          <w:p>
            <w:pPr>
              <w:pStyle w:val="117"/>
              <w:spacing w:before="35"/>
              <w:ind w:left="109"/>
              <w:rPr>
                <w:rFonts w:hint="eastAsia"/>
                <w:sz w:val="22"/>
                <w:szCs w:val="22"/>
              </w:rPr>
            </w:pPr>
            <w:r>
              <w:rPr>
                <w:rFonts w:hint="eastAsia"/>
                <w:sz w:val="22"/>
                <w:szCs w:val="22"/>
              </w:rPr>
              <w:t>1、机柜尺寸：600*1100*2000mm（宽深高）</w:t>
            </w:r>
          </w:p>
          <w:p>
            <w:pPr>
              <w:pStyle w:val="117"/>
              <w:spacing w:before="70" w:line="304" w:lineRule="auto"/>
              <w:ind w:left="109" w:right="111"/>
              <w:rPr>
                <w:rFonts w:hint="eastAsia"/>
                <w:sz w:val="22"/>
                <w:szCs w:val="22"/>
              </w:rPr>
            </w:pPr>
            <w:r>
              <w:rPr>
                <w:rFonts w:hint="eastAsia"/>
                <w:sz w:val="22"/>
                <w:szCs w:val="22"/>
              </w:rPr>
              <w:t>2</w:t>
            </w:r>
            <w:r>
              <w:rPr>
                <w:rFonts w:hint="eastAsia"/>
                <w:spacing w:val="-5"/>
                <w:sz w:val="22"/>
                <w:szCs w:val="22"/>
              </w:rPr>
              <w:t xml:space="preserve">、机柜主体材质需采用 </w:t>
            </w:r>
            <w:r>
              <w:rPr>
                <w:rFonts w:hint="eastAsia"/>
                <w:sz w:val="22"/>
                <w:szCs w:val="22"/>
              </w:rPr>
              <w:t>A</w:t>
            </w:r>
            <w:r>
              <w:rPr>
                <w:rFonts w:hint="eastAsia"/>
                <w:spacing w:val="-9"/>
                <w:sz w:val="22"/>
                <w:szCs w:val="22"/>
              </w:rPr>
              <w:t xml:space="preserve"> 级冷轧钢板，机柜框架为标准九</w:t>
            </w:r>
            <w:r>
              <w:rPr>
                <w:rFonts w:hint="eastAsia"/>
                <w:sz w:val="22"/>
                <w:szCs w:val="22"/>
              </w:rPr>
              <w:t>折型材焊接而成，具有良好的机械性能。</w:t>
            </w:r>
          </w:p>
          <w:p>
            <w:pPr>
              <w:pStyle w:val="117"/>
              <w:spacing w:before="35"/>
              <w:ind w:left="109"/>
              <w:rPr>
                <w:rFonts w:hint="eastAsia"/>
                <w:sz w:val="22"/>
                <w:szCs w:val="22"/>
              </w:rPr>
            </w:pPr>
            <w:r>
              <w:rPr>
                <w:rFonts w:hint="eastAsia"/>
                <w:sz w:val="22"/>
                <w:szCs w:val="22"/>
              </w:rPr>
              <w:t>3、投标产品承重需达到动态负载 1000kg，静态负载1300kg，通过加强静态负载可达到 1500kg。</w:t>
            </w:r>
          </w:p>
          <w:p>
            <w:pPr>
              <w:pStyle w:val="117"/>
              <w:spacing w:before="70" w:line="304" w:lineRule="auto"/>
              <w:ind w:left="109" w:right="96"/>
              <w:rPr>
                <w:rFonts w:hint="eastAsia"/>
                <w:sz w:val="22"/>
                <w:szCs w:val="22"/>
              </w:rPr>
            </w:pPr>
            <w:r>
              <w:rPr>
                <w:rFonts w:hint="eastAsia"/>
                <w:sz w:val="22"/>
                <w:szCs w:val="22"/>
              </w:rPr>
              <w:t>4、机柜需满足抗震要求，依照 YD 5083-2005 《电信设备抗地震性能检测规范》标准，投标产品带载 550kg 情况下，需连续通过 8、</w:t>
            </w:r>
            <w:r>
              <w:rPr>
                <w:rFonts w:hint="eastAsia"/>
                <w:sz w:val="22"/>
                <w:szCs w:val="22"/>
                <w:lang w:val="en-US"/>
              </w:rPr>
              <w:t>抵抗</w:t>
            </w:r>
            <w:r>
              <w:rPr>
                <w:rFonts w:hint="eastAsia"/>
                <w:sz w:val="22"/>
                <w:szCs w:val="22"/>
              </w:rPr>
              <w:t>9 级烈度结构抗地震考核。</w:t>
            </w:r>
          </w:p>
          <w:p>
            <w:pPr>
              <w:pStyle w:val="117"/>
              <w:spacing w:before="1" w:line="304" w:lineRule="auto"/>
              <w:ind w:left="109" w:right="260"/>
              <w:rPr>
                <w:rFonts w:hint="eastAsia"/>
                <w:sz w:val="22"/>
                <w:szCs w:val="22"/>
              </w:rPr>
            </w:pPr>
            <w:r>
              <w:rPr>
                <w:rFonts w:hint="eastAsia"/>
                <w:sz w:val="22"/>
                <w:szCs w:val="22"/>
              </w:rPr>
              <w:t>5、投标产品前后门需采用网孔门设计，网孔为六边形设</w:t>
            </w:r>
            <w:r>
              <w:rPr>
                <w:rFonts w:hint="eastAsia"/>
                <w:spacing w:val="-7"/>
                <w:sz w:val="22"/>
                <w:szCs w:val="22"/>
              </w:rPr>
              <w:t xml:space="preserve">计,通孔率需达 </w:t>
            </w:r>
            <w:r>
              <w:rPr>
                <w:rFonts w:hint="eastAsia"/>
                <w:sz w:val="22"/>
                <w:szCs w:val="22"/>
              </w:rPr>
              <w:t>75</w:t>
            </w:r>
            <w:r>
              <w:rPr>
                <w:rFonts w:hint="eastAsia"/>
                <w:spacing w:val="-1"/>
                <w:sz w:val="22"/>
                <w:szCs w:val="22"/>
              </w:rPr>
              <w:t>％，利于机柜内设备通风散热，适应新</w:t>
            </w:r>
            <w:r>
              <w:rPr>
                <w:rFonts w:hint="eastAsia"/>
                <w:sz w:val="22"/>
                <w:szCs w:val="22"/>
              </w:rPr>
              <w:t>型服务器高热密度的散热需求。</w:t>
            </w:r>
          </w:p>
          <w:p>
            <w:pPr>
              <w:pStyle w:val="117"/>
              <w:spacing w:before="2"/>
              <w:ind w:left="109"/>
              <w:rPr>
                <w:rFonts w:hint="eastAsia"/>
                <w:sz w:val="22"/>
                <w:szCs w:val="22"/>
              </w:rPr>
            </w:pPr>
            <w:r>
              <w:rPr>
                <w:rFonts w:hint="eastAsia"/>
                <w:sz w:val="22"/>
                <w:szCs w:val="22"/>
              </w:rPr>
              <w:t>6、为方便柜内设备上下架，机柜前后门开启角度均应大于等于 130 度。</w:t>
            </w:r>
          </w:p>
        </w:tc>
        <w:tc>
          <w:tcPr>
            <w:tcW w:w="850" w:type="dxa"/>
            <w:noWrap w:val="0"/>
            <w:vAlign w:val="center"/>
          </w:tcPr>
          <w:p>
            <w:pPr>
              <w:pStyle w:val="117"/>
              <w:ind w:left="11"/>
              <w:jc w:val="center"/>
              <w:rPr>
                <w:rFonts w:hint="eastAsia"/>
                <w:sz w:val="22"/>
                <w:szCs w:val="22"/>
              </w:rPr>
            </w:pPr>
            <w:r>
              <w:rPr>
                <w:rFonts w:hint="eastAsia"/>
                <w:w w:val="99"/>
                <w:sz w:val="22"/>
                <w:szCs w:val="22"/>
              </w:rPr>
              <w:t>台</w:t>
            </w:r>
          </w:p>
        </w:tc>
        <w:tc>
          <w:tcPr>
            <w:tcW w:w="650" w:type="dxa"/>
            <w:noWrap w:val="0"/>
            <w:vAlign w:val="center"/>
          </w:tcPr>
          <w:p>
            <w:pPr>
              <w:pStyle w:val="117"/>
              <w:ind w:left="13"/>
              <w:jc w:val="center"/>
              <w:rPr>
                <w:rFonts w:hint="eastAsia"/>
                <w:sz w:val="22"/>
                <w:szCs w:val="22"/>
              </w:rPr>
            </w:pPr>
            <w:r>
              <w:rPr>
                <w:rFonts w:hint="eastAsia"/>
                <w:w w:val="99"/>
                <w:sz w:val="22"/>
                <w:szCs w:val="22"/>
              </w:rPr>
              <w:t>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4</w:t>
            </w:r>
          </w:p>
        </w:tc>
        <w:tc>
          <w:tcPr>
            <w:tcW w:w="1380" w:type="dxa"/>
            <w:noWrap w:val="0"/>
            <w:vAlign w:val="center"/>
          </w:tcPr>
          <w:p>
            <w:pPr>
              <w:pStyle w:val="117"/>
              <w:spacing w:before="47"/>
              <w:ind w:left="84" w:right="78"/>
              <w:jc w:val="center"/>
              <w:rPr>
                <w:rFonts w:hint="eastAsia"/>
                <w:sz w:val="22"/>
                <w:szCs w:val="22"/>
              </w:rPr>
            </w:pPr>
            <w:r>
              <w:rPr>
                <w:rFonts w:hint="eastAsia"/>
                <w:sz w:val="22"/>
                <w:szCs w:val="22"/>
              </w:rPr>
              <w:t>侧板</w:t>
            </w:r>
          </w:p>
        </w:tc>
        <w:tc>
          <w:tcPr>
            <w:tcW w:w="6010" w:type="dxa"/>
            <w:noWrap w:val="0"/>
            <w:vAlign w:val="center"/>
          </w:tcPr>
          <w:p>
            <w:pPr>
              <w:pStyle w:val="117"/>
              <w:spacing w:before="47"/>
              <w:ind w:left="109"/>
              <w:rPr>
                <w:rFonts w:hint="eastAsia"/>
                <w:sz w:val="22"/>
                <w:szCs w:val="22"/>
              </w:rPr>
            </w:pPr>
            <w:r>
              <w:rPr>
                <w:rFonts w:hint="eastAsia"/>
                <w:sz w:val="22"/>
                <w:szCs w:val="22"/>
              </w:rPr>
              <w:t>配套 600*1100*2000mm 规格 IT 机柜使用</w:t>
            </w:r>
          </w:p>
        </w:tc>
        <w:tc>
          <w:tcPr>
            <w:tcW w:w="850" w:type="dxa"/>
            <w:noWrap w:val="0"/>
            <w:vAlign w:val="center"/>
          </w:tcPr>
          <w:p>
            <w:pPr>
              <w:pStyle w:val="117"/>
              <w:ind w:left="11"/>
              <w:jc w:val="center"/>
              <w:rPr>
                <w:rFonts w:hint="eastAsia"/>
                <w:sz w:val="22"/>
                <w:szCs w:val="22"/>
              </w:rPr>
            </w:pPr>
            <w:r>
              <w:rPr>
                <w:rFonts w:hint="eastAsia"/>
                <w:w w:val="99"/>
                <w:sz w:val="22"/>
                <w:szCs w:val="22"/>
              </w:rPr>
              <w:t>块</w:t>
            </w:r>
          </w:p>
        </w:tc>
        <w:tc>
          <w:tcPr>
            <w:tcW w:w="650" w:type="dxa"/>
            <w:noWrap w:val="0"/>
            <w:vAlign w:val="center"/>
          </w:tcPr>
          <w:p>
            <w:pPr>
              <w:pStyle w:val="117"/>
              <w:ind w:left="13"/>
              <w:jc w:val="center"/>
              <w:rPr>
                <w:rFonts w:hint="eastAsia"/>
                <w:sz w:val="22"/>
                <w:szCs w:val="22"/>
              </w:rPr>
            </w:pPr>
            <w:r>
              <w:rPr>
                <w:rFonts w:hint="eastAsia"/>
                <w:w w:val="99"/>
                <w:sz w:val="22"/>
                <w:szCs w:val="22"/>
              </w:rPr>
              <w:t>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5</w:t>
            </w:r>
          </w:p>
        </w:tc>
        <w:tc>
          <w:tcPr>
            <w:tcW w:w="1380" w:type="dxa"/>
            <w:noWrap w:val="0"/>
            <w:vAlign w:val="center"/>
          </w:tcPr>
          <w:p>
            <w:pPr>
              <w:pStyle w:val="117"/>
              <w:spacing w:before="47"/>
              <w:ind w:left="84" w:right="78"/>
              <w:jc w:val="center"/>
              <w:rPr>
                <w:rFonts w:hint="eastAsia"/>
                <w:sz w:val="22"/>
                <w:szCs w:val="22"/>
              </w:rPr>
            </w:pPr>
            <w:r>
              <w:rPr>
                <w:rFonts w:hint="eastAsia"/>
                <w:sz w:val="22"/>
                <w:szCs w:val="22"/>
              </w:rPr>
              <w:t>工业连接线</w:t>
            </w:r>
          </w:p>
        </w:tc>
        <w:tc>
          <w:tcPr>
            <w:tcW w:w="6010" w:type="dxa"/>
            <w:noWrap w:val="0"/>
            <w:vAlign w:val="center"/>
          </w:tcPr>
          <w:p>
            <w:pPr>
              <w:pStyle w:val="117"/>
              <w:spacing w:before="47"/>
              <w:ind w:left="109"/>
              <w:rPr>
                <w:rFonts w:hint="eastAsia"/>
                <w:sz w:val="22"/>
                <w:szCs w:val="22"/>
              </w:rPr>
            </w:pPr>
            <w:r>
              <w:rPr>
                <w:rFonts w:hint="eastAsia"/>
                <w:sz w:val="22"/>
                <w:szCs w:val="22"/>
              </w:rPr>
              <w:t>32A</w:t>
            </w:r>
          </w:p>
        </w:tc>
        <w:tc>
          <w:tcPr>
            <w:tcW w:w="850" w:type="dxa"/>
            <w:noWrap w:val="0"/>
            <w:vAlign w:val="center"/>
          </w:tcPr>
          <w:p>
            <w:pPr>
              <w:pStyle w:val="117"/>
              <w:ind w:left="11"/>
              <w:jc w:val="center"/>
              <w:rPr>
                <w:rFonts w:hint="eastAsia"/>
                <w:sz w:val="22"/>
                <w:szCs w:val="22"/>
              </w:rPr>
            </w:pPr>
            <w:r>
              <w:rPr>
                <w:rFonts w:hint="eastAsia"/>
                <w:w w:val="99"/>
                <w:sz w:val="22"/>
                <w:szCs w:val="22"/>
              </w:rPr>
              <w:t>套</w:t>
            </w:r>
          </w:p>
        </w:tc>
        <w:tc>
          <w:tcPr>
            <w:tcW w:w="650" w:type="dxa"/>
            <w:noWrap w:val="0"/>
            <w:vAlign w:val="center"/>
          </w:tcPr>
          <w:p>
            <w:pPr>
              <w:pStyle w:val="117"/>
              <w:jc w:val="center"/>
              <w:rPr>
                <w:rFonts w:hint="eastAsia"/>
                <w:sz w:val="22"/>
                <w:szCs w:val="22"/>
              </w:rPr>
            </w:pPr>
            <w:r>
              <w:rPr>
                <w:rFonts w:hint="eastAsia"/>
                <w:sz w:val="22"/>
                <w:szCs w:val="22"/>
              </w:rPr>
              <w:t>104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6</w:t>
            </w:r>
          </w:p>
        </w:tc>
        <w:tc>
          <w:tcPr>
            <w:tcW w:w="1380" w:type="dxa"/>
            <w:noWrap w:val="0"/>
            <w:vAlign w:val="center"/>
          </w:tcPr>
          <w:p>
            <w:pPr>
              <w:pStyle w:val="117"/>
              <w:spacing w:before="47"/>
              <w:ind w:left="84" w:right="73"/>
              <w:jc w:val="center"/>
              <w:rPr>
                <w:rFonts w:hint="eastAsia"/>
                <w:sz w:val="22"/>
                <w:szCs w:val="22"/>
              </w:rPr>
            </w:pPr>
            <w:r>
              <w:rPr>
                <w:rFonts w:hint="eastAsia"/>
                <w:sz w:val="22"/>
                <w:szCs w:val="22"/>
              </w:rPr>
              <w:t>机架式 PDU</w:t>
            </w:r>
          </w:p>
        </w:tc>
        <w:tc>
          <w:tcPr>
            <w:tcW w:w="6010" w:type="dxa"/>
            <w:noWrap w:val="0"/>
            <w:vAlign w:val="center"/>
          </w:tcPr>
          <w:p>
            <w:pPr>
              <w:pStyle w:val="117"/>
              <w:spacing w:before="47"/>
              <w:ind w:left="109"/>
              <w:rPr>
                <w:rFonts w:hint="eastAsia"/>
                <w:sz w:val="22"/>
                <w:szCs w:val="22"/>
              </w:rPr>
            </w:pPr>
            <w:r>
              <w:rPr>
                <w:rFonts w:hint="eastAsia"/>
                <w:sz w:val="22"/>
                <w:szCs w:val="22"/>
              </w:rPr>
              <w:t>单相 PDU（输入 32A，输出含 20 位 C13、4 位 C19</w:t>
            </w:r>
          </w:p>
        </w:tc>
        <w:tc>
          <w:tcPr>
            <w:tcW w:w="850" w:type="dxa"/>
            <w:noWrap w:val="0"/>
            <w:vAlign w:val="center"/>
          </w:tcPr>
          <w:p>
            <w:pPr>
              <w:pStyle w:val="117"/>
              <w:ind w:left="11"/>
              <w:jc w:val="center"/>
              <w:rPr>
                <w:rFonts w:hint="eastAsia"/>
                <w:sz w:val="22"/>
                <w:szCs w:val="22"/>
              </w:rPr>
            </w:pPr>
            <w:r>
              <w:rPr>
                <w:rFonts w:hint="eastAsia"/>
                <w:w w:val="99"/>
                <w:sz w:val="22"/>
                <w:szCs w:val="22"/>
              </w:rPr>
              <w:t>套</w:t>
            </w:r>
          </w:p>
        </w:tc>
        <w:tc>
          <w:tcPr>
            <w:tcW w:w="650" w:type="dxa"/>
            <w:noWrap w:val="0"/>
            <w:vAlign w:val="center"/>
          </w:tcPr>
          <w:p>
            <w:pPr>
              <w:pStyle w:val="117"/>
              <w:jc w:val="center"/>
              <w:rPr>
                <w:rFonts w:hint="eastAsia"/>
                <w:sz w:val="22"/>
                <w:szCs w:val="22"/>
              </w:rPr>
            </w:pPr>
            <w:r>
              <w:rPr>
                <w:rFonts w:hint="eastAsia"/>
                <w:sz w:val="22"/>
                <w:szCs w:val="22"/>
              </w:rPr>
              <w:t>104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sz w:val="22"/>
                <w:szCs w:val="22"/>
              </w:rPr>
              <w:t>7</w:t>
            </w:r>
          </w:p>
        </w:tc>
        <w:tc>
          <w:tcPr>
            <w:tcW w:w="1380" w:type="dxa"/>
            <w:noWrap w:val="0"/>
            <w:vAlign w:val="center"/>
          </w:tcPr>
          <w:p>
            <w:pPr>
              <w:pStyle w:val="117"/>
              <w:spacing w:before="2"/>
              <w:ind w:left="109"/>
              <w:jc w:val="center"/>
              <w:rPr>
                <w:rFonts w:hint="eastAsia"/>
                <w:sz w:val="22"/>
                <w:szCs w:val="22"/>
              </w:rPr>
            </w:pPr>
            <w:r>
              <w:rPr>
                <w:rFonts w:hint="eastAsia"/>
                <w:sz w:val="22"/>
                <w:szCs w:val="22"/>
              </w:rPr>
              <w:t>竖直理线板</w:t>
            </w:r>
          </w:p>
        </w:tc>
        <w:tc>
          <w:tcPr>
            <w:tcW w:w="6010" w:type="dxa"/>
            <w:noWrap w:val="0"/>
            <w:vAlign w:val="center"/>
          </w:tcPr>
          <w:p>
            <w:pPr>
              <w:pStyle w:val="117"/>
              <w:spacing w:before="2"/>
              <w:ind w:left="109"/>
              <w:rPr>
                <w:rFonts w:hint="eastAsia"/>
                <w:sz w:val="22"/>
                <w:szCs w:val="22"/>
              </w:rPr>
            </w:pPr>
            <w:r>
              <w:rPr>
                <w:rFonts w:hint="eastAsia"/>
                <w:sz w:val="22"/>
                <w:szCs w:val="22"/>
              </w:rPr>
              <w:t>机柜用竖直理线板，用于 PDU 挂接及垂直理线，支持现场安装，一套含 2 块</w:t>
            </w:r>
          </w:p>
        </w:tc>
        <w:tc>
          <w:tcPr>
            <w:tcW w:w="850" w:type="dxa"/>
            <w:noWrap w:val="0"/>
            <w:vAlign w:val="center"/>
          </w:tcPr>
          <w:p>
            <w:pPr>
              <w:pStyle w:val="117"/>
              <w:jc w:val="center"/>
              <w:rPr>
                <w:rFonts w:hint="eastAsia"/>
                <w:sz w:val="22"/>
                <w:szCs w:val="22"/>
              </w:rPr>
            </w:pPr>
            <w:r>
              <w:rPr>
                <w:rFonts w:hint="eastAsia"/>
                <w:w w:val="99"/>
                <w:sz w:val="22"/>
                <w:szCs w:val="22"/>
              </w:rPr>
              <w:t>块</w:t>
            </w:r>
          </w:p>
        </w:tc>
        <w:tc>
          <w:tcPr>
            <w:tcW w:w="650" w:type="dxa"/>
            <w:noWrap w:val="0"/>
            <w:vAlign w:val="center"/>
          </w:tcPr>
          <w:p>
            <w:pPr>
              <w:pStyle w:val="117"/>
              <w:jc w:val="center"/>
              <w:rPr>
                <w:rFonts w:hint="eastAsia"/>
                <w:sz w:val="22"/>
                <w:szCs w:val="22"/>
              </w:rPr>
            </w:pPr>
            <w:r>
              <w:rPr>
                <w:rFonts w:hint="eastAsia"/>
                <w:sz w:val="22"/>
                <w:szCs w:val="22"/>
              </w:rPr>
              <w:t>48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sz w:val="22"/>
                <w:szCs w:val="22"/>
              </w:rPr>
              <w:t>8</w:t>
            </w:r>
          </w:p>
        </w:tc>
        <w:tc>
          <w:tcPr>
            <w:tcW w:w="1380" w:type="dxa"/>
            <w:noWrap w:val="0"/>
            <w:vAlign w:val="center"/>
          </w:tcPr>
          <w:p>
            <w:pPr>
              <w:pStyle w:val="117"/>
              <w:spacing w:before="2"/>
              <w:jc w:val="center"/>
              <w:rPr>
                <w:rFonts w:hint="eastAsia"/>
                <w:sz w:val="22"/>
                <w:szCs w:val="22"/>
              </w:rPr>
            </w:pPr>
            <w:r>
              <w:rPr>
                <w:rFonts w:hint="eastAsia"/>
                <w:sz w:val="22"/>
                <w:szCs w:val="22"/>
              </w:rPr>
              <w:t>通道 600 宽开启顶板及安装配件</w:t>
            </w:r>
          </w:p>
        </w:tc>
        <w:tc>
          <w:tcPr>
            <w:tcW w:w="6010" w:type="dxa"/>
            <w:noWrap w:val="0"/>
            <w:vAlign w:val="center"/>
          </w:tcPr>
          <w:p>
            <w:pPr>
              <w:pStyle w:val="117"/>
              <w:spacing w:before="2"/>
              <w:ind w:left="109"/>
              <w:rPr>
                <w:rFonts w:hint="eastAsia"/>
                <w:sz w:val="22"/>
                <w:szCs w:val="22"/>
              </w:rPr>
            </w:pPr>
            <w:r>
              <w:rPr>
                <w:rFonts w:hint="eastAsia"/>
                <w:sz w:val="22"/>
                <w:szCs w:val="22"/>
              </w:rPr>
              <w:t>1、600mm 宽顶部开启天窗，集成 24vdc 三色可调 LED 通道照明灯。</w:t>
            </w:r>
          </w:p>
          <w:p>
            <w:pPr>
              <w:pStyle w:val="117"/>
              <w:spacing w:before="2"/>
              <w:ind w:left="109"/>
              <w:rPr>
                <w:rFonts w:hint="eastAsia"/>
                <w:sz w:val="22"/>
                <w:szCs w:val="22"/>
              </w:rPr>
            </w:pPr>
            <w:r>
              <w:rPr>
                <w:rFonts w:hint="eastAsia"/>
                <w:sz w:val="22"/>
                <w:szCs w:val="22"/>
              </w:rPr>
              <w:t>2、天窗采用透光材质，采用厚度不低于 4mm 钢化玻璃</w:t>
            </w:r>
          </w:p>
        </w:tc>
        <w:tc>
          <w:tcPr>
            <w:tcW w:w="850" w:type="dxa"/>
            <w:noWrap w:val="0"/>
            <w:vAlign w:val="center"/>
          </w:tcPr>
          <w:p>
            <w:pPr>
              <w:pStyle w:val="117"/>
              <w:jc w:val="center"/>
              <w:rPr>
                <w:rFonts w:hint="eastAsia"/>
                <w:sz w:val="22"/>
                <w:szCs w:val="22"/>
              </w:rPr>
            </w:pPr>
            <w:r>
              <w:rPr>
                <w:rFonts w:hint="eastAsia"/>
                <w:w w:val="99"/>
                <w:sz w:val="22"/>
                <w:szCs w:val="22"/>
              </w:rPr>
              <w:t>套</w:t>
            </w:r>
          </w:p>
        </w:tc>
        <w:tc>
          <w:tcPr>
            <w:tcW w:w="650" w:type="dxa"/>
            <w:noWrap w:val="0"/>
            <w:vAlign w:val="center"/>
          </w:tcPr>
          <w:p>
            <w:pPr>
              <w:pStyle w:val="117"/>
              <w:jc w:val="center"/>
              <w:rPr>
                <w:rFonts w:hint="eastAsia"/>
                <w:sz w:val="22"/>
                <w:szCs w:val="22"/>
              </w:rPr>
            </w:pPr>
            <w:r>
              <w:rPr>
                <w:rFonts w:hint="eastAsia"/>
                <w:sz w:val="22"/>
                <w:szCs w:val="22"/>
              </w:rPr>
              <w:t>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9</w:t>
            </w:r>
          </w:p>
        </w:tc>
        <w:tc>
          <w:tcPr>
            <w:tcW w:w="1380" w:type="dxa"/>
            <w:noWrap w:val="0"/>
            <w:vAlign w:val="center"/>
          </w:tcPr>
          <w:p>
            <w:pPr>
              <w:pStyle w:val="117"/>
              <w:spacing w:line="304" w:lineRule="auto"/>
              <w:ind w:right="195"/>
              <w:jc w:val="center"/>
              <w:rPr>
                <w:rFonts w:hint="eastAsia"/>
                <w:sz w:val="22"/>
                <w:szCs w:val="22"/>
              </w:rPr>
            </w:pPr>
            <w:r>
              <w:rPr>
                <w:rFonts w:hint="eastAsia"/>
                <w:spacing w:val="-18"/>
                <w:sz w:val="22"/>
                <w:szCs w:val="22"/>
              </w:rPr>
              <w:t xml:space="preserve">通道 </w:t>
            </w:r>
            <w:r>
              <w:rPr>
                <w:rFonts w:hint="eastAsia"/>
                <w:sz w:val="22"/>
                <w:szCs w:val="22"/>
              </w:rPr>
              <w:t>600</w:t>
            </w:r>
            <w:r>
              <w:rPr>
                <w:rFonts w:hint="eastAsia"/>
                <w:spacing w:val="-13"/>
                <w:sz w:val="22"/>
                <w:szCs w:val="22"/>
              </w:rPr>
              <w:t xml:space="preserve"> 宽固定顶板</w:t>
            </w:r>
            <w:r>
              <w:rPr>
                <w:rFonts w:hint="eastAsia"/>
                <w:sz w:val="22"/>
                <w:szCs w:val="22"/>
              </w:rPr>
              <w:t>及安装配件</w:t>
            </w:r>
          </w:p>
        </w:tc>
        <w:tc>
          <w:tcPr>
            <w:tcW w:w="6010" w:type="dxa"/>
            <w:noWrap w:val="0"/>
            <w:vAlign w:val="center"/>
          </w:tcPr>
          <w:p>
            <w:pPr>
              <w:pStyle w:val="117"/>
              <w:spacing w:before="35" w:line="304" w:lineRule="auto"/>
              <w:ind w:left="109" w:right="161"/>
              <w:rPr>
                <w:rFonts w:hint="eastAsia"/>
                <w:sz w:val="22"/>
                <w:szCs w:val="22"/>
              </w:rPr>
            </w:pPr>
            <w:r>
              <w:rPr>
                <w:rFonts w:hint="eastAsia"/>
                <w:sz w:val="22"/>
                <w:szCs w:val="22"/>
              </w:rPr>
              <w:t>1、600mm</w:t>
            </w:r>
            <w:r>
              <w:rPr>
                <w:rFonts w:hint="eastAsia"/>
                <w:spacing w:val="-12"/>
                <w:sz w:val="22"/>
                <w:szCs w:val="22"/>
              </w:rPr>
              <w:t xml:space="preserve"> 宽顶部固定天窗，集成 </w:t>
            </w:r>
            <w:r>
              <w:rPr>
                <w:rFonts w:hint="eastAsia"/>
                <w:sz w:val="22"/>
                <w:szCs w:val="22"/>
              </w:rPr>
              <w:t>24vdc</w:t>
            </w:r>
            <w:r>
              <w:rPr>
                <w:rFonts w:hint="eastAsia"/>
                <w:spacing w:val="-19"/>
                <w:sz w:val="22"/>
                <w:szCs w:val="22"/>
              </w:rPr>
              <w:t xml:space="preserve"> 三色可调 </w:t>
            </w:r>
            <w:r>
              <w:rPr>
                <w:rFonts w:hint="eastAsia"/>
                <w:sz w:val="22"/>
                <w:szCs w:val="22"/>
              </w:rPr>
              <w:t>LED</w:t>
            </w:r>
            <w:r>
              <w:rPr>
                <w:rFonts w:hint="eastAsia"/>
                <w:spacing w:val="-19"/>
                <w:sz w:val="22"/>
                <w:szCs w:val="22"/>
              </w:rPr>
              <w:t xml:space="preserve"> 通道</w:t>
            </w:r>
            <w:r>
              <w:rPr>
                <w:rFonts w:hint="eastAsia"/>
                <w:sz w:val="22"/>
                <w:szCs w:val="22"/>
              </w:rPr>
              <w:t>照明灯。</w:t>
            </w:r>
          </w:p>
          <w:p>
            <w:pPr>
              <w:pStyle w:val="117"/>
              <w:spacing w:before="2"/>
              <w:ind w:left="109"/>
              <w:rPr>
                <w:rFonts w:hint="eastAsia"/>
                <w:sz w:val="22"/>
                <w:szCs w:val="22"/>
              </w:rPr>
            </w:pPr>
            <w:r>
              <w:rPr>
                <w:rFonts w:hint="eastAsia"/>
                <w:sz w:val="22"/>
                <w:szCs w:val="22"/>
              </w:rPr>
              <w:t>2、天窗采用透光材质，采用厚度不低于 4mm 钢化玻璃</w:t>
            </w:r>
          </w:p>
        </w:tc>
        <w:tc>
          <w:tcPr>
            <w:tcW w:w="850" w:type="dxa"/>
            <w:noWrap w:val="0"/>
            <w:vAlign w:val="center"/>
          </w:tcPr>
          <w:p>
            <w:pPr>
              <w:pStyle w:val="117"/>
              <w:jc w:val="center"/>
              <w:rPr>
                <w:rFonts w:hint="eastAsia"/>
                <w:sz w:val="22"/>
                <w:szCs w:val="22"/>
              </w:rPr>
            </w:pPr>
            <w:r>
              <w:rPr>
                <w:rFonts w:hint="eastAsia"/>
                <w:w w:val="99"/>
                <w:sz w:val="22"/>
                <w:szCs w:val="22"/>
              </w:rPr>
              <w:t>套</w:t>
            </w:r>
          </w:p>
        </w:tc>
        <w:tc>
          <w:tcPr>
            <w:tcW w:w="650" w:type="dxa"/>
            <w:noWrap w:val="0"/>
            <w:vAlign w:val="center"/>
          </w:tcPr>
          <w:p>
            <w:pPr>
              <w:pStyle w:val="117"/>
              <w:jc w:val="center"/>
              <w:rPr>
                <w:rFonts w:hint="eastAsia"/>
                <w:sz w:val="22"/>
                <w:szCs w:val="22"/>
              </w:rPr>
            </w:pPr>
            <w:r>
              <w:rPr>
                <w:rFonts w:hint="eastAsia"/>
                <w:w w:val="99"/>
                <w:sz w:val="22"/>
                <w:szCs w:val="22"/>
              </w:rPr>
              <w:t>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sz w:val="22"/>
                <w:szCs w:val="22"/>
              </w:rPr>
              <w:t>10</w:t>
            </w:r>
          </w:p>
        </w:tc>
        <w:tc>
          <w:tcPr>
            <w:tcW w:w="1380" w:type="dxa"/>
            <w:noWrap w:val="0"/>
            <w:vAlign w:val="center"/>
          </w:tcPr>
          <w:p>
            <w:pPr>
              <w:pStyle w:val="117"/>
              <w:spacing w:line="304" w:lineRule="auto"/>
              <w:ind w:right="195"/>
              <w:jc w:val="center"/>
              <w:rPr>
                <w:rFonts w:hint="eastAsia"/>
                <w:sz w:val="22"/>
                <w:szCs w:val="22"/>
              </w:rPr>
            </w:pPr>
            <w:r>
              <w:rPr>
                <w:rFonts w:hint="eastAsia"/>
                <w:spacing w:val="-18"/>
                <w:sz w:val="22"/>
                <w:szCs w:val="22"/>
              </w:rPr>
              <w:t xml:space="preserve">通道 </w:t>
            </w:r>
            <w:r>
              <w:rPr>
                <w:rFonts w:hint="eastAsia"/>
                <w:sz w:val="22"/>
                <w:szCs w:val="22"/>
              </w:rPr>
              <w:t>300</w:t>
            </w:r>
            <w:r>
              <w:rPr>
                <w:rFonts w:hint="eastAsia"/>
                <w:spacing w:val="-13"/>
                <w:sz w:val="22"/>
                <w:szCs w:val="22"/>
              </w:rPr>
              <w:t xml:space="preserve"> 宽固定顶板</w:t>
            </w:r>
            <w:r>
              <w:rPr>
                <w:rFonts w:hint="eastAsia"/>
                <w:sz w:val="22"/>
                <w:szCs w:val="22"/>
              </w:rPr>
              <w:t>及安装配件</w:t>
            </w:r>
          </w:p>
        </w:tc>
        <w:tc>
          <w:tcPr>
            <w:tcW w:w="6010" w:type="dxa"/>
            <w:noWrap w:val="0"/>
            <w:vAlign w:val="center"/>
          </w:tcPr>
          <w:p>
            <w:pPr>
              <w:pStyle w:val="117"/>
              <w:spacing w:before="37" w:line="302" w:lineRule="auto"/>
              <w:ind w:left="109" w:right="161"/>
              <w:rPr>
                <w:rFonts w:hint="eastAsia"/>
                <w:sz w:val="22"/>
                <w:szCs w:val="22"/>
              </w:rPr>
            </w:pPr>
            <w:r>
              <w:rPr>
                <w:rFonts w:hint="eastAsia"/>
                <w:sz w:val="22"/>
                <w:szCs w:val="22"/>
              </w:rPr>
              <w:t>1、300mm</w:t>
            </w:r>
            <w:r>
              <w:rPr>
                <w:rFonts w:hint="eastAsia"/>
                <w:spacing w:val="-12"/>
                <w:sz w:val="22"/>
                <w:szCs w:val="22"/>
              </w:rPr>
              <w:t xml:space="preserve"> 宽顶部固定天窗，集成 </w:t>
            </w:r>
            <w:r>
              <w:rPr>
                <w:rFonts w:hint="eastAsia"/>
                <w:sz w:val="22"/>
                <w:szCs w:val="22"/>
              </w:rPr>
              <w:t>24vdc</w:t>
            </w:r>
            <w:r>
              <w:rPr>
                <w:rFonts w:hint="eastAsia"/>
                <w:spacing w:val="-19"/>
                <w:sz w:val="22"/>
                <w:szCs w:val="22"/>
              </w:rPr>
              <w:t xml:space="preserve"> 三色可调 </w:t>
            </w:r>
            <w:r>
              <w:rPr>
                <w:rFonts w:hint="eastAsia"/>
                <w:sz w:val="22"/>
                <w:szCs w:val="22"/>
              </w:rPr>
              <w:t>LED</w:t>
            </w:r>
            <w:r>
              <w:rPr>
                <w:rFonts w:hint="eastAsia"/>
                <w:spacing w:val="-19"/>
                <w:sz w:val="22"/>
                <w:szCs w:val="22"/>
              </w:rPr>
              <w:t xml:space="preserve"> 通道</w:t>
            </w:r>
            <w:r>
              <w:rPr>
                <w:rFonts w:hint="eastAsia"/>
                <w:sz w:val="22"/>
                <w:szCs w:val="22"/>
              </w:rPr>
              <w:t>照明灯。</w:t>
            </w:r>
          </w:p>
          <w:p>
            <w:pPr>
              <w:pStyle w:val="117"/>
              <w:spacing w:before="5"/>
              <w:ind w:left="109"/>
              <w:rPr>
                <w:rFonts w:hint="eastAsia"/>
                <w:sz w:val="22"/>
                <w:szCs w:val="22"/>
              </w:rPr>
            </w:pPr>
            <w:r>
              <w:rPr>
                <w:rFonts w:hint="eastAsia"/>
                <w:sz w:val="22"/>
                <w:szCs w:val="22"/>
              </w:rPr>
              <w:t>2、天窗采用透光材质，采用厚度不低于 4mm 钢化玻璃</w:t>
            </w:r>
          </w:p>
        </w:tc>
        <w:tc>
          <w:tcPr>
            <w:tcW w:w="850" w:type="dxa"/>
            <w:noWrap w:val="0"/>
            <w:vAlign w:val="center"/>
          </w:tcPr>
          <w:p>
            <w:pPr>
              <w:pStyle w:val="117"/>
              <w:jc w:val="center"/>
              <w:rPr>
                <w:rFonts w:hint="eastAsia"/>
                <w:sz w:val="22"/>
                <w:szCs w:val="22"/>
              </w:rPr>
            </w:pPr>
            <w:r>
              <w:rPr>
                <w:rFonts w:hint="eastAsia"/>
                <w:w w:val="99"/>
                <w:sz w:val="22"/>
                <w:szCs w:val="22"/>
              </w:rPr>
              <w:t>套</w:t>
            </w:r>
          </w:p>
        </w:tc>
        <w:tc>
          <w:tcPr>
            <w:tcW w:w="650" w:type="dxa"/>
            <w:noWrap w:val="0"/>
            <w:vAlign w:val="center"/>
          </w:tcPr>
          <w:p>
            <w:pPr>
              <w:pStyle w:val="117"/>
              <w:jc w:val="center"/>
              <w:rPr>
                <w:rFonts w:hint="eastAsia"/>
                <w:sz w:val="22"/>
                <w:szCs w:val="22"/>
              </w:rPr>
            </w:pPr>
            <w:r>
              <w:rPr>
                <w:rFonts w:hint="eastAsia"/>
                <w:w w:val="99"/>
                <w:sz w:val="22"/>
                <w:szCs w:val="22"/>
              </w:rPr>
              <w:t>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sz w:val="22"/>
                <w:szCs w:val="22"/>
              </w:rPr>
              <w:t>11</w:t>
            </w:r>
          </w:p>
        </w:tc>
        <w:tc>
          <w:tcPr>
            <w:tcW w:w="1380" w:type="dxa"/>
            <w:noWrap w:val="0"/>
            <w:vAlign w:val="center"/>
          </w:tcPr>
          <w:p>
            <w:pPr>
              <w:pStyle w:val="117"/>
              <w:spacing w:before="1"/>
              <w:ind w:right="78"/>
              <w:jc w:val="center"/>
              <w:rPr>
                <w:rFonts w:hint="eastAsia"/>
                <w:sz w:val="22"/>
                <w:szCs w:val="22"/>
              </w:rPr>
            </w:pPr>
            <w:r>
              <w:rPr>
                <w:rFonts w:hint="eastAsia"/>
                <w:sz w:val="22"/>
                <w:szCs w:val="22"/>
              </w:rPr>
              <w:t>照明模块</w:t>
            </w:r>
          </w:p>
        </w:tc>
        <w:tc>
          <w:tcPr>
            <w:tcW w:w="6010" w:type="dxa"/>
            <w:noWrap w:val="0"/>
            <w:vAlign w:val="center"/>
          </w:tcPr>
          <w:p>
            <w:pPr>
              <w:pStyle w:val="117"/>
              <w:spacing w:before="35"/>
              <w:rPr>
                <w:rFonts w:hint="eastAsia" w:eastAsia="宋体"/>
                <w:sz w:val="22"/>
                <w:szCs w:val="22"/>
                <w:lang w:eastAsia="zh-CN"/>
              </w:rPr>
            </w:pPr>
            <w:r>
              <w:rPr>
                <w:rFonts w:hint="eastAsia"/>
                <w:sz w:val="22"/>
                <w:szCs w:val="22"/>
              </w:rPr>
              <w:t>通道内灯光三色可调灯光，含照明控制器、翘板开关、照明线缆</w:t>
            </w:r>
            <w:r>
              <w:rPr>
                <w:rFonts w:hint="eastAsia"/>
                <w:sz w:val="22"/>
                <w:szCs w:val="22"/>
                <w:lang w:eastAsia="zh-CN"/>
              </w:rPr>
              <w:t>。</w:t>
            </w:r>
          </w:p>
        </w:tc>
        <w:tc>
          <w:tcPr>
            <w:tcW w:w="850" w:type="dxa"/>
            <w:noWrap w:val="0"/>
            <w:vAlign w:val="center"/>
          </w:tcPr>
          <w:p>
            <w:pPr>
              <w:pStyle w:val="117"/>
              <w:jc w:val="center"/>
              <w:rPr>
                <w:rFonts w:hint="eastAsia"/>
                <w:sz w:val="22"/>
                <w:szCs w:val="22"/>
              </w:rPr>
            </w:pPr>
            <w:r>
              <w:rPr>
                <w:rFonts w:hint="eastAsia"/>
                <w:w w:val="99"/>
                <w:sz w:val="22"/>
                <w:szCs w:val="22"/>
              </w:rPr>
              <w:t>套</w:t>
            </w:r>
          </w:p>
        </w:tc>
        <w:tc>
          <w:tcPr>
            <w:tcW w:w="650" w:type="dxa"/>
            <w:noWrap w:val="0"/>
            <w:vAlign w:val="center"/>
          </w:tcPr>
          <w:p>
            <w:pPr>
              <w:pStyle w:val="117"/>
              <w:jc w:val="center"/>
              <w:rPr>
                <w:rFonts w:hint="eastAsia"/>
                <w:sz w:val="22"/>
                <w:szCs w:val="22"/>
              </w:rPr>
            </w:pPr>
            <w:r>
              <w:rPr>
                <w:rFonts w:hint="eastAsia"/>
                <w:w w:val="99"/>
                <w:sz w:val="22"/>
                <w:szCs w:val="22"/>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sz w:val="22"/>
                <w:szCs w:val="22"/>
              </w:rPr>
              <w:t>12</w:t>
            </w:r>
          </w:p>
        </w:tc>
        <w:tc>
          <w:tcPr>
            <w:tcW w:w="1380" w:type="dxa"/>
            <w:noWrap w:val="0"/>
            <w:vAlign w:val="center"/>
          </w:tcPr>
          <w:p>
            <w:pPr>
              <w:pStyle w:val="117"/>
              <w:ind w:right="78"/>
              <w:jc w:val="center"/>
              <w:rPr>
                <w:rFonts w:hint="eastAsia"/>
                <w:sz w:val="22"/>
                <w:szCs w:val="22"/>
              </w:rPr>
            </w:pPr>
            <w:r>
              <w:rPr>
                <w:rFonts w:hint="eastAsia"/>
                <w:sz w:val="22"/>
                <w:szCs w:val="22"/>
              </w:rPr>
              <w:t>电动通道门</w:t>
            </w:r>
          </w:p>
        </w:tc>
        <w:tc>
          <w:tcPr>
            <w:tcW w:w="6010" w:type="dxa"/>
            <w:noWrap w:val="0"/>
            <w:vAlign w:val="center"/>
          </w:tcPr>
          <w:p>
            <w:pPr>
              <w:pStyle w:val="117"/>
              <w:spacing w:before="49"/>
              <w:rPr>
                <w:rFonts w:hint="eastAsia" w:eastAsia="宋体"/>
                <w:sz w:val="22"/>
                <w:szCs w:val="22"/>
                <w:lang w:eastAsia="zh-CN"/>
              </w:rPr>
            </w:pPr>
            <w:r>
              <w:rPr>
                <w:rFonts w:hint="eastAsia"/>
                <w:sz w:val="22"/>
                <w:szCs w:val="22"/>
                <w:lang w:val="en-US"/>
              </w:rPr>
              <w:t>1、</w:t>
            </w:r>
            <w:r>
              <w:rPr>
                <w:rFonts w:hint="eastAsia"/>
                <w:sz w:val="22"/>
                <w:szCs w:val="22"/>
              </w:rPr>
              <w:t>封闭冷通道组件两侧门配备电动平移门</w:t>
            </w:r>
            <w:r>
              <w:rPr>
                <w:rFonts w:hint="eastAsia"/>
                <w:sz w:val="22"/>
                <w:szCs w:val="22"/>
                <w:lang w:eastAsia="zh-CN"/>
              </w:rPr>
              <w:t>。</w:t>
            </w:r>
          </w:p>
          <w:p>
            <w:pPr>
              <w:pStyle w:val="117"/>
              <w:spacing w:before="49"/>
              <w:rPr>
                <w:rFonts w:hint="eastAsia"/>
                <w:sz w:val="22"/>
                <w:szCs w:val="22"/>
              </w:rPr>
            </w:pPr>
            <w:r>
              <w:rPr>
                <w:rFonts w:hint="eastAsia"/>
                <w:sz w:val="22"/>
                <w:szCs w:val="22"/>
                <w:lang w:val="en-US"/>
              </w:rPr>
              <w:t>2、</w:t>
            </w:r>
            <w:r>
              <w:rPr>
                <w:rFonts w:hint="eastAsia"/>
                <w:sz w:val="22"/>
                <w:szCs w:val="22"/>
              </w:rPr>
              <w:t>电动滑动门要求与智能门禁、消防信号、红外侦测信号联动</w:t>
            </w:r>
          </w:p>
          <w:p>
            <w:pPr>
              <w:pStyle w:val="117"/>
              <w:spacing w:before="49"/>
              <w:rPr>
                <w:rFonts w:hint="eastAsia"/>
                <w:sz w:val="22"/>
                <w:szCs w:val="22"/>
              </w:rPr>
            </w:pPr>
            <w:r>
              <w:rPr>
                <w:rFonts w:hint="eastAsia"/>
                <w:sz w:val="22"/>
                <w:szCs w:val="22"/>
                <w:lang w:val="en-US"/>
              </w:rPr>
              <w:t>3、</w:t>
            </w:r>
            <w:r>
              <w:rPr>
                <w:rFonts w:hint="eastAsia"/>
                <w:sz w:val="22"/>
                <w:szCs w:val="22"/>
              </w:rPr>
              <w:t>为了避免通道门对人造成伤害，通道门内侧要求配置防夹人传感器。</w:t>
            </w:r>
          </w:p>
          <w:p>
            <w:pPr>
              <w:pStyle w:val="117"/>
              <w:spacing w:before="49"/>
              <w:rPr>
                <w:rFonts w:hint="eastAsia"/>
                <w:sz w:val="22"/>
                <w:szCs w:val="22"/>
              </w:rPr>
            </w:pPr>
            <w:r>
              <w:rPr>
                <w:rFonts w:hint="eastAsia"/>
                <w:sz w:val="22"/>
                <w:szCs w:val="22"/>
              </w:rPr>
              <w:t>4、通道门两侧配备门盒，通道门打开后不影响通道外触摸屏使用。</w:t>
            </w:r>
          </w:p>
        </w:tc>
        <w:tc>
          <w:tcPr>
            <w:tcW w:w="850" w:type="dxa"/>
            <w:noWrap w:val="0"/>
            <w:vAlign w:val="center"/>
          </w:tcPr>
          <w:p>
            <w:pPr>
              <w:pStyle w:val="117"/>
              <w:jc w:val="center"/>
              <w:rPr>
                <w:rFonts w:hint="eastAsia"/>
                <w:sz w:val="22"/>
                <w:szCs w:val="22"/>
              </w:rPr>
            </w:pPr>
            <w:r>
              <w:rPr>
                <w:rFonts w:hint="eastAsia"/>
                <w:w w:val="99"/>
                <w:sz w:val="22"/>
                <w:szCs w:val="22"/>
              </w:rPr>
              <w:t>扇</w:t>
            </w:r>
          </w:p>
        </w:tc>
        <w:tc>
          <w:tcPr>
            <w:tcW w:w="650" w:type="dxa"/>
            <w:noWrap w:val="0"/>
            <w:vAlign w:val="center"/>
          </w:tcPr>
          <w:p>
            <w:pPr>
              <w:pStyle w:val="117"/>
              <w:jc w:val="center"/>
              <w:rPr>
                <w:rFonts w:hint="eastAsia"/>
                <w:sz w:val="22"/>
                <w:szCs w:val="22"/>
              </w:rPr>
            </w:pPr>
            <w:r>
              <w:rPr>
                <w:rFonts w:hint="eastAsia"/>
                <w:w w:val="99"/>
                <w:sz w:val="22"/>
                <w:szCs w:val="22"/>
              </w:rPr>
              <w:t>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sz w:val="22"/>
                <w:szCs w:val="22"/>
              </w:rPr>
              <w:t>13</w:t>
            </w:r>
          </w:p>
        </w:tc>
        <w:tc>
          <w:tcPr>
            <w:tcW w:w="1380" w:type="dxa"/>
            <w:noWrap w:val="0"/>
            <w:vAlign w:val="center"/>
          </w:tcPr>
          <w:p>
            <w:pPr>
              <w:pStyle w:val="117"/>
              <w:spacing w:before="49"/>
              <w:ind w:left="84" w:right="78"/>
              <w:jc w:val="center"/>
              <w:rPr>
                <w:rFonts w:hint="eastAsia"/>
                <w:sz w:val="22"/>
                <w:szCs w:val="22"/>
              </w:rPr>
            </w:pPr>
            <w:r>
              <w:rPr>
                <w:rFonts w:hint="eastAsia"/>
                <w:sz w:val="22"/>
                <w:szCs w:val="22"/>
              </w:rPr>
              <w:t>开启控制盒</w:t>
            </w:r>
          </w:p>
        </w:tc>
        <w:tc>
          <w:tcPr>
            <w:tcW w:w="6010" w:type="dxa"/>
            <w:noWrap w:val="0"/>
            <w:vAlign w:val="center"/>
          </w:tcPr>
          <w:p>
            <w:pPr>
              <w:pStyle w:val="117"/>
              <w:spacing w:before="49"/>
              <w:rPr>
                <w:rFonts w:hint="eastAsia" w:eastAsia="宋体"/>
                <w:sz w:val="22"/>
                <w:szCs w:val="22"/>
                <w:lang w:eastAsia="zh-CN"/>
              </w:rPr>
            </w:pPr>
            <w:r>
              <w:rPr>
                <w:rFonts w:hint="eastAsia"/>
                <w:sz w:val="22"/>
                <w:szCs w:val="22"/>
              </w:rPr>
              <w:t>微模块顶部开启控制盒，用于控制顶部天窗开启</w:t>
            </w:r>
            <w:r>
              <w:rPr>
                <w:rFonts w:hint="eastAsia"/>
                <w:sz w:val="22"/>
                <w:szCs w:val="22"/>
                <w:lang w:eastAsia="zh-CN"/>
              </w:rPr>
              <w:t>。</w:t>
            </w:r>
          </w:p>
        </w:tc>
        <w:tc>
          <w:tcPr>
            <w:tcW w:w="850" w:type="dxa"/>
            <w:noWrap w:val="0"/>
            <w:vAlign w:val="center"/>
          </w:tcPr>
          <w:p>
            <w:pPr>
              <w:pStyle w:val="117"/>
              <w:ind w:left="11"/>
              <w:jc w:val="center"/>
              <w:rPr>
                <w:rFonts w:hint="eastAsia"/>
                <w:sz w:val="22"/>
                <w:szCs w:val="22"/>
              </w:rPr>
            </w:pPr>
            <w:r>
              <w:rPr>
                <w:rFonts w:hint="eastAsia"/>
                <w:w w:val="99"/>
                <w:sz w:val="22"/>
                <w:szCs w:val="22"/>
              </w:rPr>
              <w:t>套</w:t>
            </w:r>
          </w:p>
        </w:tc>
        <w:tc>
          <w:tcPr>
            <w:tcW w:w="650" w:type="dxa"/>
            <w:noWrap w:val="0"/>
            <w:vAlign w:val="center"/>
          </w:tcPr>
          <w:p>
            <w:pPr>
              <w:pStyle w:val="117"/>
              <w:jc w:val="center"/>
              <w:rPr>
                <w:rFonts w:hint="eastAsia"/>
                <w:sz w:val="22"/>
                <w:szCs w:val="22"/>
              </w:rPr>
            </w:pPr>
            <w:r>
              <w:rPr>
                <w:rFonts w:hint="eastAsia"/>
                <w:w w:val="99"/>
                <w:sz w:val="22"/>
                <w:szCs w:val="22"/>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sz w:val="22"/>
                <w:szCs w:val="22"/>
              </w:rPr>
              <w:t>14</w:t>
            </w:r>
          </w:p>
        </w:tc>
        <w:tc>
          <w:tcPr>
            <w:tcW w:w="1380" w:type="dxa"/>
            <w:noWrap w:val="0"/>
            <w:vAlign w:val="center"/>
          </w:tcPr>
          <w:p>
            <w:pPr>
              <w:pStyle w:val="117"/>
              <w:spacing w:before="49"/>
              <w:ind w:left="84" w:right="78"/>
              <w:jc w:val="center"/>
              <w:rPr>
                <w:rFonts w:hint="eastAsia"/>
                <w:sz w:val="22"/>
                <w:szCs w:val="22"/>
              </w:rPr>
            </w:pPr>
            <w:r>
              <w:rPr>
                <w:rFonts w:hint="eastAsia"/>
                <w:sz w:val="22"/>
                <w:szCs w:val="22"/>
              </w:rPr>
              <w:t>声光告警灯</w:t>
            </w:r>
          </w:p>
        </w:tc>
        <w:tc>
          <w:tcPr>
            <w:tcW w:w="6010" w:type="dxa"/>
            <w:noWrap w:val="0"/>
            <w:vAlign w:val="center"/>
          </w:tcPr>
          <w:p>
            <w:pPr>
              <w:pStyle w:val="117"/>
              <w:spacing w:before="49"/>
              <w:rPr>
                <w:rFonts w:hint="eastAsia"/>
                <w:sz w:val="22"/>
                <w:szCs w:val="22"/>
              </w:rPr>
            </w:pPr>
            <w:r>
              <w:rPr>
                <w:rFonts w:hint="eastAsia"/>
                <w:sz w:val="22"/>
                <w:szCs w:val="22"/>
              </w:rPr>
              <w:t>声光告警灯</w:t>
            </w:r>
          </w:p>
        </w:tc>
        <w:tc>
          <w:tcPr>
            <w:tcW w:w="850" w:type="dxa"/>
            <w:noWrap w:val="0"/>
            <w:vAlign w:val="center"/>
          </w:tcPr>
          <w:p>
            <w:pPr>
              <w:pStyle w:val="117"/>
              <w:ind w:left="11"/>
              <w:jc w:val="center"/>
              <w:rPr>
                <w:rFonts w:hint="eastAsia"/>
                <w:sz w:val="22"/>
                <w:szCs w:val="22"/>
              </w:rPr>
            </w:pPr>
            <w:r>
              <w:rPr>
                <w:rFonts w:hint="eastAsia"/>
                <w:w w:val="99"/>
                <w:sz w:val="22"/>
                <w:szCs w:val="22"/>
              </w:rPr>
              <w:t>个</w:t>
            </w:r>
          </w:p>
        </w:tc>
        <w:tc>
          <w:tcPr>
            <w:tcW w:w="650" w:type="dxa"/>
            <w:noWrap w:val="0"/>
            <w:vAlign w:val="center"/>
          </w:tcPr>
          <w:p>
            <w:pPr>
              <w:pStyle w:val="117"/>
              <w:jc w:val="center"/>
              <w:rPr>
                <w:rFonts w:hint="eastAsia"/>
                <w:sz w:val="22"/>
                <w:szCs w:val="22"/>
              </w:rPr>
            </w:pPr>
            <w:r>
              <w:rPr>
                <w:rFonts w:hint="eastAsia"/>
                <w:w w:val="99"/>
                <w:sz w:val="22"/>
                <w:szCs w:val="22"/>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sz w:val="22"/>
                <w:szCs w:val="22"/>
              </w:rPr>
              <w:t>15</w:t>
            </w:r>
          </w:p>
        </w:tc>
        <w:tc>
          <w:tcPr>
            <w:tcW w:w="1380" w:type="dxa"/>
            <w:noWrap w:val="0"/>
            <w:vAlign w:val="center"/>
          </w:tcPr>
          <w:p>
            <w:pPr>
              <w:pStyle w:val="117"/>
              <w:spacing w:before="49"/>
              <w:ind w:left="84" w:right="76"/>
              <w:jc w:val="center"/>
              <w:rPr>
                <w:rFonts w:hint="eastAsia"/>
                <w:sz w:val="22"/>
                <w:szCs w:val="22"/>
              </w:rPr>
            </w:pPr>
            <w:r>
              <w:rPr>
                <w:rFonts w:hint="eastAsia"/>
                <w:sz w:val="22"/>
                <w:szCs w:val="22"/>
              </w:rPr>
              <w:t>顶部开启按钮</w:t>
            </w:r>
          </w:p>
        </w:tc>
        <w:tc>
          <w:tcPr>
            <w:tcW w:w="6010" w:type="dxa"/>
            <w:noWrap w:val="0"/>
            <w:vAlign w:val="center"/>
          </w:tcPr>
          <w:p>
            <w:pPr>
              <w:pStyle w:val="117"/>
              <w:spacing w:before="49"/>
              <w:rPr>
                <w:rFonts w:hint="eastAsia"/>
                <w:sz w:val="22"/>
                <w:szCs w:val="22"/>
              </w:rPr>
            </w:pPr>
            <w:r>
              <w:rPr>
                <w:rFonts w:hint="eastAsia"/>
                <w:sz w:val="22"/>
                <w:szCs w:val="22"/>
              </w:rPr>
              <w:t>通道顶板开启按钮，通道两端各 1 个</w:t>
            </w:r>
          </w:p>
        </w:tc>
        <w:tc>
          <w:tcPr>
            <w:tcW w:w="850" w:type="dxa"/>
            <w:noWrap w:val="0"/>
            <w:vAlign w:val="center"/>
          </w:tcPr>
          <w:p>
            <w:pPr>
              <w:pStyle w:val="117"/>
              <w:ind w:left="11"/>
              <w:jc w:val="center"/>
              <w:rPr>
                <w:rFonts w:hint="eastAsia"/>
                <w:sz w:val="22"/>
                <w:szCs w:val="22"/>
              </w:rPr>
            </w:pPr>
            <w:r>
              <w:rPr>
                <w:rFonts w:hint="eastAsia"/>
                <w:w w:val="99"/>
                <w:sz w:val="22"/>
                <w:szCs w:val="22"/>
              </w:rPr>
              <w:t>个</w:t>
            </w:r>
          </w:p>
        </w:tc>
        <w:tc>
          <w:tcPr>
            <w:tcW w:w="650" w:type="dxa"/>
            <w:noWrap w:val="0"/>
            <w:vAlign w:val="center"/>
          </w:tcPr>
          <w:p>
            <w:pPr>
              <w:pStyle w:val="117"/>
              <w:jc w:val="center"/>
              <w:rPr>
                <w:rFonts w:hint="eastAsia"/>
                <w:sz w:val="22"/>
                <w:szCs w:val="22"/>
              </w:rPr>
            </w:pPr>
            <w:r>
              <w:rPr>
                <w:rFonts w:hint="eastAsia"/>
                <w:w w:val="99"/>
                <w:sz w:val="22"/>
                <w:szCs w:val="22"/>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sz w:val="22"/>
                <w:szCs w:val="22"/>
              </w:rPr>
              <w:t>16</w:t>
            </w:r>
          </w:p>
        </w:tc>
        <w:tc>
          <w:tcPr>
            <w:tcW w:w="1380" w:type="dxa"/>
            <w:noWrap w:val="0"/>
            <w:vAlign w:val="center"/>
          </w:tcPr>
          <w:p>
            <w:pPr>
              <w:pStyle w:val="117"/>
              <w:spacing w:before="49"/>
              <w:ind w:right="78"/>
              <w:jc w:val="center"/>
              <w:rPr>
                <w:rFonts w:hint="eastAsia"/>
                <w:sz w:val="22"/>
                <w:szCs w:val="22"/>
                <w:lang w:val="en-US"/>
              </w:rPr>
            </w:pPr>
            <w:r>
              <w:rPr>
                <w:rFonts w:hint="eastAsia"/>
                <w:sz w:val="22"/>
                <w:szCs w:val="22"/>
              </w:rPr>
              <w:t>顶部开启成套</w:t>
            </w:r>
            <w:r>
              <w:rPr>
                <w:rFonts w:hint="eastAsia"/>
                <w:sz w:val="22"/>
                <w:szCs w:val="22"/>
                <w:lang w:val="en-US"/>
              </w:rPr>
              <w:t>电缆</w:t>
            </w:r>
          </w:p>
        </w:tc>
        <w:tc>
          <w:tcPr>
            <w:tcW w:w="6010" w:type="dxa"/>
            <w:noWrap w:val="0"/>
            <w:vAlign w:val="center"/>
          </w:tcPr>
          <w:p>
            <w:pPr>
              <w:pStyle w:val="117"/>
              <w:spacing w:before="49"/>
              <w:rPr>
                <w:rFonts w:hint="eastAsia"/>
                <w:sz w:val="22"/>
                <w:szCs w:val="22"/>
              </w:rPr>
            </w:pPr>
            <w:r>
              <w:rPr>
                <w:rFonts w:hint="eastAsia"/>
                <w:sz w:val="22"/>
                <w:szCs w:val="22"/>
              </w:rPr>
              <w:t>通道顶板开启成套电缆</w:t>
            </w:r>
          </w:p>
        </w:tc>
        <w:tc>
          <w:tcPr>
            <w:tcW w:w="850" w:type="dxa"/>
            <w:noWrap w:val="0"/>
            <w:vAlign w:val="center"/>
          </w:tcPr>
          <w:p>
            <w:pPr>
              <w:pStyle w:val="117"/>
              <w:ind w:left="11"/>
              <w:jc w:val="center"/>
              <w:rPr>
                <w:rFonts w:hint="eastAsia"/>
                <w:sz w:val="22"/>
                <w:szCs w:val="22"/>
              </w:rPr>
            </w:pPr>
            <w:r>
              <w:rPr>
                <w:rFonts w:hint="eastAsia"/>
                <w:w w:val="99"/>
                <w:sz w:val="22"/>
                <w:szCs w:val="22"/>
              </w:rPr>
              <w:t>套</w:t>
            </w:r>
          </w:p>
        </w:tc>
        <w:tc>
          <w:tcPr>
            <w:tcW w:w="650" w:type="dxa"/>
            <w:noWrap w:val="0"/>
            <w:vAlign w:val="center"/>
          </w:tcPr>
          <w:p>
            <w:pPr>
              <w:pStyle w:val="117"/>
              <w:jc w:val="center"/>
              <w:rPr>
                <w:rFonts w:hint="eastAsia"/>
                <w:sz w:val="22"/>
                <w:szCs w:val="22"/>
              </w:rPr>
            </w:pPr>
            <w:r>
              <w:rPr>
                <w:rFonts w:hint="eastAsia"/>
                <w:w w:val="99"/>
                <w:sz w:val="22"/>
                <w:szCs w:val="22"/>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sz w:val="22"/>
                <w:szCs w:val="22"/>
              </w:rPr>
              <w:t>17</w:t>
            </w:r>
          </w:p>
        </w:tc>
        <w:tc>
          <w:tcPr>
            <w:tcW w:w="1380" w:type="dxa"/>
            <w:noWrap w:val="0"/>
            <w:vAlign w:val="center"/>
          </w:tcPr>
          <w:p>
            <w:pPr>
              <w:pStyle w:val="117"/>
              <w:ind w:right="73"/>
              <w:jc w:val="center"/>
              <w:rPr>
                <w:rFonts w:hint="eastAsia"/>
                <w:sz w:val="22"/>
                <w:szCs w:val="22"/>
              </w:rPr>
            </w:pPr>
            <w:r>
              <w:rPr>
                <w:rFonts w:hint="eastAsia"/>
                <w:sz w:val="22"/>
                <w:szCs w:val="22"/>
              </w:rPr>
              <w:t>强电跨通道线槽</w:t>
            </w:r>
          </w:p>
        </w:tc>
        <w:tc>
          <w:tcPr>
            <w:tcW w:w="6010" w:type="dxa"/>
            <w:noWrap w:val="0"/>
            <w:vAlign w:val="center"/>
          </w:tcPr>
          <w:p>
            <w:pPr>
              <w:pStyle w:val="117"/>
              <w:spacing w:before="37"/>
              <w:rPr>
                <w:rFonts w:hint="eastAsia"/>
                <w:sz w:val="22"/>
                <w:szCs w:val="22"/>
              </w:rPr>
            </w:pPr>
            <w:r>
              <w:rPr>
                <w:rFonts w:hint="eastAsia"/>
                <w:sz w:val="22"/>
                <w:szCs w:val="22"/>
              </w:rPr>
              <w:t>120mm 宽强电跨通道线槽 ，采用隐藏式设计，下方天窗不能开启</w:t>
            </w:r>
          </w:p>
        </w:tc>
        <w:tc>
          <w:tcPr>
            <w:tcW w:w="850" w:type="dxa"/>
            <w:noWrap w:val="0"/>
            <w:vAlign w:val="center"/>
          </w:tcPr>
          <w:p>
            <w:pPr>
              <w:pStyle w:val="117"/>
              <w:jc w:val="center"/>
              <w:rPr>
                <w:rFonts w:hint="eastAsia"/>
                <w:sz w:val="22"/>
                <w:szCs w:val="22"/>
              </w:rPr>
            </w:pPr>
            <w:r>
              <w:rPr>
                <w:rFonts w:hint="eastAsia"/>
                <w:w w:val="99"/>
                <w:sz w:val="22"/>
                <w:szCs w:val="22"/>
              </w:rPr>
              <w:t>个</w:t>
            </w:r>
          </w:p>
        </w:tc>
        <w:tc>
          <w:tcPr>
            <w:tcW w:w="650" w:type="dxa"/>
            <w:noWrap w:val="0"/>
            <w:vAlign w:val="center"/>
          </w:tcPr>
          <w:p>
            <w:pPr>
              <w:pStyle w:val="117"/>
              <w:jc w:val="center"/>
              <w:rPr>
                <w:sz w:val="22"/>
                <w:szCs w:val="22"/>
                <w:lang w:val="en-US"/>
              </w:rPr>
            </w:pPr>
            <w:r>
              <w:rPr>
                <w:rFonts w:hint="eastAsia"/>
                <w:w w:val="99"/>
                <w:sz w:val="22"/>
                <w:szCs w:val="22"/>
                <w:lang w:val="en-US"/>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sz w:val="22"/>
                <w:szCs w:val="22"/>
                <w:lang w:val="en-US"/>
              </w:rPr>
            </w:pPr>
            <w:r>
              <w:rPr>
                <w:rFonts w:hint="eastAsia"/>
                <w:sz w:val="22"/>
                <w:szCs w:val="22"/>
                <w:lang w:val="en-US"/>
              </w:rPr>
              <w:t>18</w:t>
            </w:r>
          </w:p>
        </w:tc>
        <w:tc>
          <w:tcPr>
            <w:tcW w:w="1380" w:type="dxa"/>
            <w:noWrap w:val="0"/>
            <w:vAlign w:val="center"/>
          </w:tcPr>
          <w:p>
            <w:pPr>
              <w:pStyle w:val="117"/>
              <w:ind w:right="73"/>
              <w:jc w:val="center"/>
              <w:rPr>
                <w:rFonts w:hint="eastAsia"/>
                <w:sz w:val="22"/>
                <w:szCs w:val="22"/>
              </w:rPr>
            </w:pPr>
            <w:r>
              <w:rPr>
                <w:rFonts w:hint="eastAsia"/>
                <w:sz w:val="22"/>
                <w:szCs w:val="22"/>
              </w:rPr>
              <w:t>弱电跨通道线槽</w:t>
            </w:r>
          </w:p>
        </w:tc>
        <w:tc>
          <w:tcPr>
            <w:tcW w:w="6010" w:type="dxa"/>
            <w:noWrap w:val="0"/>
            <w:vAlign w:val="center"/>
          </w:tcPr>
          <w:p>
            <w:pPr>
              <w:pStyle w:val="117"/>
              <w:spacing w:before="35"/>
              <w:rPr>
                <w:rFonts w:hint="eastAsia"/>
                <w:sz w:val="22"/>
                <w:szCs w:val="22"/>
              </w:rPr>
            </w:pPr>
            <w:r>
              <w:rPr>
                <w:rFonts w:hint="eastAsia"/>
                <w:sz w:val="22"/>
                <w:szCs w:val="22"/>
              </w:rPr>
              <w:t>300mm 宽弱电跨通道线槽 ，采用隐藏式设计，下方天窗不能开启</w:t>
            </w:r>
          </w:p>
        </w:tc>
        <w:tc>
          <w:tcPr>
            <w:tcW w:w="850" w:type="dxa"/>
            <w:noWrap w:val="0"/>
            <w:vAlign w:val="center"/>
          </w:tcPr>
          <w:p>
            <w:pPr>
              <w:pStyle w:val="117"/>
              <w:jc w:val="center"/>
              <w:rPr>
                <w:rFonts w:hint="eastAsia"/>
                <w:sz w:val="22"/>
                <w:szCs w:val="22"/>
              </w:rPr>
            </w:pPr>
            <w:r>
              <w:rPr>
                <w:rFonts w:hint="eastAsia"/>
                <w:w w:val="99"/>
                <w:sz w:val="22"/>
                <w:szCs w:val="22"/>
              </w:rPr>
              <w:t>个</w:t>
            </w:r>
          </w:p>
        </w:tc>
        <w:tc>
          <w:tcPr>
            <w:tcW w:w="650" w:type="dxa"/>
            <w:noWrap w:val="0"/>
            <w:vAlign w:val="center"/>
          </w:tcPr>
          <w:p>
            <w:pPr>
              <w:pStyle w:val="117"/>
              <w:jc w:val="center"/>
              <w:rPr>
                <w:rFonts w:hint="eastAsia"/>
                <w:sz w:val="22"/>
                <w:szCs w:val="22"/>
                <w:lang w:val="en-US"/>
              </w:rPr>
            </w:pPr>
            <w:r>
              <w:rPr>
                <w:rFonts w:hint="eastAsia"/>
                <w:w w:val="99"/>
                <w:sz w:val="22"/>
                <w:szCs w:val="22"/>
              </w:rPr>
              <w:t>2</w:t>
            </w:r>
          </w:p>
        </w:tc>
      </w:tr>
      <w:tr>
        <w:tblPrEx>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sz w:val="22"/>
                <w:szCs w:val="22"/>
              </w:rPr>
              <w:t>19</w:t>
            </w:r>
          </w:p>
        </w:tc>
        <w:tc>
          <w:tcPr>
            <w:tcW w:w="1380" w:type="dxa"/>
            <w:noWrap w:val="0"/>
            <w:vAlign w:val="center"/>
          </w:tcPr>
          <w:p>
            <w:pPr>
              <w:pStyle w:val="117"/>
              <w:ind w:right="73"/>
              <w:jc w:val="center"/>
              <w:rPr>
                <w:rFonts w:hint="eastAsia"/>
                <w:sz w:val="22"/>
                <w:szCs w:val="22"/>
              </w:rPr>
            </w:pPr>
            <w:r>
              <w:rPr>
                <w:rFonts w:hint="eastAsia"/>
                <w:sz w:val="22"/>
                <w:szCs w:val="22"/>
              </w:rPr>
              <w:t>600 宽柜顶线槽</w:t>
            </w:r>
          </w:p>
        </w:tc>
        <w:tc>
          <w:tcPr>
            <w:tcW w:w="6010" w:type="dxa"/>
            <w:noWrap w:val="0"/>
            <w:vAlign w:val="center"/>
          </w:tcPr>
          <w:p>
            <w:pPr>
              <w:pStyle w:val="117"/>
              <w:spacing w:before="35"/>
              <w:rPr>
                <w:rFonts w:hint="eastAsia"/>
                <w:sz w:val="22"/>
                <w:szCs w:val="22"/>
              </w:rPr>
            </w:pPr>
            <w:r>
              <w:rPr>
                <w:rFonts w:hint="eastAsia"/>
                <w:sz w:val="22"/>
                <w:szCs w:val="22"/>
              </w:rPr>
              <w:t>600 宽柜位顶部走线，每个 600 宽柜位配 1 个，强电、弱电、光纤隔离</w:t>
            </w:r>
          </w:p>
        </w:tc>
        <w:tc>
          <w:tcPr>
            <w:tcW w:w="850" w:type="dxa"/>
            <w:noWrap w:val="0"/>
            <w:vAlign w:val="center"/>
          </w:tcPr>
          <w:p>
            <w:pPr>
              <w:pStyle w:val="117"/>
              <w:jc w:val="center"/>
              <w:rPr>
                <w:rFonts w:hint="eastAsia"/>
                <w:sz w:val="22"/>
                <w:szCs w:val="22"/>
              </w:rPr>
            </w:pPr>
            <w:r>
              <w:rPr>
                <w:rFonts w:hint="eastAsia"/>
                <w:w w:val="99"/>
                <w:sz w:val="22"/>
                <w:szCs w:val="22"/>
              </w:rPr>
              <w:t>个</w:t>
            </w:r>
          </w:p>
        </w:tc>
        <w:tc>
          <w:tcPr>
            <w:tcW w:w="650" w:type="dxa"/>
            <w:noWrap w:val="0"/>
            <w:vAlign w:val="center"/>
          </w:tcPr>
          <w:p>
            <w:pPr>
              <w:pStyle w:val="117"/>
              <w:jc w:val="center"/>
              <w:rPr>
                <w:rFonts w:hint="eastAsia"/>
                <w:sz w:val="22"/>
                <w:szCs w:val="22"/>
              </w:rPr>
            </w:pPr>
            <w:r>
              <w:rPr>
                <w:rFonts w:hint="eastAsia"/>
                <w:sz w:val="22"/>
                <w:szCs w:val="22"/>
              </w:rPr>
              <w:t>56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sz w:val="22"/>
                <w:szCs w:val="22"/>
              </w:rPr>
              <w:t>20</w:t>
            </w:r>
          </w:p>
        </w:tc>
        <w:tc>
          <w:tcPr>
            <w:tcW w:w="1380" w:type="dxa"/>
            <w:noWrap w:val="0"/>
            <w:vAlign w:val="center"/>
          </w:tcPr>
          <w:p>
            <w:pPr>
              <w:pStyle w:val="117"/>
              <w:spacing w:before="2"/>
              <w:jc w:val="center"/>
              <w:rPr>
                <w:rFonts w:hint="eastAsia"/>
                <w:sz w:val="22"/>
                <w:szCs w:val="22"/>
              </w:rPr>
            </w:pPr>
          </w:p>
          <w:p>
            <w:pPr>
              <w:pStyle w:val="117"/>
              <w:ind w:right="73"/>
              <w:jc w:val="center"/>
              <w:rPr>
                <w:rFonts w:hint="eastAsia"/>
                <w:sz w:val="22"/>
                <w:szCs w:val="22"/>
              </w:rPr>
            </w:pPr>
            <w:r>
              <w:rPr>
                <w:rFonts w:hint="eastAsia"/>
                <w:sz w:val="22"/>
                <w:szCs w:val="22"/>
              </w:rPr>
              <w:t>300 宽柜顶线槽</w:t>
            </w:r>
          </w:p>
        </w:tc>
        <w:tc>
          <w:tcPr>
            <w:tcW w:w="6010" w:type="dxa"/>
            <w:noWrap w:val="0"/>
            <w:vAlign w:val="center"/>
          </w:tcPr>
          <w:p>
            <w:pPr>
              <w:pStyle w:val="117"/>
              <w:spacing w:before="35"/>
              <w:rPr>
                <w:rFonts w:hint="eastAsia"/>
                <w:sz w:val="22"/>
                <w:szCs w:val="22"/>
              </w:rPr>
            </w:pPr>
            <w:r>
              <w:rPr>
                <w:rFonts w:hint="eastAsia"/>
                <w:sz w:val="22"/>
                <w:szCs w:val="22"/>
              </w:rPr>
              <w:t>300 宽柜位顶部走线，每个 300 宽柜位配 1 个，强电、弱电、光纤隔离</w:t>
            </w:r>
          </w:p>
        </w:tc>
        <w:tc>
          <w:tcPr>
            <w:tcW w:w="850" w:type="dxa"/>
            <w:noWrap w:val="0"/>
            <w:vAlign w:val="center"/>
          </w:tcPr>
          <w:p>
            <w:pPr>
              <w:pStyle w:val="117"/>
              <w:jc w:val="center"/>
              <w:rPr>
                <w:rFonts w:hint="eastAsia"/>
                <w:sz w:val="22"/>
                <w:szCs w:val="22"/>
              </w:rPr>
            </w:pPr>
          </w:p>
          <w:p>
            <w:pPr>
              <w:pStyle w:val="117"/>
              <w:ind w:left="11"/>
              <w:jc w:val="center"/>
              <w:rPr>
                <w:rFonts w:hint="eastAsia"/>
                <w:sz w:val="22"/>
                <w:szCs w:val="22"/>
              </w:rPr>
            </w:pPr>
            <w:r>
              <w:rPr>
                <w:rFonts w:hint="eastAsia"/>
                <w:w w:val="99"/>
                <w:sz w:val="22"/>
                <w:szCs w:val="22"/>
              </w:rPr>
              <w:t>个</w:t>
            </w:r>
          </w:p>
        </w:tc>
        <w:tc>
          <w:tcPr>
            <w:tcW w:w="650"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w w:val="99"/>
                <w:sz w:val="22"/>
                <w:szCs w:val="22"/>
              </w:rPr>
              <w:t>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sz w:val="22"/>
                <w:szCs w:val="22"/>
              </w:rPr>
              <w:t>21</w:t>
            </w:r>
          </w:p>
        </w:tc>
        <w:tc>
          <w:tcPr>
            <w:tcW w:w="1380" w:type="dxa"/>
            <w:noWrap w:val="0"/>
            <w:vAlign w:val="center"/>
          </w:tcPr>
          <w:p>
            <w:pPr>
              <w:pStyle w:val="117"/>
              <w:jc w:val="center"/>
              <w:rPr>
                <w:rFonts w:hint="eastAsia"/>
                <w:sz w:val="22"/>
                <w:szCs w:val="22"/>
              </w:rPr>
            </w:pPr>
          </w:p>
          <w:p>
            <w:pPr>
              <w:pStyle w:val="117"/>
              <w:spacing w:before="131"/>
              <w:ind w:right="78"/>
              <w:jc w:val="center"/>
              <w:rPr>
                <w:rFonts w:hint="eastAsia"/>
                <w:sz w:val="22"/>
                <w:szCs w:val="22"/>
              </w:rPr>
            </w:pPr>
            <w:r>
              <w:rPr>
                <w:rFonts w:hint="eastAsia"/>
                <w:sz w:val="22"/>
                <w:szCs w:val="22"/>
              </w:rPr>
              <w:t>模块化机柜底座</w:t>
            </w:r>
          </w:p>
        </w:tc>
        <w:tc>
          <w:tcPr>
            <w:tcW w:w="6010" w:type="dxa"/>
            <w:noWrap w:val="0"/>
            <w:vAlign w:val="center"/>
          </w:tcPr>
          <w:p>
            <w:pPr>
              <w:pStyle w:val="117"/>
              <w:spacing w:before="35"/>
              <w:rPr>
                <w:rFonts w:hint="eastAsia"/>
                <w:sz w:val="22"/>
                <w:szCs w:val="22"/>
              </w:rPr>
            </w:pPr>
            <w:r>
              <w:rPr>
                <w:rFonts w:hint="eastAsia"/>
                <w:sz w:val="22"/>
                <w:szCs w:val="22"/>
              </w:rPr>
              <w:t>定制整体散力架，包括机柜底座散力架，精密列头柜，行间空调等底座，材料采用槽钢，并得到专业本次加固单位认可。</w:t>
            </w:r>
          </w:p>
        </w:tc>
        <w:tc>
          <w:tcPr>
            <w:tcW w:w="850" w:type="dxa"/>
            <w:noWrap w:val="0"/>
            <w:vAlign w:val="center"/>
          </w:tcPr>
          <w:p>
            <w:pPr>
              <w:pStyle w:val="117"/>
              <w:ind w:left="11"/>
              <w:jc w:val="center"/>
              <w:rPr>
                <w:rFonts w:hint="eastAsia"/>
                <w:sz w:val="22"/>
                <w:szCs w:val="22"/>
              </w:rPr>
            </w:pPr>
            <w:r>
              <w:rPr>
                <w:rFonts w:hint="eastAsia"/>
                <w:w w:val="99"/>
                <w:sz w:val="22"/>
                <w:szCs w:val="22"/>
              </w:rPr>
              <w:t>套</w:t>
            </w:r>
          </w:p>
        </w:tc>
        <w:tc>
          <w:tcPr>
            <w:tcW w:w="650" w:type="dxa"/>
            <w:noWrap w:val="0"/>
            <w:vAlign w:val="center"/>
          </w:tcPr>
          <w:p>
            <w:pPr>
              <w:pStyle w:val="117"/>
              <w:jc w:val="center"/>
              <w:rPr>
                <w:rFonts w:hint="eastAsia"/>
                <w:sz w:val="22"/>
                <w:szCs w:val="22"/>
              </w:rPr>
            </w:pPr>
            <w:r>
              <w:rPr>
                <w:rFonts w:hint="eastAsia"/>
                <w:w w:val="99"/>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sz w:val="22"/>
                <w:szCs w:val="22"/>
              </w:rPr>
              <w:t>22</w:t>
            </w:r>
          </w:p>
        </w:tc>
        <w:tc>
          <w:tcPr>
            <w:tcW w:w="1380" w:type="dxa"/>
            <w:noWrap w:val="0"/>
            <w:vAlign w:val="center"/>
          </w:tcPr>
          <w:p>
            <w:pPr>
              <w:pStyle w:val="117"/>
              <w:spacing w:before="47"/>
              <w:ind w:left="84" w:right="76"/>
              <w:jc w:val="center"/>
              <w:rPr>
                <w:rFonts w:hint="eastAsia"/>
                <w:sz w:val="22"/>
                <w:szCs w:val="22"/>
              </w:rPr>
            </w:pPr>
            <w:r>
              <w:rPr>
                <w:rFonts w:hint="eastAsia"/>
                <w:sz w:val="22"/>
                <w:szCs w:val="22"/>
              </w:rPr>
              <w:t>UPS 底座</w:t>
            </w:r>
          </w:p>
        </w:tc>
        <w:tc>
          <w:tcPr>
            <w:tcW w:w="6010" w:type="dxa"/>
            <w:noWrap w:val="0"/>
            <w:vAlign w:val="center"/>
          </w:tcPr>
          <w:p>
            <w:pPr>
              <w:pStyle w:val="117"/>
              <w:spacing w:before="47"/>
              <w:rPr>
                <w:rFonts w:hint="eastAsia"/>
                <w:sz w:val="22"/>
                <w:szCs w:val="22"/>
              </w:rPr>
            </w:pPr>
            <w:r>
              <w:rPr>
                <w:rFonts w:hint="eastAsia"/>
                <w:sz w:val="22"/>
                <w:szCs w:val="22"/>
              </w:rPr>
              <w:t>UPS 底座 100mm 散力架</w:t>
            </w:r>
          </w:p>
        </w:tc>
        <w:tc>
          <w:tcPr>
            <w:tcW w:w="850" w:type="dxa"/>
            <w:noWrap w:val="0"/>
            <w:vAlign w:val="center"/>
          </w:tcPr>
          <w:p>
            <w:pPr>
              <w:pStyle w:val="117"/>
              <w:ind w:left="11"/>
              <w:jc w:val="center"/>
              <w:rPr>
                <w:rFonts w:hint="eastAsia"/>
                <w:sz w:val="22"/>
                <w:szCs w:val="22"/>
              </w:rPr>
            </w:pPr>
            <w:r>
              <w:rPr>
                <w:rFonts w:hint="eastAsia"/>
                <w:w w:val="99"/>
                <w:sz w:val="22"/>
                <w:szCs w:val="22"/>
              </w:rPr>
              <w:t>套</w:t>
            </w:r>
          </w:p>
        </w:tc>
        <w:tc>
          <w:tcPr>
            <w:tcW w:w="650" w:type="dxa"/>
            <w:noWrap w:val="0"/>
            <w:vAlign w:val="center"/>
          </w:tcPr>
          <w:p>
            <w:pPr>
              <w:pStyle w:val="117"/>
              <w:jc w:val="center"/>
              <w:rPr>
                <w:rFonts w:hint="eastAsia"/>
                <w:sz w:val="22"/>
                <w:szCs w:val="22"/>
              </w:rPr>
            </w:pPr>
            <w:r>
              <w:rPr>
                <w:rFonts w:hint="eastAsia"/>
                <w:w w:val="99"/>
                <w:sz w:val="22"/>
                <w:szCs w:val="22"/>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sz w:val="22"/>
                <w:szCs w:val="22"/>
              </w:rPr>
              <w:t>23</w:t>
            </w:r>
          </w:p>
        </w:tc>
        <w:tc>
          <w:tcPr>
            <w:tcW w:w="1380" w:type="dxa"/>
            <w:noWrap w:val="0"/>
            <w:vAlign w:val="center"/>
          </w:tcPr>
          <w:p>
            <w:pPr>
              <w:pStyle w:val="117"/>
              <w:spacing w:before="47"/>
              <w:ind w:left="84" w:right="78"/>
              <w:jc w:val="center"/>
              <w:rPr>
                <w:rFonts w:hint="eastAsia"/>
                <w:sz w:val="22"/>
                <w:szCs w:val="22"/>
              </w:rPr>
            </w:pPr>
            <w:r>
              <w:rPr>
                <w:rFonts w:hint="eastAsia"/>
                <w:sz w:val="22"/>
                <w:szCs w:val="22"/>
              </w:rPr>
              <w:t>配电柜支架</w:t>
            </w:r>
          </w:p>
        </w:tc>
        <w:tc>
          <w:tcPr>
            <w:tcW w:w="6010" w:type="dxa"/>
            <w:noWrap w:val="0"/>
            <w:vAlign w:val="center"/>
          </w:tcPr>
          <w:p>
            <w:pPr>
              <w:pStyle w:val="117"/>
              <w:spacing w:before="47"/>
              <w:rPr>
                <w:rFonts w:hint="eastAsia"/>
                <w:sz w:val="22"/>
                <w:szCs w:val="22"/>
              </w:rPr>
            </w:pPr>
            <w:r>
              <w:rPr>
                <w:rFonts w:hint="eastAsia"/>
                <w:sz w:val="22"/>
                <w:szCs w:val="22"/>
              </w:rPr>
              <w:t>配电柜支架散力架</w:t>
            </w:r>
          </w:p>
        </w:tc>
        <w:tc>
          <w:tcPr>
            <w:tcW w:w="850" w:type="dxa"/>
            <w:noWrap w:val="0"/>
            <w:vAlign w:val="center"/>
          </w:tcPr>
          <w:p>
            <w:pPr>
              <w:pStyle w:val="117"/>
              <w:ind w:left="11"/>
              <w:jc w:val="center"/>
              <w:rPr>
                <w:rFonts w:hint="eastAsia"/>
                <w:sz w:val="22"/>
                <w:szCs w:val="22"/>
              </w:rPr>
            </w:pPr>
            <w:r>
              <w:rPr>
                <w:rFonts w:hint="eastAsia"/>
                <w:w w:val="99"/>
                <w:sz w:val="22"/>
                <w:szCs w:val="22"/>
              </w:rPr>
              <w:t>套</w:t>
            </w:r>
          </w:p>
        </w:tc>
        <w:tc>
          <w:tcPr>
            <w:tcW w:w="650" w:type="dxa"/>
            <w:noWrap w:val="0"/>
            <w:vAlign w:val="center"/>
          </w:tcPr>
          <w:p>
            <w:pPr>
              <w:pStyle w:val="117"/>
              <w:jc w:val="center"/>
              <w:rPr>
                <w:rFonts w:hint="eastAsia"/>
                <w:sz w:val="22"/>
                <w:szCs w:val="22"/>
              </w:rPr>
            </w:pPr>
            <w:r>
              <w:rPr>
                <w:rFonts w:hint="eastAsia"/>
                <w:w w:val="99"/>
                <w:sz w:val="22"/>
                <w:szCs w:val="22"/>
              </w:rPr>
              <w:t>2</w:t>
            </w:r>
          </w:p>
        </w:tc>
      </w:tr>
      <w:tr>
        <w:tblPrEx>
          <w:tblCellMar>
            <w:top w:w="0" w:type="dxa"/>
            <w:left w:w="0" w:type="dxa"/>
            <w:bottom w:w="0" w:type="dxa"/>
            <w:right w:w="0" w:type="dxa"/>
          </w:tblCellMar>
        </w:tblPrEx>
        <w:trPr>
          <w:trHeight w:val="567" w:hRule="atLeast"/>
          <w:jc w:val="center"/>
        </w:trPr>
        <w:tc>
          <w:tcPr>
            <w:tcW w:w="9518" w:type="dxa"/>
            <w:gridSpan w:val="5"/>
            <w:noWrap w:val="0"/>
            <w:vAlign w:val="center"/>
          </w:tcPr>
          <w:p>
            <w:pPr>
              <w:pStyle w:val="117"/>
              <w:jc w:val="center"/>
              <w:rPr>
                <w:rFonts w:hint="eastAsia"/>
                <w:b/>
                <w:sz w:val="22"/>
                <w:szCs w:val="22"/>
              </w:rPr>
            </w:pPr>
            <w:r>
              <w:rPr>
                <w:rFonts w:hint="eastAsia"/>
                <w:b/>
                <w:sz w:val="22"/>
                <w:szCs w:val="22"/>
              </w:rPr>
              <w:t>2）不间断电源系统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1</w:t>
            </w:r>
          </w:p>
        </w:tc>
        <w:tc>
          <w:tcPr>
            <w:tcW w:w="1380" w:type="dxa"/>
            <w:noWrap w:val="0"/>
            <w:vAlign w:val="center"/>
          </w:tcPr>
          <w:p>
            <w:pPr>
              <w:pStyle w:val="117"/>
              <w:spacing w:before="5"/>
              <w:jc w:val="center"/>
              <w:rPr>
                <w:rFonts w:hint="eastAsia"/>
                <w:sz w:val="22"/>
                <w:szCs w:val="22"/>
              </w:rPr>
            </w:pPr>
          </w:p>
          <w:p>
            <w:pPr>
              <w:pStyle w:val="117"/>
              <w:ind w:right="76"/>
              <w:jc w:val="center"/>
              <w:rPr>
                <w:rFonts w:hint="eastAsia"/>
                <w:sz w:val="22"/>
                <w:szCs w:val="22"/>
              </w:rPr>
            </w:pPr>
            <w:r>
              <w:rPr>
                <w:rFonts w:hint="eastAsia"/>
                <w:sz w:val="22"/>
                <w:szCs w:val="22"/>
              </w:rPr>
              <w:t>模块化主机框</w:t>
            </w:r>
          </w:p>
        </w:tc>
        <w:tc>
          <w:tcPr>
            <w:tcW w:w="6010" w:type="dxa"/>
            <w:noWrap w:val="0"/>
            <w:vAlign w:val="center"/>
          </w:tcPr>
          <w:p>
            <w:pPr>
              <w:pStyle w:val="117"/>
              <w:tabs>
                <w:tab w:val="left" w:pos="412"/>
              </w:tabs>
              <w:spacing w:before="35" w:line="304" w:lineRule="auto"/>
              <w:ind w:left="108" w:right="159"/>
              <w:rPr>
                <w:rFonts w:hint="eastAsia"/>
                <w:sz w:val="22"/>
                <w:szCs w:val="22"/>
              </w:rPr>
            </w:pPr>
            <w:r>
              <w:rPr>
                <w:rFonts w:hint="eastAsia"/>
                <w:sz w:val="22"/>
                <w:szCs w:val="22"/>
                <w:lang w:val="en-US"/>
              </w:rPr>
              <w:t>1、</w:t>
            </w:r>
            <w:r>
              <w:rPr>
                <w:rFonts w:hint="eastAsia"/>
                <w:sz w:val="22"/>
                <w:szCs w:val="22"/>
              </w:rPr>
              <w:t>UPS</w:t>
            </w:r>
            <w:r>
              <w:rPr>
                <w:rFonts w:hint="eastAsia"/>
                <w:spacing w:val="-9"/>
                <w:sz w:val="22"/>
                <w:szCs w:val="22"/>
              </w:rPr>
              <w:t xml:space="preserve"> 主机要求采用模块化、热插拔结构、内部功率模块冗余并联的 </w:t>
            </w:r>
            <w:r>
              <w:rPr>
                <w:rFonts w:hint="eastAsia"/>
                <w:sz w:val="22"/>
                <w:szCs w:val="22"/>
              </w:rPr>
              <w:t>UPS</w:t>
            </w:r>
            <w:r>
              <w:rPr>
                <w:rFonts w:hint="eastAsia"/>
                <w:spacing w:val="-13"/>
                <w:sz w:val="22"/>
                <w:szCs w:val="22"/>
              </w:rPr>
              <w:t xml:space="preserve"> 电源，</w:t>
            </w:r>
            <w:r>
              <w:rPr>
                <w:rFonts w:hint="eastAsia"/>
                <w:sz w:val="22"/>
                <w:szCs w:val="22"/>
              </w:rPr>
              <w:t>380V</w:t>
            </w:r>
            <w:r>
              <w:rPr>
                <w:rFonts w:hint="eastAsia"/>
                <w:spacing w:val="-27"/>
                <w:sz w:val="22"/>
                <w:szCs w:val="22"/>
              </w:rPr>
              <w:t xml:space="preserve"> 输入 </w:t>
            </w:r>
            <w:r>
              <w:rPr>
                <w:rFonts w:hint="eastAsia"/>
                <w:sz w:val="22"/>
                <w:szCs w:val="22"/>
              </w:rPr>
              <w:t>380V</w:t>
            </w:r>
            <w:r>
              <w:rPr>
                <w:rFonts w:hint="eastAsia"/>
                <w:spacing w:val="-8"/>
                <w:sz w:val="22"/>
                <w:szCs w:val="22"/>
              </w:rPr>
              <w:t xml:space="preserve"> 输出，系统配置不</w:t>
            </w:r>
            <w:r>
              <w:rPr>
                <w:rFonts w:hint="eastAsia"/>
                <w:spacing w:val="-23"/>
                <w:sz w:val="22"/>
                <w:szCs w:val="22"/>
              </w:rPr>
              <w:t xml:space="preserve">小于 </w:t>
            </w:r>
            <w:r>
              <w:rPr>
                <w:rFonts w:hint="eastAsia"/>
                <w:sz w:val="22"/>
                <w:szCs w:val="22"/>
              </w:rPr>
              <w:t>80KW（不含冗余）</w:t>
            </w:r>
            <w:r>
              <w:rPr>
                <w:rFonts w:hint="eastAsia"/>
                <w:spacing w:val="-9"/>
                <w:sz w:val="22"/>
                <w:szCs w:val="22"/>
              </w:rPr>
              <w:t xml:space="preserve">，建议配置 </w:t>
            </w:r>
            <w:r>
              <w:rPr>
                <w:rFonts w:hint="eastAsia"/>
                <w:sz w:val="22"/>
                <w:szCs w:val="22"/>
              </w:rPr>
              <w:t>160KW</w:t>
            </w:r>
            <w:r>
              <w:rPr>
                <w:rFonts w:hint="eastAsia"/>
                <w:spacing w:val="-22"/>
                <w:sz w:val="22"/>
                <w:szCs w:val="22"/>
              </w:rPr>
              <w:t xml:space="preserve"> 模块化 </w:t>
            </w:r>
            <w:r>
              <w:rPr>
                <w:rFonts w:hint="eastAsia"/>
                <w:sz w:val="22"/>
                <w:szCs w:val="22"/>
              </w:rPr>
              <w:t>UPS</w:t>
            </w:r>
            <w:r>
              <w:rPr>
                <w:rFonts w:hint="eastAsia"/>
                <w:spacing w:val="-2"/>
                <w:sz w:val="22"/>
                <w:szCs w:val="22"/>
              </w:rPr>
              <w:t>，单</w:t>
            </w:r>
            <w:r>
              <w:rPr>
                <w:rFonts w:hint="eastAsia"/>
                <w:spacing w:val="-13"/>
                <w:sz w:val="22"/>
                <w:szCs w:val="22"/>
              </w:rPr>
              <w:t xml:space="preserve">模块在 </w:t>
            </w:r>
            <w:r>
              <w:rPr>
                <w:rFonts w:hint="eastAsia"/>
                <w:sz w:val="22"/>
                <w:szCs w:val="22"/>
              </w:rPr>
              <w:t>16KW～40KW</w:t>
            </w:r>
            <w:r>
              <w:rPr>
                <w:rFonts w:hint="eastAsia"/>
                <w:spacing w:val="-13"/>
                <w:sz w:val="22"/>
                <w:szCs w:val="22"/>
              </w:rPr>
              <w:t xml:space="preserve"> 之间；</w:t>
            </w:r>
          </w:p>
          <w:p>
            <w:pPr>
              <w:pStyle w:val="117"/>
              <w:tabs>
                <w:tab w:val="left" w:pos="412"/>
              </w:tabs>
              <w:spacing w:before="2"/>
              <w:ind w:left="107"/>
              <w:rPr>
                <w:rFonts w:hint="eastAsia"/>
                <w:sz w:val="22"/>
                <w:szCs w:val="22"/>
              </w:rPr>
            </w:pPr>
            <w:r>
              <w:rPr>
                <w:rFonts w:hint="eastAsia"/>
                <w:sz w:val="22"/>
                <w:szCs w:val="22"/>
                <w:lang w:val="en-US"/>
              </w:rPr>
              <w:t>2、</w:t>
            </w:r>
            <w:r>
              <w:rPr>
                <w:rFonts w:hint="eastAsia"/>
                <w:sz w:val="22"/>
                <w:szCs w:val="22"/>
              </w:rPr>
              <w:t>UPS</w:t>
            </w:r>
            <w:r>
              <w:rPr>
                <w:rFonts w:hint="eastAsia"/>
                <w:spacing w:val="-12"/>
                <w:sz w:val="22"/>
                <w:szCs w:val="22"/>
              </w:rPr>
              <w:t xml:space="preserve"> 模块要求</w:t>
            </w:r>
            <w:r>
              <w:rPr>
                <w:rFonts w:hint="eastAsia"/>
                <w:sz w:val="22"/>
                <w:szCs w:val="22"/>
              </w:rPr>
              <w:t>（16KW～40KW），模块数量必须大于等2；</w:t>
            </w:r>
          </w:p>
          <w:p>
            <w:pPr>
              <w:pStyle w:val="117"/>
              <w:tabs>
                <w:tab w:val="left" w:pos="412"/>
              </w:tabs>
              <w:spacing w:before="70"/>
              <w:ind w:left="107"/>
              <w:rPr>
                <w:rFonts w:hint="eastAsia"/>
                <w:sz w:val="22"/>
                <w:szCs w:val="22"/>
              </w:rPr>
            </w:pPr>
            <w:r>
              <w:rPr>
                <w:rFonts w:hint="eastAsia"/>
                <w:sz w:val="22"/>
                <w:szCs w:val="22"/>
                <w:lang w:val="en-US"/>
              </w:rPr>
              <w:t>3、</w:t>
            </w:r>
            <w:r>
              <w:rPr>
                <w:rFonts w:hint="eastAsia"/>
                <w:sz w:val="22"/>
                <w:szCs w:val="22"/>
              </w:rPr>
              <w:t>UPS</w:t>
            </w:r>
            <w:r>
              <w:rPr>
                <w:rFonts w:hint="eastAsia"/>
                <w:spacing w:val="-5"/>
                <w:sz w:val="22"/>
                <w:szCs w:val="22"/>
              </w:rPr>
              <w:t xml:space="preserve"> 主机框容量不小于 </w:t>
            </w:r>
            <w:r>
              <w:rPr>
                <w:rFonts w:hint="eastAsia"/>
                <w:sz w:val="22"/>
                <w:szCs w:val="22"/>
              </w:rPr>
              <w:t>160KVA/160KW；</w:t>
            </w:r>
          </w:p>
          <w:p>
            <w:pPr>
              <w:pStyle w:val="117"/>
              <w:tabs>
                <w:tab w:val="left" w:pos="412"/>
              </w:tabs>
              <w:spacing w:before="70" w:line="302" w:lineRule="auto"/>
              <w:ind w:left="108" w:right="111"/>
              <w:rPr>
                <w:rFonts w:hint="eastAsia"/>
                <w:sz w:val="22"/>
                <w:szCs w:val="22"/>
              </w:rPr>
            </w:pPr>
            <w:r>
              <w:rPr>
                <w:rFonts w:hint="eastAsia"/>
                <w:spacing w:val="-1"/>
                <w:sz w:val="22"/>
                <w:szCs w:val="22"/>
                <w:lang w:val="en-US"/>
              </w:rPr>
              <w:t>4、</w:t>
            </w:r>
            <w:r>
              <w:rPr>
                <w:rFonts w:hint="eastAsia"/>
                <w:spacing w:val="-1"/>
                <w:sz w:val="22"/>
                <w:szCs w:val="22"/>
              </w:rPr>
              <w:t>功率模块，静态旁路模块均可在线热插拔更换，提供最</w:t>
            </w:r>
            <w:r>
              <w:rPr>
                <w:rFonts w:hint="eastAsia"/>
                <w:sz w:val="22"/>
                <w:szCs w:val="22"/>
              </w:rPr>
              <w:t>高级别的可用性、可维护性；</w:t>
            </w:r>
          </w:p>
          <w:p>
            <w:pPr>
              <w:pStyle w:val="117"/>
              <w:tabs>
                <w:tab w:val="left" w:pos="412"/>
              </w:tabs>
              <w:spacing w:before="5" w:line="304" w:lineRule="auto"/>
              <w:ind w:left="108" w:right="111"/>
              <w:rPr>
                <w:rFonts w:hint="eastAsia"/>
                <w:sz w:val="22"/>
                <w:szCs w:val="22"/>
              </w:rPr>
            </w:pPr>
            <w:r>
              <w:rPr>
                <w:rFonts w:hint="eastAsia"/>
                <w:spacing w:val="-1"/>
                <w:sz w:val="22"/>
                <w:szCs w:val="22"/>
                <w:lang w:val="en-US"/>
              </w:rPr>
              <w:t>5、</w:t>
            </w:r>
            <w:r>
              <w:rPr>
                <w:rFonts w:hint="eastAsia"/>
                <w:spacing w:val="-1"/>
                <w:sz w:val="22"/>
                <w:szCs w:val="22"/>
              </w:rPr>
              <w:t>功率模块的并联采用分散控制，每个功率模块均要求内</w:t>
            </w:r>
            <w:r>
              <w:rPr>
                <w:rFonts w:hint="eastAsia"/>
                <w:sz w:val="22"/>
                <w:szCs w:val="22"/>
              </w:rPr>
              <w:t>置完整的整流、逆变及控制系统，任意模块的功率或控制</w:t>
            </w:r>
            <w:r>
              <w:rPr>
                <w:rFonts w:hint="eastAsia"/>
                <w:spacing w:val="-6"/>
                <w:sz w:val="22"/>
                <w:szCs w:val="22"/>
              </w:rPr>
              <w:t xml:space="preserve">电路故障都不影响 </w:t>
            </w:r>
            <w:r>
              <w:rPr>
                <w:rFonts w:hint="eastAsia"/>
                <w:sz w:val="22"/>
                <w:szCs w:val="22"/>
              </w:rPr>
              <w:t>UPS</w:t>
            </w:r>
            <w:r>
              <w:rPr>
                <w:rFonts w:hint="eastAsia"/>
                <w:spacing w:val="-8"/>
                <w:sz w:val="22"/>
                <w:szCs w:val="22"/>
              </w:rPr>
              <w:t xml:space="preserve"> 系统整体工作运行，保证系统控制不会出现单点故障；</w:t>
            </w:r>
          </w:p>
          <w:p>
            <w:pPr>
              <w:pStyle w:val="117"/>
              <w:tabs>
                <w:tab w:val="left" w:pos="412"/>
              </w:tabs>
              <w:spacing w:before="4" w:line="302" w:lineRule="auto"/>
              <w:ind w:left="108" w:right="260"/>
              <w:rPr>
                <w:rFonts w:hint="eastAsia"/>
                <w:sz w:val="22"/>
                <w:szCs w:val="22"/>
              </w:rPr>
            </w:pPr>
            <w:r>
              <w:rPr>
                <w:rFonts w:hint="eastAsia"/>
                <w:spacing w:val="-1"/>
                <w:sz w:val="22"/>
                <w:szCs w:val="22"/>
                <w:lang w:val="en-US"/>
              </w:rPr>
              <w:t>6、</w:t>
            </w:r>
            <w:r>
              <w:rPr>
                <w:rFonts w:hint="eastAsia"/>
                <w:spacing w:val="-1"/>
                <w:sz w:val="22"/>
                <w:szCs w:val="22"/>
              </w:rPr>
              <w:t>主机框的配置还应包括：</w:t>
            </w:r>
            <w:r>
              <w:rPr>
                <w:rFonts w:hint="eastAsia"/>
                <w:sz w:val="22"/>
                <w:szCs w:val="22"/>
              </w:rPr>
              <w:t>160KVA</w:t>
            </w:r>
            <w:r>
              <w:rPr>
                <w:rFonts w:hint="eastAsia"/>
                <w:spacing w:val="-9"/>
                <w:sz w:val="22"/>
                <w:szCs w:val="22"/>
              </w:rPr>
              <w:t xml:space="preserve"> 静态旁路模块、 低</w:t>
            </w:r>
            <w:r>
              <w:rPr>
                <w:rFonts w:hint="eastAsia"/>
                <w:sz w:val="22"/>
                <w:szCs w:val="22"/>
              </w:rPr>
              <w:t>压控制电源模块、液晶显示器、通讯模块；</w:t>
            </w:r>
          </w:p>
          <w:p>
            <w:pPr>
              <w:pStyle w:val="117"/>
              <w:tabs>
                <w:tab w:val="left" w:pos="412"/>
              </w:tabs>
              <w:spacing w:before="5" w:line="304" w:lineRule="auto"/>
              <w:ind w:left="108" w:right="111"/>
              <w:rPr>
                <w:rFonts w:hint="eastAsia"/>
                <w:sz w:val="22"/>
                <w:szCs w:val="22"/>
              </w:rPr>
            </w:pPr>
            <w:r>
              <w:rPr>
                <w:rFonts w:hint="eastAsia"/>
                <w:spacing w:val="-14"/>
                <w:sz w:val="22"/>
                <w:szCs w:val="22"/>
                <w:lang w:val="en-US"/>
              </w:rPr>
              <w:t>7、</w:t>
            </w:r>
            <w:r>
              <w:rPr>
                <w:rFonts w:hint="eastAsia"/>
                <w:spacing w:val="-14"/>
                <w:sz w:val="22"/>
                <w:szCs w:val="22"/>
              </w:rPr>
              <w:t xml:space="preserve">为保证 </w:t>
            </w:r>
            <w:r>
              <w:rPr>
                <w:rFonts w:hint="eastAsia"/>
                <w:sz w:val="22"/>
                <w:szCs w:val="22"/>
              </w:rPr>
              <w:t>UPS</w:t>
            </w:r>
            <w:r>
              <w:rPr>
                <w:rFonts w:hint="eastAsia"/>
                <w:spacing w:val="-9"/>
                <w:sz w:val="22"/>
                <w:szCs w:val="22"/>
              </w:rPr>
              <w:t xml:space="preserve"> 旁路抗冲击能力及扩容要求，不允许采用存</w:t>
            </w:r>
            <w:r>
              <w:rPr>
                <w:rFonts w:hint="eastAsia"/>
                <w:sz w:val="22"/>
                <w:szCs w:val="22"/>
              </w:rPr>
              <w:t>在于各功率模块内部的分散式静态旁路单元，要求采用统一的公共静态旁路模块(容量要求≥160KW)</w:t>
            </w:r>
            <w:r>
              <w:rPr>
                <w:rFonts w:hint="eastAsia"/>
                <w:spacing w:val="-2"/>
                <w:sz w:val="22"/>
                <w:szCs w:val="22"/>
              </w:rPr>
              <w:t>，旁路模块应可</w:t>
            </w:r>
            <w:r>
              <w:rPr>
                <w:rFonts w:hint="eastAsia"/>
                <w:spacing w:val="-5"/>
                <w:sz w:val="22"/>
                <w:szCs w:val="22"/>
              </w:rPr>
              <w:t xml:space="preserve">插拔维护，其故障不影响 </w:t>
            </w:r>
            <w:r>
              <w:rPr>
                <w:rFonts w:hint="eastAsia"/>
                <w:sz w:val="22"/>
                <w:szCs w:val="22"/>
              </w:rPr>
              <w:t>UPS</w:t>
            </w:r>
            <w:r>
              <w:rPr>
                <w:rFonts w:hint="eastAsia"/>
                <w:spacing w:val="-10"/>
                <w:sz w:val="22"/>
                <w:szCs w:val="22"/>
              </w:rPr>
              <w:t xml:space="preserve"> 系统输出；</w:t>
            </w:r>
          </w:p>
          <w:p>
            <w:pPr>
              <w:pStyle w:val="117"/>
              <w:tabs>
                <w:tab w:val="left" w:pos="412"/>
              </w:tabs>
              <w:spacing w:before="4"/>
              <w:ind w:left="107"/>
              <w:rPr>
                <w:rFonts w:hint="eastAsia"/>
                <w:sz w:val="22"/>
                <w:szCs w:val="22"/>
              </w:rPr>
            </w:pPr>
            <w:r>
              <w:rPr>
                <w:rFonts w:hint="eastAsia"/>
                <w:w w:val="95"/>
                <w:sz w:val="22"/>
                <w:szCs w:val="22"/>
                <w:lang w:val="en-US"/>
              </w:rPr>
              <w:t>8、</w:t>
            </w:r>
            <w:r>
              <w:rPr>
                <w:rFonts w:hint="eastAsia"/>
                <w:w w:val="95"/>
                <w:sz w:val="22"/>
                <w:szCs w:val="22"/>
              </w:rPr>
              <w:t>模块并联输出电压精度为±1%；</w:t>
            </w:r>
          </w:p>
          <w:p>
            <w:pPr>
              <w:pStyle w:val="117"/>
              <w:tabs>
                <w:tab w:val="left" w:pos="412"/>
              </w:tabs>
              <w:spacing w:before="68"/>
              <w:ind w:left="107"/>
              <w:rPr>
                <w:rFonts w:hint="eastAsia"/>
                <w:sz w:val="22"/>
                <w:szCs w:val="22"/>
              </w:rPr>
            </w:pPr>
            <w:r>
              <w:rPr>
                <w:rFonts w:hint="eastAsia"/>
                <w:sz w:val="22"/>
                <w:szCs w:val="22"/>
                <w:lang w:val="en-US"/>
              </w:rPr>
              <w:t>9、</w:t>
            </w:r>
            <w:r>
              <w:rPr>
                <w:rFonts w:hint="eastAsia"/>
                <w:sz w:val="22"/>
                <w:szCs w:val="22"/>
              </w:rPr>
              <w:t>UPS</w:t>
            </w:r>
            <w:r>
              <w:rPr>
                <w:rFonts w:hint="eastAsia"/>
                <w:spacing w:val="-8"/>
                <w:sz w:val="22"/>
                <w:szCs w:val="22"/>
              </w:rPr>
              <w:t xml:space="preserve"> 输入电压范围：</w:t>
            </w:r>
            <w:r>
              <w:rPr>
                <w:rFonts w:hint="eastAsia"/>
                <w:sz w:val="22"/>
                <w:szCs w:val="22"/>
              </w:rPr>
              <w:t>284-475VAC</w:t>
            </w:r>
            <w:r>
              <w:rPr>
                <w:rFonts w:hint="eastAsia"/>
                <w:spacing w:val="-11"/>
                <w:sz w:val="22"/>
                <w:szCs w:val="22"/>
              </w:rPr>
              <w:t xml:space="preserve"> 满负载；</w:t>
            </w:r>
          </w:p>
          <w:p>
            <w:pPr>
              <w:pStyle w:val="117"/>
              <w:tabs>
                <w:tab w:val="left" w:pos="510"/>
              </w:tabs>
              <w:spacing w:before="35"/>
              <w:ind w:left="108"/>
              <w:rPr>
                <w:rFonts w:hint="eastAsia"/>
                <w:sz w:val="22"/>
                <w:szCs w:val="22"/>
              </w:rPr>
            </w:pPr>
            <w:r>
              <w:rPr>
                <w:rFonts w:hint="eastAsia"/>
                <w:sz w:val="22"/>
                <w:szCs w:val="22"/>
                <w:lang w:val="en-US"/>
              </w:rPr>
              <w:t>10、</w:t>
            </w:r>
            <w:r>
              <w:rPr>
                <w:rFonts w:hint="eastAsia"/>
                <w:sz w:val="22"/>
                <w:szCs w:val="22"/>
              </w:rPr>
              <w:t>UPS</w:t>
            </w:r>
            <w:r>
              <w:rPr>
                <w:rFonts w:hint="eastAsia"/>
                <w:spacing w:val="-8"/>
                <w:sz w:val="22"/>
                <w:szCs w:val="22"/>
              </w:rPr>
              <w:t xml:space="preserve"> 输入频率范围 </w:t>
            </w:r>
            <w:r>
              <w:rPr>
                <w:rFonts w:hint="eastAsia"/>
                <w:sz w:val="22"/>
                <w:szCs w:val="22"/>
              </w:rPr>
              <w:t>40-70Hz；</w:t>
            </w:r>
          </w:p>
          <w:p>
            <w:pPr>
              <w:pStyle w:val="117"/>
              <w:tabs>
                <w:tab w:val="left" w:pos="510"/>
              </w:tabs>
              <w:spacing w:before="70"/>
              <w:ind w:left="108"/>
              <w:rPr>
                <w:rFonts w:hint="eastAsia"/>
                <w:sz w:val="22"/>
                <w:szCs w:val="22"/>
              </w:rPr>
            </w:pPr>
            <w:r>
              <w:rPr>
                <w:rFonts w:hint="eastAsia"/>
                <w:sz w:val="22"/>
                <w:szCs w:val="22"/>
                <w:lang w:val="en-US"/>
              </w:rPr>
              <w:t>11、</w:t>
            </w:r>
            <w:r>
              <w:rPr>
                <w:rFonts w:hint="eastAsia"/>
                <w:sz w:val="22"/>
                <w:szCs w:val="22"/>
              </w:rPr>
              <w:t>UPS</w:t>
            </w:r>
            <w:r>
              <w:rPr>
                <w:rFonts w:hint="eastAsia"/>
                <w:spacing w:val="-18"/>
                <w:sz w:val="22"/>
                <w:szCs w:val="22"/>
              </w:rPr>
              <w:t xml:space="preserve"> 过载范围 </w:t>
            </w:r>
            <w:r>
              <w:rPr>
                <w:rFonts w:hint="eastAsia"/>
                <w:sz w:val="22"/>
                <w:szCs w:val="22"/>
              </w:rPr>
              <w:t>110</w:t>
            </w:r>
            <w:r>
              <w:rPr>
                <w:rFonts w:hint="eastAsia"/>
                <w:spacing w:val="-13"/>
                <w:sz w:val="22"/>
                <w:szCs w:val="22"/>
              </w:rPr>
              <w:t xml:space="preserve">%过载 </w:t>
            </w:r>
            <w:r>
              <w:rPr>
                <w:rFonts w:hint="eastAsia"/>
                <w:sz w:val="22"/>
                <w:szCs w:val="22"/>
              </w:rPr>
              <w:t>1</w:t>
            </w:r>
            <w:r>
              <w:rPr>
                <w:rFonts w:hint="eastAsia"/>
                <w:spacing w:val="-13"/>
                <w:sz w:val="22"/>
                <w:szCs w:val="22"/>
              </w:rPr>
              <w:t xml:space="preserve"> 小时，</w:t>
            </w:r>
            <w:r>
              <w:rPr>
                <w:rFonts w:hint="eastAsia"/>
                <w:sz w:val="22"/>
                <w:szCs w:val="22"/>
              </w:rPr>
              <w:t>125%</w:t>
            </w:r>
            <w:r>
              <w:rPr>
                <w:rFonts w:hint="eastAsia"/>
                <w:spacing w:val="-17"/>
                <w:sz w:val="22"/>
                <w:szCs w:val="22"/>
              </w:rPr>
              <w:t xml:space="preserve">过载 </w:t>
            </w:r>
            <w:r>
              <w:rPr>
                <w:rFonts w:hint="eastAsia"/>
                <w:sz w:val="22"/>
                <w:szCs w:val="22"/>
              </w:rPr>
              <w:t>10</w:t>
            </w:r>
            <w:r>
              <w:rPr>
                <w:rFonts w:hint="eastAsia"/>
                <w:spacing w:val="-13"/>
                <w:sz w:val="22"/>
                <w:szCs w:val="22"/>
              </w:rPr>
              <w:t xml:space="preserve"> 分钟，</w:t>
            </w:r>
            <w:r>
              <w:rPr>
                <w:rFonts w:hint="eastAsia"/>
                <w:sz w:val="22"/>
                <w:szCs w:val="22"/>
              </w:rPr>
              <w:t>150%过载 1 分钟，大于 150%过载 200 毫秒；</w:t>
            </w:r>
          </w:p>
          <w:p>
            <w:pPr>
              <w:pStyle w:val="117"/>
              <w:tabs>
                <w:tab w:val="left" w:pos="510"/>
              </w:tabs>
              <w:spacing w:before="68"/>
              <w:ind w:left="108"/>
              <w:rPr>
                <w:rFonts w:hint="eastAsia"/>
                <w:sz w:val="22"/>
                <w:szCs w:val="22"/>
              </w:rPr>
            </w:pPr>
            <w:r>
              <w:rPr>
                <w:rFonts w:hint="eastAsia"/>
                <w:sz w:val="22"/>
                <w:szCs w:val="22"/>
                <w:lang w:val="en-US"/>
              </w:rPr>
              <w:t>12、</w:t>
            </w:r>
            <w:r>
              <w:rPr>
                <w:rFonts w:hint="eastAsia"/>
                <w:sz w:val="22"/>
                <w:szCs w:val="22"/>
              </w:rPr>
              <w:t>UPS</w:t>
            </w:r>
            <w:r>
              <w:rPr>
                <w:rFonts w:hint="eastAsia"/>
                <w:spacing w:val="-8"/>
                <w:sz w:val="22"/>
                <w:szCs w:val="22"/>
              </w:rPr>
              <w:t xml:space="preserve"> 背部需要采用铜牌连接；</w:t>
            </w:r>
          </w:p>
          <w:p>
            <w:pPr>
              <w:pStyle w:val="117"/>
              <w:tabs>
                <w:tab w:val="left" w:pos="398"/>
                <w:tab w:val="left" w:pos="412"/>
              </w:tabs>
              <w:spacing w:before="68"/>
              <w:ind w:left="107"/>
              <w:rPr>
                <w:rFonts w:hint="eastAsia"/>
                <w:sz w:val="22"/>
                <w:szCs w:val="22"/>
              </w:rPr>
            </w:pPr>
            <w:r>
              <w:rPr>
                <w:rFonts w:hint="eastAsia"/>
                <w:sz w:val="22"/>
                <w:szCs w:val="22"/>
                <w:lang w:val="en-US"/>
              </w:rPr>
              <w:t>13、</w:t>
            </w:r>
            <w:r>
              <w:rPr>
                <w:rFonts w:hint="eastAsia"/>
                <w:sz w:val="22"/>
                <w:szCs w:val="22"/>
              </w:rPr>
              <w:t>主机尺寸宽深高=600×1100×2000mm；</w:t>
            </w:r>
          </w:p>
        </w:tc>
        <w:tc>
          <w:tcPr>
            <w:tcW w:w="850" w:type="dxa"/>
            <w:noWrap w:val="0"/>
            <w:vAlign w:val="center"/>
          </w:tcPr>
          <w:p>
            <w:pPr>
              <w:pStyle w:val="117"/>
              <w:ind w:left="11"/>
              <w:jc w:val="center"/>
              <w:rPr>
                <w:rFonts w:hint="eastAsia"/>
                <w:sz w:val="22"/>
                <w:szCs w:val="22"/>
              </w:rPr>
            </w:pPr>
            <w:r>
              <w:rPr>
                <w:rFonts w:hint="eastAsia"/>
                <w:w w:val="99"/>
                <w:sz w:val="22"/>
                <w:szCs w:val="22"/>
              </w:rPr>
              <w:t>台</w:t>
            </w:r>
          </w:p>
        </w:tc>
        <w:tc>
          <w:tcPr>
            <w:tcW w:w="650" w:type="dxa"/>
            <w:noWrap w:val="0"/>
            <w:vAlign w:val="center"/>
          </w:tcPr>
          <w:p>
            <w:pPr>
              <w:pStyle w:val="117"/>
              <w:ind w:left="13"/>
              <w:jc w:val="center"/>
              <w:rPr>
                <w:rFonts w:hint="eastAsia"/>
                <w:sz w:val="22"/>
                <w:szCs w:val="22"/>
              </w:rPr>
            </w:pPr>
            <w:r>
              <w:rPr>
                <w:rFonts w:hint="eastAsia"/>
                <w:w w:val="99"/>
                <w:sz w:val="22"/>
                <w:szCs w:val="22"/>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2</w:t>
            </w:r>
          </w:p>
        </w:tc>
        <w:tc>
          <w:tcPr>
            <w:tcW w:w="1380" w:type="dxa"/>
            <w:noWrap w:val="0"/>
            <w:vAlign w:val="center"/>
          </w:tcPr>
          <w:p>
            <w:pPr>
              <w:pStyle w:val="117"/>
              <w:ind w:right="78"/>
              <w:jc w:val="center"/>
              <w:rPr>
                <w:rFonts w:hint="eastAsia"/>
                <w:sz w:val="22"/>
                <w:szCs w:val="22"/>
              </w:rPr>
            </w:pPr>
            <w:r>
              <w:rPr>
                <w:rFonts w:hint="eastAsia"/>
                <w:sz w:val="22"/>
                <w:szCs w:val="22"/>
              </w:rPr>
              <w:t>功率模块</w:t>
            </w:r>
          </w:p>
        </w:tc>
        <w:tc>
          <w:tcPr>
            <w:tcW w:w="6010" w:type="dxa"/>
            <w:noWrap w:val="0"/>
            <w:vAlign w:val="center"/>
          </w:tcPr>
          <w:p>
            <w:pPr>
              <w:pStyle w:val="117"/>
              <w:spacing w:before="35" w:line="304" w:lineRule="auto"/>
              <w:ind w:left="108" w:right="159"/>
              <w:rPr>
                <w:rFonts w:hint="eastAsia"/>
                <w:sz w:val="22"/>
                <w:szCs w:val="22"/>
              </w:rPr>
            </w:pPr>
            <w:r>
              <w:rPr>
                <w:rFonts w:hint="eastAsia"/>
                <w:sz w:val="22"/>
                <w:szCs w:val="22"/>
                <w:lang w:val="en-US"/>
              </w:rPr>
              <w:t>1、</w:t>
            </w:r>
            <w:r>
              <w:rPr>
                <w:rFonts w:hint="eastAsia"/>
                <w:sz w:val="22"/>
                <w:szCs w:val="22"/>
              </w:rPr>
              <w:t>UPS</w:t>
            </w:r>
            <w:r>
              <w:rPr>
                <w:rFonts w:hint="eastAsia"/>
                <w:spacing w:val="-15"/>
                <w:sz w:val="22"/>
                <w:szCs w:val="22"/>
              </w:rPr>
              <w:t xml:space="preserve"> 功率模块容量 </w:t>
            </w:r>
            <w:r>
              <w:rPr>
                <w:rFonts w:hint="eastAsia"/>
                <w:sz w:val="22"/>
                <w:szCs w:val="22"/>
              </w:rPr>
              <w:t>40KVA，UPS</w:t>
            </w:r>
            <w:r>
              <w:rPr>
                <w:rFonts w:hint="eastAsia"/>
                <w:spacing w:val="-9"/>
                <w:sz w:val="22"/>
                <w:szCs w:val="22"/>
              </w:rPr>
              <w:t xml:space="preserve"> 功率模块应采用分散控制的</w:t>
            </w:r>
            <w:r>
              <w:rPr>
                <w:rFonts w:hint="eastAsia"/>
                <w:sz w:val="22"/>
                <w:szCs w:val="22"/>
              </w:rPr>
              <w:t>逻辑，每个功率模块均要求内置完整的整流、逆变及控制</w:t>
            </w:r>
            <w:r>
              <w:rPr>
                <w:rFonts w:hint="eastAsia"/>
                <w:spacing w:val="-3"/>
                <w:sz w:val="22"/>
                <w:szCs w:val="22"/>
              </w:rPr>
              <w:t xml:space="preserve">系统，任意模块的功率或控制电路故障都不影响 </w:t>
            </w:r>
            <w:r>
              <w:rPr>
                <w:rFonts w:hint="eastAsia"/>
                <w:sz w:val="22"/>
                <w:szCs w:val="22"/>
              </w:rPr>
              <w:t>UPS</w:t>
            </w:r>
            <w:r>
              <w:rPr>
                <w:rFonts w:hint="eastAsia"/>
                <w:spacing w:val="-18"/>
                <w:sz w:val="22"/>
                <w:szCs w:val="22"/>
              </w:rPr>
              <w:t xml:space="preserve"> 系统</w:t>
            </w:r>
            <w:r>
              <w:rPr>
                <w:rFonts w:hint="eastAsia"/>
                <w:sz w:val="22"/>
                <w:szCs w:val="22"/>
              </w:rPr>
              <w:t>整体工作运行，保证系统控制不会出现单点故障。</w:t>
            </w:r>
          </w:p>
        </w:tc>
        <w:tc>
          <w:tcPr>
            <w:tcW w:w="850"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w w:val="99"/>
                <w:sz w:val="22"/>
                <w:szCs w:val="22"/>
              </w:rPr>
              <w:t>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3</w:t>
            </w:r>
          </w:p>
        </w:tc>
        <w:tc>
          <w:tcPr>
            <w:tcW w:w="1380" w:type="dxa"/>
            <w:noWrap w:val="0"/>
            <w:vAlign w:val="center"/>
          </w:tcPr>
          <w:p>
            <w:pPr>
              <w:pStyle w:val="117"/>
              <w:ind w:right="78"/>
              <w:jc w:val="center"/>
              <w:rPr>
                <w:rFonts w:hint="eastAsia"/>
                <w:sz w:val="22"/>
                <w:szCs w:val="22"/>
              </w:rPr>
            </w:pPr>
            <w:r>
              <w:rPr>
                <w:rFonts w:hint="eastAsia"/>
                <w:sz w:val="22"/>
                <w:szCs w:val="22"/>
              </w:rPr>
              <w:t>直流汇流盒</w:t>
            </w:r>
          </w:p>
        </w:tc>
        <w:tc>
          <w:tcPr>
            <w:tcW w:w="6010" w:type="dxa"/>
            <w:noWrap w:val="0"/>
            <w:vAlign w:val="center"/>
          </w:tcPr>
          <w:p>
            <w:pPr>
              <w:pStyle w:val="117"/>
              <w:spacing w:before="35" w:line="304" w:lineRule="auto"/>
              <w:ind w:left="108" w:right="111"/>
              <w:rPr>
                <w:rFonts w:hint="eastAsia"/>
                <w:sz w:val="22"/>
                <w:szCs w:val="22"/>
              </w:rPr>
            </w:pPr>
            <w:r>
              <w:rPr>
                <w:rFonts w:hint="eastAsia"/>
                <w:sz w:val="22"/>
                <w:szCs w:val="22"/>
              </w:rPr>
              <w:t>1</w:t>
            </w:r>
            <w:r>
              <w:rPr>
                <w:rFonts w:hint="eastAsia"/>
                <w:spacing w:val="-18"/>
                <w:sz w:val="22"/>
                <w:szCs w:val="22"/>
              </w:rPr>
              <w:t xml:space="preserve">、与 </w:t>
            </w:r>
            <w:r>
              <w:rPr>
                <w:rFonts w:hint="eastAsia"/>
                <w:sz w:val="22"/>
                <w:szCs w:val="22"/>
              </w:rPr>
              <w:t>UPS</w:t>
            </w:r>
            <w:r>
              <w:rPr>
                <w:rFonts w:hint="eastAsia"/>
                <w:spacing w:val="-12"/>
                <w:sz w:val="22"/>
                <w:szCs w:val="22"/>
              </w:rPr>
              <w:t xml:space="preserve"> 主机为同一品牌，并与 </w:t>
            </w:r>
            <w:r>
              <w:rPr>
                <w:rFonts w:hint="eastAsia"/>
                <w:sz w:val="22"/>
                <w:szCs w:val="22"/>
              </w:rPr>
              <w:t>UPS</w:t>
            </w:r>
            <w:r>
              <w:rPr>
                <w:rFonts w:hint="eastAsia"/>
                <w:spacing w:val="-9"/>
                <w:sz w:val="22"/>
                <w:szCs w:val="22"/>
              </w:rPr>
              <w:t xml:space="preserve"> 主机实现实时通讯和</w:t>
            </w:r>
            <w:r>
              <w:rPr>
                <w:rFonts w:hint="eastAsia"/>
                <w:sz w:val="22"/>
                <w:szCs w:val="22"/>
              </w:rPr>
              <w:t>智能联控，具有防止误操作和电池深度放电的功能。</w:t>
            </w:r>
          </w:p>
          <w:p>
            <w:pPr>
              <w:pStyle w:val="117"/>
              <w:spacing w:line="304" w:lineRule="auto"/>
              <w:ind w:left="108" w:right="159"/>
              <w:rPr>
                <w:rFonts w:hint="eastAsia"/>
                <w:sz w:val="22"/>
                <w:szCs w:val="22"/>
              </w:rPr>
            </w:pPr>
            <w:r>
              <w:rPr>
                <w:rFonts w:hint="eastAsia"/>
                <w:sz w:val="22"/>
                <w:szCs w:val="22"/>
              </w:rPr>
              <w:t>2、UPS</w:t>
            </w:r>
            <w:r>
              <w:rPr>
                <w:rFonts w:hint="eastAsia"/>
                <w:spacing w:val="-9"/>
                <w:sz w:val="22"/>
                <w:szCs w:val="22"/>
              </w:rPr>
              <w:t xml:space="preserve"> 主机能检测电池断路器状态并可以远程监控。在开</w:t>
            </w:r>
            <w:r>
              <w:rPr>
                <w:rFonts w:hint="eastAsia"/>
                <w:sz w:val="22"/>
                <w:szCs w:val="22"/>
              </w:rPr>
              <w:t>关意外脱扣的情况下，UPS</w:t>
            </w:r>
            <w:r>
              <w:rPr>
                <w:rFonts w:hint="eastAsia"/>
                <w:spacing w:val="-8"/>
                <w:sz w:val="22"/>
                <w:szCs w:val="22"/>
              </w:rPr>
              <w:t xml:space="preserve"> 主机能够提供报警。</w:t>
            </w:r>
          </w:p>
          <w:p>
            <w:pPr>
              <w:pStyle w:val="117"/>
              <w:spacing w:before="2" w:line="304" w:lineRule="auto"/>
              <w:ind w:left="108" w:right="111"/>
              <w:rPr>
                <w:rFonts w:hint="eastAsia"/>
                <w:sz w:val="22"/>
                <w:szCs w:val="22"/>
              </w:rPr>
            </w:pPr>
            <w:r>
              <w:rPr>
                <w:rFonts w:hint="eastAsia"/>
                <w:sz w:val="22"/>
                <w:szCs w:val="22"/>
              </w:rPr>
              <w:t>3、当整流器未建立直流母线电压时，电池断路器不能被闭合，保护人员及设备安全。</w:t>
            </w:r>
          </w:p>
          <w:p>
            <w:pPr>
              <w:pStyle w:val="117"/>
              <w:spacing w:before="2"/>
              <w:ind w:left="108"/>
              <w:rPr>
                <w:rFonts w:hint="eastAsia"/>
                <w:sz w:val="22"/>
                <w:szCs w:val="22"/>
                <w:lang w:val="en-US"/>
              </w:rPr>
            </w:pPr>
            <w:r>
              <w:rPr>
                <w:rFonts w:hint="eastAsia"/>
                <w:sz w:val="22"/>
                <w:szCs w:val="22"/>
              </w:rPr>
              <w:t>4、当电池放电终止时，断路器应能自动断开，以避免蓄电池组因过放电而损坏。</w:t>
            </w:r>
          </w:p>
        </w:tc>
        <w:tc>
          <w:tcPr>
            <w:tcW w:w="850" w:type="dxa"/>
            <w:noWrap w:val="0"/>
            <w:vAlign w:val="center"/>
          </w:tcPr>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r>
              <w:rPr>
                <w:rFonts w:hint="eastAsia"/>
                <w:w w:val="99"/>
                <w:sz w:val="22"/>
                <w:szCs w:val="22"/>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w w:val="99"/>
                <w:sz w:val="22"/>
                <w:szCs w:val="22"/>
              </w:rPr>
              <w:t>4</w:t>
            </w:r>
          </w:p>
        </w:tc>
        <w:tc>
          <w:tcPr>
            <w:tcW w:w="1380" w:type="dxa"/>
            <w:noWrap w:val="0"/>
            <w:vAlign w:val="center"/>
          </w:tcPr>
          <w:p>
            <w:pPr>
              <w:pStyle w:val="117"/>
              <w:spacing w:before="161"/>
              <w:ind w:right="78"/>
              <w:jc w:val="center"/>
              <w:rPr>
                <w:rFonts w:hint="eastAsia"/>
                <w:sz w:val="22"/>
                <w:szCs w:val="22"/>
              </w:rPr>
            </w:pPr>
            <w:r>
              <w:rPr>
                <w:rFonts w:hint="eastAsia"/>
                <w:sz w:val="22"/>
                <w:szCs w:val="22"/>
              </w:rPr>
              <w:t>电池</w:t>
            </w:r>
          </w:p>
        </w:tc>
        <w:tc>
          <w:tcPr>
            <w:tcW w:w="6010" w:type="dxa"/>
            <w:noWrap w:val="0"/>
            <w:vAlign w:val="center"/>
          </w:tcPr>
          <w:p>
            <w:pPr>
              <w:pStyle w:val="117"/>
              <w:spacing w:before="37"/>
              <w:ind w:left="108"/>
              <w:rPr>
                <w:rFonts w:hint="eastAsia"/>
                <w:sz w:val="22"/>
                <w:szCs w:val="22"/>
              </w:rPr>
            </w:pPr>
            <w:r>
              <w:rPr>
                <w:rFonts w:hint="eastAsia"/>
                <w:sz w:val="22"/>
                <w:szCs w:val="22"/>
              </w:rPr>
              <w:t>1、12V200AH 铅酸阀控蓄电池</w:t>
            </w:r>
          </w:p>
          <w:p>
            <w:pPr>
              <w:pStyle w:val="117"/>
              <w:spacing w:before="70" w:line="304" w:lineRule="auto"/>
              <w:ind w:left="108" w:right="111"/>
              <w:rPr>
                <w:rFonts w:hint="eastAsia"/>
                <w:sz w:val="22"/>
                <w:szCs w:val="22"/>
              </w:rPr>
            </w:pPr>
            <w:r>
              <w:rPr>
                <w:rFonts w:hint="eastAsia"/>
                <w:sz w:val="22"/>
                <w:szCs w:val="22"/>
              </w:rPr>
              <w:t>2、防酸雾性能：蓄电池在正常浮充工作中应无酸雾逸出。</w:t>
            </w:r>
          </w:p>
          <w:p>
            <w:pPr>
              <w:pStyle w:val="117"/>
              <w:spacing w:before="2"/>
              <w:ind w:left="108"/>
              <w:rPr>
                <w:rFonts w:hint="eastAsia"/>
                <w:sz w:val="22"/>
                <w:szCs w:val="22"/>
              </w:rPr>
            </w:pPr>
            <w:r>
              <w:rPr>
                <w:rFonts w:hint="eastAsia"/>
                <w:sz w:val="22"/>
                <w:szCs w:val="22"/>
              </w:rPr>
              <w:t>3、安全阀：安全阀应具有自动开启和自动关闭的功能。</w:t>
            </w:r>
          </w:p>
          <w:p>
            <w:pPr>
              <w:pStyle w:val="117"/>
              <w:spacing w:before="35"/>
              <w:ind w:left="109"/>
              <w:rPr>
                <w:rFonts w:hint="eastAsia"/>
                <w:sz w:val="22"/>
                <w:szCs w:val="22"/>
              </w:rPr>
            </w:pPr>
            <w:r>
              <w:rPr>
                <w:rFonts w:hint="eastAsia"/>
                <w:sz w:val="22"/>
                <w:szCs w:val="22"/>
              </w:rPr>
              <w:t>4、气密性：蓄电池应能承受 50kPa 的正压或负压而不破裂、不开胶，压力释放后壳体无残余变形。</w:t>
            </w:r>
          </w:p>
        </w:tc>
        <w:tc>
          <w:tcPr>
            <w:tcW w:w="850" w:type="dxa"/>
            <w:noWrap w:val="0"/>
            <w:vAlign w:val="center"/>
          </w:tcPr>
          <w:p>
            <w:pPr>
              <w:pStyle w:val="117"/>
              <w:jc w:val="center"/>
              <w:rPr>
                <w:rFonts w:hint="eastAsia"/>
                <w:sz w:val="22"/>
                <w:szCs w:val="22"/>
              </w:rPr>
            </w:pPr>
            <w:r>
              <w:rPr>
                <w:rFonts w:hint="eastAsia"/>
                <w:w w:val="99"/>
                <w:sz w:val="22"/>
                <w:szCs w:val="22"/>
              </w:rPr>
              <w:t>节</w:t>
            </w:r>
          </w:p>
        </w:tc>
        <w:tc>
          <w:tcPr>
            <w:tcW w:w="650" w:type="dxa"/>
            <w:noWrap w:val="0"/>
            <w:vAlign w:val="center"/>
          </w:tcPr>
          <w:p>
            <w:pPr>
              <w:pStyle w:val="117"/>
              <w:ind w:right="110"/>
              <w:jc w:val="center"/>
              <w:rPr>
                <w:rFonts w:hint="eastAsia"/>
                <w:sz w:val="22"/>
                <w:szCs w:val="22"/>
              </w:rPr>
            </w:pPr>
            <w:r>
              <w:rPr>
                <w:rFonts w:hint="eastAsia"/>
                <w:sz w:val="22"/>
                <w:szCs w:val="22"/>
              </w:rPr>
              <w:t>256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5</w:t>
            </w:r>
          </w:p>
        </w:tc>
        <w:tc>
          <w:tcPr>
            <w:tcW w:w="1380" w:type="dxa"/>
            <w:noWrap w:val="0"/>
            <w:vAlign w:val="center"/>
          </w:tcPr>
          <w:p>
            <w:pPr>
              <w:pStyle w:val="117"/>
              <w:spacing w:before="49"/>
              <w:ind w:right="78"/>
              <w:jc w:val="center"/>
              <w:rPr>
                <w:rFonts w:hint="eastAsia"/>
                <w:sz w:val="22"/>
                <w:szCs w:val="22"/>
              </w:rPr>
            </w:pPr>
            <w:r>
              <w:rPr>
                <w:rFonts w:hint="eastAsia"/>
                <w:sz w:val="22"/>
                <w:szCs w:val="22"/>
              </w:rPr>
              <w:t>电池连线</w:t>
            </w:r>
          </w:p>
        </w:tc>
        <w:tc>
          <w:tcPr>
            <w:tcW w:w="6010" w:type="dxa"/>
            <w:noWrap w:val="0"/>
            <w:vAlign w:val="center"/>
          </w:tcPr>
          <w:p>
            <w:pPr>
              <w:pStyle w:val="117"/>
              <w:spacing w:before="49"/>
              <w:ind w:left="108"/>
              <w:rPr>
                <w:rFonts w:hint="eastAsia"/>
                <w:sz w:val="22"/>
                <w:szCs w:val="22"/>
              </w:rPr>
            </w:pPr>
            <w:r>
              <w:rPr>
                <w:rFonts w:hint="eastAsia"/>
                <w:sz w:val="22"/>
                <w:szCs w:val="22"/>
              </w:rPr>
              <w:t>电池连线</w:t>
            </w:r>
          </w:p>
        </w:tc>
        <w:tc>
          <w:tcPr>
            <w:tcW w:w="850" w:type="dxa"/>
            <w:noWrap w:val="0"/>
            <w:vAlign w:val="center"/>
          </w:tcPr>
          <w:p>
            <w:pPr>
              <w:pStyle w:val="117"/>
              <w:jc w:val="center"/>
              <w:rPr>
                <w:rFonts w:hint="eastAsia"/>
                <w:sz w:val="22"/>
                <w:szCs w:val="22"/>
              </w:rPr>
            </w:pPr>
            <w:r>
              <w:rPr>
                <w:rFonts w:hint="eastAsia"/>
                <w:w w:val="99"/>
                <w:sz w:val="22"/>
                <w:szCs w:val="22"/>
              </w:rPr>
              <w:t>跟</w:t>
            </w:r>
          </w:p>
        </w:tc>
        <w:tc>
          <w:tcPr>
            <w:tcW w:w="650" w:type="dxa"/>
            <w:noWrap w:val="0"/>
            <w:vAlign w:val="center"/>
          </w:tcPr>
          <w:p>
            <w:pPr>
              <w:pStyle w:val="117"/>
              <w:jc w:val="center"/>
              <w:rPr>
                <w:rFonts w:hint="eastAsia"/>
                <w:sz w:val="22"/>
                <w:szCs w:val="22"/>
              </w:rPr>
            </w:pPr>
            <w:r>
              <w:rPr>
                <w:rFonts w:hint="eastAsia"/>
                <w:sz w:val="22"/>
                <w:szCs w:val="22"/>
              </w:rPr>
              <w:t>256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6</w:t>
            </w:r>
          </w:p>
        </w:tc>
        <w:tc>
          <w:tcPr>
            <w:tcW w:w="1380" w:type="dxa"/>
            <w:noWrap w:val="0"/>
            <w:vAlign w:val="center"/>
          </w:tcPr>
          <w:p>
            <w:pPr>
              <w:pStyle w:val="117"/>
              <w:spacing w:before="49"/>
              <w:ind w:right="76"/>
              <w:jc w:val="center"/>
              <w:rPr>
                <w:rFonts w:hint="eastAsia"/>
                <w:sz w:val="22"/>
                <w:szCs w:val="22"/>
              </w:rPr>
            </w:pPr>
            <w:r>
              <w:rPr>
                <w:rFonts w:hint="eastAsia"/>
                <w:sz w:val="22"/>
                <w:szCs w:val="22"/>
              </w:rPr>
              <w:t>电池架</w:t>
            </w:r>
          </w:p>
        </w:tc>
        <w:tc>
          <w:tcPr>
            <w:tcW w:w="6010" w:type="dxa"/>
            <w:noWrap w:val="0"/>
            <w:vAlign w:val="center"/>
          </w:tcPr>
          <w:p>
            <w:pPr>
              <w:pStyle w:val="117"/>
              <w:tabs>
                <w:tab w:val="left" w:pos="708"/>
              </w:tabs>
              <w:spacing w:before="49"/>
              <w:ind w:left="108"/>
              <w:rPr>
                <w:rFonts w:hint="eastAsia"/>
                <w:sz w:val="22"/>
                <w:szCs w:val="22"/>
              </w:rPr>
            </w:pPr>
            <w:r>
              <w:rPr>
                <w:rFonts w:hint="eastAsia"/>
                <w:sz w:val="22"/>
                <w:szCs w:val="22"/>
              </w:rPr>
              <w:t>定制</w:t>
            </w:r>
            <w:r>
              <w:rPr>
                <w:rFonts w:hint="eastAsia"/>
                <w:sz w:val="22"/>
                <w:szCs w:val="22"/>
              </w:rPr>
              <w:tab/>
            </w:r>
            <w:r>
              <w:rPr>
                <w:rFonts w:hint="eastAsia"/>
                <w:sz w:val="22"/>
                <w:szCs w:val="22"/>
              </w:rPr>
              <w:t>（2</w:t>
            </w:r>
            <w:r>
              <w:rPr>
                <w:rFonts w:hint="eastAsia"/>
                <w:spacing w:val="-50"/>
                <w:sz w:val="22"/>
                <w:szCs w:val="22"/>
              </w:rPr>
              <w:t xml:space="preserve"> </w:t>
            </w:r>
            <w:r>
              <w:rPr>
                <w:rFonts w:hint="eastAsia"/>
                <w:sz w:val="22"/>
                <w:szCs w:val="22"/>
              </w:rPr>
              <w:t>层电池架 16</w:t>
            </w:r>
            <w:r>
              <w:rPr>
                <w:rFonts w:hint="eastAsia"/>
                <w:spacing w:val="-49"/>
                <w:sz w:val="22"/>
                <w:szCs w:val="22"/>
              </w:rPr>
              <w:t xml:space="preserve"> </w:t>
            </w:r>
            <w:r>
              <w:rPr>
                <w:rFonts w:hint="eastAsia"/>
                <w:sz w:val="22"/>
                <w:szCs w:val="22"/>
              </w:rPr>
              <w:t>节）</w:t>
            </w:r>
          </w:p>
        </w:tc>
        <w:tc>
          <w:tcPr>
            <w:tcW w:w="850" w:type="dxa"/>
            <w:noWrap w:val="0"/>
            <w:vAlign w:val="center"/>
          </w:tcPr>
          <w:p>
            <w:pPr>
              <w:pStyle w:val="117"/>
              <w:jc w:val="center"/>
              <w:rPr>
                <w:rFonts w:hint="eastAsia"/>
                <w:sz w:val="22"/>
                <w:szCs w:val="22"/>
              </w:rPr>
            </w:pPr>
            <w:r>
              <w:rPr>
                <w:rFonts w:hint="eastAsia"/>
                <w:w w:val="99"/>
                <w:sz w:val="22"/>
                <w:szCs w:val="22"/>
              </w:rPr>
              <w:t>个</w:t>
            </w:r>
          </w:p>
        </w:tc>
        <w:tc>
          <w:tcPr>
            <w:tcW w:w="650" w:type="dxa"/>
            <w:noWrap w:val="0"/>
            <w:vAlign w:val="center"/>
          </w:tcPr>
          <w:p>
            <w:pPr>
              <w:pStyle w:val="117"/>
              <w:jc w:val="center"/>
              <w:rPr>
                <w:rFonts w:hint="eastAsia"/>
                <w:sz w:val="22"/>
                <w:szCs w:val="22"/>
              </w:rPr>
            </w:pPr>
            <w:r>
              <w:rPr>
                <w:rFonts w:hint="eastAsia"/>
                <w:sz w:val="22"/>
                <w:szCs w:val="22"/>
              </w:rPr>
              <w:t>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7</w:t>
            </w:r>
          </w:p>
        </w:tc>
        <w:tc>
          <w:tcPr>
            <w:tcW w:w="1380" w:type="dxa"/>
            <w:noWrap w:val="0"/>
            <w:vAlign w:val="center"/>
          </w:tcPr>
          <w:p>
            <w:pPr>
              <w:pStyle w:val="117"/>
              <w:spacing w:before="49"/>
              <w:ind w:right="78"/>
              <w:jc w:val="center"/>
              <w:rPr>
                <w:rFonts w:hint="eastAsia"/>
                <w:sz w:val="22"/>
                <w:szCs w:val="22"/>
              </w:rPr>
            </w:pPr>
            <w:r>
              <w:rPr>
                <w:rFonts w:hint="eastAsia"/>
                <w:sz w:val="22"/>
                <w:szCs w:val="22"/>
              </w:rPr>
              <w:t>电池组直流空开</w:t>
            </w:r>
          </w:p>
        </w:tc>
        <w:tc>
          <w:tcPr>
            <w:tcW w:w="6010" w:type="dxa"/>
            <w:noWrap w:val="0"/>
            <w:vAlign w:val="center"/>
          </w:tcPr>
          <w:p>
            <w:pPr>
              <w:pStyle w:val="117"/>
              <w:spacing w:before="49"/>
              <w:ind w:left="108"/>
              <w:rPr>
                <w:rFonts w:hint="eastAsia"/>
                <w:sz w:val="22"/>
                <w:szCs w:val="22"/>
              </w:rPr>
            </w:pPr>
            <w:r>
              <w:rPr>
                <w:rFonts w:hint="eastAsia"/>
                <w:sz w:val="22"/>
                <w:szCs w:val="22"/>
              </w:rPr>
              <w:t>电池组直流空开</w:t>
            </w:r>
          </w:p>
        </w:tc>
        <w:tc>
          <w:tcPr>
            <w:tcW w:w="850" w:type="dxa"/>
            <w:noWrap w:val="0"/>
            <w:vAlign w:val="center"/>
          </w:tcPr>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r>
              <w:rPr>
                <w:rFonts w:hint="eastAsia"/>
                <w:w w:val="99"/>
                <w:sz w:val="22"/>
                <w:szCs w:val="22"/>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8</w:t>
            </w:r>
          </w:p>
        </w:tc>
        <w:tc>
          <w:tcPr>
            <w:tcW w:w="1380" w:type="dxa"/>
            <w:noWrap w:val="0"/>
            <w:vAlign w:val="center"/>
          </w:tcPr>
          <w:p>
            <w:pPr>
              <w:pStyle w:val="117"/>
              <w:spacing w:before="49"/>
              <w:ind w:right="76"/>
              <w:jc w:val="center"/>
              <w:rPr>
                <w:rFonts w:hint="eastAsia"/>
                <w:sz w:val="22"/>
                <w:szCs w:val="22"/>
              </w:rPr>
            </w:pPr>
            <w:r>
              <w:rPr>
                <w:rFonts w:hint="eastAsia"/>
                <w:sz w:val="22"/>
                <w:szCs w:val="22"/>
              </w:rPr>
              <w:t>电池连接总线</w:t>
            </w:r>
          </w:p>
        </w:tc>
        <w:tc>
          <w:tcPr>
            <w:tcW w:w="6010" w:type="dxa"/>
            <w:noWrap w:val="0"/>
            <w:vAlign w:val="center"/>
          </w:tcPr>
          <w:p>
            <w:pPr>
              <w:pStyle w:val="117"/>
              <w:spacing w:before="49"/>
              <w:ind w:left="108"/>
              <w:rPr>
                <w:rFonts w:hint="eastAsia"/>
                <w:sz w:val="22"/>
                <w:szCs w:val="22"/>
              </w:rPr>
            </w:pPr>
            <w:r>
              <w:rPr>
                <w:rFonts w:hint="eastAsia"/>
                <w:sz w:val="22"/>
                <w:szCs w:val="22"/>
              </w:rPr>
              <w:t>电池连接总线 3* BVR 120</w:t>
            </w:r>
          </w:p>
        </w:tc>
        <w:tc>
          <w:tcPr>
            <w:tcW w:w="850" w:type="dxa"/>
            <w:noWrap w:val="0"/>
            <w:vAlign w:val="center"/>
          </w:tcPr>
          <w:p>
            <w:pPr>
              <w:pStyle w:val="117"/>
              <w:jc w:val="center"/>
              <w:rPr>
                <w:rFonts w:hint="eastAsia"/>
                <w:sz w:val="22"/>
                <w:szCs w:val="22"/>
              </w:rPr>
            </w:pPr>
            <w:r>
              <w:rPr>
                <w:rFonts w:hint="eastAsia"/>
                <w:w w:val="99"/>
                <w:sz w:val="22"/>
                <w:szCs w:val="22"/>
              </w:rPr>
              <w:t>米</w:t>
            </w:r>
          </w:p>
        </w:tc>
        <w:tc>
          <w:tcPr>
            <w:tcW w:w="650" w:type="dxa"/>
            <w:noWrap w:val="0"/>
            <w:vAlign w:val="center"/>
          </w:tcPr>
          <w:p>
            <w:pPr>
              <w:pStyle w:val="117"/>
              <w:jc w:val="center"/>
              <w:rPr>
                <w:rFonts w:hint="eastAsia"/>
                <w:sz w:val="22"/>
                <w:szCs w:val="22"/>
              </w:rPr>
            </w:pPr>
            <w:r>
              <w:rPr>
                <w:rFonts w:hint="eastAsia"/>
                <w:sz w:val="22"/>
                <w:szCs w:val="22"/>
              </w:rPr>
              <w:t>120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9518" w:type="dxa"/>
            <w:gridSpan w:val="5"/>
            <w:noWrap w:val="0"/>
            <w:vAlign w:val="center"/>
          </w:tcPr>
          <w:p>
            <w:pPr>
              <w:pStyle w:val="117"/>
              <w:jc w:val="center"/>
              <w:rPr>
                <w:rFonts w:hint="eastAsia"/>
                <w:b/>
                <w:sz w:val="22"/>
                <w:szCs w:val="22"/>
              </w:rPr>
            </w:pPr>
            <w:r>
              <w:rPr>
                <w:rFonts w:hint="eastAsia"/>
                <w:b/>
                <w:sz w:val="22"/>
                <w:szCs w:val="22"/>
              </w:rPr>
              <w:t>3）行间空调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1</w:t>
            </w:r>
          </w:p>
        </w:tc>
        <w:tc>
          <w:tcPr>
            <w:tcW w:w="1380" w:type="dxa"/>
            <w:noWrap w:val="0"/>
            <w:vAlign w:val="center"/>
          </w:tcPr>
          <w:p>
            <w:pPr>
              <w:pStyle w:val="117"/>
              <w:ind w:right="78"/>
              <w:jc w:val="center"/>
              <w:rPr>
                <w:rFonts w:hint="eastAsia"/>
                <w:sz w:val="22"/>
                <w:szCs w:val="22"/>
              </w:rPr>
            </w:pPr>
            <w:r>
              <w:rPr>
                <w:rFonts w:hint="eastAsia"/>
                <w:sz w:val="22"/>
                <w:szCs w:val="22"/>
              </w:rPr>
              <w:t>空调室内机</w:t>
            </w:r>
          </w:p>
        </w:tc>
        <w:tc>
          <w:tcPr>
            <w:tcW w:w="6010" w:type="dxa"/>
            <w:noWrap w:val="0"/>
            <w:vAlign w:val="center"/>
          </w:tcPr>
          <w:p>
            <w:pPr>
              <w:pStyle w:val="117"/>
              <w:spacing w:before="37"/>
              <w:ind w:left="109"/>
              <w:rPr>
                <w:rFonts w:hint="eastAsia"/>
                <w:sz w:val="22"/>
                <w:szCs w:val="22"/>
              </w:rPr>
            </w:pPr>
            <w:r>
              <w:rPr>
                <w:rFonts w:hint="eastAsia"/>
                <w:sz w:val="22"/>
                <w:szCs w:val="22"/>
              </w:rPr>
              <w:t>1、风冷行级精密空调，制冷量：≥30kw；风量：≥5500m³/h；加热量：≥3kw；加湿量：≥1.5kg/h；电源：380Vac/50～60Hz ；室内机尺寸：高*宽*深：≤2000×300×1100mm；不得采用 OEM 产品。</w:t>
            </w:r>
          </w:p>
          <w:p>
            <w:pPr>
              <w:pStyle w:val="117"/>
              <w:spacing w:before="70" w:line="304" w:lineRule="auto"/>
              <w:ind w:left="109" w:right="161"/>
              <w:rPr>
                <w:rFonts w:hint="eastAsia"/>
                <w:sz w:val="22"/>
                <w:szCs w:val="22"/>
              </w:rPr>
            </w:pPr>
            <w:r>
              <w:rPr>
                <w:rFonts w:hint="eastAsia"/>
                <w:sz w:val="22"/>
                <w:szCs w:val="22"/>
              </w:rPr>
              <w:t>2</w:t>
            </w:r>
            <w:r>
              <w:rPr>
                <w:rFonts w:hint="eastAsia"/>
                <w:spacing w:val="-3"/>
                <w:sz w:val="22"/>
                <w:szCs w:val="22"/>
              </w:rPr>
              <w:t xml:space="preserve">、列间空调系统应标准配置采用环保制冷剂 </w:t>
            </w:r>
            <w:r>
              <w:rPr>
                <w:rFonts w:hint="eastAsia"/>
                <w:sz w:val="22"/>
                <w:szCs w:val="22"/>
              </w:rPr>
              <w:t>R410A</w:t>
            </w:r>
            <w:r>
              <w:rPr>
                <w:rFonts w:hint="eastAsia"/>
                <w:spacing w:val="-6"/>
                <w:sz w:val="22"/>
                <w:szCs w:val="22"/>
              </w:rPr>
              <w:t>。不得</w:t>
            </w:r>
            <w:r>
              <w:rPr>
                <w:rFonts w:hint="eastAsia"/>
                <w:spacing w:val="-17"/>
                <w:sz w:val="22"/>
                <w:szCs w:val="22"/>
              </w:rPr>
              <w:t xml:space="preserve">采用 </w:t>
            </w:r>
            <w:r>
              <w:rPr>
                <w:rFonts w:hint="eastAsia"/>
                <w:sz w:val="22"/>
                <w:szCs w:val="22"/>
              </w:rPr>
              <w:t>R22</w:t>
            </w:r>
            <w:r>
              <w:rPr>
                <w:rFonts w:hint="eastAsia"/>
                <w:spacing w:val="-34"/>
                <w:sz w:val="22"/>
                <w:szCs w:val="22"/>
              </w:rPr>
              <w:t xml:space="preserve"> 或 </w:t>
            </w:r>
            <w:r>
              <w:rPr>
                <w:rFonts w:hint="eastAsia"/>
                <w:sz w:val="22"/>
                <w:szCs w:val="22"/>
              </w:rPr>
              <w:t>R407C</w:t>
            </w:r>
            <w:r>
              <w:rPr>
                <w:rFonts w:hint="eastAsia"/>
                <w:spacing w:val="-13"/>
                <w:sz w:val="22"/>
                <w:szCs w:val="22"/>
              </w:rPr>
              <w:t xml:space="preserve"> 冷媒。</w:t>
            </w:r>
          </w:p>
          <w:p>
            <w:pPr>
              <w:pStyle w:val="117"/>
              <w:spacing w:before="2" w:line="304" w:lineRule="auto"/>
              <w:ind w:left="109" w:right="111"/>
              <w:rPr>
                <w:rFonts w:hint="eastAsia"/>
                <w:color w:val="000000"/>
                <w:sz w:val="22"/>
                <w:szCs w:val="22"/>
              </w:rPr>
            </w:pPr>
            <w:r>
              <w:rPr>
                <w:rFonts w:hint="eastAsia"/>
                <w:color w:val="000000"/>
                <w:sz w:val="22"/>
                <w:szCs w:val="22"/>
              </w:rPr>
              <w:t>3</w:t>
            </w:r>
            <w:r>
              <w:rPr>
                <w:rFonts w:hint="eastAsia"/>
                <w:color w:val="000000"/>
                <w:spacing w:val="-1"/>
                <w:sz w:val="22"/>
                <w:szCs w:val="22"/>
              </w:rPr>
              <w:t>、列间空调应具有高效节能性，压缩机采用变频涡旋压缩</w:t>
            </w:r>
            <w:r>
              <w:rPr>
                <w:rFonts w:hint="eastAsia"/>
                <w:color w:val="000000"/>
                <w:spacing w:val="-3"/>
                <w:sz w:val="22"/>
                <w:szCs w:val="22"/>
              </w:rPr>
              <w:t xml:space="preserve">技术，具有较高的能效比，且冷量输出可实现 </w:t>
            </w:r>
            <w:r>
              <w:rPr>
                <w:rFonts w:hint="eastAsia"/>
                <w:color w:val="000000"/>
                <w:sz w:val="22"/>
                <w:szCs w:val="22"/>
              </w:rPr>
              <w:t>20%-100%连</w:t>
            </w:r>
            <w:r>
              <w:rPr>
                <w:rFonts w:hint="eastAsia"/>
                <w:color w:val="000000"/>
                <w:spacing w:val="-4"/>
                <w:sz w:val="22"/>
                <w:szCs w:val="22"/>
              </w:rPr>
              <w:t xml:space="preserve">续调节。采用成熟稳定可靠的谷轮 </w:t>
            </w:r>
            <w:r>
              <w:rPr>
                <w:rFonts w:hint="eastAsia"/>
                <w:color w:val="000000"/>
                <w:sz w:val="22"/>
                <w:szCs w:val="22"/>
              </w:rPr>
              <w:t>COPELAND</w:t>
            </w:r>
            <w:r>
              <w:rPr>
                <w:rFonts w:hint="eastAsia"/>
                <w:color w:val="000000"/>
                <w:spacing w:val="-11"/>
                <w:sz w:val="22"/>
                <w:szCs w:val="22"/>
              </w:rPr>
              <w:t xml:space="preserve"> 涡旋压缩机。</w:t>
            </w:r>
          </w:p>
          <w:p>
            <w:pPr>
              <w:pStyle w:val="117"/>
              <w:spacing w:before="2" w:line="304" w:lineRule="auto"/>
              <w:ind w:left="109" w:right="171"/>
              <w:rPr>
                <w:rFonts w:hint="eastAsia"/>
                <w:sz w:val="22"/>
                <w:szCs w:val="22"/>
              </w:rPr>
            </w:pPr>
            <w:r>
              <w:rPr>
                <w:rFonts w:hint="eastAsia"/>
                <w:sz w:val="22"/>
                <w:szCs w:val="22"/>
              </w:rPr>
              <w:t>4、机组应有节能措施的设计，整机能效比≥3.5，提供同系列机组第三方报告。</w:t>
            </w:r>
          </w:p>
          <w:p>
            <w:pPr>
              <w:pStyle w:val="117"/>
              <w:spacing w:before="2" w:line="302" w:lineRule="auto"/>
              <w:ind w:left="109" w:right="111"/>
              <w:rPr>
                <w:rFonts w:hint="eastAsia"/>
                <w:sz w:val="22"/>
                <w:szCs w:val="22"/>
              </w:rPr>
            </w:pPr>
            <w:r>
              <w:rPr>
                <w:rFonts w:hint="eastAsia"/>
                <w:sz w:val="22"/>
                <w:szCs w:val="22"/>
              </w:rPr>
              <w:t>5</w:t>
            </w:r>
            <w:r>
              <w:rPr>
                <w:rFonts w:hint="eastAsia"/>
                <w:spacing w:val="-5"/>
                <w:sz w:val="22"/>
                <w:szCs w:val="22"/>
              </w:rPr>
              <w:t xml:space="preserve">、应选用高效内螺纹大面积 </w:t>
            </w:r>
            <w:r>
              <w:rPr>
                <w:rFonts w:hint="eastAsia"/>
                <w:sz w:val="22"/>
                <w:szCs w:val="22"/>
              </w:rPr>
              <w:t>V</w:t>
            </w:r>
            <w:r>
              <w:rPr>
                <w:rFonts w:hint="eastAsia"/>
                <w:spacing w:val="-9"/>
                <w:sz w:val="22"/>
                <w:szCs w:val="22"/>
              </w:rPr>
              <w:t xml:space="preserve"> 型蒸发器，提高换热面积，</w:t>
            </w:r>
            <w:r>
              <w:rPr>
                <w:rFonts w:hint="eastAsia"/>
                <w:sz w:val="22"/>
                <w:szCs w:val="22"/>
              </w:rPr>
              <w:t>保障换热效率。</w:t>
            </w:r>
          </w:p>
          <w:p>
            <w:pPr>
              <w:pStyle w:val="117"/>
              <w:spacing w:before="4"/>
              <w:ind w:left="109"/>
              <w:rPr>
                <w:rFonts w:hint="eastAsia"/>
                <w:sz w:val="22"/>
                <w:szCs w:val="22"/>
              </w:rPr>
            </w:pPr>
            <w:r>
              <w:rPr>
                <w:rFonts w:hint="eastAsia"/>
                <w:sz w:val="22"/>
                <w:szCs w:val="22"/>
              </w:rPr>
              <w:t>6、机组的室内风机系统，为保障其可靠性，应包括 6 个EC</w:t>
            </w:r>
            <w:r>
              <w:rPr>
                <w:rFonts w:hint="eastAsia"/>
                <w:spacing w:val="-14"/>
                <w:sz w:val="22"/>
                <w:szCs w:val="22"/>
              </w:rPr>
              <w:t xml:space="preserve"> 风机，</w:t>
            </w:r>
            <w:r>
              <w:rPr>
                <w:rFonts w:hint="eastAsia"/>
                <w:sz w:val="22"/>
                <w:szCs w:val="22"/>
              </w:rPr>
              <w:t>EC</w:t>
            </w:r>
            <w:r>
              <w:rPr>
                <w:rFonts w:hint="eastAsia"/>
                <w:spacing w:val="-13"/>
                <w:sz w:val="22"/>
                <w:szCs w:val="22"/>
              </w:rPr>
              <w:t xml:space="preserve"> 风机采用不少于 </w:t>
            </w:r>
            <w:r>
              <w:rPr>
                <w:rFonts w:hint="eastAsia"/>
                <w:sz w:val="22"/>
                <w:szCs w:val="22"/>
              </w:rPr>
              <w:t>2</w:t>
            </w:r>
            <w:r>
              <w:rPr>
                <w:rFonts w:hint="eastAsia"/>
                <w:spacing w:val="-9"/>
                <w:sz w:val="22"/>
                <w:szCs w:val="22"/>
              </w:rPr>
              <w:t xml:space="preserve"> 个直流电源模块提供稳定可</w:t>
            </w:r>
            <w:r>
              <w:rPr>
                <w:rFonts w:hint="eastAsia"/>
                <w:sz w:val="22"/>
                <w:szCs w:val="22"/>
              </w:rPr>
              <w:t>靠供电。</w:t>
            </w:r>
          </w:p>
          <w:p>
            <w:pPr>
              <w:pStyle w:val="117"/>
              <w:spacing w:before="35" w:line="304" w:lineRule="auto"/>
              <w:ind w:left="109" w:right="209"/>
              <w:rPr>
                <w:rFonts w:hint="eastAsia"/>
                <w:sz w:val="22"/>
                <w:szCs w:val="22"/>
              </w:rPr>
            </w:pPr>
            <w:r>
              <w:rPr>
                <w:rFonts w:hint="eastAsia"/>
                <w:sz w:val="22"/>
                <w:szCs w:val="22"/>
              </w:rPr>
              <w:t>7、结构工艺：部件排列合理、整齐；导线颜色和截面合</w:t>
            </w:r>
            <w:r>
              <w:rPr>
                <w:rFonts w:hint="eastAsia"/>
                <w:spacing w:val="-1"/>
                <w:sz w:val="22"/>
                <w:szCs w:val="22"/>
              </w:rPr>
              <w:t>理，布放平整；接插件牢固；进出线符合工程需要；具备</w:t>
            </w:r>
            <w:r>
              <w:rPr>
                <w:rFonts w:hint="eastAsia"/>
                <w:spacing w:val="-5"/>
                <w:sz w:val="22"/>
                <w:szCs w:val="22"/>
              </w:rPr>
              <w:t xml:space="preserve">抗震措施，抗震不低于 </w:t>
            </w:r>
            <w:r>
              <w:rPr>
                <w:rFonts w:hint="eastAsia"/>
                <w:sz w:val="22"/>
                <w:szCs w:val="22"/>
              </w:rPr>
              <w:t>9</w:t>
            </w:r>
            <w:r>
              <w:rPr>
                <w:rFonts w:hint="eastAsia"/>
                <w:spacing w:val="-9"/>
                <w:sz w:val="22"/>
                <w:szCs w:val="22"/>
              </w:rPr>
              <w:t xml:space="preserve"> 级烈度，提供同系列产品权威第</w:t>
            </w:r>
            <w:r>
              <w:rPr>
                <w:rFonts w:hint="eastAsia"/>
                <w:sz w:val="22"/>
                <w:szCs w:val="22"/>
              </w:rPr>
              <w:t>三方抗震检测报告。</w:t>
            </w:r>
          </w:p>
          <w:p>
            <w:pPr>
              <w:pStyle w:val="117"/>
              <w:spacing w:before="1" w:line="304" w:lineRule="auto"/>
              <w:ind w:left="109" w:right="209"/>
              <w:rPr>
                <w:rFonts w:hint="eastAsia"/>
                <w:sz w:val="22"/>
                <w:szCs w:val="22"/>
              </w:rPr>
            </w:pPr>
            <w:r>
              <w:rPr>
                <w:rFonts w:hint="eastAsia"/>
                <w:sz w:val="22"/>
                <w:szCs w:val="22"/>
              </w:rPr>
              <w:t>8</w:t>
            </w:r>
            <w:r>
              <w:rPr>
                <w:rFonts w:hint="eastAsia"/>
                <w:spacing w:val="-13"/>
                <w:sz w:val="22"/>
                <w:szCs w:val="22"/>
              </w:rPr>
              <w:t xml:space="preserve">、具有 </w:t>
            </w:r>
            <w:r>
              <w:rPr>
                <w:rFonts w:hint="eastAsia"/>
                <w:sz w:val="22"/>
                <w:szCs w:val="22"/>
              </w:rPr>
              <w:t>7</w:t>
            </w:r>
            <w:r>
              <w:rPr>
                <w:rFonts w:hint="eastAsia"/>
                <w:spacing w:val="-34"/>
                <w:sz w:val="22"/>
                <w:szCs w:val="22"/>
              </w:rPr>
              <w:t xml:space="preserve"> 寸 </w:t>
            </w:r>
            <w:r>
              <w:rPr>
                <w:rFonts w:hint="eastAsia"/>
                <w:sz w:val="22"/>
                <w:szCs w:val="22"/>
              </w:rPr>
              <w:t>LCD</w:t>
            </w:r>
            <w:r>
              <w:rPr>
                <w:rFonts w:hint="eastAsia"/>
                <w:spacing w:val="-8"/>
                <w:sz w:val="22"/>
                <w:szCs w:val="22"/>
              </w:rPr>
              <w:t xml:space="preserve"> 大屏幕触摸式显示器，能显示温湿度曲</w:t>
            </w:r>
            <w:r>
              <w:rPr>
                <w:rFonts w:hint="eastAsia"/>
                <w:spacing w:val="-9"/>
                <w:sz w:val="22"/>
                <w:szCs w:val="22"/>
              </w:rPr>
              <w:t>线，具有图形显示机组内各组件的运行状态的功能；应具</w:t>
            </w:r>
            <w:r>
              <w:rPr>
                <w:rFonts w:hint="eastAsia"/>
                <w:spacing w:val="-1"/>
                <w:sz w:val="22"/>
                <w:szCs w:val="22"/>
              </w:rPr>
              <w:t>有大容量的故障报警记录储存的功能，存储历史告警信息</w:t>
            </w:r>
            <w:r>
              <w:rPr>
                <w:rFonts w:hint="eastAsia"/>
                <w:sz w:val="22"/>
                <w:szCs w:val="22"/>
              </w:rPr>
              <w:t>不小于 1000 条。</w:t>
            </w:r>
          </w:p>
        </w:tc>
        <w:tc>
          <w:tcPr>
            <w:tcW w:w="850" w:type="dxa"/>
            <w:noWrap w:val="0"/>
            <w:vAlign w:val="center"/>
          </w:tcPr>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ind w:left="11"/>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ind w:left="13"/>
              <w:jc w:val="center"/>
              <w:rPr>
                <w:rFonts w:hint="eastAsia"/>
                <w:sz w:val="22"/>
                <w:szCs w:val="22"/>
              </w:rPr>
            </w:pPr>
            <w:r>
              <w:rPr>
                <w:rFonts w:hint="eastAsia"/>
                <w:w w:val="99"/>
                <w:sz w:val="22"/>
                <w:szCs w:val="22"/>
              </w:rPr>
              <w:t>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2</w:t>
            </w:r>
          </w:p>
        </w:tc>
        <w:tc>
          <w:tcPr>
            <w:tcW w:w="1380" w:type="dxa"/>
            <w:noWrap w:val="0"/>
            <w:vAlign w:val="center"/>
          </w:tcPr>
          <w:p>
            <w:pPr>
              <w:pStyle w:val="117"/>
              <w:ind w:left="84" w:right="78"/>
              <w:jc w:val="center"/>
              <w:rPr>
                <w:rFonts w:hint="eastAsia"/>
                <w:sz w:val="22"/>
                <w:szCs w:val="22"/>
              </w:rPr>
            </w:pPr>
            <w:r>
              <w:rPr>
                <w:rFonts w:hint="eastAsia"/>
                <w:sz w:val="22"/>
                <w:szCs w:val="22"/>
              </w:rPr>
              <w:t>集中式空调冷凝器</w:t>
            </w:r>
          </w:p>
        </w:tc>
        <w:tc>
          <w:tcPr>
            <w:tcW w:w="6010" w:type="dxa"/>
            <w:noWrap w:val="0"/>
            <w:vAlign w:val="center"/>
          </w:tcPr>
          <w:p>
            <w:pPr>
              <w:pStyle w:val="117"/>
              <w:spacing w:before="35" w:line="304" w:lineRule="auto"/>
              <w:ind w:left="109" w:right="159"/>
              <w:rPr>
                <w:rFonts w:hint="eastAsia"/>
                <w:sz w:val="22"/>
                <w:szCs w:val="22"/>
              </w:rPr>
            </w:pPr>
            <w:r>
              <w:rPr>
                <w:rFonts w:hint="eastAsia"/>
                <w:sz w:val="22"/>
                <w:szCs w:val="22"/>
              </w:rPr>
              <w:t>1、2</w:t>
            </w:r>
            <w:r>
              <w:rPr>
                <w:rFonts w:hint="eastAsia"/>
                <w:spacing w:val="-9"/>
                <w:sz w:val="22"/>
                <w:szCs w:val="22"/>
              </w:rPr>
              <w:t xml:space="preserve"> 台室内机共用一台集中式冷凝器，多台冷凝器可并排</w:t>
            </w:r>
            <w:r>
              <w:rPr>
                <w:rFonts w:hint="eastAsia"/>
                <w:sz w:val="22"/>
                <w:szCs w:val="22"/>
              </w:rPr>
              <w:t>放置，无需间隔，节省室外机占地面积</w:t>
            </w:r>
          </w:p>
          <w:p>
            <w:pPr>
              <w:pStyle w:val="117"/>
              <w:spacing w:line="304" w:lineRule="auto"/>
              <w:ind w:left="109" w:right="111"/>
              <w:rPr>
                <w:rFonts w:hint="eastAsia"/>
                <w:sz w:val="22"/>
                <w:szCs w:val="22"/>
              </w:rPr>
            </w:pPr>
            <w:r>
              <w:rPr>
                <w:rFonts w:hint="eastAsia"/>
                <w:sz w:val="22"/>
                <w:szCs w:val="22"/>
              </w:rPr>
              <w:t>2</w:t>
            </w:r>
            <w:r>
              <w:rPr>
                <w:rFonts w:hint="eastAsia"/>
                <w:spacing w:val="-5"/>
                <w:sz w:val="22"/>
                <w:szCs w:val="22"/>
              </w:rPr>
              <w:t xml:space="preserve">、机房专用空调室外机采用 </w:t>
            </w:r>
            <w:r>
              <w:rPr>
                <w:rFonts w:hint="eastAsia"/>
                <w:sz w:val="22"/>
                <w:szCs w:val="22"/>
              </w:rPr>
              <w:t>V</w:t>
            </w:r>
            <w:r>
              <w:rPr>
                <w:rFonts w:hint="eastAsia"/>
                <w:spacing w:val="-9"/>
                <w:sz w:val="22"/>
                <w:szCs w:val="22"/>
              </w:rPr>
              <w:t xml:space="preserve"> 型盘管，散热效果好，节省</w:t>
            </w:r>
            <w:r>
              <w:rPr>
                <w:rFonts w:hint="eastAsia"/>
                <w:sz w:val="22"/>
                <w:szCs w:val="22"/>
              </w:rPr>
              <w:t>占地面积。</w:t>
            </w:r>
          </w:p>
          <w:p>
            <w:pPr>
              <w:pStyle w:val="117"/>
              <w:spacing w:before="1" w:line="304" w:lineRule="auto"/>
              <w:ind w:left="109" w:right="111"/>
              <w:rPr>
                <w:rFonts w:hint="eastAsia"/>
                <w:sz w:val="22"/>
                <w:szCs w:val="22"/>
              </w:rPr>
            </w:pPr>
            <w:r>
              <w:rPr>
                <w:rFonts w:hint="eastAsia"/>
                <w:sz w:val="22"/>
                <w:szCs w:val="22"/>
              </w:rPr>
              <w:t>3、机房专用空调机组的风冷型室外机应采用变频调速，可根据环境温度自动调节风机转速，具有多种节能模式。</w:t>
            </w:r>
          </w:p>
          <w:p>
            <w:pPr>
              <w:pStyle w:val="117"/>
              <w:spacing w:before="2"/>
              <w:ind w:left="109"/>
              <w:rPr>
                <w:rFonts w:hint="eastAsia"/>
                <w:sz w:val="22"/>
                <w:szCs w:val="22"/>
              </w:rPr>
            </w:pPr>
            <w:r>
              <w:rPr>
                <w:rFonts w:hint="eastAsia"/>
                <w:sz w:val="22"/>
                <w:szCs w:val="22"/>
              </w:rPr>
              <w:t>4、室外机具有集中式冷凝器相关专利技术。</w:t>
            </w:r>
          </w:p>
          <w:p>
            <w:pPr>
              <w:pStyle w:val="117"/>
              <w:spacing w:before="70"/>
              <w:ind w:left="109"/>
              <w:rPr>
                <w:rFonts w:hint="eastAsia"/>
                <w:sz w:val="22"/>
                <w:szCs w:val="22"/>
              </w:rPr>
            </w:pPr>
            <w:r>
              <w:rPr>
                <w:rFonts w:hint="eastAsia"/>
                <w:sz w:val="22"/>
                <w:szCs w:val="22"/>
              </w:rPr>
              <w:t>5、集中式冷凝器配置 D 级以上防雷器。</w:t>
            </w:r>
          </w:p>
        </w:tc>
        <w:tc>
          <w:tcPr>
            <w:tcW w:w="850" w:type="dxa"/>
            <w:noWrap w:val="0"/>
            <w:vAlign w:val="center"/>
          </w:tcPr>
          <w:p>
            <w:pPr>
              <w:pStyle w:val="117"/>
              <w:ind w:left="11"/>
              <w:jc w:val="center"/>
              <w:rPr>
                <w:rFonts w:hint="eastAsia"/>
                <w:sz w:val="22"/>
                <w:szCs w:val="22"/>
              </w:rPr>
            </w:pPr>
            <w:r>
              <w:rPr>
                <w:rFonts w:hint="eastAsia"/>
                <w:w w:val="99"/>
                <w:sz w:val="22"/>
                <w:szCs w:val="22"/>
              </w:rPr>
              <w:t>台</w:t>
            </w:r>
          </w:p>
        </w:tc>
        <w:tc>
          <w:tcPr>
            <w:tcW w:w="650" w:type="dxa"/>
            <w:noWrap w:val="0"/>
            <w:vAlign w:val="center"/>
          </w:tcPr>
          <w:p>
            <w:pPr>
              <w:pStyle w:val="117"/>
              <w:ind w:left="13"/>
              <w:jc w:val="center"/>
              <w:rPr>
                <w:rFonts w:hint="eastAsia"/>
                <w:sz w:val="22"/>
                <w:szCs w:val="22"/>
              </w:rPr>
            </w:pPr>
            <w:r>
              <w:rPr>
                <w:rFonts w:hint="eastAsia"/>
                <w:w w:val="99"/>
                <w:sz w:val="22"/>
                <w:szCs w:val="22"/>
              </w:rPr>
              <w:t>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3</w:t>
            </w:r>
          </w:p>
        </w:tc>
        <w:tc>
          <w:tcPr>
            <w:tcW w:w="1380" w:type="dxa"/>
            <w:noWrap w:val="0"/>
            <w:vAlign w:val="center"/>
          </w:tcPr>
          <w:p>
            <w:pPr>
              <w:pStyle w:val="117"/>
              <w:spacing w:before="49"/>
              <w:ind w:left="84" w:right="78"/>
              <w:jc w:val="center"/>
              <w:rPr>
                <w:rFonts w:hint="eastAsia"/>
                <w:sz w:val="22"/>
                <w:szCs w:val="22"/>
              </w:rPr>
            </w:pPr>
            <w:r>
              <w:rPr>
                <w:rFonts w:hint="eastAsia"/>
                <w:sz w:val="22"/>
                <w:szCs w:val="22"/>
              </w:rPr>
              <w:t>空调铜管</w:t>
            </w:r>
          </w:p>
        </w:tc>
        <w:tc>
          <w:tcPr>
            <w:tcW w:w="6010" w:type="dxa"/>
            <w:noWrap w:val="0"/>
            <w:vAlign w:val="center"/>
          </w:tcPr>
          <w:p>
            <w:pPr>
              <w:pStyle w:val="117"/>
              <w:spacing w:before="49"/>
              <w:rPr>
                <w:rFonts w:hint="eastAsia"/>
                <w:sz w:val="22"/>
                <w:szCs w:val="22"/>
              </w:rPr>
            </w:pPr>
            <w:r>
              <w:rPr>
                <w:rFonts w:hint="eastAsia"/>
                <w:sz w:val="22"/>
                <w:szCs w:val="22"/>
              </w:rPr>
              <w:t>与主机匹配 按照 30 一台估算</w:t>
            </w:r>
          </w:p>
        </w:tc>
        <w:tc>
          <w:tcPr>
            <w:tcW w:w="850" w:type="dxa"/>
            <w:noWrap w:val="0"/>
            <w:vAlign w:val="center"/>
          </w:tcPr>
          <w:p>
            <w:pPr>
              <w:pStyle w:val="117"/>
              <w:ind w:left="11"/>
              <w:jc w:val="center"/>
              <w:rPr>
                <w:rFonts w:hint="eastAsia"/>
                <w:sz w:val="22"/>
                <w:szCs w:val="22"/>
              </w:rPr>
            </w:pPr>
            <w:r>
              <w:rPr>
                <w:rFonts w:hint="eastAsia"/>
                <w:w w:val="99"/>
                <w:sz w:val="22"/>
                <w:szCs w:val="22"/>
              </w:rPr>
              <w:t>米</w:t>
            </w:r>
          </w:p>
        </w:tc>
        <w:tc>
          <w:tcPr>
            <w:tcW w:w="650" w:type="dxa"/>
            <w:noWrap w:val="0"/>
            <w:vAlign w:val="center"/>
          </w:tcPr>
          <w:p>
            <w:pPr>
              <w:pStyle w:val="117"/>
              <w:jc w:val="center"/>
              <w:rPr>
                <w:rFonts w:hint="eastAsia"/>
                <w:sz w:val="22"/>
                <w:szCs w:val="22"/>
              </w:rPr>
            </w:pPr>
            <w:r>
              <w:rPr>
                <w:rFonts w:hint="eastAsia"/>
                <w:sz w:val="22"/>
                <w:szCs w:val="22"/>
              </w:rPr>
              <w:t>240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4</w:t>
            </w:r>
          </w:p>
        </w:tc>
        <w:tc>
          <w:tcPr>
            <w:tcW w:w="1380" w:type="dxa"/>
            <w:noWrap w:val="0"/>
            <w:vAlign w:val="center"/>
          </w:tcPr>
          <w:p>
            <w:pPr>
              <w:pStyle w:val="117"/>
              <w:spacing w:before="49"/>
              <w:ind w:left="84" w:right="78"/>
              <w:jc w:val="center"/>
              <w:rPr>
                <w:rFonts w:hint="eastAsia"/>
                <w:sz w:val="22"/>
                <w:szCs w:val="22"/>
              </w:rPr>
            </w:pPr>
            <w:r>
              <w:rPr>
                <w:rFonts w:hint="eastAsia"/>
                <w:sz w:val="22"/>
                <w:szCs w:val="22"/>
              </w:rPr>
              <w:t>管道保温</w:t>
            </w:r>
          </w:p>
        </w:tc>
        <w:tc>
          <w:tcPr>
            <w:tcW w:w="6010" w:type="dxa"/>
            <w:noWrap w:val="0"/>
            <w:vAlign w:val="center"/>
          </w:tcPr>
          <w:p>
            <w:pPr>
              <w:pStyle w:val="117"/>
              <w:spacing w:before="49"/>
              <w:rPr>
                <w:rFonts w:hint="eastAsia"/>
                <w:sz w:val="22"/>
                <w:szCs w:val="22"/>
              </w:rPr>
            </w:pPr>
            <w:r>
              <w:rPr>
                <w:rFonts w:hint="eastAsia"/>
                <w:sz w:val="22"/>
                <w:szCs w:val="22"/>
              </w:rPr>
              <w:t>与主机匹配 按照 30 一台估算</w:t>
            </w:r>
          </w:p>
        </w:tc>
        <w:tc>
          <w:tcPr>
            <w:tcW w:w="850" w:type="dxa"/>
            <w:noWrap w:val="0"/>
            <w:vAlign w:val="center"/>
          </w:tcPr>
          <w:p>
            <w:pPr>
              <w:pStyle w:val="117"/>
              <w:ind w:left="11"/>
              <w:jc w:val="center"/>
              <w:rPr>
                <w:rFonts w:hint="eastAsia"/>
                <w:sz w:val="22"/>
                <w:szCs w:val="22"/>
              </w:rPr>
            </w:pPr>
            <w:r>
              <w:rPr>
                <w:rFonts w:hint="eastAsia"/>
                <w:w w:val="99"/>
                <w:sz w:val="22"/>
                <w:szCs w:val="22"/>
              </w:rPr>
              <w:t>米</w:t>
            </w:r>
          </w:p>
        </w:tc>
        <w:tc>
          <w:tcPr>
            <w:tcW w:w="650" w:type="dxa"/>
            <w:noWrap w:val="0"/>
            <w:vAlign w:val="center"/>
          </w:tcPr>
          <w:p>
            <w:pPr>
              <w:pStyle w:val="117"/>
              <w:jc w:val="center"/>
              <w:rPr>
                <w:rFonts w:hint="eastAsia"/>
                <w:sz w:val="22"/>
                <w:szCs w:val="22"/>
              </w:rPr>
            </w:pPr>
            <w:r>
              <w:rPr>
                <w:rFonts w:hint="eastAsia"/>
                <w:sz w:val="22"/>
                <w:szCs w:val="22"/>
              </w:rPr>
              <w:t>240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5</w:t>
            </w:r>
          </w:p>
        </w:tc>
        <w:tc>
          <w:tcPr>
            <w:tcW w:w="1380" w:type="dxa"/>
            <w:noWrap w:val="0"/>
            <w:vAlign w:val="center"/>
          </w:tcPr>
          <w:p>
            <w:pPr>
              <w:pStyle w:val="117"/>
              <w:spacing w:before="49"/>
              <w:ind w:left="84" w:right="76"/>
              <w:jc w:val="center"/>
              <w:rPr>
                <w:rFonts w:hint="eastAsia"/>
                <w:sz w:val="22"/>
                <w:szCs w:val="22"/>
              </w:rPr>
            </w:pPr>
            <w:r>
              <w:rPr>
                <w:rFonts w:hint="eastAsia"/>
                <w:sz w:val="22"/>
                <w:szCs w:val="22"/>
              </w:rPr>
              <w:t>制冷剂</w:t>
            </w:r>
          </w:p>
        </w:tc>
        <w:tc>
          <w:tcPr>
            <w:tcW w:w="6010" w:type="dxa"/>
            <w:noWrap w:val="0"/>
            <w:vAlign w:val="center"/>
          </w:tcPr>
          <w:p>
            <w:pPr>
              <w:pStyle w:val="117"/>
              <w:spacing w:before="49"/>
              <w:ind w:left="109"/>
              <w:rPr>
                <w:rFonts w:hint="eastAsia"/>
                <w:sz w:val="22"/>
                <w:szCs w:val="22"/>
              </w:rPr>
            </w:pPr>
            <w:r>
              <w:rPr>
                <w:rFonts w:hint="eastAsia"/>
                <w:sz w:val="22"/>
                <w:szCs w:val="22"/>
              </w:rPr>
              <w:t>R410A</w:t>
            </w:r>
          </w:p>
        </w:tc>
        <w:tc>
          <w:tcPr>
            <w:tcW w:w="850" w:type="dxa"/>
            <w:noWrap w:val="0"/>
            <w:vAlign w:val="center"/>
          </w:tcPr>
          <w:p>
            <w:pPr>
              <w:pStyle w:val="117"/>
              <w:ind w:left="11"/>
              <w:jc w:val="center"/>
              <w:rPr>
                <w:rFonts w:hint="eastAsia"/>
                <w:sz w:val="22"/>
                <w:szCs w:val="22"/>
              </w:rPr>
            </w:pPr>
            <w:r>
              <w:rPr>
                <w:rFonts w:hint="eastAsia"/>
                <w:w w:val="99"/>
                <w:sz w:val="22"/>
                <w:szCs w:val="22"/>
              </w:rPr>
              <w:t>瓶</w:t>
            </w:r>
          </w:p>
        </w:tc>
        <w:tc>
          <w:tcPr>
            <w:tcW w:w="650" w:type="dxa"/>
            <w:noWrap w:val="0"/>
            <w:vAlign w:val="center"/>
          </w:tcPr>
          <w:p>
            <w:pPr>
              <w:pStyle w:val="117"/>
              <w:jc w:val="center"/>
              <w:rPr>
                <w:rFonts w:hint="eastAsia"/>
                <w:sz w:val="22"/>
                <w:szCs w:val="22"/>
              </w:rPr>
            </w:pPr>
            <w:r>
              <w:rPr>
                <w:rFonts w:hint="eastAsia"/>
                <w:sz w:val="22"/>
                <w:szCs w:val="22"/>
              </w:rPr>
              <w:t>16</w:t>
            </w:r>
          </w:p>
        </w:tc>
      </w:tr>
      <w:tr>
        <w:tblPrEx>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6</w:t>
            </w:r>
          </w:p>
        </w:tc>
        <w:tc>
          <w:tcPr>
            <w:tcW w:w="1380" w:type="dxa"/>
            <w:noWrap w:val="0"/>
            <w:vAlign w:val="center"/>
          </w:tcPr>
          <w:p>
            <w:pPr>
              <w:pStyle w:val="117"/>
              <w:spacing w:before="49"/>
              <w:ind w:left="84" w:right="78"/>
              <w:jc w:val="center"/>
              <w:rPr>
                <w:rFonts w:hint="eastAsia"/>
                <w:sz w:val="22"/>
                <w:szCs w:val="22"/>
              </w:rPr>
            </w:pPr>
            <w:r>
              <w:rPr>
                <w:rFonts w:hint="eastAsia"/>
                <w:sz w:val="22"/>
                <w:szCs w:val="22"/>
              </w:rPr>
              <w:t>精密空调防水堰</w:t>
            </w:r>
          </w:p>
        </w:tc>
        <w:tc>
          <w:tcPr>
            <w:tcW w:w="6010" w:type="dxa"/>
            <w:noWrap w:val="0"/>
            <w:vAlign w:val="center"/>
          </w:tcPr>
          <w:p>
            <w:pPr>
              <w:pStyle w:val="117"/>
              <w:spacing w:before="49"/>
              <w:ind w:left="109"/>
              <w:rPr>
                <w:rFonts w:hint="eastAsia"/>
                <w:sz w:val="22"/>
                <w:szCs w:val="22"/>
              </w:rPr>
            </w:pPr>
            <w:r>
              <w:rPr>
                <w:rFonts w:hint="eastAsia"/>
                <w:sz w:val="22"/>
                <w:szCs w:val="22"/>
              </w:rPr>
              <w:t>50mm 高</w:t>
            </w:r>
          </w:p>
        </w:tc>
        <w:tc>
          <w:tcPr>
            <w:tcW w:w="850" w:type="dxa"/>
            <w:noWrap w:val="0"/>
            <w:vAlign w:val="center"/>
          </w:tcPr>
          <w:p>
            <w:pPr>
              <w:pStyle w:val="117"/>
              <w:ind w:left="11"/>
              <w:jc w:val="center"/>
              <w:rPr>
                <w:rFonts w:hint="eastAsia"/>
                <w:sz w:val="22"/>
                <w:szCs w:val="22"/>
              </w:rPr>
            </w:pPr>
            <w:r>
              <w:rPr>
                <w:rFonts w:hint="eastAsia"/>
                <w:w w:val="99"/>
                <w:sz w:val="22"/>
                <w:szCs w:val="22"/>
              </w:rPr>
              <w:t>项</w:t>
            </w:r>
          </w:p>
        </w:tc>
        <w:tc>
          <w:tcPr>
            <w:tcW w:w="650" w:type="dxa"/>
            <w:noWrap w:val="0"/>
            <w:vAlign w:val="center"/>
          </w:tcPr>
          <w:p>
            <w:pPr>
              <w:pStyle w:val="117"/>
              <w:ind w:left="13"/>
              <w:jc w:val="center"/>
              <w:rPr>
                <w:rFonts w:hint="eastAsia"/>
                <w:sz w:val="22"/>
                <w:szCs w:val="22"/>
              </w:rPr>
            </w:pPr>
            <w:r>
              <w:rPr>
                <w:rFonts w:hint="eastAsia"/>
                <w:w w:val="99"/>
                <w:sz w:val="22"/>
                <w:szCs w:val="22"/>
              </w:rPr>
              <w:t>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7</w:t>
            </w:r>
          </w:p>
        </w:tc>
        <w:tc>
          <w:tcPr>
            <w:tcW w:w="1380" w:type="dxa"/>
            <w:noWrap w:val="0"/>
            <w:vAlign w:val="center"/>
          </w:tcPr>
          <w:p>
            <w:pPr>
              <w:pStyle w:val="117"/>
              <w:spacing w:before="49"/>
              <w:ind w:right="76"/>
              <w:jc w:val="center"/>
              <w:rPr>
                <w:rFonts w:hint="eastAsia"/>
                <w:sz w:val="22"/>
                <w:szCs w:val="22"/>
              </w:rPr>
            </w:pPr>
            <w:r>
              <w:rPr>
                <w:rFonts w:hint="eastAsia"/>
                <w:sz w:val="22"/>
                <w:szCs w:val="22"/>
              </w:rPr>
              <w:t>精密空调给排水系统</w:t>
            </w:r>
          </w:p>
        </w:tc>
        <w:tc>
          <w:tcPr>
            <w:tcW w:w="6010" w:type="dxa"/>
            <w:noWrap w:val="0"/>
            <w:vAlign w:val="center"/>
          </w:tcPr>
          <w:p>
            <w:pPr>
              <w:pStyle w:val="117"/>
              <w:spacing w:before="49"/>
              <w:ind w:left="109"/>
              <w:rPr>
                <w:rFonts w:hint="eastAsia"/>
                <w:sz w:val="22"/>
                <w:szCs w:val="22"/>
              </w:rPr>
            </w:pPr>
            <w:r>
              <w:rPr>
                <w:rFonts w:hint="eastAsia"/>
                <w:sz w:val="22"/>
                <w:szCs w:val="22"/>
              </w:rPr>
              <w:t>与主机匹配 PPR25 加湿水管、PVC40 排水管</w:t>
            </w:r>
          </w:p>
        </w:tc>
        <w:tc>
          <w:tcPr>
            <w:tcW w:w="850" w:type="dxa"/>
            <w:noWrap w:val="0"/>
            <w:vAlign w:val="center"/>
          </w:tcPr>
          <w:p>
            <w:pPr>
              <w:pStyle w:val="117"/>
              <w:ind w:left="11"/>
              <w:jc w:val="center"/>
              <w:rPr>
                <w:rFonts w:hint="eastAsia"/>
                <w:sz w:val="22"/>
                <w:szCs w:val="22"/>
              </w:rPr>
            </w:pPr>
            <w:r>
              <w:rPr>
                <w:rFonts w:hint="eastAsia"/>
                <w:w w:val="99"/>
                <w:sz w:val="22"/>
                <w:szCs w:val="22"/>
              </w:rPr>
              <w:t>套</w:t>
            </w:r>
          </w:p>
        </w:tc>
        <w:tc>
          <w:tcPr>
            <w:tcW w:w="650" w:type="dxa"/>
            <w:noWrap w:val="0"/>
            <w:vAlign w:val="center"/>
          </w:tcPr>
          <w:p>
            <w:pPr>
              <w:pStyle w:val="117"/>
              <w:ind w:left="13"/>
              <w:jc w:val="center"/>
              <w:rPr>
                <w:rFonts w:hint="eastAsia"/>
                <w:sz w:val="22"/>
                <w:szCs w:val="22"/>
              </w:rPr>
            </w:pPr>
            <w:r>
              <w:rPr>
                <w:rFonts w:hint="eastAsia"/>
                <w:w w:val="99"/>
                <w:sz w:val="22"/>
                <w:szCs w:val="22"/>
              </w:rPr>
              <w:t>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9518" w:type="dxa"/>
            <w:gridSpan w:val="5"/>
            <w:noWrap w:val="0"/>
            <w:vAlign w:val="center"/>
          </w:tcPr>
          <w:p>
            <w:pPr>
              <w:pStyle w:val="117"/>
              <w:jc w:val="center"/>
              <w:rPr>
                <w:rFonts w:hint="eastAsia"/>
                <w:b/>
                <w:sz w:val="22"/>
                <w:szCs w:val="22"/>
              </w:rPr>
            </w:pPr>
            <w:r>
              <w:rPr>
                <w:rFonts w:hint="eastAsia"/>
                <w:b/>
                <w:sz w:val="22"/>
                <w:szCs w:val="22"/>
              </w:rPr>
              <w:t>4）配电间空调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1</w:t>
            </w:r>
          </w:p>
        </w:tc>
        <w:tc>
          <w:tcPr>
            <w:tcW w:w="1380" w:type="dxa"/>
            <w:noWrap w:val="0"/>
            <w:vAlign w:val="center"/>
          </w:tcPr>
          <w:p>
            <w:pPr>
              <w:pStyle w:val="117"/>
              <w:ind w:right="78"/>
              <w:jc w:val="center"/>
              <w:rPr>
                <w:rFonts w:hint="eastAsia"/>
                <w:sz w:val="22"/>
                <w:szCs w:val="22"/>
              </w:rPr>
            </w:pPr>
            <w:r>
              <w:rPr>
                <w:rFonts w:hint="eastAsia"/>
                <w:sz w:val="22"/>
                <w:szCs w:val="22"/>
              </w:rPr>
              <w:t>空调室内机</w:t>
            </w:r>
          </w:p>
        </w:tc>
        <w:tc>
          <w:tcPr>
            <w:tcW w:w="6010" w:type="dxa"/>
            <w:noWrap w:val="0"/>
            <w:vAlign w:val="center"/>
          </w:tcPr>
          <w:p>
            <w:pPr>
              <w:pStyle w:val="117"/>
              <w:spacing w:before="37"/>
              <w:ind w:left="109"/>
              <w:rPr>
                <w:rFonts w:hint="eastAsia"/>
                <w:sz w:val="22"/>
                <w:szCs w:val="22"/>
              </w:rPr>
            </w:pPr>
            <w:r>
              <w:rPr>
                <w:rFonts w:hint="eastAsia"/>
                <w:sz w:val="22"/>
                <w:szCs w:val="22"/>
              </w:rPr>
              <w:t>房间级精密空调 UPS 间使用，制冷量：≥17kw；风量：≥4300m³/h；前出风下回风</w:t>
            </w:r>
          </w:p>
        </w:tc>
        <w:tc>
          <w:tcPr>
            <w:tcW w:w="850" w:type="dxa"/>
            <w:noWrap w:val="0"/>
            <w:vAlign w:val="center"/>
          </w:tcPr>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r>
              <w:rPr>
                <w:rFonts w:hint="eastAsia"/>
                <w:w w:val="99"/>
                <w:sz w:val="22"/>
                <w:szCs w:val="22"/>
              </w:rPr>
              <w:t>1</w:t>
            </w:r>
          </w:p>
        </w:tc>
      </w:tr>
      <w:tr>
        <w:tblPrEx>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2</w:t>
            </w:r>
          </w:p>
        </w:tc>
        <w:tc>
          <w:tcPr>
            <w:tcW w:w="1380" w:type="dxa"/>
            <w:noWrap w:val="0"/>
            <w:vAlign w:val="center"/>
          </w:tcPr>
          <w:p>
            <w:pPr>
              <w:pStyle w:val="117"/>
              <w:spacing w:before="47"/>
              <w:ind w:left="84" w:right="78"/>
              <w:jc w:val="center"/>
              <w:rPr>
                <w:rFonts w:hint="eastAsia"/>
                <w:sz w:val="22"/>
                <w:szCs w:val="22"/>
              </w:rPr>
            </w:pPr>
            <w:r>
              <w:rPr>
                <w:rFonts w:hint="eastAsia"/>
                <w:sz w:val="22"/>
                <w:szCs w:val="22"/>
              </w:rPr>
              <w:t>空调室外机</w:t>
            </w:r>
          </w:p>
        </w:tc>
        <w:tc>
          <w:tcPr>
            <w:tcW w:w="6010" w:type="dxa"/>
            <w:noWrap w:val="0"/>
            <w:vAlign w:val="center"/>
          </w:tcPr>
          <w:p>
            <w:pPr>
              <w:pStyle w:val="117"/>
              <w:spacing w:before="47"/>
              <w:ind w:left="109"/>
              <w:rPr>
                <w:rFonts w:hint="eastAsia"/>
                <w:sz w:val="22"/>
                <w:szCs w:val="22"/>
              </w:rPr>
            </w:pPr>
            <w:r>
              <w:rPr>
                <w:rFonts w:hint="eastAsia"/>
                <w:sz w:val="22"/>
                <w:szCs w:val="22"/>
              </w:rPr>
              <w:t>风机数量：1 台；</w:t>
            </w:r>
          </w:p>
        </w:tc>
        <w:tc>
          <w:tcPr>
            <w:tcW w:w="850" w:type="dxa"/>
            <w:noWrap w:val="0"/>
            <w:vAlign w:val="center"/>
          </w:tcPr>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r>
              <w:rPr>
                <w:rFonts w:hint="eastAsia"/>
                <w:w w:val="99"/>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3</w:t>
            </w:r>
          </w:p>
        </w:tc>
        <w:tc>
          <w:tcPr>
            <w:tcW w:w="1380" w:type="dxa"/>
            <w:noWrap w:val="0"/>
            <w:vAlign w:val="center"/>
          </w:tcPr>
          <w:p>
            <w:pPr>
              <w:pStyle w:val="117"/>
              <w:spacing w:before="47"/>
              <w:ind w:left="84" w:right="78"/>
              <w:jc w:val="center"/>
              <w:rPr>
                <w:rFonts w:hint="eastAsia"/>
                <w:sz w:val="22"/>
                <w:szCs w:val="22"/>
              </w:rPr>
            </w:pPr>
            <w:r>
              <w:rPr>
                <w:rFonts w:hint="eastAsia"/>
                <w:sz w:val="22"/>
                <w:szCs w:val="22"/>
              </w:rPr>
              <w:t>空调铜管</w:t>
            </w:r>
          </w:p>
        </w:tc>
        <w:tc>
          <w:tcPr>
            <w:tcW w:w="6010" w:type="dxa"/>
            <w:noWrap w:val="0"/>
            <w:vAlign w:val="center"/>
          </w:tcPr>
          <w:p>
            <w:pPr>
              <w:pStyle w:val="117"/>
              <w:spacing w:before="47"/>
              <w:ind w:left="109"/>
              <w:rPr>
                <w:rFonts w:hint="eastAsia"/>
                <w:sz w:val="22"/>
                <w:szCs w:val="22"/>
              </w:rPr>
            </w:pPr>
            <w:r>
              <w:rPr>
                <w:rFonts w:hint="eastAsia"/>
                <w:sz w:val="22"/>
                <w:szCs w:val="22"/>
              </w:rPr>
              <w:t>与主机匹配 按照 30 一台估算</w:t>
            </w:r>
          </w:p>
        </w:tc>
        <w:tc>
          <w:tcPr>
            <w:tcW w:w="850" w:type="dxa"/>
            <w:noWrap w:val="0"/>
            <w:vAlign w:val="center"/>
          </w:tcPr>
          <w:p>
            <w:pPr>
              <w:pStyle w:val="117"/>
              <w:jc w:val="center"/>
              <w:rPr>
                <w:rFonts w:hint="eastAsia"/>
                <w:sz w:val="22"/>
                <w:szCs w:val="22"/>
              </w:rPr>
            </w:pPr>
            <w:r>
              <w:rPr>
                <w:rFonts w:hint="eastAsia"/>
                <w:w w:val="99"/>
                <w:sz w:val="22"/>
                <w:szCs w:val="22"/>
              </w:rPr>
              <w:t>米</w:t>
            </w:r>
          </w:p>
        </w:tc>
        <w:tc>
          <w:tcPr>
            <w:tcW w:w="650" w:type="dxa"/>
            <w:noWrap w:val="0"/>
            <w:vAlign w:val="center"/>
          </w:tcPr>
          <w:p>
            <w:pPr>
              <w:pStyle w:val="117"/>
              <w:jc w:val="center"/>
              <w:rPr>
                <w:rFonts w:hint="eastAsia"/>
                <w:sz w:val="22"/>
                <w:szCs w:val="22"/>
              </w:rPr>
            </w:pPr>
            <w:r>
              <w:rPr>
                <w:rFonts w:hint="eastAsia"/>
                <w:sz w:val="22"/>
                <w:szCs w:val="22"/>
              </w:rPr>
              <w:t>80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4</w:t>
            </w:r>
          </w:p>
        </w:tc>
        <w:tc>
          <w:tcPr>
            <w:tcW w:w="1380" w:type="dxa"/>
            <w:noWrap w:val="0"/>
            <w:vAlign w:val="center"/>
          </w:tcPr>
          <w:p>
            <w:pPr>
              <w:pStyle w:val="117"/>
              <w:spacing w:before="47"/>
              <w:ind w:left="84" w:right="78"/>
              <w:jc w:val="center"/>
              <w:rPr>
                <w:rFonts w:hint="eastAsia"/>
                <w:sz w:val="22"/>
                <w:szCs w:val="22"/>
              </w:rPr>
            </w:pPr>
            <w:r>
              <w:rPr>
                <w:rFonts w:hint="eastAsia"/>
                <w:sz w:val="22"/>
                <w:szCs w:val="22"/>
              </w:rPr>
              <w:t>管道保温</w:t>
            </w:r>
          </w:p>
        </w:tc>
        <w:tc>
          <w:tcPr>
            <w:tcW w:w="6010" w:type="dxa"/>
            <w:noWrap w:val="0"/>
            <w:vAlign w:val="center"/>
          </w:tcPr>
          <w:p>
            <w:pPr>
              <w:pStyle w:val="117"/>
              <w:spacing w:before="47"/>
              <w:ind w:left="109"/>
              <w:rPr>
                <w:rFonts w:hint="eastAsia"/>
                <w:sz w:val="22"/>
                <w:szCs w:val="22"/>
              </w:rPr>
            </w:pPr>
            <w:r>
              <w:rPr>
                <w:rFonts w:hint="eastAsia"/>
                <w:sz w:val="22"/>
                <w:szCs w:val="22"/>
              </w:rPr>
              <w:t>与主机匹配 按照 30 一台估算</w:t>
            </w:r>
          </w:p>
        </w:tc>
        <w:tc>
          <w:tcPr>
            <w:tcW w:w="850" w:type="dxa"/>
            <w:noWrap w:val="0"/>
            <w:vAlign w:val="center"/>
          </w:tcPr>
          <w:p>
            <w:pPr>
              <w:pStyle w:val="117"/>
              <w:jc w:val="center"/>
              <w:rPr>
                <w:rFonts w:hint="eastAsia"/>
                <w:sz w:val="22"/>
                <w:szCs w:val="22"/>
              </w:rPr>
            </w:pPr>
            <w:r>
              <w:rPr>
                <w:rFonts w:hint="eastAsia"/>
                <w:w w:val="99"/>
                <w:sz w:val="22"/>
                <w:szCs w:val="22"/>
              </w:rPr>
              <w:t>米</w:t>
            </w:r>
          </w:p>
        </w:tc>
        <w:tc>
          <w:tcPr>
            <w:tcW w:w="650" w:type="dxa"/>
            <w:noWrap w:val="0"/>
            <w:vAlign w:val="center"/>
          </w:tcPr>
          <w:p>
            <w:pPr>
              <w:pStyle w:val="117"/>
              <w:jc w:val="center"/>
              <w:rPr>
                <w:rFonts w:hint="eastAsia"/>
                <w:sz w:val="22"/>
                <w:szCs w:val="22"/>
              </w:rPr>
            </w:pPr>
            <w:r>
              <w:rPr>
                <w:rFonts w:hint="eastAsia"/>
                <w:sz w:val="22"/>
                <w:szCs w:val="22"/>
              </w:rPr>
              <w:t>80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5</w:t>
            </w:r>
          </w:p>
        </w:tc>
        <w:tc>
          <w:tcPr>
            <w:tcW w:w="1380" w:type="dxa"/>
            <w:noWrap w:val="0"/>
            <w:vAlign w:val="center"/>
          </w:tcPr>
          <w:p>
            <w:pPr>
              <w:pStyle w:val="117"/>
              <w:spacing w:before="47"/>
              <w:ind w:left="84" w:right="76"/>
              <w:jc w:val="center"/>
              <w:rPr>
                <w:rFonts w:hint="eastAsia"/>
                <w:sz w:val="22"/>
                <w:szCs w:val="22"/>
              </w:rPr>
            </w:pPr>
            <w:r>
              <w:rPr>
                <w:rFonts w:hint="eastAsia"/>
                <w:sz w:val="22"/>
                <w:szCs w:val="22"/>
              </w:rPr>
              <w:t>制冷剂</w:t>
            </w:r>
          </w:p>
        </w:tc>
        <w:tc>
          <w:tcPr>
            <w:tcW w:w="6010" w:type="dxa"/>
            <w:noWrap w:val="0"/>
            <w:vAlign w:val="center"/>
          </w:tcPr>
          <w:p>
            <w:pPr>
              <w:pStyle w:val="117"/>
              <w:spacing w:before="47"/>
              <w:ind w:left="109"/>
              <w:rPr>
                <w:rFonts w:hint="eastAsia"/>
                <w:sz w:val="22"/>
                <w:szCs w:val="22"/>
              </w:rPr>
            </w:pPr>
            <w:r>
              <w:rPr>
                <w:rFonts w:hint="eastAsia"/>
                <w:sz w:val="22"/>
                <w:szCs w:val="22"/>
              </w:rPr>
              <w:t>R22</w:t>
            </w:r>
          </w:p>
        </w:tc>
        <w:tc>
          <w:tcPr>
            <w:tcW w:w="850" w:type="dxa"/>
            <w:noWrap w:val="0"/>
            <w:vAlign w:val="center"/>
          </w:tcPr>
          <w:p>
            <w:pPr>
              <w:pStyle w:val="117"/>
              <w:jc w:val="center"/>
              <w:rPr>
                <w:rFonts w:hint="eastAsia"/>
                <w:sz w:val="22"/>
                <w:szCs w:val="22"/>
              </w:rPr>
            </w:pPr>
            <w:r>
              <w:rPr>
                <w:rFonts w:hint="eastAsia"/>
                <w:w w:val="99"/>
                <w:sz w:val="22"/>
                <w:szCs w:val="22"/>
              </w:rPr>
              <w:t>瓶</w:t>
            </w:r>
          </w:p>
        </w:tc>
        <w:tc>
          <w:tcPr>
            <w:tcW w:w="650" w:type="dxa"/>
            <w:noWrap w:val="0"/>
            <w:vAlign w:val="center"/>
          </w:tcPr>
          <w:p>
            <w:pPr>
              <w:pStyle w:val="117"/>
              <w:jc w:val="center"/>
              <w:rPr>
                <w:rFonts w:hint="eastAsia"/>
                <w:sz w:val="22"/>
                <w:szCs w:val="22"/>
              </w:rPr>
            </w:pPr>
            <w:r>
              <w:rPr>
                <w:rFonts w:hint="eastAsia"/>
                <w:w w:val="99"/>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9518" w:type="dxa"/>
            <w:gridSpan w:val="5"/>
            <w:noWrap w:val="0"/>
            <w:vAlign w:val="center"/>
          </w:tcPr>
          <w:p>
            <w:pPr>
              <w:pStyle w:val="117"/>
              <w:jc w:val="center"/>
              <w:rPr>
                <w:rFonts w:hint="eastAsia"/>
                <w:w w:val="99"/>
                <w:sz w:val="22"/>
                <w:szCs w:val="22"/>
              </w:rPr>
            </w:pPr>
            <w:r>
              <w:rPr>
                <w:rFonts w:hint="eastAsia"/>
                <w:b/>
                <w:sz w:val="22"/>
                <w:szCs w:val="22"/>
              </w:rPr>
              <w:t>5）新风系统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w w:val="99"/>
                <w:sz w:val="22"/>
                <w:szCs w:val="22"/>
              </w:rPr>
              <w:t>1</w:t>
            </w:r>
          </w:p>
        </w:tc>
        <w:tc>
          <w:tcPr>
            <w:tcW w:w="1380" w:type="dxa"/>
            <w:noWrap w:val="0"/>
            <w:vAlign w:val="center"/>
          </w:tcPr>
          <w:p>
            <w:pPr>
              <w:pStyle w:val="117"/>
              <w:jc w:val="center"/>
              <w:rPr>
                <w:rFonts w:hint="eastAsia"/>
                <w:sz w:val="22"/>
                <w:szCs w:val="22"/>
              </w:rPr>
            </w:pPr>
          </w:p>
          <w:p>
            <w:pPr>
              <w:pStyle w:val="117"/>
              <w:spacing w:before="4"/>
              <w:jc w:val="center"/>
              <w:rPr>
                <w:rFonts w:hint="eastAsia"/>
                <w:sz w:val="22"/>
                <w:szCs w:val="22"/>
              </w:rPr>
            </w:pPr>
          </w:p>
          <w:p>
            <w:pPr>
              <w:pStyle w:val="117"/>
              <w:ind w:right="76"/>
              <w:jc w:val="center"/>
              <w:rPr>
                <w:rFonts w:hint="eastAsia"/>
                <w:sz w:val="22"/>
                <w:szCs w:val="22"/>
              </w:rPr>
            </w:pPr>
            <w:r>
              <w:rPr>
                <w:rFonts w:hint="eastAsia"/>
                <w:sz w:val="22"/>
                <w:szCs w:val="22"/>
              </w:rPr>
              <w:t>柜式新风排气一体机（主机房）</w:t>
            </w:r>
          </w:p>
        </w:tc>
        <w:tc>
          <w:tcPr>
            <w:tcW w:w="6010" w:type="dxa"/>
            <w:noWrap w:val="0"/>
            <w:vAlign w:val="center"/>
          </w:tcPr>
          <w:p>
            <w:pPr>
              <w:pStyle w:val="117"/>
              <w:spacing w:before="35"/>
              <w:rPr>
                <w:rFonts w:hint="eastAsia"/>
                <w:sz w:val="22"/>
                <w:szCs w:val="22"/>
              </w:rPr>
            </w:pPr>
            <w:r>
              <w:rPr>
                <w:rFonts w:hint="eastAsia"/>
                <w:sz w:val="22"/>
                <w:szCs w:val="22"/>
                <w:lang w:val="en-US"/>
              </w:rPr>
              <w:t>1、</w:t>
            </w:r>
            <w:r>
              <w:rPr>
                <w:rFonts w:hint="eastAsia"/>
                <w:sz w:val="22"/>
                <w:szCs w:val="22"/>
              </w:rPr>
              <w:t>柜式机型，可用于无法通过管道送风的房间；</w:t>
            </w:r>
          </w:p>
          <w:p>
            <w:pPr>
              <w:pStyle w:val="117"/>
              <w:spacing w:before="70" w:line="302" w:lineRule="auto"/>
              <w:ind w:right="95"/>
              <w:rPr>
                <w:rFonts w:hint="eastAsia"/>
                <w:sz w:val="22"/>
                <w:szCs w:val="22"/>
              </w:rPr>
            </w:pPr>
            <w:r>
              <w:rPr>
                <w:rFonts w:hint="eastAsia"/>
                <w:sz w:val="22"/>
                <w:szCs w:val="22"/>
                <w:lang w:val="en-US"/>
              </w:rPr>
              <w:t>2、</w:t>
            </w:r>
            <w:r>
              <w:rPr>
                <w:rFonts w:hint="eastAsia"/>
                <w:sz w:val="22"/>
                <w:szCs w:val="22"/>
              </w:rPr>
              <w:t>优质风机，整体设计工作寿命高达 50000h；风量大，噪音低，经久耐用。</w:t>
            </w:r>
          </w:p>
          <w:p>
            <w:pPr>
              <w:pStyle w:val="117"/>
              <w:spacing w:before="5"/>
              <w:rPr>
                <w:rFonts w:hint="eastAsia"/>
                <w:sz w:val="22"/>
                <w:szCs w:val="22"/>
              </w:rPr>
            </w:pPr>
            <w:r>
              <w:rPr>
                <w:rFonts w:hint="eastAsia"/>
                <w:sz w:val="22"/>
                <w:szCs w:val="22"/>
                <w:lang w:val="en-US"/>
              </w:rPr>
              <w:t>3、</w:t>
            </w:r>
            <w:r>
              <w:rPr>
                <w:rFonts w:hint="eastAsia"/>
                <w:sz w:val="22"/>
                <w:szCs w:val="22"/>
              </w:rPr>
              <w:t>特殊的结构强化消音设计，有效降低噪音 35%；</w:t>
            </w:r>
          </w:p>
          <w:p>
            <w:pPr>
              <w:pStyle w:val="117"/>
              <w:spacing w:before="70"/>
              <w:rPr>
                <w:rFonts w:hint="eastAsia"/>
                <w:sz w:val="22"/>
                <w:szCs w:val="22"/>
              </w:rPr>
            </w:pPr>
            <w:r>
              <w:rPr>
                <w:rFonts w:hint="eastAsia"/>
                <w:sz w:val="22"/>
                <w:szCs w:val="22"/>
                <w:lang w:val="en-US"/>
              </w:rPr>
              <w:t>4、</w:t>
            </w:r>
            <w:r>
              <w:rPr>
                <w:rFonts w:hint="eastAsia"/>
                <w:sz w:val="22"/>
                <w:szCs w:val="22"/>
              </w:rPr>
              <w:t>新风排风一体机。</w:t>
            </w:r>
          </w:p>
        </w:tc>
        <w:tc>
          <w:tcPr>
            <w:tcW w:w="850" w:type="dxa"/>
            <w:noWrap w:val="0"/>
            <w:vAlign w:val="center"/>
          </w:tcPr>
          <w:p>
            <w:pPr>
              <w:pStyle w:val="117"/>
              <w:ind w:left="11"/>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r>
              <w:rPr>
                <w:rFonts w:hint="eastAsia"/>
                <w:w w:val="99"/>
                <w:sz w:val="22"/>
                <w:szCs w:val="22"/>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2</w:t>
            </w:r>
          </w:p>
        </w:tc>
        <w:tc>
          <w:tcPr>
            <w:tcW w:w="1380" w:type="dxa"/>
            <w:noWrap w:val="0"/>
            <w:vAlign w:val="center"/>
          </w:tcPr>
          <w:p>
            <w:pPr>
              <w:pStyle w:val="117"/>
              <w:jc w:val="center"/>
              <w:rPr>
                <w:rFonts w:hint="eastAsia"/>
                <w:sz w:val="22"/>
                <w:szCs w:val="22"/>
              </w:rPr>
            </w:pPr>
          </w:p>
          <w:p>
            <w:pPr>
              <w:pStyle w:val="117"/>
              <w:ind w:right="76"/>
              <w:jc w:val="center"/>
              <w:rPr>
                <w:rFonts w:hint="eastAsia"/>
                <w:sz w:val="22"/>
                <w:szCs w:val="22"/>
              </w:rPr>
            </w:pPr>
            <w:r>
              <w:rPr>
                <w:rFonts w:hint="eastAsia"/>
                <w:sz w:val="22"/>
                <w:szCs w:val="22"/>
              </w:rPr>
              <w:t>柜式新风排气一体机（配电间）</w:t>
            </w:r>
          </w:p>
        </w:tc>
        <w:tc>
          <w:tcPr>
            <w:tcW w:w="6010" w:type="dxa"/>
            <w:noWrap w:val="0"/>
            <w:vAlign w:val="center"/>
          </w:tcPr>
          <w:p>
            <w:pPr>
              <w:pStyle w:val="117"/>
              <w:spacing w:before="35"/>
              <w:rPr>
                <w:rFonts w:hint="eastAsia"/>
                <w:sz w:val="22"/>
                <w:szCs w:val="22"/>
              </w:rPr>
            </w:pPr>
            <w:r>
              <w:rPr>
                <w:rFonts w:hint="eastAsia"/>
                <w:sz w:val="22"/>
                <w:szCs w:val="22"/>
                <w:lang w:val="en-US"/>
              </w:rPr>
              <w:t>1、</w:t>
            </w:r>
            <w:r>
              <w:rPr>
                <w:rFonts w:hint="eastAsia"/>
                <w:sz w:val="22"/>
                <w:szCs w:val="22"/>
              </w:rPr>
              <w:t>柜式机型，可用于无法通过管道送风的房间；</w:t>
            </w:r>
          </w:p>
          <w:p>
            <w:pPr>
              <w:pStyle w:val="117"/>
              <w:spacing w:before="70" w:line="304" w:lineRule="auto"/>
              <w:ind w:right="95"/>
              <w:rPr>
                <w:rFonts w:hint="eastAsia"/>
                <w:sz w:val="22"/>
                <w:szCs w:val="22"/>
              </w:rPr>
            </w:pPr>
            <w:r>
              <w:rPr>
                <w:rFonts w:hint="eastAsia"/>
                <w:sz w:val="22"/>
                <w:szCs w:val="22"/>
                <w:lang w:val="en-US"/>
              </w:rPr>
              <w:t>2、</w:t>
            </w:r>
            <w:r>
              <w:rPr>
                <w:rFonts w:hint="eastAsia"/>
                <w:sz w:val="22"/>
                <w:szCs w:val="22"/>
              </w:rPr>
              <w:t>优质风机，整体设计工作寿命高达 50000h；风量大，噪音低，经久耐用。</w:t>
            </w:r>
          </w:p>
          <w:p>
            <w:pPr>
              <w:pStyle w:val="117"/>
              <w:spacing w:before="2"/>
              <w:rPr>
                <w:rFonts w:hint="eastAsia"/>
                <w:sz w:val="22"/>
                <w:szCs w:val="22"/>
              </w:rPr>
            </w:pPr>
            <w:r>
              <w:rPr>
                <w:rFonts w:hint="eastAsia"/>
                <w:sz w:val="22"/>
                <w:szCs w:val="22"/>
                <w:lang w:val="en-US"/>
              </w:rPr>
              <w:t>3、</w:t>
            </w:r>
            <w:r>
              <w:rPr>
                <w:rFonts w:hint="eastAsia"/>
                <w:sz w:val="22"/>
                <w:szCs w:val="22"/>
              </w:rPr>
              <w:t>特殊的结构强化消音设计，有效降低噪音 35%；</w:t>
            </w:r>
          </w:p>
          <w:p>
            <w:pPr>
              <w:pStyle w:val="117"/>
              <w:spacing w:before="68"/>
              <w:rPr>
                <w:rFonts w:hint="eastAsia"/>
                <w:sz w:val="22"/>
                <w:szCs w:val="22"/>
              </w:rPr>
            </w:pPr>
            <w:r>
              <w:rPr>
                <w:rFonts w:hint="eastAsia"/>
                <w:sz w:val="22"/>
                <w:szCs w:val="22"/>
                <w:lang w:val="en-US"/>
              </w:rPr>
              <w:t>4、</w:t>
            </w:r>
            <w:r>
              <w:rPr>
                <w:rFonts w:hint="eastAsia"/>
                <w:sz w:val="22"/>
                <w:szCs w:val="22"/>
              </w:rPr>
              <w:t>新风排风一体机。</w:t>
            </w:r>
          </w:p>
        </w:tc>
        <w:tc>
          <w:tcPr>
            <w:tcW w:w="850" w:type="dxa"/>
            <w:noWrap w:val="0"/>
            <w:vAlign w:val="center"/>
          </w:tcPr>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jc w:val="center"/>
              <w:rPr>
                <w:sz w:val="22"/>
                <w:szCs w:val="22"/>
                <w:lang w:val="en-US"/>
              </w:rPr>
            </w:pPr>
            <w:r>
              <w:rPr>
                <w:rFonts w:hint="eastAsia"/>
                <w:sz w:val="22"/>
                <w:szCs w:val="22"/>
                <w:lang w:val="en-US"/>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3</w:t>
            </w:r>
          </w:p>
        </w:tc>
        <w:tc>
          <w:tcPr>
            <w:tcW w:w="1380" w:type="dxa"/>
            <w:noWrap w:val="0"/>
            <w:vAlign w:val="center"/>
          </w:tcPr>
          <w:p>
            <w:pPr>
              <w:pStyle w:val="117"/>
              <w:spacing w:before="47"/>
              <w:ind w:left="84" w:right="76"/>
              <w:jc w:val="center"/>
              <w:rPr>
                <w:rFonts w:hint="eastAsia"/>
                <w:sz w:val="22"/>
                <w:szCs w:val="22"/>
              </w:rPr>
            </w:pPr>
            <w:r>
              <w:rPr>
                <w:rFonts w:hint="eastAsia"/>
                <w:sz w:val="22"/>
                <w:szCs w:val="22"/>
              </w:rPr>
              <w:t>新风孔</w:t>
            </w:r>
          </w:p>
        </w:tc>
        <w:tc>
          <w:tcPr>
            <w:tcW w:w="6010" w:type="dxa"/>
            <w:noWrap w:val="0"/>
            <w:vAlign w:val="center"/>
          </w:tcPr>
          <w:p>
            <w:pPr>
              <w:pStyle w:val="117"/>
              <w:spacing w:before="47"/>
              <w:ind w:left="109"/>
              <w:rPr>
                <w:rFonts w:hint="eastAsia"/>
                <w:sz w:val="22"/>
                <w:szCs w:val="22"/>
              </w:rPr>
            </w:pPr>
            <w:r>
              <w:rPr>
                <w:rFonts w:hint="eastAsia"/>
                <w:sz w:val="22"/>
                <w:szCs w:val="22"/>
              </w:rPr>
              <w:t>墙面开孔 320*250mm</w:t>
            </w:r>
          </w:p>
        </w:tc>
        <w:tc>
          <w:tcPr>
            <w:tcW w:w="850" w:type="dxa"/>
            <w:noWrap w:val="0"/>
            <w:vAlign w:val="center"/>
          </w:tcPr>
          <w:p>
            <w:pPr>
              <w:pStyle w:val="117"/>
              <w:jc w:val="center"/>
              <w:rPr>
                <w:rFonts w:hint="eastAsia"/>
                <w:sz w:val="22"/>
                <w:szCs w:val="22"/>
              </w:rPr>
            </w:pPr>
            <w:r>
              <w:rPr>
                <w:rFonts w:hint="eastAsia"/>
                <w:w w:val="99"/>
                <w:sz w:val="22"/>
                <w:szCs w:val="22"/>
              </w:rPr>
              <w:t>个</w:t>
            </w:r>
          </w:p>
        </w:tc>
        <w:tc>
          <w:tcPr>
            <w:tcW w:w="650" w:type="dxa"/>
            <w:noWrap w:val="0"/>
            <w:vAlign w:val="center"/>
          </w:tcPr>
          <w:p>
            <w:pPr>
              <w:pStyle w:val="117"/>
              <w:jc w:val="center"/>
              <w:rPr>
                <w:rFonts w:hint="eastAsia"/>
                <w:sz w:val="22"/>
                <w:szCs w:val="22"/>
              </w:rPr>
            </w:pPr>
            <w:r>
              <w:rPr>
                <w:rFonts w:hint="eastAsia"/>
                <w:w w:val="99"/>
                <w:sz w:val="22"/>
                <w:szCs w:val="22"/>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4</w:t>
            </w:r>
          </w:p>
        </w:tc>
        <w:tc>
          <w:tcPr>
            <w:tcW w:w="1380" w:type="dxa"/>
            <w:noWrap w:val="0"/>
            <w:vAlign w:val="center"/>
          </w:tcPr>
          <w:p>
            <w:pPr>
              <w:pStyle w:val="117"/>
              <w:spacing w:before="47"/>
              <w:ind w:left="84" w:right="78"/>
              <w:jc w:val="center"/>
              <w:rPr>
                <w:rFonts w:hint="eastAsia"/>
                <w:sz w:val="22"/>
                <w:szCs w:val="22"/>
              </w:rPr>
            </w:pPr>
            <w:r>
              <w:rPr>
                <w:rFonts w:hint="eastAsia"/>
                <w:sz w:val="22"/>
                <w:szCs w:val="22"/>
              </w:rPr>
              <w:t>安装辅材</w:t>
            </w:r>
          </w:p>
        </w:tc>
        <w:tc>
          <w:tcPr>
            <w:tcW w:w="6010" w:type="dxa"/>
            <w:noWrap w:val="0"/>
            <w:vAlign w:val="center"/>
          </w:tcPr>
          <w:p>
            <w:pPr>
              <w:pStyle w:val="117"/>
              <w:spacing w:before="47"/>
              <w:ind w:left="109"/>
              <w:rPr>
                <w:rFonts w:hint="eastAsia"/>
                <w:sz w:val="22"/>
                <w:szCs w:val="22"/>
              </w:rPr>
            </w:pPr>
            <w:r>
              <w:rPr>
                <w:rFonts w:hint="eastAsia"/>
                <w:sz w:val="22"/>
                <w:szCs w:val="22"/>
              </w:rPr>
              <w:t>电源线，管材等配件</w:t>
            </w:r>
          </w:p>
        </w:tc>
        <w:tc>
          <w:tcPr>
            <w:tcW w:w="850" w:type="dxa"/>
            <w:noWrap w:val="0"/>
            <w:vAlign w:val="center"/>
          </w:tcPr>
          <w:p>
            <w:pPr>
              <w:pStyle w:val="117"/>
              <w:jc w:val="center"/>
              <w:rPr>
                <w:rFonts w:hint="eastAsia"/>
                <w:sz w:val="22"/>
                <w:szCs w:val="22"/>
              </w:rPr>
            </w:pPr>
            <w:r>
              <w:rPr>
                <w:rFonts w:hint="eastAsia"/>
                <w:w w:val="99"/>
                <w:sz w:val="22"/>
                <w:szCs w:val="22"/>
              </w:rPr>
              <w:t>项</w:t>
            </w:r>
          </w:p>
        </w:tc>
        <w:tc>
          <w:tcPr>
            <w:tcW w:w="650" w:type="dxa"/>
            <w:noWrap w:val="0"/>
            <w:vAlign w:val="center"/>
          </w:tcPr>
          <w:p>
            <w:pPr>
              <w:pStyle w:val="117"/>
              <w:jc w:val="center"/>
              <w:rPr>
                <w:rFonts w:hint="eastAsia"/>
                <w:sz w:val="22"/>
                <w:szCs w:val="22"/>
              </w:rPr>
            </w:pPr>
            <w:r>
              <w:rPr>
                <w:rFonts w:hint="eastAsia"/>
                <w:w w:val="99"/>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9518" w:type="dxa"/>
            <w:gridSpan w:val="5"/>
            <w:noWrap w:val="0"/>
            <w:vAlign w:val="center"/>
          </w:tcPr>
          <w:p>
            <w:pPr>
              <w:pStyle w:val="117"/>
              <w:jc w:val="center"/>
              <w:rPr>
                <w:rFonts w:hint="eastAsia"/>
                <w:w w:val="99"/>
                <w:sz w:val="22"/>
                <w:szCs w:val="22"/>
              </w:rPr>
            </w:pPr>
            <w:r>
              <w:rPr>
                <w:rFonts w:hint="eastAsia"/>
                <w:b/>
                <w:sz w:val="22"/>
                <w:szCs w:val="22"/>
              </w:rPr>
              <w:t>6）动环监控系统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1</w:t>
            </w:r>
          </w:p>
        </w:tc>
        <w:tc>
          <w:tcPr>
            <w:tcW w:w="1380" w:type="dxa"/>
            <w:noWrap w:val="0"/>
            <w:vAlign w:val="center"/>
          </w:tcPr>
          <w:p>
            <w:pPr>
              <w:pStyle w:val="117"/>
              <w:spacing w:before="47"/>
              <w:ind w:left="84" w:right="76"/>
              <w:jc w:val="center"/>
              <w:rPr>
                <w:rFonts w:hint="eastAsia"/>
                <w:sz w:val="22"/>
                <w:szCs w:val="22"/>
              </w:rPr>
            </w:pPr>
            <w:r>
              <w:rPr>
                <w:rFonts w:hint="eastAsia"/>
                <w:sz w:val="22"/>
                <w:szCs w:val="22"/>
              </w:rPr>
              <w:t>温湿度传感器</w:t>
            </w:r>
          </w:p>
        </w:tc>
        <w:tc>
          <w:tcPr>
            <w:tcW w:w="6010" w:type="dxa"/>
            <w:noWrap w:val="0"/>
            <w:vAlign w:val="center"/>
          </w:tcPr>
          <w:p>
            <w:pPr>
              <w:pStyle w:val="117"/>
              <w:spacing w:before="47"/>
              <w:ind w:left="109"/>
              <w:rPr>
                <w:rFonts w:hint="eastAsia"/>
                <w:sz w:val="22"/>
                <w:szCs w:val="22"/>
              </w:rPr>
            </w:pPr>
            <w:r>
              <w:rPr>
                <w:rFonts w:hint="eastAsia"/>
                <w:sz w:val="22"/>
                <w:szCs w:val="22"/>
              </w:rPr>
              <w:t>温湿度传感器</w:t>
            </w:r>
          </w:p>
        </w:tc>
        <w:tc>
          <w:tcPr>
            <w:tcW w:w="850" w:type="dxa"/>
            <w:noWrap w:val="0"/>
            <w:vAlign w:val="center"/>
          </w:tcPr>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r>
              <w:rPr>
                <w:rFonts w:hint="eastAsia"/>
                <w:sz w:val="22"/>
                <w:szCs w:val="22"/>
              </w:rPr>
              <w:t>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2</w:t>
            </w:r>
          </w:p>
        </w:tc>
        <w:tc>
          <w:tcPr>
            <w:tcW w:w="1380" w:type="dxa"/>
            <w:noWrap w:val="0"/>
            <w:vAlign w:val="center"/>
          </w:tcPr>
          <w:p>
            <w:pPr>
              <w:pStyle w:val="117"/>
              <w:spacing w:before="35"/>
              <w:ind w:right="76"/>
              <w:jc w:val="center"/>
              <w:rPr>
                <w:rFonts w:hint="eastAsia"/>
                <w:sz w:val="22"/>
                <w:szCs w:val="22"/>
              </w:rPr>
            </w:pPr>
            <w:r>
              <w:rPr>
                <w:rFonts w:hint="eastAsia"/>
                <w:sz w:val="22"/>
                <w:szCs w:val="22"/>
              </w:rPr>
              <w:t>漏水检测绳（行间空调用）</w:t>
            </w:r>
          </w:p>
        </w:tc>
        <w:tc>
          <w:tcPr>
            <w:tcW w:w="6010" w:type="dxa"/>
            <w:noWrap w:val="0"/>
            <w:vAlign w:val="center"/>
          </w:tcPr>
          <w:p>
            <w:pPr>
              <w:pStyle w:val="117"/>
              <w:spacing w:before="35"/>
              <w:ind w:left="109"/>
              <w:rPr>
                <w:rFonts w:hint="eastAsia"/>
                <w:sz w:val="22"/>
                <w:szCs w:val="22"/>
              </w:rPr>
            </w:pPr>
            <w:r>
              <w:rPr>
                <w:rFonts w:hint="eastAsia"/>
                <w:spacing w:val="-6"/>
                <w:sz w:val="22"/>
                <w:szCs w:val="22"/>
              </w:rPr>
              <w:t xml:space="preserve">带式水浸，检测线 </w:t>
            </w:r>
            <w:r>
              <w:rPr>
                <w:rFonts w:hint="eastAsia"/>
                <w:sz w:val="22"/>
                <w:szCs w:val="22"/>
              </w:rPr>
              <w:t>5</w:t>
            </w:r>
            <w:r>
              <w:rPr>
                <w:rFonts w:hint="eastAsia"/>
                <w:spacing w:val="-16"/>
                <w:sz w:val="22"/>
                <w:szCs w:val="22"/>
              </w:rPr>
              <w:t xml:space="preserve"> 米长，提供 </w:t>
            </w:r>
            <w:r>
              <w:rPr>
                <w:rFonts w:hint="eastAsia"/>
                <w:sz w:val="22"/>
                <w:szCs w:val="22"/>
              </w:rPr>
              <w:t>RJ45</w:t>
            </w:r>
            <w:r>
              <w:rPr>
                <w:rFonts w:hint="eastAsia"/>
                <w:spacing w:val="-8"/>
                <w:sz w:val="22"/>
                <w:szCs w:val="22"/>
              </w:rPr>
              <w:t xml:space="preserve"> 口，每台空调选配一</w:t>
            </w:r>
            <w:r>
              <w:rPr>
                <w:rFonts w:hint="eastAsia"/>
                <w:w w:val="99"/>
                <w:sz w:val="22"/>
                <w:szCs w:val="22"/>
              </w:rPr>
              <w:t>个</w:t>
            </w:r>
          </w:p>
        </w:tc>
        <w:tc>
          <w:tcPr>
            <w:tcW w:w="850" w:type="dxa"/>
            <w:noWrap w:val="0"/>
            <w:vAlign w:val="center"/>
          </w:tcPr>
          <w:p>
            <w:pPr>
              <w:pStyle w:val="117"/>
              <w:jc w:val="center"/>
              <w:rPr>
                <w:rFonts w:hint="eastAsia"/>
                <w:sz w:val="22"/>
                <w:szCs w:val="22"/>
              </w:rPr>
            </w:pPr>
            <w:r>
              <w:rPr>
                <w:rFonts w:hint="eastAsia"/>
                <w:w w:val="99"/>
                <w:sz w:val="22"/>
                <w:szCs w:val="22"/>
              </w:rPr>
              <w:t>根</w:t>
            </w:r>
          </w:p>
        </w:tc>
        <w:tc>
          <w:tcPr>
            <w:tcW w:w="650" w:type="dxa"/>
            <w:noWrap w:val="0"/>
            <w:vAlign w:val="center"/>
          </w:tcPr>
          <w:p>
            <w:pPr>
              <w:pStyle w:val="117"/>
              <w:jc w:val="center"/>
              <w:rPr>
                <w:rFonts w:hint="eastAsia"/>
                <w:sz w:val="22"/>
                <w:szCs w:val="22"/>
              </w:rPr>
            </w:pPr>
            <w:r>
              <w:rPr>
                <w:rFonts w:hint="eastAsia"/>
                <w:w w:val="99"/>
                <w:sz w:val="22"/>
                <w:szCs w:val="22"/>
              </w:rPr>
              <w:t>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3</w:t>
            </w:r>
          </w:p>
        </w:tc>
        <w:tc>
          <w:tcPr>
            <w:tcW w:w="1380" w:type="dxa"/>
            <w:noWrap w:val="0"/>
            <w:vAlign w:val="center"/>
          </w:tcPr>
          <w:p>
            <w:pPr>
              <w:pStyle w:val="117"/>
              <w:spacing w:before="35"/>
              <w:ind w:left="84" w:right="76"/>
              <w:jc w:val="center"/>
              <w:rPr>
                <w:rFonts w:hint="eastAsia"/>
                <w:sz w:val="22"/>
                <w:szCs w:val="22"/>
              </w:rPr>
            </w:pPr>
            <w:r>
              <w:rPr>
                <w:rFonts w:hint="eastAsia"/>
                <w:sz w:val="22"/>
                <w:szCs w:val="22"/>
              </w:rPr>
              <w:t>漏水检测绳（电源间空调用）</w:t>
            </w:r>
          </w:p>
        </w:tc>
        <w:tc>
          <w:tcPr>
            <w:tcW w:w="6010" w:type="dxa"/>
            <w:noWrap w:val="0"/>
            <w:vAlign w:val="center"/>
          </w:tcPr>
          <w:p>
            <w:pPr>
              <w:pStyle w:val="117"/>
              <w:spacing w:before="35"/>
              <w:ind w:left="109"/>
              <w:rPr>
                <w:rFonts w:hint="eastAsia"/>
                <w:sz w:val="22"/>
                <w:szCs w:val="22"/>
              </w:rPr>
            </w:pPr>
            <w:r>
              <w:rPr>
                <w:rFonts w:hint="eastAsia"/>
                <w:spacing w:val="-6"/>
                <w:sz w:val="22"/>
                <w:szCs w:val="22"/>
              </w:rPr>
              <w:t xml:space="preserve">带式水浸，检测线 </w:t>
            </w:r>
            <w:r>
              <w:rPr>
                <w:rFonts w:hint="eastAsia"/>
                <w:sz w:val="22"/>
                <w:szCs w:val="22"/>
              </w:rPr>
              <w:t>5</w:t>
            </w:r>
            <w:r>
              <w:rPr>
                <w:rFonts w:hint="eastAsia"/>
                <w:spacing w:val="-16"/>
                <w:sz w:val="22"/>
                <w:szCs w:val="22"/>
              </w:rPr>
              <w:t xml:space="preserve"> 米长，提供 </w:t>
            </w:r>
            <w:r>
              <w:rPr>
                <w:rFonts w:hint="eastAsia"/>
                <w:sz w:val="22"/>
                <w:szCs w:val="22"/>
              </w:rPr>
              <w:t>RJ45</w:t>
            </w:r>
            <w:r>
              <w:rPr>
                <w:rFonts w:hint="eastAsia"/>
                <w:spacing w:val="-8"/>
                <w:sz w:val="22"/>
                <w:szCs w:val="22"/>
              </w:rPr>
              <w:t xml:space="preserve"> 口，每台空调选配一</w:t>
            </w:r>
            <w:r>
              <w:rPr>
                <w:rFonts w:hint="eastAsia"/>
                <w:w w:val="99"/>
                <w:sz w:val="22"/>
                <w:szCs w:val="22"/>
              </w:rPr>
              <w:t>个</w:t>
            </w:r>
          </w:p>
        </w:tc>
        <w:tc>
          <w:tcPr>
            <w:tcW w:w="850" w:type="dxa"/>
            <w:noWrap w:val="0"/>
            <w:vAlign w:val="center"/>
          </w:tcPr>
          <w:p>
            <w:pPr>
              <w:pStyle w:val="117"/>
              <w:jc w:val="center"/>
              <w:rPr>
                <w:rFonts w:hint="eastAsia"/>
                <w:sz w:val="22"/>
                <w:szCs w:val="22"/>
              </w:rPr>
            </w:pPr>
            <w:r>
              <w:rPr>
                <w:rFonts w:hint="eastAsia"/>
                <w:w w:val="99"/>
                <w:sz w:val="22"/>
                <w:szCs w:val="22"/>
              </w:rPr>
              <w:t>根</w:t>
            </w:r>
          </w:p>
        </w:tc>
        <w:tc>
          <w:tcPr>
            <w:tcW w:w="650" w:type="dxa"/>
            <w:noWrap w:val="0"/>
            <w:vAlign w:val="center"/>
          </w:tcPr>
          <w:p>
            <w:pPr>
              <w:pStyle w:val="117"/>
              <w:jc w:val="center"/>
              <w:rPr>
                <w:rFonts w:hint="eastAsia"/>
                <w:sz w:val="22"/>
                <w:szCs w:val="22"/>
              </w:rPr>
            </w:pPr>
            <w:r>
              <w:rPr>
                <w:rFonts w:hint="eastAsia"/>
                <w:w w:val="99"/>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7"/>
              <w:ind w:left="6"/>
              <w:jc w:val="center"/>
              <w:rPr>
                <w:rFonts w:hint="eastAsia"/>
                <w:sz w:val="22"/>
                <w:szCs w:val="22"/>
              </w:rPr>
            </w:pPr>
            <w:r>
              <w:rPr>
                <w:rFonts w:hint="eastAsia"/>
                <w:w w:val="99"/>
                <w:sz w:val="22"/>
                <w:szCs w:val="22"/>
              </w:rPr>
              <w:t>4</w:t>
            </w:r>
          </w:p>
        </w:tc>
        <w:tc>
          <w:tcPr>
            <w:tcW w:w="1380" w:type="dxa"/>
            <w:noWrap w:val="0"/>
            <w:vAlign w:val="center"/>
          </w:tcPr>
          <w:p>
            <w:pPr>
              <w:pStyle w:val="117"/>
              <w:spacing w:before="47"/>
              <w:ind w:right="78"/>
              <w:jc w:val="center"/>
              <w:rPr>
                <w:rFonts w:hint="eastAsia"/>
                <w:sz w:val="22"/>
                <w:szCs w:val="22"/>
              </w:rPr>
            </w:pPr>
            <w:r>
              <w:rPr>
                <w:rFonts w:hint="eastAsia"/>
                <w:sz w:val="22"/>
                <w:szCs w:val="22"/>
              </w:rPr>
              <w:t>烟感监测</w:t>
            </w:r>
          </w:p>
        </w:tc>
        <w:tc>
          <w:tcPr>
            <w:tcW w:w="6010" w:type="dxa"/>
            <w:noWrap w:val="0"/>
            <w:vAlign w:val="center"/>
          </w:tcPr>
          <w:p>
            <w:pPr>
              <w:pStyle w:val="117"/>
              <w:spacing w:before="47"/>
              <w:ind w:left="109"/>
              <w:rPr>
                <w:rFonts w:hint="eastAsia"/>
                <w:sz w:val="22"/>
                <w:szCs w:val="22"/>
              </w:rPr>
            </w:pPr>
            <w:r>
              <w:rPr>
                <w:rFonts w:hint="eastAsia"/>
                <w:sz w:val="22"/>
                <w:szCs w:val="22"/>
              </w:rPr>
              <w:t>12/24V 兼容烟感传感器</w:t>
            </w:r>
          </w:p>
        </w:tc>
        <w:tc>
          <w:tcPr>
            <w:tcW w:w="850" w:type="dxa"/>
            <w:noWrap w:val="0"/>
            <w:vAlign w:val="center"/>
          </w:tcPr>
          <w:p>
            <w:pPr>
              <w:pStyle w:val="117"/>
              <w:jc w:val="center"/>
              <w:rPr>
                <w:rFonts w:hint="eastAsia"/>
                <w:sz w:val="22"/>
                <w:szCs w:val="22"/>
              </w:rPr>
            </w:pPr>
            <w:r>
              <w:rPr>
                <w:rFonts w:hint="eastAsia"/>
                <w:w w:val="99"/>
                <w:sz w:val="22"/>
                <w:szCs w:val="22"/>
              </w:rPr>
              <w:t>根</w:t>
            </w:r>
          </w:p>
        </w:tc>
        <w:tc>
          <w:tcPr>
            <w:tcW w:w="650" w:type="dxa"/>
            <w:noWrap w:val="0"/>
            <w:vAlign w:val="center"/>
          </w:tcPr>
          <w:p>
            <w:pPr>
              <w:pStyle w:val="117"/>
              <w:jc w:val="center"/>
              <w:rPr>
                <w:rFonts w:hint="eastAsia"/>
                <w:sz w:val="22"/>
                <w:szCs w:val="22"/>
              </w:rPr>
            </w:pPr>
            <w:r>
              <w:rPr>
                <w:rFonts w:hint="eastAsia"/>
                <w:w w:val="99"/>
                <w:sz w:val="22"/>
                <w:szCs w:val="22"/>
              </w:rPr>
              <w:t>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7"/>
              <w:ind w:left="6"/>
              <w:jc w:val="center"/>
              <w:rPr>
                <w:rFonts w:hint="eastAsia"/>
                <w:sz w:val="22"/>
                <w:szCs w:val="22"/>
              </w:rPr>
            </w:pPr>
            <w:r>
              <w:rPr>
                <w:rFonts w:hint="eastAsia"/>
                <w:w w:val="99"/>
                <w:sz w:val="22"/>
                <w:szCs w:val="22"/>
              </w:rPr>
              <w:t>5</w:t>
            </w:r>
          </w:p>
        </w:tc>
        <w:tc>
          <w:tcPr>
            <w:tcW w:w="1380" w:type="dxa"/>
            <w:noWrap w:val="0"/>
            <w:vAlign w:val="center"/>
          </w:tcPr>
          <w:p>
            <w:pPr>
              <w:pStyle w:val="117"/>
              <w:spacing w:before="47"/>
              <w:ind w:right="78"/>
              <w:jc w:val="center"/>
              <w:rPr>
                <w:rFonts w:hint="eastAsia"/>
                <w:sz w:val="22"/>
                <w:szCs w:val="22"/>
              </w:rPr>
            </w:pPr>
            <w:r>
              <w:rPr>
                <w:rFonts w:hint="eastAsia"/>
                <w:sz w:val="22"/>
                <w:szCs w:val="22"/>
              </w:rPr>
              <w:t>红外探测器</w:t>
            </w:r>
          </w:p>
        </w:tc>
        <w:tc>
          <w:tcPr>
            <w:tcW w:w="6010" w:type="dxa"/>
            <w:noWrap w:val="0"/>
            <w:vAlign w:val="center"/>
          </w:tcPr>
          <w:p>
            <w:pPr>
              <w:pStyle w:val="117"/>
              <w:spacing w:before="47"/>
              <w:ind w:left="109"/>
              <w:rPr>
                <w:rFonts w:hint="eastAsia"/>
                <w:sz w:val="22"/>
                <w:szCs w:val="22"/>
              </w:rPr>
            </w:pPr>
            <w:r>
              <w:rPr>
                <w:rFonts w:hint="eastAsia"/>
                <w:sz w:val="22"/>
                <w:szCs w:val="22"/>
              </w:rPr>
              <w:t>智能红外探测器，智能双鉴，探测距离 12m，RJ45 母口，</w:t>
            </w:r>
          </w:p>
        </w:tc>
        <w:tc>
          <w:tcPr>
            <w:tcW w:w="850" w:type="dxa"/>
            <w:noWrap w:val="0"/>
            <w:vAlign w:val="center"/>
          </w:tcPr>
          <w:p>
            <w:pPr>
              <w:pStyle w:val="117"/>
              <w:jc w:val="center"/>
              <w:rPr>
                <w:rFonts w:hint="eastAsia"/>
                <w:sz w:val="22"/>
                <w:szCs w:val="22"/>
              </w:rPr>
            </w:pPr>
            <w:r>
              <w:rPr>
                <w:rFonts w:hint="eastAsia"/>
                <w:w w:val="99"/>
                <w:sz w:val="22"/>
                <w:szCs w:val="22"/>
              </w:rPr>
              <w:t>个</w:t>
            </w:r>
          </w:p>
        </w:tc>
        <w:tc>
          <w:tcPr>
            <w:tcW w:w="650" w:type="dxa"/>
            <w:noWrap w:val="0"/>
            <w:vAlign w:val="center"/>
          </w:tcPr>
          <w:p>
            <w:pPr>
              <w:pStyle w:val="117"/>
              <w:jc w:val="center"/>
              <w:rPr>
                <w:rFonts w:hint="eastAsia"/>
                <w:sz w:val="22"/>
                <w:szCs w:val="22"/>
              </w:rPr>
            </w:pPr>
            <w:r>
              <w:rPr>
                <w:rFonts w:hint="eastAsia"/>
                <w:w w:val="99"/>
                <w:sz w:val="22"/>
                <w:szCs w:val="22"/>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7"/>
              <w:ind w:left="6"/>
              <w:jc w:val="center"/>
              <w:rPr>
                <w:rFonts w:hint="eastAsia"/>
                <w:sz w:val="22"/>
                <w:szCs w:val="22"/>
              </w:rPr>
            </w:pPr>
            <w:r>
              <w:rPr>
                <w:rFonts w:hint="eastAsia"/>
                <w:w w:val="99"/>
                <w:sz w:val="22"/>
                <w:szCs w:val="22"/>
              </w:rPr>
              <w:t>6</w:t>
            </w:r>
          </w:p>
        </w:tc>
        <w:tc>
          <w:tcPr>
            <w:tcW w:w="1380" w:type="dxa"/>
            <w:noWrap w:val="0"/>
            <w:vAlign w:val="center"/>
          </w:tcPr>
          <w:p>
            <w:pPr>
              <w:pStyle w:val="117"/>
              <w:spacing w:before="47"/>
              <w:ind w:right="78"/>
              <w:jc w:val="center"/>
              <w:rPr>
                <w:rFonts w:hint="eastAsia"/>
                <w:sz w:val="22"/>
                <w:szCs w:val="22"/>
              </w:rPr>
            </w:pPr>
            <w:r>
              <w:rPr>
                <w:rFonts w:hint="eastAsia"/>
                <w:sz w:val="22"/>
                <w:szCs w:val="22"/>
              </w:rPr>
              <w:t>SPM 配电监控软件模块</w:t>
            </w:r>
          </w:p>
        </w:tc>
        <w:tc>
          <w:tcPr>
            <w:tcW w:w="6010" w:type="dxa"/>
            <w:noWrap w:val="0"/>
            <w:vAlign w:val="center"/>
          </w:tcPr>
          <w:p>
            <w:pPr>
              <w:pStyle w:val="117"/>
              <w:spacing w:before="47"/>
              <w:ind w:left="109"/>
              <w:rPr>
                <w:rFonts w:hint="eastAsia"/>
                <w:sz w:val="22"/>
                <w:szCs w:val="22"/>
              </w:rPr>
            </w:pPr>
            <w:r>
              <w:rPr>
                <w:rFonts w:hint="eastAsia"/>
                <w:sz w:val="22"/>
                <w:szCs w:val="22"/>
              </w:rPr>
              <w:t>远程查看、记录配电柜参数曲线，参数越限提供报警。</w:t>
            </w:r>
          </w:p>
        </w:tc>
        <w:tc>
          <w:tcPr>
            <w:tcW w:w="850" w:type="dxa"/>
            <w:noWrap w:val="0"/>
            <w:vAlign w:val="center"/>
          </w:tcPr>
          <w:p>
            <w:pPr>
              <w:pStyle w:val="117"/>
              <w:jc w:val="center"/>
              <w:rPr>
                <w:rFonts w:hint="eastAsia"/>
                <w:sz w:val="22"/>
                <w:szCs w:val="22"/>
              </w:rPr>
            </w:pPr>
            <w:r>
              <w:rPr>
                <w:rFonts w:hint="eastAsia"/>
                <w:w w:val="99"/>
                <w:sz w:val="22"/>
                <w:szCs w:val="22"/>
              </w:rPr>
              <w:t>套</w:t>
            </w:r>
          </w:p>
        </w:tc>
        <w:tc>
          <w:tcPr>
            <w:tcW w:w="650" w:type="dxa"/>
            <w:noWrap w:val="0"/>
            <w:vAlign w:val="center"/>
          </w:tcPr>
          <w:p>
            <w:pPr>
              <w:pStyle w:val="117"/>
              <w:jc w:val="center"/>
              <w:rPr>
                <w:rFonts w:hint="eastAsia"/>
                <w:sz w:val="22"/>
                <w:szCs w:val="22"/>
              </w:rPr>
            </w:pPr>
            <w:r>
              <w:rPr>
                <w:rFonts w:hint="eastAsia"/>
                <w:w w:val="99"/>
                <w:sz w:val="22"/>
                <w:szCs w:val="22"/>
              </w:rPr>
              <w:t>1</w:t>
            </w:r>
          </w:p>
        </w:tc>
      </w:tr>
      <w:tr>
        <w:tblPrEx>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2"/>
              <w:jc w:val="center"/>
              <w:rPr>
                <w:rFonts w:hint="eastAsia"/>
                <w:sz w:val="22"/>
                <w:szCs w:val="22"/>
              </w:rPr>
            </w:pPr>
          </w:p>
          <w:p>
            <w:pPr>
              <w:pStyle w:val="117"/>
              <w:ind w:left="6"/>
              <w:jc w:val="center"/>
              <w:rPr>
                <w:rFonts w:hint="eastAsia"/>
                <w:sz w:val="22"/>
                <w:szCs w:val="22"/>
              </w:rPr>
            </w:pPr>
            <w:r>
              <w:rPr>
                <w:rFonts w:hint="eastAsia"/>
                <w:w w:val="99"/>
                <w:sz w:val="22"/>
                <w:szCs w:val="22"/>
              </w:rPr>
              <w:t>7</w:t>
            </w:r>
          </w:p>
        </w:tc>
        <w:tc>
          <w:tcPr>
            <w:tcW w:w="1380" w:type="dxa"/>
            <w:noWrap w:val="0"/>
            <w:vAlign w:val="center"/>
          </w:tcPr>
          <w:p>
            <w:pPr>
              <w:pStyle w:val="117"/>
              <w:ind w:right="78"/>
              <w:jc w:val="center"/>
              <w:rPr>
                <w:rFonts w:hint="eastAsia"/>
                <w:sz w:val="22"/>
                <w:szCs w:val="22"/>
              </w:rPr>
            </w:pPr>
            <w:r>
              <w:rPr>
                <w:rFonts w:hint="eastAsia"/>
                <w:sz w:val="22"/>
                <w:szCs w:val="22"/>
              </w:rPr>
              <w:t>空调监控软件模块</w:t>
            </w:r>
          </w:p>
        </w:tc>
        <w:tc>
          <w:tcPr>
            <w:tcW w:w="6010" w:type="dxa"/>
            <w:noWrap w:val="0"/>
            <w:vAlign w:val="center"/>
          </w:tcPr>
          <w:p>
            <w:pPr>
              <w:pStyle w:val="117"/>
              <w:spacing w:before="35"/>
              <w:ind w:left="109"/>
              <w:rPr>
                <w:rFonts w:hint="eastAsia"/>
                <w:sz w:val="22"/>
                <w:szCs w:val="22"/>
              </w:rPr>
            </w:pPr>
            <w:r>
              <w:rPr>
                <w:rFonts w:hint="eastAsia"/>
                <w:sz w:val="22"/>
                <w:szCs w:val="22"/>
              </w:rPr>
              <w:t>远程查看空调各部件运行参数，并可远程控制和更改空调</w:t>
            </w:r>
          </w:p>
          <w:p>
            <w:pPr>
              <w:pStyle w:val="117"/>
              <w:spacing w:before="35"/>
              <w:ind w:left="109"/>
              <w:rPr>
                <w:rFonts w:hint="eastAsia"/>
                <w:sz w:val="22"/>
                <w:szCs w:val="22"/>
              </w:rPr>
            </w:pPr>
            <w:r>
              <w:rPr>
                <w:rFonts w:hint="eastAsia"/>
                <w:sz w:val="22"/>
                <w:szCs w:val="22"/>
              </w:rPr>
              <w:t>参数；参数越限提供报警。</w:t>
            </w:r>
          </w:p>
        </w:tc>
        <w:tc>
          <w:tcPr>
            <w:tcW w:w="850"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w w:val="99"/>
                <w:sz w:val="22"/>
                <w:szCs w:val="22"/>
              </w:rPr>
              <w:t>套</w:t>
            </w:r>
          </w:p>
        </w:tc>
        <w:tc>
          <w:tcPr>
            <w:tcW w:w="650"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sz w:val="22"/>
                <w:szCs w:val="22"/>
              </w:rPr>
              <w:t>11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9"/>
              <w:ind w:left="6"/>
              <w:jc w:val="center"/>
              <w:rPr>
                <w:rFonts w:hint="eastAsia"/>
                <w:sz w:val="22"/>
                <w:szCs w:val="22"/>
              </w:rPr>
            </w:pPr>
            <w:r>
              <w:rPr>
                <w:rFonts w:hint="eastAsia"/>
                <w:w w:val="99"/>
                <w:sz w:val="22"/>
                <w:szCs w:val="22"/>
              </w:rPr>
              <w:t>8</w:t>
            </w:r>
          </w:p>
        </w:tc>
        <w:tc>
          <w:tcPr>
            <w:tcW w:w="1380" w:type="dxa"/>
            <w:noWrap w:val="0"/>
            <w:vAlign w:val="center"/>
          </w:tcPr>
          <w:p>
            <w:pPr>
              <w:pStyle w:val="117"/>
              <w:spacing w:before="49"/>
              <w:ind w:right="76"/>
              <w:jc w:val="center"/>
              <w:rPr>
                <w:rFonts w:hint="eastAsia"/>
                <w:sz w:val="22"/>
                <w:szCs w:val="22"/>
              </w:rPr>
            </w:pPr>
            <w:r>
              <w:rPr>
                <w:rFonts w:hint="eastAsia"/>
                <w:sz w:val="22"/>
                <w:szCs w:val="22"/>
              </w:rPr>
              <w:t>UPS 监控软件模块</w:t>
            </w:r>
          </w:p>
        </w:tc>
        <w:tc>
          <w:tcPr>
            <w:tcW w:w="6010" w:type="dxa"/>
            <w:noWrap w:val="0"/>
            <w:vAlign w:val="center"/>
          </w:tcPr>
          <w:p>
            <w:pPr>
              <w:pStyle w:val="117"/>
              <w:spacing w:before="49"/>
              <w:ind w:left="109"/>
              <w:rPr>
                <w:rFonts w:hint="eastAsia"/>
                <w:sz w:val="22"/>
                <w:szCs w:val="22"/>
              </w:rPr>
            </w:pPr>
            <w:r>
              <w:rPr>
                <w:rFonts w:hint="eastAsia"/>
                <w:sz w:val="22"/>
                <w:szCs w:val="22"/>
              </w:rPr>
              <w:t>远程查看、记录参数曲线，参数越限提供报警。</w:t>
            </w:r>
          </w:p>
        </w:tc>
        <w:tc>
          <w:tcPr>
            <w:tcW w:w="850" w:type="dxa"/>
            <w:noWrap w:val="0"/>
            <w:vAlign w:val="center"/>
          </w:tcPr>
          <w:p>
            <w:pPr>
              <w:pStyle w:val="117"/>
              <w:jc w:val="center"/>
              <w:rPr>
                <w:rFonts w:hint="eastAsia"/>
                <w:sz w:val="22"/>
                <w:szCs w:val="22"/>
              </w:rPr>
            </w:pPr>
            <w:r>
              <w:rPr>
                <w:rFonts w:hint="eastAsia"/>
                <w:w w:val="99"/>
                <w:sz w:val="22"/>
                <w:szCs w:val="22"/>
              </w:rPr>
              <w:t>套</w:t>
            </w:r>
          </w:p>
        </w:tc>
        <w:tc>
          <w:tcPr>
            <w:tcW w:w="650" w:type="dxa"/>
            <w:noWrap w:val="0"/>
            <w:vAlign w:val="center"/>
          </w:tcPr>
          <w:p>
            <w:pPr>
              <w:pStyle w:val="117"/>
              <w:jc w:val="center"/>
              <w:rPr>
                <w:rFonts w:hint="eastAsia"/>
                <w:sz w:val="22"/>
                <w:szCs w:val="22"/>
              </w:rPr>
            </w:pPr>
            <w:r>
              <w:rPr>
                <w:rFonts w:hint="eastAsia"/>
                <w:w w:val="99"/>
                <w:sz w:val="22"/>
                <w:szCs w:val="22"/>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9</w:t>
            </w:r>
          </w:p>
        </w:tc>
        <w:tc>
          <w:tcPr>
            <w:tcW w:w="1380" w:type="dxa"/>
            <w:noWrap w:val="0"/>
            <w:vAlign w:val="center"/>
          </w:tcPr>
          <w:p>
            <w:pPr>
              <w:pStyle w:val="117"/>
              <w:ind w:right="76"/>
              <w:jc w:val="center"/>
              <w:rPr>
                <w:rFonts w:hint="eastAsia"/>
                <w:sz w:val="22"/>
                <w:szCs w:val="22"/>
              </w:rPr>
            </w:pPr>
            <w:r>
              <w:rPr>
                <w:rFonts w:hint="eastAsia"/>
                <w:sz w:val="22"/>
                <w:szCs w:val="22"/>
              </w:rPr>
              <w:t>四路数字信号采集器</w:t>
            </w:r>
          </w:p>
        </w:tc>
        <w:tc>
          <w:tcPr>
            <w:tcW w:w="6010" w:type="dxa"/>
            <w:noWrap w:val="0"/>
            <w:vAlign w:val="center"/>
          </w:tcPr>
          <w:p>
            <w:pPr>
              <w:pStyle w:val="117"/>
              <w:spacing w:before="37"/>
              <w:ind w:left="109"/>
              <w:rPr>
                <w:rFonts w:hint="eastAsia"/>
                <w:sz w:val="22"/>
                <w:szCs w:val="22"/>
              </w:rPr>
            </w:pPr>
            <w:r>
              <w:rPr>
                <w:rFonts w:hint="eastAsia"/>
                <w:sz w:val="22"/>
                <w:szCs w:val="22"/>
              </w:rPr>
              <w:t>四路数字信号采集器（RJ45 型接口，用于水浸/烟感/红外/门碰传感器等网口型传感器的扩展）</w:t>
            </w:r>
          </w:p>
        </w:tc>
        <w:tc>
          <w:tcPr>
            <w:tcW w:w="850"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w w:val="99"/>
                <w:sz w:val="22"/>
                <w:szCs w:val="22"/>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r>
              <w:rPr>
                <w:rFonts w:hint="eastAsia"/>
                <w:sz w:val="22"/>
                <w:szCs w:val="22"/>
              </w:rPr>
              <w:t>10</w:t>
            </w:r>
          </w:p>
        </w:tc>
        <w:tc>
          <w:tcPr>
            <w:tcW w:w="1380" w:type="dxa"/>
            <w:noWrap w:val="0"/>
            <w:vAlign w:val="center"/>
          </w:tcPr>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ind w:right="78"/>
              <w:jc w:val="center"/>
              <w:rPr>
                <w:rFonts w:hint="eastAsia"/>
                <w:sz w:val="22"/>
                <w:szCs w:val="22"/>
              </w:rPr>
            </w:pPr>
            <w:r>
              <w:rPr>
                <w:rFonts w:hint="eastAsia"/>
                <w:sz w:val="22"/>
                <w:szCs w:val="22"/>
              </w:rPr>
              <w:t>管理监控采集主机</w:t>
            </w:r>
          </w:p>
        </w:tc>
        <w:tc>
          <w:tcPr>
            <w:tcW w:w="6010" w:type="dxa"/>
            <w:noWrap w:val="0"/>
            <w:vAlign w:val="center"/>
          </w:tcPr>
          <w:p>
            <w:pPr>
              <w:pStyle w:val="117"/>
              <w:spacing w:before="35" w:line="304" w:lineRule="auto"/>
              <w:ind w:left="109" w:right="209"/>
              <w:rPr>
                <w:rFonts w:hint="eastAsia"/>
                <w:sz w:val="22"/>
                <w:szCs w:val="22"/>
              </w:rPr>
            </w:pPr>
            <w:r>
              <w:rPr>
                <w:rFonts w:hint="eastAsia"/>
                <w:sz w:val="22"/>
                <w:szCs w:val="22"/>
              </w:rPr>
              <w:t>1</w:t>
            </w:r>
            <w:r>
              <w:rPr>
                <w:rFonts w:hint="eastAsia"/>
                <w:spacing w:val="-6"/>
                <w:sz w:val="22"/>
                <w:szCs w:val="22"/>
              </w:rPr>
              <w:t xml:space="preserve">、监控采集器可实现 </w:t>
            </w:r>
            <w:r>
              <w:rPr>
                <w:rFonts w:hint="eastAsia"/>
                <w:sz w:val="22"/>
                <w:szCs w:val="22"/>
              </w:rPr>
              <w:t>Web</w:t>
            </w:r>
            <w:r>
              <w:rPr>
                <w:rFonts w:hint="eastAsia"/>
                <w:spacing w:val="-8"/>
                <w:sz w:val="22"/>
                <w:szCs w:val="22"/>
              </w:rPr>
              <w:t xml:space="preserve"> 访问、数字量输入</w:t>
            </w:r>
            <w:r>
              <w:rPr>
                <w:rFonts w:hint="eastAsia"/>
                <w:sz w:val="22"/>
                <w:szCs w:val="22"/>
              </w:rPr>
              <w:t>/</w:t>
            </w:r>
            <w:r>
              <w:rPr>
                <w:rFonts w:hint="eastAsia"/>
                <w:spacing w:val="-3"/>
                <w:sz w:val="22"/>
                <w:szCs w:val="22"/>
              </w:rPr>
              <w:t>输出、模拟</w:t>
            </w:r>
            <w:r>
              <w:rPr>
                <w:rFonts w:hint="eastAsia"/>
                <w:sz w:val="22"/>
                <w:szCs w:val="22"/>
              </w:rPr>
              <w:t>量输入/输出、传感器、UPS</w:t>
            </w:r>
            <w:r>
              <w:rPr>
                <w:rFonts w:hint="eastAsia"/>
                <w:spacing w:val="-11"/>
                <w:sz w:val="22"/>
                <w:szCs w:val="22"/>
              </w:rPr>
              <w:t xml:space="preserve">、空调和 </w:t>
            </w:r>
            <w:r>
              <w:rPr>
                <w:rFonts w:hint="eastAsia"/>
                <w:sz w:val="22"/>
                <w:szCs w:val="22"/>
              </w:rPr>
              <w:t>PDU</w:t>
            </w:r>
            <w:r>
              <w:rPr>
                <w:rFonts w:hint="eastAsia"/>
                <w:spacing w:val="-10"/>
                <w:sz w:val="22"/>
                <w:szCs w:val="22"/>
              </w:rPr>
              <w:t xml:space="preserve"> 等设备的接入， </w:t>
            </w:r>
            <w:r>
              <w:rPr>
                <w:rFonts w:hint="eastAsia"/>
                <w:spacing w:val="-17"/>
                <w:sz w:val="22"/>
                <w:szCs w:val="22"/>
              </w:rPr>
              <w:t xml:space="preserve">提供 </w:t>
            </w:r>
            <w:r>
              <w:rPr>
                <w:rFonts w:hint="eastAsia"/>
                <w:sz w:val="22"/>
                <w:szCs w:val="22"/>
              </w:rPr>
              <w:t>USB、显示器口、HDMI</w:t>
            </w:r>
            <w:r>
              <w:rPr>
                <w:rFonts w:hint="eastAsia"/>
                <w:spacing w:val="-15"/>
                <w:sz w:val="22"/>
                <w:szCs w:val="22"/>
              </w:rPr>
              <w:t xml:space="preserve"> 等接口，满足 </w:t>
            </w:r>
            <w:r>
              <w:rPr>
                <w:rFonts w:hint="eastAsia"/>
                <w:sz w:val="22"/>
                <w:szCs w:val="22"/>
              </w:rPr>
              <w:t>TCP/IP、光纤 、RS232/485 组网方式的要求。</w:t>
            </w:r>
          </w:p>
          <w:p>
            <w:pPr>
              <w:pStyle w:val="117"/>
              <w:spacing w:before="70" w:line="304" w:lineRule="auto"/>
              <w:ind w:left="109" w:right="111"/>
              <w:rPr>
                <w:rFonts w:hint="eastAsia"/>
                <w:sz w:val="22"/>
                <w:szCs w:val="22"/>
              </w:rPr>
            </w:pPr>
            <w:r>
              <w:rPr>
                <w:rFonts w:hint="eastAsia"/>
                <w:sz w:val="22"/>
                <w:szCs w:val="22"/>
              </w:rPr>
              <w:t>2、监控采集器应采用双网卡、双电源设计，可将监控采集器对机房物理基础设施信息的采集与向 BMS 楼宇管理系统的上报隔离；</w:t>
            </w:r>
          </w:p>
          <w:p>
            <w:pPr>
              <w:pStyle w:val="117"/>
              <w:spacing w:line="304" w:lineRule="auto"/>
              <w:ind w:left="109" w:right="257"/>
              <w:rPr>
                <w:rFonts w:hint="eastAsia"/>
                <w:sz w:val="22"/>
                <w:szCs w:val="22"/>
              </w:rPr>
            </w:pPr>
            <w:r>
              <w:rPr>
                <w:rFonts w:hint="eastAsia"/>
                <w:sz w:val="22"/>
                <w:szCs w:val="22"/>
              </w:rPr>
              <w:t>3</w:t>
            </w:r>
            <w:r>
              <w:rPr>
                <w:rFonts w:hint="eastAsia"/>
                <w:spacing w:val="-3"/>
                <w:sz w:val="22"/>
                <w:szCs w:val="22"/>
              </w:rPr>
              <w:t xml:space="preserve">、接口和处理能力：接入智能设备的处理能力不少于 </w:t>
            </w:r>
            <w:r>
              <w:rPr>
                <w:rFonts w:hint="eastAsia"/>
                <w:spacing w:val="-6"/>
                <w:sz w:val="22"/>
                <w:szCs w:val="22"/>
              </w:rPr>
              <w:t xml:space="preserve">64 </w:t>
            </w:r>
            <w:r>
              <w:rPr>
                <w:rFonts w:hint="eastAsia"/>
                <w:sz w:val="22"/>
                <w:szCs w:val="22"/>
              </w:rPr>
              <w:t>个，IT</w:t>
            </w:r>
            <w:r>
              <w:rPr>
                <w:rFonts w:hint="eastAsia"/>
                <w:spacing w:val="-12"/>
                <w:sz w:val="22"/>
                <w:szCs w:val="22"/>
              </w:rPr>
              <w:t xml:space="preserve"> 设备接入和管理不少于 </w:t>
            </w:r>
            <w:r>
              <w:rPr>
                <w:rFonts w:hint="eastAsia"/>
                <w:sz w:val="22"/>
                <w:szCs w:val="22"/>
              </w:rPr>
              <w:t>40</w:t>
            </w:r>
            <w:r>
              <w:rPr>
                <w:rFonts w:hint="eastAsia"/>
                <w:spacing w:val="-16"/>
                <w:sz w:val="22"/>
                <w:szCs w:val="22"/>
              </w:rPr>
              <w:t xml:space="preserve"> 个，可管理 </w:t>
            </w:r>
            <w:r>
              <w:rPr>
                <w:rFonts w:hint="eastAsia"/>
                <w:sz w:val="22"/>
                <w:szCs w:val="22"/>
              </w:rPr>
              <w:t>ACS</w:t>
            </w:r>
            <w:r>
              <w:rPr>
                <w:rFonts w:hint="eastAsia"/>
                <w:spacing w:val="-17"/>
                <w:sz w:val="22"/>
                <w:szCs w:val="22"/>
              </w:rPr>
              <w:t xml:space="preserve"> 串口设</w:t>
            </w:r>
            <w:r>
              <w:rPr>
                <w:rFonts w:hint="eastAsia"/>
                <w:spacing w:val="-11"/>
                <w:sz w:val="22"/>
                <w:szCs w:val="22"/>
              </w:rPr>
              <w:t xml:space="preserve">备不少于 </w:t>
            </w:r>
            <w:r>
              <w:rPr>
                <w:rFonts w:hint="eastAsia"/>
                <w:sz w:val="22"/>
                <w:szCs w:val="22"/>
              </w:rPr>
              <w:t>32</w:t>
            </w:r>
            <w:r>
              <w:rPr>
                <w:rFonts w:hint="eastAsia"/>
                <w:spacing w:val="-18"/>
                <w:sz w:val="22"/>
                <w:szCs w:val="22"/>
              </w:rPr>
              <w:t xml:space="preserve"> 个，支持 </w:t>
            </w:r>
            <w:r>
              <w:rPr>
                <w:rFonts w:hint="eastAsia"/>
                <w:sz w:val="22"/>
                <w:szCs w:val="22"/>
              </w:rPr>
              <w:t>1</w:t>
            </w:r>
            <w:r>
              <w:rPr>
                <w:rFonts w:hint="eastAsia"/>
                <w:spacing w:val="-34"/>
                <w:sz w:val="22"/>
                <w:szCs w:val="22"/>
              </w:rPr>
              <w:t xml:space="preserve"> 路 </w:t>
            </w:r>
            <w:r>
              <w:rPr>
                <w:rFonts w:hint="eastAsia"/>
                <w:sz w:val="22"/>
                <w:szCs w:val="22"/>
              </w:rPr>
              <w:t>IPC（IP Camera）摄像头接入</w:t>
            </w:r>
            <w:r>
              <w:rPr>
                <w:rFonts w:hint="eastAsia"/>
                <w:spacing w:val="-26"/>
                <w:sz w:val="22"/>
                <w:szCs w:val="22"/>
              </w:rPr>
              <w:t xml:space="preserve">或 </w:t>
            </w:r>
            <w:r>
              <w:rPr>
                <w:rFonts w:hint="eastAsia"/>
                <w:sz w:val="22"/>
                <w:szCs w:val="22"/>
              </w:rPr>
              <w:t>NVR</w:t>
            </w:r>
            <w:r>
              <w:rPr>
                <w:rFonts w:hint="eastAsia"/>
                <w:spacing w:val="-21"/>
                <w:sz w:val="22"/>
                <w:szCs w:val="22"/>
              </w:rPr>
              <w:t xml:space="preserve"> 方式下 </w:t>
            </w:r>
            <w:r>
              <w:rPr>
                <w:rFonts w:hint="eastAsia"/>
                <w:sz w:val="22"/>
                <w:szCs w:val="22"/>
              </w:rPr>
              <w:t>4</w:t>
            </w:r>
            <w:r>
              <w:rPr>
                <w:rFonts w:hint="eastAsia"/>
                <w:spacing w:val="-8"/>
                <w:sz w:val="22"/>
                <w:szCs w:val="22"/>
              </w:rPr>
              <w:t xml:space="preserve"> 路摄像机接入。</w:t>
            </w:r>
          </w:p>
          <w:p>
            <w:pPr>
              <w:pStyle w:val="117"/>
              <w:spacing w:before="4" w:line="302" w:lineRule="auto"/>
              <w:ind w:left="109" w:right="111"/>
              <w:rPr>
                <w:rFonts w:hint="eastAsia"/>
                <w:sz w:val="22"/>
                <w:szCs w:val="22"/>
              </w:rPr>
            </w:pPr>
            <w:r>
              <w:rPr>
                <w:rFonts w:hint="eastAsia"/>
                <w:sz w:val="22"/>
                <w:szCs w:val="22"/>
              </w:rPr>
              <w:t>4、为节省网络资源，微模块内的各种智能设备（包括但不限于 UPS、行间精密制冷单元、冷通道顶板开启控制器等）及传感器接入监控采集器应全部采用 RS485 串口通信方式，不占用任何 IP 地址。</w:t>
            </w:r>
          </w:p>
        </w:tc>
        <w:tc>
          <w:tcPr>
            <w:tcW w:w="850" w:type="dxa"/>
            <w:noWrap w:val="0"/>
            <w:vAlign w:val="center"/>
          </w:tcPr>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r>
              <w:rPr>
                <w:rFonts w:hint="eastAsia"/>
                <w:w w:val="99"/>
                <w:sz w:val="22"/>
                <w:szCs w:val="22"/>
              </w:rPr>
              <w:t>套</w:t>
            </w:r>
          </w:p>
        </w:tc>
        <w:tc>
          <w:tcPr>
            <w:tcW w:w="650" w:type="dxa"/>
            <w:noWrap w:val="0"/>
            <w:vAlign w:val="center"/>
          </w:tcPr>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r>
              <w:rPr>
                <w:rFonts w:hint="eastAsia"/>
                <w:w w:val="99"/>
                <w:sz w:val="22"/>
                <w:szCs w:val="22"/>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sz w:val="22"/>
                <w:szCs w:val="22"/>
              </w:rPr>
              <w:t>11</w:t>
            </w:r>
          </w:p>
        </w:tc>
        <w:tc>
          <w:tcPr>
            <w:tcW w:w="1380" w:type="dxa"/>
            <w:noWrap w:val="0"/>
            <w:vAlign w:val="center"/>
          </w:tcPr>
          <w:p>
            <w:pPr>
              <w:pStyle w:val="117"/>
              <w:spacing w:before="47"/>
              <w:ind w:right="76"/>
              <w:jc w:val="center"/>
              <w:rPr>
                <w:rFonts w:hint="eastAsia"/>
                <w:sz w:val="22"/>
                <w:szCs w:val="22"/>
              </w:rPr>
            </w:pPr>
            <w:r>
              <w:rPr>
                <w:rFonts w:hint="eastAsia"/>
                <w:sz w:val="22"/>
                <w:szCs w:val="22"/>
              </w:rPr>
              <w:t>采集器扩展卡</w:t>
            </w:r>
          </w:p>
        </w:tc>
        <w:tc>
          <w:tcPr>
            <w:tcW w:w="6010" w:type="dxa"/>
            <w:noWrap w:val="0"/>
            <w:vAlign w:val="center"/>
          </w:tcPr>
          <w:p>
            <w:pPr>
              <w:pStyle w:val="117"/>
              <w:spacing w:before="47"/>
              <w:ind w:left="109"/>
              <w:rPr>
                <w:rFonts w:hint="eastAsia"/>
                <w:sz w:val="22"/>
                <w:szCs w:val="22"/>
              </w:rPr>
            </w:pPr>
            <w:r>
              <w:rPr>
                <w:rFonts w:hint="eastAsia"/>
                <w:sz w:val="22"/>
                <w:szCs w:val="22"/>
              </w:rPr>
              <w:t>智能设备扩展卡，支持 8 个智能设备扩展</w:t>
            </w:r>
          </w:p>
        </w:tc>
        <w:tc>
          <w:tcPr>
            <w:tcW w:w="850" w:type="dxa"/>
            <w:noWrap w:val="0"/>
            <w:vAlign w:val="center"/>
          </w:tcPr>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r>
              <w:rPr>
                <w:rFonts w:hint="eastAsia"/>
                <w:w w:val="99"/>
                <w:sz w:val="22"/>
                <w:szCs w:val="22"/>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sz w:val="22"/>
                <w:szCs w:val="22"/>
              </w:rPr>
              <w:t>12</w:t>
            </w:r>
          </w:p>
        </w:tc>
        <w:tc>
          <w:tcPr>
            <w:tcW w:w="1380" w:type="dxa"/>
            <w:noWrap w:val="0"/>
            <w:vAlign w:val="center"/>
          </w:tcPr>
          <w:p>
            <w:pPr>
              <w:pStyle w:val="117"/>
              <w:jc w:val="center"/>
              <w:rPr>
                <w:rFonts w:hint="eastAsia"/>
                <w:sz w:val="22"/>
                <w:szCs w:val="22"/>
              </w:rPr>
            </w:pPr>
          </w:p>
          <w:p>
            <w:pPr>
              <w:pStyle w:val="117"/>
              <w:spacing w:before="159"/>
              <w:jc w:val="center"/>
              <w:rPr>
                <w:rFonts w:hint="eastAsia"/>
                <w:sz w:val="22"/>
                <w:szCs w:val="22"/>
              </w:rPr>
            </w:pPr>
            <w:r>
              <w:rPr>
                <w:rFonts w:hint="eastAsia"/>
                <w:sz w:val="22"/>
                <w:szCs w:val="22"/>
              </w:rPr>
              <w:t>集中汇总监控主机</w:t>
            </w:r>
          </w:p>
        </w:tc>
        <w:tc>
          <w:tcPr>
            <w:tcW w:w="6010" w:type="dxa"/>
            <w:noWrap w:val="0"/>
            <w:vAlign w:val="center"/>
          </w:tcPr>
          <w:p>
            <w:pPr>
              <w:pStyle w:val="117"/>
              <w:spacing w:before="35"/>
              <w:rPr>
                <w:rFonts w:hint="eastAsia"/>
                <w:sz w:val="22"/>
                <w:szCs w:val="22"/>
              </w:rPr>
            </w:pPr>
            <w:r>
              <w:rPr>
                <w:rFonts w:hint="eastAsia"/>
                <w:sz w:val="22"/>
                <w:szCs w:val="22"/>
              </w:rPr>
              <w:t>1、用于集中管控 2 个微模块，具备汇总管理功能</w:t>
            </w:r>
          </w:p>
          <w:p>
            <w:pPr>
              <w:pStyle w:val="117"/>
              <w:spacing w:before="70"/>
              <w:rPr>
                <w:rFonts w:hint="eastAsia"/>
                <w:sz w:val="22"/>
                <w:szCs w:val="22"/>
              </w:rPr>
            </w:pPr>
            <w:r>
              <w:rPr>
                <w:rFonts w:hint="eastAsia"/>
                <w:sz w:val="22"/>
                <w:szCs w:val="22"/>
              </w:rPr>
              <w:t>2、默认接入采集器数量：128；最大可扩展采集器数量：384； 最大接入设备数量：800； 最大可接入门禁控制器数量：64； 智能摄像头接入能力：64 路； CPU: Intel Core I3-8100 3.6GHz 内存：8GB；硬盘 1TB；电源：单路电源</w:t>
            </w:r>
          </w:p>
        </w:tc>
        <w:tc>
          <w:tcPr>
            <w:tcW w:w="850"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w w:val="99"/>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sz w:val="22"/>
                <w:szCs w:val="22"/>
              </w:rPr>
              <w:t>13</w:t>
            </w:r>
          </w:p>
        </w:tc>
        <w:tc>
          <w:tcPr>
            <w:tcW w:w="1380" w:type="dxa"/>
            <w:noWrap w:val="0"/>
            <w:vAlign w:val="center"/>
          </w:tcPr>
          <w:p>
            <w:pPr>
              <w:pStyle w:val="117"/>
              <w:jc w:val="center"/>
              <w:rPr>
                <w:rFonts w:hint="eastAsia"/>
                <w:sz w:val="22"/>
                <w:szCs w:val="22"/>
              </w:rPr>
            </w:pPr>
          </w:p>
          <w:p>
            <w:pPr>
              <w:pStyle w:val="117"/>
              <w:jc w:val="center"/>
              <w:rPr>
                <w:rFonts w:hint="eastAsia"/>
                <w:sz w:val="22"/>
                <w:szCs w:val="22"/>
              </w:rPr>
            </w:pPr>
          </w:p>
          <w:p>
            <w:pPr>
              <w:pStyle w:val="117"/>
              <w:spacing w:line="302" w:lineRule="auto"/>
              <w:ind w:right="195"/>
              <w:jc w:val="center"/>
              <w:rPr>
                <w:rFonts w:hint="eastAsia"/>
                <w:sz w:val="22"/>
                <w:szCs w:val="22"/>
              </w:rPr>
            </w:pPr>
            <w:r>
              <w:rPr>
                <w:rFonts w:hint="eastAsia"/>
                <w:sz w:val="22"/>
                <w:szCs w:val="22"/>
              </w:rPr>
              <w:t>机房基础设施管理软件</w:t>
            </w:r>
          </w:p>
        </w:tc>
        <w:tc>
          <w:tcPr>
            <w:tcW w:w="6010" w:type="dxa"/>
            <w:noWrap w:val="0"/>
            <w:vAlign w:val="center"/>
          </w:tcPr>
          <w:p>
            <w:pPr>
              <w:pStyle w:val="117"/>
              <w:spacing w:before="35" w:line="304" w:lineRule="auto"/>
              <w:ind w:right="111"/>
              <w:rPr>
                <w:rFonts w:hint="eastAsia"/>
                <w:sz w:val="22"/>
                <w:szCs w:val="22"/>
              </w:rPr>
            </w:pPr>
            <w:r>
              <w:rPr>
                <w:rFonts w:hint="eastAsia"/>
                <w:spacing w:val="-1"/>
                <w:sz w:val="22"/>
                <w:szCs w:val="22"/>
                <w:lang w:val="en-US"/>
              </w:rPr>
              <w:t>1、</w:t>
            </w:r>
            <w:r>
              <w:rPr>
                <w:rFonts w:hint="eastAsia"/>
                <w:spacing w:val="-1"/>
                <w:sz w:val="22"/>
                <w:szCs w:val="22"/>
              </w:rPr>
              <w:t>管理监控系统应能够监控微模块内的各种智能设备(包括但</w:t>
            </w:r>
            <w:r>
              <w:rPr>
                <w:rFonts w:hint="eastAsia"/>
                <w:spacing w:val="-14"/>
                <w:sz w:val="22"/>
                <w:szCs w:val="22"/>
              </w:rPr>
              <w:t xml:space="preserve">不限于 </w:t>
            </w:r>
            <w:r>
              <w:rPr>
                <w:rFonts w:hint="eastAsia"/>
                <w:sz w:val="22"/>
                <w:szCs w:val="22"/>
              </w:rPr>
              <w:t>UPS</w:t>
            </w:r>
            <w:r>
              <w:rPr>
                <w:rFonts w:hint="eastAsia"/>
                <w:spacing w:val="-9"/>
                <w:sz w:val="22"/>
                <w:szCs w:val="22"/>
              </w:rPr>
              <w:t xml:space="preserve"> 和机房空调)的运行情况，以及包括温湿度、漏</w:t>
            </w:r>
            <w:r>
              <w:rPr>
                <w:rFonts w:hint="eastAsia"/>
                <w:sz w:val="22"/>
                <w:szCs w:val="22"/>
              </w:rPr>
              <w:t>水、红外探测、门磁、机房消防告警等在内的各类模拟量和开关量信号，并设定报警阈值。能进行实时的遥测、遥信、遥控和遥调功能，记录和分析相关监控数据，实现网络化的远程监控。</w:t>
            </w:r>
          </w:p>
        </w:tc>
        <w:tc>
          <w:tcPr>
            <w:tcW w:w="850" w:type="dxa"/>
            <w:noWrap w:val="0"/>
            <w:vAlign w:val="center"/>
          </w:tcPr>
          <w:p>
            <w:pPr>
              <w:pStyle w:val="117"/>
              <w:jc w:val="center"/>
              <w:rPr>
                <w:rFonts w:hint="eastAsia"/>
                <w:sz w:val="22"/>
                <w:szCs w:val="22"/>
              </w:rPr>
            </w:pPr>
            <w:r>
              <w:rPr>
                <w:rFonts w:hint="eastAsia"/>
                <w:w w:val="99"/>
                <w:sz w:val="22"/>
                <w:szCs w:val="22"/>
              </w:rPr>
              <w:t>套</w:t>
            </w:r>
          </w:p>
        </w:tc>
        <w:tc>
          <w:tcPr>
            <w:tcW w:w="650" w:type="dxa"/>
            <w:noWrap w:val="0"/>
            <w:vAlign w:val="center"/>
          </w:tcPr>
          <w:p>
            <w:pPr>
              <w:pStyle w:val="117"/>
              <w:jc w:val="center"/>
              <w:rPr>
                <w:rFonts w:hint="eastAsia"/>
                <w:sz w:val="22"/>
                <w:szCs w:val="22"/>
              </w:rPr>
            </w:pPr>
            <w:r>
              <w:rPr>
                <w:rFonts w:hint="eastAsia"/>
                <w:w w:val="99"/>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sz w:val="22"/>
                <w:szCs w:val="22"/>
              </w:rPr>
              <w:t>14</w:t>
            </w:r>
          </w:p>
        </w:tc>
        <w:tc>
          <w:tcPr>
            <w:tcW w:w="1380" w:type="dxa"/>
            <w:noWrap w:val="0"/>
            <w:vAlign w:val="center"/>
          </w:tcPr>
          <w:p>
            <w:pPr>
              <w:pStyle w:val="117"/>
              <w:jc w:val="center"/>
              <w:rPr>
                <w:rFonts w:hint="eastAsia"/>
                <w:sz w:val="22"/>
                <w:szCs w:val="22"/>
              </w:rPr>
            </w:pPr>
            <w:r>
              <w:rPr>
                <w:rFonts w:hint="eastAsia"/>
                <w:sz w:val="22"/>
                <w:szCs w:val="22"/>
              </w:rPr>
              <w:t>3D 可视化管理软件</w:t>
            </w:r>
          </w:p>
        </w:tc>
        <w:tc>
          <w:tcPr>
            <w:tcW w:w="6010" w:type="dxa"/>
            <w:noWrap w:val="0"/>
            <w:vAlign w:val="center"/>
          </w:tcPr>
          <w:p>
            <w:pPr>
              <w:pStyle w:val="117"/>
              <w:spacing w:before="35" w:line="304" w:lineRule="auto"/>
              <w:ind w:right="209"/>
              <w:rPr>
                <w:rFonts w:hint="eastAsia"/>
                <w:sz w:val="22"/>
                <w:szCs w:val="22"/>
              </w:rPr>
            </w:pPr>
            <w:r>
              <w:rPr>
                <w:rFonts w:hint="eastAsia"/>
                <w:sz w:val="22"/>
                <w:szCs w:val="22"/>
              </w:rPr>
              <w:t xml:space="preserve">1、三维主页界面：三维的形式展现整体机房的效果，3D </w:t>
            </w:r>
            <w:r>
              <w:rPr>
                <w:rFonts w:hint="eastAsia"/>
                <w:spacing w:val="-1"/>
                <w:sz w:val="22"/>
                <w:szCs w:val="22"/>
              </w:rPr>
              <w:t>仿真应支持多种视图方式，至少提供正视、俯视、左视和右视五种视图方式。系统应支持以三维的形式展现整体机</w:t>
            </w:r>
            <w:r>
              <w:rPr>
                <w:rFonts w:hint="eastAsia"/>
                <w:sz w:val="22"/>
                <w:szCs w:val="22"/>
              </w:rPr>
              <w:t>房的效果，可以做到镜头拉升,前进/</w:t>
            </w:r>
            <w:r>
              <w:rPr>
                <w:rFonts w:hint="eastAsia"/>
                <w:spacing w:val="-11"/>
                <w:sz w:val="22"/>
                <w:szCs w:val="22"/>
              </w:rPr>
              <w:t xml:space="preserve">后退及以 </w:t>
            </w:r>
            <w:r>
              <w:rPr>
                <w:rFonts w:hint="eastAsia"/>
                <w:sz w:val="22"/>
                <w:szCs w:val="22"/>
              </w:rPr>
              <w:t>360</w:t>
            </w:r>
            <w:r>
              <w:rPr>
                <w:rFonts w:hint="eastAsia"/>
                <w:spacing w:val="-17"/>
                <w:sz w:val="22"/>
                <w:szCs w:val="22"/>
              </w:rPr>
              <w:t xml:space="preserve"> 旋转方</w:t>
            </w:r>
            <w:r>
              <w:rPr>
                <w:rFonts w:hint="eastAsia"/>
                <w:sz w:val="22"/>
                <w:szCs w:val="22"/>
              </w:rPr>
              <w:t>式展示机房及封闭通道。</w:t>
            </w:r>
          </w:p>
          <w:p>
            <w:pPr>
              <w:pStyle w:val="117"/>
              <w:spacing w:before="2" w:line="304" w:lineRule="auto"/>
              <w:ind w:right="110"/>
              <w:rPr>
                <w:rFonts w:hint="eastAsia"/>
                <w:sz w:val="22"/>
                <w:szCs w:val="22"/>
              </w:rPr>
            </w:pPr>
            <w:r>
              <w:rPr>
                <w:rFonts w:hint="eastAsia"/>
                <w:sz w:val="22"/>
                <w:szCs w:val="22"/>
              </w:rPr>
              <w:t>2、可放大缩小,前进/</w:t>
            </w:r>
            <w:r>
              <w:rPr>
                <w:rFonts w:hint="eastAsia"/>
                <w:spacing w:val="-11"/>
                <w:sz w:val="22"/>
                <w:szCs w:val="22"/>
              </w:rPr>
              <w:t xml:space="preserve">后退及以 </w:t>
            </w:r>
            <w:r>
              <w:rPr>
                <w:rFonts w:hint="eastAsia"/>
                <w:sz w:val="22"/>
                <w:szCs w:val="22"/>
              </w:rPr>
              <w:t>360</w:t>
            </w:r>
            <w:r>
              <w:rPr>
                <w:rFonts w:hint="eastAsia"/>
                <w:spacing w:val="-9"/>
                <w:sz w:val="22"/>
                <w:szCs w:val="22"/>
              </w:rPr>
              <w:t xml:space="preserve"> 旋转方式展示封闭通道</w:t>
            </w:r>
            <w:r>
              <w:rPr>
                <w:rFonts w:hint="eastAsia"/>
                <w:sz w:val="22"/>
                <w:szCs w:val="22"/>
              </w:rPr>
              <w:t>及机房。以图形的方式呈现机房的告警和重要运行参数包括：PUE</w:t>
            </w:r>
            <w:r>
              <w:rPr>
                <w:rFonts w:hint="eastAsia"/>
                <w:spacing w:val="-11"/>
                <w:sz w:val="22"/>
                <w:szCs w:val="22"/>
              </w:rPr>
              <w:t xml:space="preserve"> 值、能耗情况、温度曲线。如果通道内部有 </w:t>
            </w:r>
            <w:r>
              <w:rPr>
                <w:rFonts w:hint="eastAsia"/>
                <w:sz w:val="22"/>
                <w:szCs w:val="22"/>
              </w:rPr>
              <w:t>UPS</w:t>
            </w:r>
            <w:r>
              <w:rPr>
                <w:rFonts w:hint="eastAsia"/>
                <w:spacing w:val="-15"/>
                <w:sz w:val="22"/>
                <w:szCs w:val="22"/>
              </w:rPr>
              <w:t>、</w:t>
            </w:r>
            <w:r>
              <w:rPr>
                <w:rFonts w:hint="eastAsia"/>
                <w:sz w:val="22"/>
                <w:szCs w:val="22"/>
              </w:rPr>
              <w:t>空调等设备，需显示设备的主要运行参数。</w:t>
            </w:r>
          </w:p>
        </w:tc>
        <w:tc>
          <w:tcPr>
            <w:tcW w:w="850" w:type="dxa"/>
            <w:noWrap w:val="0"/>
            <w:vAlign w:val="center"/>
          </w:tcPr>
          <w:p>
            <w:pPr>
              <w:pStyle w:val="117"/>
              <w:jc w:val="center"/>
              <w:rPr>
                <w:rFonts w:hint="eastAsia"/>
                <w:sz w:val="22"/>
                <w:szCs w:val="22"/>
              </w:rPr>
            </w:pPr>
            <w:r>
              <w:rPr>
                <w:rFonts w:hint="eastAsia"/>
                <w:w w:val="99"/>
                <w:sz w:val="22"/>
                <w:szCs w:val="22"/>
              </w:rPr>
              <w:t>套</w:t>
            </w:r>
          </w:p>
        </w:tc>
        <w:tc>
          <w:tcPr>
            <w:tcW w:w="650" w:type="dxa"/>
            <w:noWrap w:val="0"/>
            <w:vAlign w:val="center"/>
          </w:tcPr>
          <w:p>
            <w:pPr>
              <w:pStyle w:val="117"/>
              <w:jc w:val="center"/>
              <w:rPr>
                <w:rFonts w:hint="eastAsia"/>
                <w:sz w:val="22"/>
                <w:szCs w:val="22"/>
              </w:rPr>
            </w:pPr>
            <w:r>
              <w:rPr>
                <w:rFonts w:hint="eastAsia"/>
                <w:w w:val="99"/>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line="304" w:lineRule="auto"/>
              <w:ind w:left="109"/>
              <w:jc w:val="center"/>
              <w:rPr>
                <w:rFonts w:hint="eastAsia"/>
                <w:sz w:val="22"/>
                <w:szCs w:val="22"/>
              </w:rPr>
            </w:pPr>
          </w:p>
          <w:p>
            <w:pPr>
              <w:pStyle w:val="117"/>
              <w:spacing w:line="304" w:lineRule="auto"/>
              <w:jc w:val="center"/>
              <w:rPr>
                <w:rFonts w:hint="eastAsia"/>
                <w:sz w:val="22"/>
                <w:szCs w:val="22"/>
              </w:rPr>
            </w:pPr>
            <w:r>
              <w:rPr>
                <w:rFonts w:hint="eastAsia"/>
                <w:sz w:val="22"/>
                <w:szCs w:val="22"/>
              </w:rPr>
              <w:t>15</w:t>
            </w:r>
          </w:p>
        </w:tc>
        <w:tc>
          <w:tcPr>
            <w:tcW w:w="1380" w:type="dxa"/>
            <w:noWrap w:val="0"/>
            <w:vAlign w:val="center"/>
          </w:tcPr>
          <w:p>
            <w:pPr>
              <w:pStyle w:val="117"/>
              <w:spacing w:before="2" w:line="304" w:lineRule="auto"/>
              <w:ind w:left="109" w:right="110"/>
              <w:jc w:val="center"/>
              <w:rPr>
                <w:rFonts w:hint="eastAsia"/>
                <w:sz w:val="22"/>
                <w:szCs w:val="22"/>
              </w:rPr>
            </w:pPr>
          </w:p>
          <w:p>
            <w:pPr>
              <w:pStyle w:val="117"/>
              <w:spacing w:before="2" w:line="304" w:lineRule="auto"/>
              <w:ind w:right="110"/>
              <w:jc w:val="center"/>
              <w:rPr>
                <w:rFonts w:hint="eastAsia"/>
                <w:sz w:val="22"/>
                <w:szCs w:val="22"/>
              </w:rPr>
            </w:pPr>
            <w:r>
              <w:rPr>
                <w:rFonts w:hint="eastAsia"/>
                <w:sz w:val="22"/>
                <w:szCs w:val="22"/>
              </w:rPr>
              <w:t>资产综合管理软件</w:t>
            </w:r>
          </w:p>
        </w:tc>
        <w:tc>
          <w:tcPr>
            <w:tcW w:w="6010" w:type="dxa"/>
            <w:noWrap w:val="0"/>
            <w:vAlign w:val="center"/>
          </w:tcPr>
          <w:p>
            <w:pPr>
              <w:pStyle w:val="117"/>
              <w:spacing w:before="2" w:line="304" w:lineRule="auto"/>
              <w:ind w:left="109" w:right="110"/>
              <w:rPr>
                <w:rFonts w:hint="eastAsia"/>
                <w:sz w:val="22"/>
                <w:szCs w:val="22"/>
              </w:rPr>
            </w:pPr>
            <w:r>
              <w:rPr>
                <w:rFonts w:hint="eastAsia"/>
                <w:sz w:val="22"/>
                <w:szCs w:val="22"/>
              </w:rPr>
              <w:t>1、资产管理软件具备以下功能：新增资产、资产导入、查阅资产、编辑资产、删除资产、资产维保提醒。</w:t>
            </w:r>
          </w:p>
          <w:p>
            <w:pPr>
              <w:pStyle w:val="117"/>
              <w:spacing w:before="2" w:line="304" w:lineRule="auto"/>
              <w:ind w:left="109" w:right="110"/>
              <w:rPr>
                <w:rFonts w:hint="eastAsia"/>
                <w:sz w:val="22"/>
                <w:szCs w:val="22"/>
              </w:rPr>
            </w:pPr>
            <w:r>
              <w:rPr>
                <w:rFonts w:hint="eastAsia"/>
                <w:sz w:val="22"/>
                <w:szCs w:val="22"/>
              </w:rPr>
              <w:t>2、应支持对机架资产的基础信息管理，实现机架电力、空间(U 位)和冷量等纬度的容量管理。系统以 3D 可视化方式展示机架电力、空间和冷量的状况，以及 IT 设施在机架中的 U 位位置信息。资产容量管理可提供在线录入功能。</w:t>
            </w:r>
          </w:p>
        </w:tc>
        <w:tc>
          <w:tcPr>
            <w:tcW w:w="850" w:type="dxa"/>
            <w:noWrap w:val="0"/>
            <w:vAlign w:val="center"/>
          </w:tcPr>
          <w:p>
            <w:pPr>
              <w:pStyle w:val="117"/>
              <w:jc w:val="center"/>
              <w:rPr>
                <w:rFonts w:hint="eastAsia"/>
                <w:sz w:val="22"/>
                <w:szCs w:val="22"/>
              </w:rPr>
            </w:pPr>
            <w:r>
              <w:rPr>
                <w:rFonts w:hint="eastAsia"/>
                <w:sz w:val="22"/>
                <w:szCs w:val="22"/>
              </w:rPr>
              <w:t>套</w:t>
            </w:r>
          </w:p>
        </w:tc>
        <w:tc>
          <w:tcPr>
            <w:tcW w:w="650" w:type="dxa"/>
            <w:noWrap w:val="0"/>
            <w:vAlign w:val="center"/>
          </w:tcPr>
          <w:p>
            <w:pPr>
              <w:pStyle w:val="117"/>
              <w:jc w:val="center"/>
              <w:rPr>
                <w:rFonts w:hint="eastAsia"/>
                <w:sz w:val="22"/>
                <w:szCs w:val="22"/>
              </w:rPr>
            </w:pPr>
            <w:r>
              <w:rPr>
                <w:rFonts w:hint="eastAsia"/>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sz w:val="22"/>
                <w:szCs w:val="22"/>
              </w:rPr>
              <w:t>16</w:t>
            </w:r>
          </w:p>
        </w:tc>
        <w:tc>
          <w:tcPr>
            <w:tcW w:w="1380" w:type="dxa"/>
            <w:noWrap w:val="0"/>
            <w:vAlign w:val="center"/>
          </w:tcPr>
          <w:p>
            <w:pPr>
              <w:pStyle w:val="117"/>
              <w:jc w:val="center"/>
              <w:rPr>
                <w:rFonts w:hint="eastAsia"/>
                <w:sz w:val="22"/>
                <w:szCs w:val="22"/>
              </w:rPr>
            </w:pPr>
          </w:p>
          <w:p>
            <w:pPr>
              <w:pStyle w:val="117"/>
              <w:ind w:right="78"/>
              <w:jc w:val="center"/>
              <w:rPr>
                <w:rFonts w:hint="eastAsia"/>
                <w:sz w:val="22"/>
                <w:szCs w:val="22"/>
              </w:rPr>
            </w:pPr>
            <w:r>
              <w:rPr>
                <w:rFonts w:hint="eastAsia"/>
                <w:sz w:val="22"/>
                <w:szCs w:val="22"/>
              </w:rPr>
              <w:t>机柜容量管理软件</w:t>
            </w:r>
          </w:p>
        </w:tc>
        <w:tc>
          <w:tcPr>
            <w:tcW w:w="6010" w:type="dxa"/>
            <w:noWrap w:val="0"/>
            <w:vAlign w:val="center"/>
          </w:tcPr>
          <w:p>
            <w:pPr>
              <w:pStyle w:val="117"/>
              <w:spacing w:before="35" w:line="304" w:lineRule="auto"/>
              <w:ind w:left="109" w:right="212"/>
              <w:rPr>
                <w:rFonts w:hint="eastAsia"/>
                <w:sz w:val="22"/>
                <w:szCs w:val="22"/>
              </w:rPr>
            </w:pPr>
            <w:r>
              <w:rPr>
                <w:rFonts w:hint="eastAsia"/>
                <w:sz w:val="22"/>
                <w:szCs w:val="22"/>
              </w:rPr>
              <w:t>1</w:t>
            </w:r>
            <w:r>
              <w:rPr>
                <w:rFonts w:hint="eastAsia"/>
                <w:spacing w:val="-4"/>
                <w:sz w:val="22"/>
                <w:szCs w:val="22"/>
              </w:rPr>
              <w:t xml:space="preserve">、以机柜为单位进行容量管理，在 </w:t>
            </w:r>
            <w:r>
              <w:rPr>
                <w:rFonts w:hint="eastAsia"/>
                <w:sz w:val="22"/>
                <w:szCs w:val="22"/>
              </w:rPr>
              <w:t>3D</w:t>
            </w:r>
            <w:r>
              <w:rPr>
                <w:rFonts w:hint="eastAsia"/>
                <w:spacing w:val="-9"/>
                <w:sz w:val="22"/>
                <w:szCs w:val="22"/>
              </w:rPr>
              <w:t xml:space="preserve"> 状态下展示设备名</w:t>
            </w:r>
            <w:r>
              <w:rPr>
                <w:rFonts w:hint="eastAsia"/>
                <w:sz w:val="22"/>
                <w:szCs w:val="22"/>
              </w:rPr>
              <w:t>称，空间占用率，已用空间，总空间。</w:t>
            </w:r>
          </w:p>
          <w:p>
            <w:pPr>
              <w:pStyle w:val="117"/>
              <w:spacing w:before="2" w:line="304" w:lineRule="auto"/>
              <w:ind w:left="109" w:right="209"/>
              <w:rPr>
                <w:rFonts w:hint="eastAsia"/>
                <w:sz w:val="22"/>
                <w:szCs w:val="22"/>
              </w:rPr>
            </w:pPr>
            <w:r>
              <w:rPr>
                <w:rFonts w:hint="eastAsia"/>
                <w:sz w:val="22"/>
                <w:szCs w:val="22"/>
              </w:rPr>
              <w:t>2</w:t>
            </w:r>
            <w:r>
              <w:rPr>
                <w:rFonts w:hint="eastAsia"/>
                <w:spacing w:val="-14"/>
                <w:sz w:val="22"/>
                <w:szCs w:val="22"/>
              </w:rPr>
              <w:t xml:space="preserve">、通过 </w:t>
            </w:r>
            <w:r>
              <w:rPr>
                <w:rFonts w:hint="eastAsia"/>
                <w:sz w:val="22"/>
                <w:szCs w:val="22"/>
              </w:rPr>
              <w:t>3D</w:t>
            </w:r>
            <w:r>
              <w:rPr>
                <w:rFonts w:hint="eastAsia"/>
                <w:spacing w:val="-9"/>
                <w:sz w:val="22"/>
                <w:szCs w:val="22"/>
              </w:rPr>
              <w:t xml:space="preserve"> 颜色区块在机柜内部的占比来展示当前站点下</w:t>
            </w:r>
            <w:r>
              <w:rPr>
                <w:rFonts w:hint="eastAsia"/>
                <w:sz w:val="22"/>
                <w:szCs w:val="22"/>
              </w:rPr>
              <w:t>各个机柜的空间容量的使用情况。</w:t>
            </w:r>
          </w:p>
          <w:p>
            <w:pPr>
              <w:pStyle w:val="117"/>
              <w:spacing w:before="2"/>
              <w:ind w:left="109"/>
              <w:rPr>
                <w:rFonts w:hint="eastAsia"/>
                <w:sz w:val="22"/>
                <w:szCs w:val="22"/>
              </w:rPr>
            </w:pPr>
            <w:r>
              <w:rPr>
                <w:rFonts w:hint="eastAsia"/>
                <w:sz w:val="22"/>
                <w:szCs w:val="22"/>
              </w:rPr>
              <w:t>3、对 IDC 的机柜做管理和呈现，应包含机柜展示，空间容量，机柜能耗，机柜配电，PDU 配电，历史温湿度曲线， 实时温湿度，当前机柜告警和资产列表等内容。</w:t>
            </w:r>
          </w:p>
          <w:p>
            <w:pPr>
              <w:pStyle w:val="117"/>
              <w:spacing w:before="2"/>
              <w:ind w:left="109"/>
              <w:rPr>
                <w:rFonts w:hint="eastAsia"/>
                <w:b/>
                <w:sz w:val="22"/>
                <w:szCs w:val="22"/>
              </w:rPr>
            </w:pPr>
            <w:r>
              <w:rPr>
                <w:rFonts w:hint="eastAsia"/>
                <w:sz w:val="22"/>
                <w:szCs w:val="22"/>
              </w:rPr>
              <w:t>4、对 IDC 的机柜及安装的设备重量数据采集，对机房承重、超重进行告警，展示每个机柜及设备的重量情况及机房的承重情况。</w:t>
            </w:r>
          </w:p>
        </w:tc>
        <w:tc>
          <w:tcPr>
            <w:tcW w:w="850"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w w:val="99"/>
                <w:sz w:val="22"/>
                <w:szCs w:val="22"/>
              </w:rPr>
              <w:t>套</w:t>
            </w:r>
          </w:p>
        </w:tc>
        <w:tc>
          <w:tcPr>
            <w:tcW w:w="650"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w w:val="99"/>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sz w:val="22"/>
                <w:szCs w:val="22"/>
              </w:rPr>
              <w:t>17</w:t>
            </w:r>
          </w:p>
        </w:tc>
        <w:tc>
          <w:tcPr>
            <w:tcW w:w="1380" w:type="dxa"/>
            <w:noWrap w:val="0"/>
            <w:vAlign w:val="center"/>
          </w:tcPr>
          <w:p>
            <w:pPr>
              <w:pStyle w:val="117"/>
              <w:spacing w:before="2"/>
              <w:jc w:val="center"/>
              <w:rPr>
                <w:rFonts w:hint="eastAsia"/>
                <w:sz w:val="22"/>
                <w:szCs w:val="22"/>
              </w:rPr>
            </w:pPr>
          </w:p>
          <w:p>
            <w:pPr>
              <w:pStyle w:val="117"/>
              <w:ind w:right="76"/>
              <w:jc w:val="center"/>
              <w:rPr>
                <w:rFonts w:hint="eastAsia"/>
                <w:sz w:val="22"/>
                <w:szCs w:val="22"/>
              </w:rPr>
            </w:pPr>
            <w:r>
              <w:rPr>
                <w:rFonts w:hint="eastAsia"/>
                <w:sz w:val="22"/>
                <w:szCs w:val="22"/>
              </w:rPr>
              <w:t>短信报警模块</w:t>
            </w:r>
          </w:p>
        </w:tc>
        <w:tc>
          <w:tcPr>
            <w:tcW w:w="6010" w:type="dxa"/>
            <w:noWrap w:val="0"/>
            <w:vAlign w:val="center"/>
          </w:tcPr>
          <w:p>
            <w:pPr>
              <w:pStyle w:val="117"/>
              <w:spacing w:before="35"/>
              <w:rPr>
                <w:rFonts w:hint="eastAsia"/>
                <w:sz w:val="22"/>
                <w:szCs w:val="22"/>
              </w:rPr>
            </w:pPr>
            <w:r>
              <w:rPr>
                <w:rFonts w:hint="eastAsia"/>
                <w:sz w:val="22"/>
                <w:szCs w:val="22"/>
              </w:rPr>
              <w:t>USB 短信猫，支持 GSM and WCDMA，支持彩信（包括文本和PDU 格式）， USB 供电（5VDC，500mA）。</w:t>
            </w:r>
          </w:p>
        </w:tc>
        <w:tc>
          <w:tcPr>
            <w:tcW w:w="850" w:type="dxa"/>
            <w:noWrap w:val="0"/>
            <w:vAlign w:val="center"/>
          </w:tcPr>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r>
              <w:rPr>
                <w:rFonts w:hint="eastAsia"/>
                <w:w w:val="99"/>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r>
              <w:rPr>
                <w:rFonts w:hint="eastAsia"/>
                <w:sz w:val="22"/>
                <w:szCs w:val="22"/>
              </w:rPr>
              <w:t>18</w:t>
            </w:r>
          </w:p>
        </w:tc>
        <w:tc>
          <w:tcPr>
            <w:tcW w:w="1380" w:type="dxa"/>
            <w:noWrap w:val="0"/>
            <w:vAlign w:val="center"/>
          </w:tcPr>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spacing w:before="121"/>
              <w:ind w:right="76"/>
              <w:jc w:val="center"/>
              <w:rPr>
                <w:rFonts w:hint="eastAsia"/>
                <w:sz w:val="22"/>
                <w:szCs w:val="22"/>
              </w:rPr>
            </w:pPr>
            <w:r>
              <w:rPr>
                <w:rFonts w:hint="eastAsia"/>
                <w:sz w:val="22"/>
                <w:szCs w:val="22"/>
              </w:rPr>
              <w:t>微模块管控屏</w:t>
            </w:r>
          </w:p>
        </w:tc>
        <w:tc>
          <w:tcPr>
            <w:tcW w:w="6010" w:type="dxa"/>
            <w:noWrap w:val="0"/>
            <w:vAlign w:val="center"/>
          </w:tcPr>
          <w:p>
            <w:pPr>
              <w:pStyle w:val="117"/>
              <w:spacing w:before="35" w:line="304" w:lineRule="auto"/>
              <w:ind w:left="109" w:right="111"/>
              <w:rPr>
                <w:rFonts w:hint="eastAsia"/>
                <w:sz w:val="22"/>
                <w:szCs w:val="22"/>
              </w:rPr>
            </w:pPr>
            <w:r>
              <w:rPr>
                <w:rFonts w:hint="eastAsia"/>
                <w:sz w:val="22"/>
                <w:szCs w:val="22"/>
              </w:rPr>
              <w:t>1、为方便的实现管理功能，要求模块的一端设置本地维护触摸管控屏。管控屏不小于 15 寸，分辨率不小于1024x768，采用 LED 背光，电容触控方式。</w:t>
            </w:r>
          </w:p>
          <w:p>
            <w:pPr>
              <w:pStyle w:val="117"/>
              <w:spacing w:before="3" w:line="304" w:lineRule="auto"/>
              <w:ind w:left="109" w:right="109"/>
              <w:rPr>
                <w:rFonts w:hint="eastAsia"/>
                <w:sz w:val="22"/>
                <w:szCs w:val="22"/>
              </w:rPr>
            </w:pPr>
            <w:r>
              <w:rPr>
                <w:rFonts w:hint="eastAsia"/>
                <w:sz w:val="22"/>
                <w:szCs w:val="22"/>
              </w:rPr>
              <w:t>2</w:t>
            </w:r>
            <w:r>
              <w:rPr>
                <w:rFonts w:hint="eastAsia"/>
                <w:spacing w:val="-5"/>
                <w:sz w:val="22"/>
                <w:szCs w:val="22"/>
              </w:rPr>
              <w:t xml:space="preserve">、管控屏上显示模块内部 </w:t>
            </w:r>
            <w:r>
              <w:rPr>
                <w:rFonts w:hint="eastAsia"/>
                <w:sz w:val="22"/>
                <w:szCs w:val="22"/>
              </w:rPr>
              <w:t>PUE</w:t>
            </w:r>
            <w:r>
              <w:rPr>
                <w:rFonts w:hint="eastAsia"/>
                <w:spacing w:val="-9"/>
                <w:sz w:val="22"/>
                <w:szCs w:val="22"/>
              </w:rPr>
              <w:t xml:space="preserve"> 值、告警、供电容量、制冷</w:t>
            </w:r>
            <w:r>
              <w:rPr>
                <w:rFonts w:hint="eastAsia"/>
                <w:sz w:val="22"/>
                <w:szCs w:val="22"/>
              </w:rPr>
              <w:t>容量、温场等信息。</w:t>
            </w:r>
          </w:p>
          <w:p>
            <w:pPr>
              <w:pStyle w:val="117"/>
              <w:spacing w:line="304" w:lineRule="auto"/>
              <w:ind w:left="109" w:right="111"/>
              <w:rPr>
                <w:rFonts w:hint="eastAsia"/>
                <w:spacing w:val="-8"/>
                <w:sz w:val="22"/>
                <w:szCs w:val="22"/>
              </w:rPr>
            </w:pPr>
            <w:r>
              <w:rPr>
                <w:rFonts w:hint="eastAsia"/>
                <w:sz w:val="22"/>
                <w:szCs w:val="22"/>
              </w:rPr>
              <w:t>3</w:t>
            </w:r>
            <w:r>
              <w:rPr>
                <w:rFonts w:hint="eastAsia"/>
                <w:spacing w:val="-5"/>
                <w:sz w:val="22"/>
                <w:szCs w:val="22"/>
              </w:rPr>
              <w:t xml:space="preserve">、为确保触摸管控屏 满足 </w:t>
            </w:r>
            <w:r>
              <w:rPr>
                <w:rFonts w:hint="eastAsia"/>
                <w:sz w:val="22"/>
                <w:szCs w:val="22"/>
              </w:rPr>
              <w:t>7×24</w:t>
            </w:r>
            <w:r>
              <w:rPr>
                <w:rFonts w:hint="eastAsia"/>
                <w:spacing w:val="-8"/>
                <w:sz w:val="22"/>
                <w:szCs w:val="22"/>
              </w:rPr>
              <w:t xml:space="preserve"> 小时正常工作，同时为保证系统稳定运行，避免软件和硬件的故障隐患，触摸管控屏必须采用显示屏方式，显示屏连接微模块管控模块。</w:t>
            </w:r>
          </w:p>
          <w:p>
            <w:pPr>
              <w:pStyle w:val="117"/>
              <w:spacing w:line="304" w:lineRule="auto"/>
              <w:ind w:left="109" w:right="111"/>
              <w:rPr>
                <w:rFonts w:hint="eastAsia"/>
                <w:sz w:val="22"/>
                <w:szCs w:val="22"/>
              </w:rPr>
            </w:pPr>
            <w:r>
              <w:rPr>
                <w:rFonts w:hint="eastAsia"/>
                <w:spacing w:val="-8"/>
                <w:sz w:val="22"/>
                <w:szCs w:val="22"/>
              </w:rPr>
              <w:t>4</w:t>
            </w:r>
            <w:r>
              <w:rPr>
                <w:rFonts w:hint="eastAsia"/>
                <w:spacing w:val="-11"/>
                <w:sz w:val="22"/>
                <w:szCs w:val="22"/>
              </w:rPr>
              <w:t xml:space="preserve">、显示屏必须是商用工业级产品，不得采用 </w:t>
            </w:r>
            <w:r>
              <w:rPr>
                <w:rFonts w:hint="eastAsia"/>
                <w:sz w:val="22"/>
                <w:szCs w:val="22"/>
              </w:rPr>
              <w:t>PAD</w:t>
            </w:r>
            <w:r>
              <w:rPr>
                <w:rFonts w:hint="eastAsia"/>
                <w:spacing w:val="-14"/>
                <w:sz w:val="22"/>
                <w:szCs w:val="22"/>
              </w:rPr>
              <w:t xml:space="preserve"> 等民用产</w:t>
            </w:r>
            <w:r>
              <w:rPr>
                <w:rFonts w:hint="eastAsia"/>
                <w:sz w:val="22"/>
                <w:szCs w:val="22"/>
              </w:rPr>
              <w:t>品。</w:t>
            </w:r>
          </w:p>
        </w:tc>
        <w:tc>
          <w:tcPr>
            <w:tcW w:w="850" w:type="dxa"/>
            <w:noWrap w:val="0"/>
            <w:vAlign w:val="center"/>
          </w:tcPr>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r>
              <w:rPr>
                <w:rFonts w:hint="eastAsia"/>
                <w:w w:val="99"/>
                <w:sz w:val="22"/>
                <w:szCs w:val="22"/>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sz w:val="22"/>
                <w:szCs w:val="22"/>
              </w:rPr>
              <w:t>19</w:t>
            </w:r>
          </w:p>
        </w:tc>
        <w:tc>
          <w:tcPr>
            <w:tcW w:w="1380" w:type="dxa"/>
            <w:noWrap w:val="0"/>
            <w:vAlign w:val="center"/>
          </w:tcPr>
          <w:p>
            <w:pPr>
              <w:pStyle w:val="117"/>
              <w:spacing w:before="47"/>
              <w:ind w:left="84" w:right="78"/>
              <w:jc w:val="center"/>
              <w:rPr>
                <w:rFonts w:hint="eastAsia"/>
                <w:sz w:val="22"/>
                <w:szCs w:val="22"/>
              </w:rPr>
            </w:pPr>
            <w:r>
              <w:rPr>
                <w:rFonts w:hint="eastAsia"/>
                <w:sz w:val="22"/>
                <w:szCs w:val="22"/>
              </w:rPr>
              <w:t>管理电脑</w:t>
            </w:r>
          </w:p>
        </w:tc>
        <w:tc>
          <w:tcPr>
            <w:tcW w:w="6010" w:type="dxa"/>
            <w:noWrap w:val="0"/>
            <w:vAlign w:val="center"/>
          </w:tcPr>
          <w:p>
            <w:pPr>
              <w:pStyle w:val="117"/>
              <w:spacing w:before="47"/>
              <w:ind w:left="109"/>
              <w:rPr>
                <w:rFonts w:hint="eastAsia"/>
                <w:sz w:val="22"/>
                <w:szCs w:val="22"/>
              </w:rPr>
            </w:pPr>
            <w:r>
              <w:rPr>
                <w:rFonts w:hint="eastAsia"/>
                <w:sz w:val="22"/>
                <w:szCs w:val="22"/>
              </w:rPr>
              <w:t>I5 8400,8G 内存,1T 硬盘，24 寸显示器</w:t>
            </w:r>
          </w:p>
        </w:tc>
        <w:tc>
          <w:tcPr>
            <w:tcW w:w="850" w:type="dxa"/>
            <w:noWrap w:val="0"/>
            <w:vAlign w:val="center"/>
          </w:tcPr>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r>
              <w:rPr>
                <w:rFonts w:hint="eastAsia"/>
                <w:w w:val="99"/>
                <w:sz w:val="22"/>
                <w:szCs w:val="22"/>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9518" w:type="dxa"/>
            <w:gridSpan w:val="5"/>
            <w:noWrap w:val="0"/>
            <w:vAlign w:val="center"/>
          </w:tcPr>
          <w:p>
            <w:pPr>
              <w:pStyle w:val="117"/>
              <w:spacing w:before="47"/>
              <w:ind w:left="13"/>
              <w:jc w:val="center"/>
              <w:rPr>
                <w:rFonts w:hint="eastAsia"/>
                <w:w w:val="99"/>
                <w:sz w:val="22"/>
                <w:szCs w:val="22"/>
              </w:rPr>
            </w:pPr>
            <w:r>
              <w:rPr>
                <w:rFonts w:hint="eastAsia"/>
                <w:b/>
                <w:sz w:val="22"/>
                <w:szCs w:val="22"/>
              </w:rPr>
              <w:t>7）配电柜系统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7"/>
              <w:ind w:left="6"/>
              <w:jc w:val="center"/>
              <w:rPr>
                <w:rFonts w:hint="eastAsia"/>
                <w:sz w:val="22"/>
                <w:szCs w:val="22"/>
              </w:rPr>
            </w:pPr>
            <w:r>
              <w:rPr>
                <w:rFonts w:hint="eastAsia"/>
                <w:w w:val="99"/>
                <w:sz w:val="22"/>
                <w:szCs w:val="22"/>
              </w:rPr>
              <w:t>1</w:t>
            </w:r>
          </w:p>
        </w:tc>
        <w:tc>
          <w:tcPr>
            <w:tcW w:w="1380" w:type="dxa"/>
            <w:noWrap w:val="0"/>
            <w:vAlign w:val="center"/>
          </w:tcPr>
          <w:p>
            <w:pPr>
              <w:pStyle w:val="117"/>
              <w:spacing w:before="47"/>
              <w:ind w:left="84" w:right="73"/>
              <w:jc w:val="center"/>
              <w:rPr>
                <w:rFonts w:hint="eastAsia"/>
                <w:sz w:val="22"/>
                <w:szCs w:val="22"/>
              </w:rPr>
            </w:pPr>
            <w:r>
              <w:rPr>
                <w:rFonts w:hint="eastAsia"/>
                <w:sz w:val="22"/>
                <w:szCs w:val="22"/>
              </w:rPr>
              <w:t>ATS 配电柜</w:t>
            </w:r>
          </w:p>
        </w:tc>
        <w:tc>
          <w:tcPr>
            <w:tcW w:w="6010" w:type="dxa"/>
            <w:noWrap w:val="0"/>
            <w:vAlign w:val="center"/>
          </w:tcPr>
          <w:p>
            <w:pPr>
              <w:pStyle w:val="117"/>
              <w:spacing w:before="47"/>
              <w:ind w:left="108"/>
              <w:rPr>
                <w:rFonts w:hint="eastAsia"/>
                <w:sz w:val="22"/>
                <w:szCs w:val="22"/>
              </w:rPr>
            </w:pPr>
            <w:r>
              <w:rPr>
                <w:rFonts w:hint="eastAsia"/>
                <w:sz w:val="22"/>
                <w:szCs w:val="22"/>
                <w:lang w:val="en-US" w:eastAsia="zh-CN"/>
              </w:rPr>
              <w:t>优质</w:t>
            </w:r>
            <w:r>
              <w:rPr>
                <w:rFonts w:hint="eastAsia"/>
                <w:sz w:val="22"/>
                <w:szCs w:val="22"/>
              </w:rPr>
              <w:t>元器件，ATS 配电柜定制</w:t>
            </w:r>
          </w:p>
        </w:tc>
        <w:tc>
          <w:tcPr>
            <w:tcW w:w="850" w:type="dxa"/>
            <w:noWrap w:val="0"/>
            <w:vAlign w:val="center"/>
          </w:tcPr>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r>
              <w:rPr>
                <w:rFonts w:hint="eastAsia"/>
                <w:w w:val="99"/>
                <w:sz w:val="22"/>
                <w:szCs w:val="22"/>
              </w:rPr>
              <w:t>1</w:t>
            </w:r>
          </w:p>
        </w:tc>
      </w:tr>
      <w:tr>
        <w:tblPrEx>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7"/>
              <w:ind w:left="6"/>
              <w:jc w:val="center"/>
              <w:rPr>
                <w:rFonts w:hint="eastAsia"/>
                <w:sz w:val="22"/>
                <w:szCs w:val="22"/>
              </w:rPr>
            </w:pPr>
            <w:r>
              <w:rPr>
                <w:rFonts w:hint="eastAsia"/>
                <w:w w:val="99"/>
                <w:sz w:val="22"/>
                <w:szCs w:val="22"/>
              </w:rPr>
              <w:t>2</w:t>
            </w:r>
          </w:p>
        </w:tc>
        <w:tc>
          <w:tcPr>
            <w:tcW w:w="1380" w:type="dxa"/>
            <w:noWrap w:val="0"/>
            <w:vAlign w:val="center"/>
          </w:tcPr>
          <w:p>
            <w:pPr>
              <w:pStyle w:val="117"/>
              <w:spacing w:before="47"/>
              <w:ind w:left="84" w:right="78"/>
              <w:jc w:val="center"/>
              <w:rPr>
                <w:rFonts w:hint="eastAsia"/>
                <w:sz w:val="22"/>
                <w:szCs w:val="22"/>
              </w:rPr>
            </w:pPr>
            <w:r>
              <w:rPr>
                <w:rFonts w:hint="eastAsia"/>
                <w:sz w:val="22"/>
                <w:szCs w:val="22"/>
              </w:rPr>
              <w:t>空调配电柜</w:t>
            </w:r>
          </w:p>
        </w:tc>
        <w:tc>
          <w:tcPr>
            <w:tcW w:w="6010" w:type="dxa"/>
            <w:noWrap w:val="0"/>
            <w:vAlign w:val="center"/>
          </w:tcPr>
          <w:p>
            <w:pPr>
              <w:pStyle w:val="117"/>
              <w:spacing w:before="47"/>
              <w:ind w:left="108"/>
              <w:rPr>
                <w:rFonts w:hint="eastAsia"/>
                <w:sz w:val="22"/>
                <w:szCs w:val="22"/>
              </w:rPr>
            </w:pPr>
            <w:r>
              <w:rPr>
                <w:rFonts w:hint="eastAsia"/>
                <w:sz w:val="22"/>
                <w:szCs w:val="22"/>
                <w:lang w:val="en-US" w:eastAsia="zh-CN"/>
              </w:rPr>
              <w:t>优质</w:t>
            </w:r>
            <w:r>
              <w:rPr>
                <w:rFonts w:hint="eastAsia"/>
                <w:sz w:val="22"/>
                <w:szCs w:val="22"/>
              </w:rPr>
              <w:t>元器件，空调配电柜定制</w:t>
            </w:r>
          </w:p>
        </w:tc>
        <w:tc>
          <w:tcPr>
            <w:tcW w:w="850" w:type="dxa"/>
            <w:noWrap w:val="0"/>
            <w:vAlign w:val="center"/>
          </w:tcPr>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r>
              <w:rPr>
                <w:rFonts w:hint="eastAsia"/>
                <w:w w:val="99"/>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7"/>
              <w:ind w:left="5"/>
              <w:jc w:val="center"/>
              <w:rPr>
                <w:rFonts w:hint="eastAsia"/>
                <w:b/>
                <w:sz w:val="22"/>
                <w:szCs w:val="22"/>
              </w:rPr>
            </w:pPr>
            <w:r>
              <w:rPr>
                <w:rFonts w:hint="eastAsia"/>
                <w:b/>
                <w:w w:val="99"/>
                <w:sz w:val="22"/>
                <w:szCs w:val="22"/>
              </w:rPr>
              <w:t>二</w:t>
            </w:r>
          </w:p>
        </w:tc>
        <w:tc>
          <w:tcPr>
            <w:tcW w:w="1380" w:type="dxa"/>
            <w:noWrap w:val="0"/>
            <w:vAlign w:val="center"/>
          </w:tcPr>
          <w:p>
            <w:pPr>
              <w:pStyle w:val="117"/>
              <w:spacing w:before="47"/>
              <w:ind w:right="71"/>
              <w:jc w:val="center"/>
              <w:rPr>
                <w:rFonts w:hint="eastAsia"/>
                <w:b/>
                <w:sz w:val="22"/>
                <w:szCs w:val="22"/>
              </w:rPr>
            </w:pPr>
            <w:r>
              <w:rPr>
                <w:rFonts w:hint="eastAsia"/>
                <w:b/>
                <w:sz w:val="22"/>
                <w:szCs w:val="22"/>
              </w:rPr>
              <w:t>综合布线系统</w:t>
            </w:r>
          </w:p>
        </w:tc>
        <w:tc>
          <w:tcPr>
            <w:tcW w:w="6010" w:type="dxa"/>
            <w:noWrap w:val="0"/>
            <w:vAlign w:val="center"/>
          </w:tcPr>
          <w:p>
            <w:pPr>
              <w:pStyle w:val="117"/>
              <w:rPr>
                <w:rFonts w:hint="eastAsia"/>
                <w:sz w:val="22"/>
                <w:szCs w:val="22"/>
              </w:rPr>
            </w:pPr>
          </w:p>
        </w:tc>
        <w:tc>
          <w:tcPr>
            <w:tcW w:w="850" w:type="dxa"/>
            <w:noWrap w:val="0"/>
            <w:vAlign w:val="center"/>
          </w:tcPr>
          <w:p>
            <w:pPr>
              <w:pStyle w:val="117"/>
              <w:jc w:val="center"/>
              <w:rPr>
                <w:rFonts w:hint="eastAsia"/>
                <w:sz w:val="22"/>
                <w:szCs w:val="22"/>
              </w:rPr>
            </w:pPr>
          </w:p>
        </w:tc>
        <w:tc>
          <w:tcPr>
            <w:tcW w:w="650" w:type="dxa"/>
            <w:noWrap w:val="0"/>
            <w:vAlign w:val="center"/>
          </w:tcPr>
          <w:p>
            <w:pPr>
              <w:pStyle w:val="117"/>
              <w:jc w:val="center"/>
              <w:rPr>
                <w:rFonts w:hint="eastAsia"/>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141"/>
              <w:jc w:val="center"/>
              <w:rPr>
                <w:rFonts w:hint="eastAsia"/>
                <w:sz w:val="22"/>
                <w:szCs w:val="22"/>
              </w:rPr>
            </w:pPr>
            <w:r>
              <w:rPr>
                <w:rFonts w:hint="eastAsia"/>
                <w:w w:val="99"/>
                <w:sz w:val="22"/>
                <w:szCs w:val="22"/>
              </w:rPr>
              <w:t>1</w:t>
            </w:r>
          </w:p>
        </w:tc>
        <w:tc>
          <w:tcPr>
            <w:tcW w:w="1380" w:type="dxa"/>
            <w:noWrap w:val="0"/>
            <w:vAlign w:val="center"/>
          </w:tcPr>
          <w:p>
            <w:pPr>
              <w:pStyle w:val="117"/>
              <w:spacing w:before="47"/>
              <w:ind w:left="108"/>
              <w:jc w:val="center"/>
              <w:rPr>
                <w:rFonts w:hint="eastAsia"/>
                <w:sz w:val="22"/>
                <w:szCs w:val="22"/>
              </w:rPr>
            </w:pPr>
          </w:p>
          <w:p>
            <w:pPr>
              <w:pStyle w:val="117"/>
              <w:spacing w:before="47"/>
              <w:jc w:val="center"/>
              <w:rPr>
                <w:rFonts w:hint="eastAsia"/>
                <w:sz w:val="22"/>
                <w:szCs w:val="22"/>
              </w:rPr>
            </w:pPr>
            <w:r>
              <w:rPr>
                <w:rFonts w:hint="eastAsia"/>
                <w:sz w:val="22"/>
                <w:szCs w:val="22"/>
              </w:rPr>
              <w:t>24 芯室内多模光缆</w:t>
            </w:r>
          </w:p>
        </w:tc>
        <w:tc>
          <w:tcPr>
            <w:tcW w:w="6010" w:type="dxa"/>
            <w:noWrap w:val="0"/>
            <w:vAlign w:val="center"/>
          </w:tcPr>
          <w:p>
            <w:pPr>
              <w:pStyle w:val="117"/>
              <w:spacing w:before="47"/>
              <w:rPr>
                <w:rFonts w:hint="eastAsia"/>
                <w:sz w:val="22"/>
                <w:szCs w:val="22"/>
              </w:rPr>
            </w:pPr>
            <w:r>
              <w:rPr>
                <w:rFonts w:hint="eastAsia"/>
                <w:sz w:val="22"/>
                <w:szCs w:val="22"/>
                <w:lang w:val="en-US"/>
              </w:rPr>
              <w:t>1、</w:t>
            </w:r>
            <w:r>
              <w:rPr>
                <w:rFonts w:hint="eastAsia"/>
                <w:sz w:val="22"/>
                <w:szCs w:val="22"/>
              </w:rPr>
              <w:t>护套材质：PVC/ LSZH（水绿色） 光缆外径：4.7-6.3mm。</w:t>
            </w:r>
          </w:p>
          <w:p>
            <w:pPr>
              <w:pStyle w:val="117"/>
              <w:spacing w:before="47"/>
              <w:rPr>
                <w:rFonts w:hint="eastAsia"/>
                <w:sz w:val="22"/>
                <w:szCs w:val="22"/>
              </w:rPr>
            </w:pPr>
            <w:r>
              <w:rPr>
                <w:rFonts w:hint="eastAsia"/>
                <w:sz w:val="22"/>
                <w:szCs w:val="22"/>
                <w:lang w:val="en-US"/>
              </w:rPr>
              <w:t>2、</w:t>
            </w:r>
            <w:r>
              <w:rPr>
                <w:rFonts w:hint="eastAsia"/>
                <w:sz w:val="22"/>
                <w:szCs w:val="22"/>
              </w:rPr>
              <w:t>光缆重量：15.0-57.2kg/km 涂层直径：245±1μm。</w:t>
            </w:r>
          </w:p>
          <w:p>
            <w:pPr>
              <w:pStyle w:val="117"/>
              <w:spacing w:before="47"/>
              <w:rPr>
                <w:rFonts w:hint="eastAsia"/>
                <w:sz w:val="22"/>
                <w:szCs w:val="22"/>
              </w:rPr>
            </w:pPr>
            <w:r>
              <w:rPr>
                <w:rFonts w:hint="eastAsia"/>
                <w:sz w:val="22"/>
                <w:szCs w:val="22"/>
                <w:lang w:val="en-US"/>
              </w:rPr>
              <w:t>3、</w:t>
            </w:r>
            <w:r>
              <w:rPr>
                <w:rFonts w:hint="eastAsia"/>
                <w:sz w:val="22"/>
                <w:szCs w:val="22"/>
              </w:rPr>
              <w:t>包层直径：125±2.0μm 纤芯直径：50±2.5m。</w:t>
            </w:r>
          </w:p>
          <w:p>
            <w:pPr>
              <w:pStyle w:val="117"/>
              <w:spacing w:before="47"/>
              <w:rPr>
                <w:rFonts w:hint="eastAsia"/>
                <w:sz w:val="22"/>
                <w:szCs w:val="22"/>
              </w:rPr>
            </w:pPr>
            <w:r>
              <w:rPr>
                <w:rFonts w:hint="eastAsia"/>
                <w:sz w:val="22"/>
                <w:szCs w:val="22"/>
                <w:lang w:val="en-US"/>
              </w:rPr>
              <w:t>4、</w:t>
            </w:r>
            <w:r>
              <w:rPr>
                <w:rFonts w:hint="eastAsia"/>
                <w:sz w:val="22"/>
                <w:szCs w:val="22"/>
              </w:rPr>
              <w:t>纤芯颜色：蓝、橙、绿、棕、灰、白、红、黑、黄、紫、粉红、青绿。</w:t>
            </w:r>
          </w:p>
          <w:p>
            <w:pPr>
              <w:pStyle w:val="117"/>
              <w:spacing w:before="47"/>
              <w:rPr>
                <w:rFonts w:hint="eastAsia"/>
                <w:sz w:val="22"/>
                <w:szCs w:val="22"/>
              </w:rPr>
            </w:pPr>
            <w:r>
              <w:rPr>
                <w:rFonts w:hint="eastAsia"/>
                <w:sz w:val="22"/>
                <w:szCs w:val="22"/>
                <w:lang w:val="en-US"/>
              </w:rPr>
              <w:t>5、</w:t>
            </w:r>
            <w:r>
              <w:rPr>
                <w:rFonts w:hint="eastAsia"/>
                <w:sz w:val="22"/>
                <w:szCs w:val="22"/>
              </w:rPr>
              <w:t>衰减系数：@850nm≤3.50dB/km；@1300≤2.20dB/km 光纤类型：OM3 多模光纤。</w:t>
            </w:r>
          </w:p>
          <w:p>
            <w:pPr>
              <w:pStyle w:val="117"/>
              <w:spacing w:before="47"/>
              <w:rPr>
                <w:rFonts w:hint="eastAsia"/>
                <w:sz w:val="22"/>
                <w:szCs w:val="22"/>
              </w:rPr>
            </w:pPr>
            <w:r>
              <w:rPr>
                <w:rFonts w:hint="eastAsia"/>
                <w:sz w:val="22"/>
                <w:szCs w:val="22"/>
                <w:lang w:val="en-US"/>
              </w:rPr>
              <w:t>6、</w:t>
            </w:r>
            <w:r>
              <w:rPr>
                <w:rFonts w:hint="eastAsia"/>
                <w:sz w:val="22"/>
                <w:szCs w:val="22"/>
              </w:rPr>
              <w:t>10Gbps 应用距离:150 万兆多模≤150 米，300 万兆多模≤300 米。</w:t>
            </w:r>
          </w:p>
          <w:p>
            <w:pPr>
              <w:pStyle w:val="117"/>
              <w:spacing w:before="47"/>
              <w:rPr>
                <w:rFonts w:hint="eastAsia"/>
                <w:sz w:val="22"/>
                <w:szCs w:val="22"/>
              </w:rPr>
            </w:pPr>
            <w:r>
              <w:rPr>
                <w:rFonts w:hint="eastAsia"/>
                <w:sz w:val="22"/>
                <w:szCs w:val="22"/>
                <w:lang w:val="en-US"/>
              </w:rPr>
              <w:t>7、</w:t>
            </w:r>
            <w:r>
              <w:rPr>
                <w:rFonts w:hint="eastAsia"/>
                <w:sz w:val="22"/>
                <w:szCs w:val="22"/>
              </w:rPr>
              <w:t>满注入带宽：@850nm≧1500MHz ；@1300≧500MHz 光纤衰减不均匀性：≤0.1dB。</w:t>
            </w:r>
          </w:p>
          <w:p>
            <w:pPr>
              <w:pStyle w:val="117"/>
              <w:spacing w:before="47"/>
              <w:rPr>
                <w:rFonts w:hint="eastAsia"/>
                <w:sz w:val="22"/>
                <w:szCs w:val="22"/>
              </w:rPr>
            </w:pPr>
            <w:r>
              <w:rPr>
                <w:rFonts w:hint="eastAsia"/>
                <w:sz w:val="22"/>
                <w:szCs w:val="22"/>
                <w:lang w:val="en-US"/>
              </w:rPr>
              <w:t>8、</w:t>
            </w:r>
            <w:r>
              <w:rPr>
                <w:rFonts w:hint="eastAsia"/>
                <w:sz w:val="22"/>
                <w:szCs w:val="22"/>
              </w:rPr>
              <w:t>宏弯损耗：@（100 圈 75mm 直径）≤0.50dB 敷设方式：室内穿管、桥架敷设。</w:t>
            </w:r>
          </w:p>
          <w:p>
            <w:pPr>
              <w:pStyle w:val="117"/>
              <w:spacing w:before="47"/>
              <w:rPr>
                <w:rFonts w:hint="eastAsia"/>
                <w:sz w:val="22"/>
                <w:szCs w:val="22"/>
              </w:rPr>
            </w:pPr>
            <w:r>
              <w:rPr>
                <w:rFonts w:hint="eastAsia"/>
                <w:sz w:val="22"/>
                <w:szCs w:val="22"/>
                <w:lang w:val="en-US"/>
              </w:rPr>
              <w:t>9、</w:t>
            </w:r>
            <w:r>
              <w:rPr>
                <w:rFonts w:hint="eastAsia"/>
                <w:sz w:val="22"/>
                <w:szCs w:val="22"/>
              </w:rPr>
              <w:t>敷设最小弯曲半径：动态弯曲半径≥20 倍光缆外径静态弯曲半径≥10 倍光缆外径。</w:t>
            </w:r>
          </w:p>
          <w:p>
            <w:pPr>
              <w:pStyle w:val="117"/>
              <w:spacing w:before="47"/>
              <w:rPr>
                <w:rFonts w:hint="eastAsia"/>
                <w:sz w:val="22"/>
                <w:szCs w:val="22"/>
              </w:rPr>
            </w:pPr>
            <w:r>
              <w:rPr>
                <w:rFonts w:hint="eastAsia"/>
                <w:sz w:val="22"/>
                <w:szCs w:val="22"/>
                <w:lang w:val="en-US"/>
              </w:rPr>
              <w:t>10、</w:t>
            </w:r>
            <w:r>
              <w:rPr>
                <w:rFonts w:hint="eastAsia"/>
                <w:sz w:val="22"/>
                <w:szCs w:val="22"/>
              </w:rPr>
              <w:t>施工温度：0～40℃，使用温度：-10～60℃。</w:t>
            </w:r>
          </w:p>
        </w:tc>
        <w:tc>
          <w:tcPr>
            <w:tcW w:w="850"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w w:val="99"/>
                <w:sz w:val="22"/>
                <w:szCs w:val="22"/>
              </w:rPr>
              <w:t>m</w:t>
            </w:r>
          </w:p>
        </w:tc>
        <w:tc>
          <w:tcPr>
            <w:tcW w:w="650"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sz w:val="22"/>
                <w:szCs w:val="22"/>
              </w:rPr>
              <w:t>200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7"/>
              <w:jc w:val="center"/>
              <w:rPr>
                <w:rFonts w:hint="eastAsia"/>
                <w:sz w:val="22"/>
                <w:szCs w:val="22"/>
              </w:rPr>
            </w:pPr>
            <w:r>
              <w:rPr>
                <w:rFonts w:hint="eastAsia"/>
                <w:sz w:val="22"/>
                <w:szCs w:val="22"/>
              </w:rPr>
              <w:t>2</w:t>
            </w:r>
          </w:p>
        </w:tc>
        <w:tc>
          <w:tcPr>
            <w:tcW w:w="1380" w:type="dxa"/>
            <w:noWrap w:val="0"/>
            <w:vAlign w:val="center"/>
          </w:tcPr>
          <w:p>
            <w:pPr>
              <w:pStyle w:val="117"/>
              <w:spacing w:before="47"/>
              <w:ind w:left="108"/>
              <w:jc w:val="center"/>
              <w:rPr>
                <w:rFonts w:hint="eastAsia"/>
                <w:sz w:val="22"/>
                <w:szCs w:val="22"/>
              </w:rPr>
            </w:pPr>
          </w:p>
          <w:p>
            <w:pPr>
              <w:pStyle w:val="117"/>
              <w:spacing w:before="47"/>
              <w:jc w:val="center"/>
              <w:rPr>
                <w:rFonts w:hint="eastAsia"/>
                <w:sz w:val="22"/>
                <w:szCs w:val="22"/>
              </w:rPr>
            </w:pPr>
            <w:r>
              <w:rPr>
                <w:rFonts w:hint="eastAsia"/>
                <w:sz w:val="22"/>
                <w:szCs w:val="22"/>
              </w:rPr>
              <w:t>12 芯室内多模光缆</w:t>
            </w:r>
          </w:p>
        </w:tc>
        <w:tc>
          <w:tcPr>
            <w:tcW w:w="6010" w:type="dxa"/>
            <w:noWrap w:val="0"/>
            <w:vAlign w:val="center"/>
          </w:tcPr>
          <w:p>
            <w:pPr>
              <w:pStyle w:val="117"/>
              <w:spacing w:before="47"/>
              <w:rPr>
                <w:rFonts w:hint="eastAsia"/>
                <w:sz w:val="22"/>
                <w:szCs w:val="22"/>
              </w:rPr>
            </w:pPr>
            <w:r>
              <w:rPr>
                <w:rFonts w:hint="eastAsia"/>
                <w:sz w:val="22"/>
                <w:szCs w:val="22"/>
                <w:lang w:val="en-US"/>
              </w:rPr>
              <w:t>1、</w:t>
            </w:r>
            <w:r>
              <w:rPr>
                <w:rFonts w:hint="eastAsia"/>
                <w:sz w:val="22"/>
                <w:szCs w:val="22"/>
              </w:rPr>
              <w:t>护套材质：PVC/ LSZH（水绿色） 光缆外径：4.7-6.3mm。</w:t>
            </w:r>
          </w:p>
          <w:p>
            <w:pPr>
              <w:pStyle w:val="117"/>
              <w:spacing w:before="47"/>
              <w:rPr>
                <w:rFonts w:hint="eastAsia"/>
                <w:sz w:val="22"/>
                <w:szCs w:val="22"/>
              </w:rPr>
            </w:pPr>
            <w:r>
              <w:rPr>
                <w:rFonts w:hint="eastAsia"/>
                <w:sz w:val="22"/>
                <w:szCs w:val="22"/>
                <w:lang w:val="en-US"/>
              </w:rPr>
              <w:t>2、</w:t>
            </w:r>
            <w:r>
              <w:rPr>
                <w:rFonts w:hint="eastAsia"/>
                <w:sz w:val="22"/>
                <w:szCs w:val="22"/>
              </w:rPr>
              <w:t>光缆重量：15.0-57.2kg/km 涂层直径：245±10μm。</w:t>
            </w:r>
          </w:p>
          <w:p>
            <w:pPr>
              <w:pStyle w:val="117"/>
              <w:spacing w:before="47"/>
              <w:rPr>
                <w:rFonts w:hint="eastAsia"/>
                <w:sz w:val="22"/>
                <w:szCs w:val="22"/>
              </w:rPr>
            </w:pPr>
            <w:r>
              <w:rPr>
                <w:rFonts w:hint="eastAsia"/>
                <w:sz w:val="22"/>
                <w:szCs w:val="22"/>
                <w:lang w:val="en-US"/>
              </w:rPr>
              <w:t>3、</w:t>
            </w:r>
            <w:r>
              <w:rPr>
                <w:rFonts w:hint="eastAsia"/>
                <w:sz w:val="22"/>
                <w:szCs w:val="22"/>
              </w:rPr>
              <w:t>包层直径：125±2.0μm 纤芯直径：50±2.5μm。</w:t>
            </w:r>
          </w:p>
          <w:p>
            <w:pPr>
              <w:pStyle w:val="117"/>
              <w:spacing w:before="47"/>
              <w:rPr>
                <w:rFonts w:hint="eastAsia"/>
                <w:sz w:val="22"/>
                <w:szCs w:val="22"/>
              </w:rPr>
            </w:pPr>
            <w:r>
              <w:rPr>
                <w:rFonts w:hint="eastAsia"/>
                <w:sz w:val="22"/>
                <w:szCs w:val="22"/>
                <w:lang w:val="en-US"/>
              </w:rPr>
              <w:t>4、</w:t>
            </w:r>
            <w:r>
              <w:rPr>
                <w:rFonts w:hint="eastAsia"/>
                <w:sz w:val="22"/>
                <w:szCs w:val="22"/>
              </w:rPr>
              <w:t>纤芯颜色：蓝、橙、绿、棕、灰、白、红、黑、黄、紫、粉红、青绿。</w:t>
            </w:r>
          </w:p>
          <w:p>
            <w:pPr>
              <w:pStyle w:val="117"/>
              <w:spacing w:before="47"/>
              <w:rPr>
                <w:rFonts w:hint="eastAsia"/>
                <w:sz w:val="22"/>
                <w:szCs w:val="22"/>
              </w:rPr>
            </w:pPr>
            <w:r>
              <w:rPr>
                <w:rFonts w:hint="eastAsia"/>
                <w:sz w:val="22"/>
                <w:szCs w:val="22"/>
                <w:lang w:val="en-US"/>
              </w:rPr>
              <w:t>5、</w:t>
            </w:r>
            <w:r>
              <w:rPr>
                <w:rFonts w:hint="eastAsia"/>
                <w:sz w:val="22"/>
                <w:szCs w:val="22"/>
              </w:rPr>
              <w:t>衰减系数：@850nm≤3.50dB/km；@1300≤2.20dB/km 光纤类型：OM3 多模光纤。</w:t>
            </w:r>
          </w:p>
          <w:p>
            <w:pPr>
              <w:pStyle w:val="117"/>
              <w:spacing w:before="47"/>
              <w:rPr>
                <w:rFonts w:hint="eastAsia"/>
                <w:sz w:val="22"/>
                <w:szCs w:val="22"/>
              </w:rPr>
            </w:pPr>
            <w:r>
              <w:rPr>
                <w:rFonts w:hint="eastAsia"/>
                <w:sz w:val="22"/>
                <w:szCs w:val="22"/>
                <w:lang w:val="en-US"/>
              </w:rPr>
              <w:t>6、</w:t>
            </w:r>
            <w:r>
              <w:rPr>
                <w:rFonts w:hint="eastAsia"/>
                <w:sz w:val="22"/>
                <w:szCs w:val="22"/>
              </w:rPr>
              <w:t>10Gbps 应用距离:150 万兆多模≤150 米，300 万兆多模≤300 米。</w:t>
            </w:r>
          </w:p>
          <w:p>
            <w:pPr>
              <w:pStyle w:val="117"/>
              <w:spacing w:before="47"/>
              <w:rPr>
                <w:rFonts w:hint="eastAsia"/>
                <w:sz w:val="22"/>
                <w:szCs w:val="22"/>
              </w:rPr>
            </w:pPr>
            <w:r>
              <w:rPr>
                <w:rFonts w:hint="eastAsia"/>
                <w:sz w:val="22"/>
                <w:szCs w:val="22"/>
                <w:lang w:val="en-US"/>
              </w:rPr>
              <w:t>7、</w:t>
            </w:r>
            <w:r>
              <w:rPr>
                <w:rFonts w:hint="eastAsia"/>
                <w:sz w:val="22"/>
                <w:szCs w:val="22"/>
              </w:rPr>
              <w:t>满注入带宽：@850nm≧1500MHz ；@1300≧500MHz 光纤衰减不均匀性：≤0.1dB。</w:t>
            </w:r>
          </w:p>
          <w:p>
            <w:pPr>
              <w:pStyle w:val="117"/>
              <w:spacing w:before="47"/>
              <w:rPr>
                <w:rFonts w:hint="eastAsia"/>
                <w:sz w:val="22"/>
                <w:szCs w:val="22"/>
              </w:rPr>
            </w:pPr>
            <w:r>
              <w:rPr>
                <w:rFonts w:hint="eastAsia"/>
                <w:sz w:val="22"/>
                <w:szCs w:val="22"/>
                <w:lang w:val="en-US"/>
              </w:rPr>
              <w:t>8、</w:t>
            </w:r>
            <w:r>
              <w:rPr>
                <w:rFonts w:hint="eastAsia"/>
                <w:sz w:val="22"/>
                <w:szCs w:val="22"/>
              </w:rPr>
              <w:t>宏弯损耗：@（100 圈 75mm 直径）≤0.50dB 敷设方式：室内穿管、桥架敷设。</w:t>
            </w:r>
          </w:p>
          <w:p>
            <w:pPr>
              <w:pStyle w:val="117"/>
              <w:spacing w:before="47"/>
              <w:rPr>
                <w:rFonts w:hint="eastAsia"/>
                <w:sz w:val="22"/>
                <w:szCs w:val="22"/>
              </w:rPr>
            </w:pPr>
            <w:r>
              <w:rPr>
                <w:rFonts w:hint="eastAsia"/>
                <w:sz w:val="22"/>
                <w:szCs w:val="22"/>
                <w:lang w:val="en-US"/>
              </w:rPr>
              <w:t>9、</w:t>
            </w:r>
            <w:r>
              <w:rPr>
                <w:rFonts w:hint="eastAsia"/>
                <w:sz w:val="22"/>
                <w:szCs w:val="22"/>
              </w:rPr>
              <w:t>敷设最小弯曲半径：动态弯曲半径≥20 倍光缆外径静态弯曲半径≥10 倍光缆外径。</w:t>
            </w:r>
          </w:p>
          <w:p>
            <w:pPr>
              <w:pStyle w:val="117"/>
              <w:spacing w:before="47"/>
              <w:rPr>
                <w:rFonts w:hint="eastAsia"/>
                <w:sz w:val="22"/>
                <w:szCs w:val="22"/>
              </w:rPr>
            </w:pPr>
            <w:r>
              <w:rPr>
                <w:rFonts w:hint="eastAsia"/>
                <w:sz w:val="22"/>
                <w:szCs w:val="22"/>
                <w:lang w:val="en-US"/>
              </w:rPr>
              <w:t>10</w:t>
            </w:r>
            <w:r>
              <w:rPr>
                <w:rFonts w:hint="eastAsia"/>
                <w:sz w:val="22"/>
                <w:szCs w:val="22"/>
              </w:rPr>
              <w:t>施工温度：0～40℃，使用温度：-10～60℃。</w:t>
            </w:r>
          </w:p>
        </w:tc>
        <w:tc>
          <w:tcPr>
            <w:tcW w:w="850" w:type="dxa"/>
            <w:noWrap w:val="0"/>
            <w:vAlign w:val="center"/>
          </w:tcPr>
          <w:p>
            <w:pPr>
              <w:pStyle w:val="117"/>
              <w:jc w:val="center"/>
              <w:rPr>
                <w:rFonts w:hint="eastAsia"/>
                <w:sz w:val="22"/>
                <w:szCs w:val="22"/>
              </w:rPr>
            </w:pPr>
            <w:r>
              <w:rPr>
                <w:rFonts w:hint="eastAsia"/>
                <w:sz w:val="22"/>
                <w:szCs w:val="22"/>
              </w:rPr>
              <w:t>m</w:t>
            </w:r>
          </w:p>
        </w:tc>
        <w:tc>
          <w:tcPr>
            <w:tcW w:w="650" w:type="dxa"/>
            <w:noWrap w:val="0"/>
            <w:vAlign w:val="center"/>
          </w:tcPr>
          <w:p>
            <w:pPr>
              <w:pStyle w:val="117"/>
              <w:jc w:val="center"/>
              <w:rPr>
                <w:rFonts w:hint="eastAsia"/>
                <w:sz w:val="22"/>
                <w:szCs w:val="22"/>
              </w:rPr>
            </w:pPr>
            <w:r>
              <w:rPr>
                <w:rFonts w:hint="eastAsia"/>
                <w:sz w:val="22"/>
                <w:szCs w:val="22"/>
              </w:rPr>
              <w:t>400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7"/>
              <w:jc w:val="center"/>
              <w:rPr>
                <w:rFonts w:hint="eastAsia"/>
                <w:sz w:val="22"/>
                <w:szCs w:val="22"/>
              </w:rPr>
            </w:pPr>
            <w:r>
              <w:rPr>
                <w:rFonts w:hint="eastAsia"/>
                <w:sz w:val="22"/>
                <w:szCs w:val="22"/>
              </w:rPr>
              <w:t>3</w:t>
            </w:r>
          </w:p>
        </w:tc>
        <w:tc>
          <w:tcPr>
            <w:tcW w:w="1380" w:type="dxa"/>
            <w:noWrap w:val="0"/>
            <w:vAlign w:val="center"/>
          </w:tcPr>
          <w:p>
            <w:pPr>
              <w:pStyle w:val="117"/>
              <w:spacing w:before="47"/>
              <w:ind w:left="108"/>
              <w:jc w:val="center"/>
              <w:rPr>
                <w:rFonts w:hint="eastAsia"/>
                <w:sz w:val="22"/>
                <w:szCs w:val="22"/>
              </w:rPr>
            </w:pPr>
            <w:r>
              <w:rPr>
                <w:rFonts w:hint="eastAsia"/>
                <w:sz w:val="22"/>
                <w:szCs w:val="22"/>
              </w:rPr>
              <w:t>六类非屏蔽网线</w:t>
            </w:r>
          </w:p>
        </w:tc>
        <w:tc>
          <w:tcPr>
            <w:tcW w:w="6010" w:type="dxa"/>
            <w:noWrap w:val="0"/>
            <w:vAlign w:val="center"/>
          </w:tcPr>
          <w:p>
            <w:pPr>
              <w:pStyle w:val="117"/>
              <w:spacing w:before="47"/>
              <w:rPr>
                <w:rFonts w:hint="eastAsia"/>
                <w:sz w:val="22"/>
                <w:szCs w:val="22"/>
              </w:rPr>
            </w:pPr>
            <w:r>
              <w:rPr>
                <w:rFonts w:hint="eastAsia"/>
                <w:sz w:val="22"/>
                <w:szCs w:val="22"/>
                <w:lang w:val="en-US"/>
              </w:rPr>
              <w:t>1、</w:t>
            </w:r>
            <w:r>
              <w:rPr>
                <w:rFonts w:hint="eastAsia"/>
                <w:sz w:val="22"/>
                <w:szCs w:val="22"/>
              </w:rPr>
              <w:t>护套材质：PVC，护套颜色（可选）：默认灰色成品外径：6.3±0.3mm。</w:t>
            </w:r>
          </w:p>
          <w:p>
            <w:pPr>
              <w:pStyle w:val="117"/>
              <w:spacing w:before="47"/>
              <w:rPr>
                <w:rFonts w:hint="eastAsia"/>
                <w:sz w:val="22"/>
                <w:szCs w:val="22"/>
              </w:rPr>
            </w:pPr>
            <w:r>
              <w:rPr>
                <w:rFonts w:hint="eastAsia"/>
                <w:sz w:val="22"/>
                <w:szCs w:val="22"/>
                <w:lang w:val="en-US"/>
              </w:rPr>
              <w:t>2、</w:t>
            </w:r>
            <w:r>
              <w:rPr>
                <w:rFonts w:hint="eastAsia"/>
                <w:sz w:val="22"/>
                <w:szCs w:val="22"/>
              </w:rPr>
              <w:t>导体：99.99%无氧铜，导体直径：23AWG，导体绝缘外径：1.1±0.05mm 芯数：4*2，特性阻抗：100±15Ω。</w:t>
            </w:r>
          </w:p>
          <w:p>
            <w:pPr>
              <w:pStyle w:val="117"/>
              <w:spacing w:before="47"/>
              <w:rPr>
                <w:rFonts w:hint="eastAsia"/>
                <w:sz w:val="22"/>
                <w:szCs w:val="22"/>
              </w:rPr>
            </w:pPr>
            <w:r>
              <w:rPr>
                <w:rFonts w:hint="eastAsia"/>
                <w:sz w:val="22"/>
                <w:szCs w:val="22"/>
                <w:lang w:val="en-US"/>
              </w:rPr>
              <w:t>3、</w:t>
            </w:r>
            <w:r>
              <w:rPr>
                <w:rFonts w:hint="eastAsia"/>
                <w:sz w:val="22"/>
                <w:szCs w:val="22"/>
              </w:rPr>
              <w:t>导体间介电强度，DC，1min：1Kv/1min 工作电容最大值：≤5.6nF/100m，单根导体最大电阻：≤9.5Ω/100m 线对直流电阻不平衡性：≤2.5% 最小互电容：51pf/m，最大平衡电容：160pf/km 最大电流平衡：2%。</w:t>
            </w:r>
          </w:p>
          <w:p>
            <w:pPr>
              <w:pStyle w:val="117"/>
              <w:spacing w:before="47"/>
              <w:rPr>
                <w:rFonts w:hint="eastAsia"/>
                <w:sz w:val="22"/>
                <w:szCs w:val="22"/>
              </w:rPr>
            </w:pPr>
            <w:r>
              <w:rPr>
                <w:rFonts w:hint="eastAsia"/>
                <w:sz w:val="22"/>
                <w:szCs w:val="22"/>
                <w:lang w:val="en-US"/>
              </w:rPr>
              <w:t>4、</w:t>
            </w:r>
            <w:r>
              <w:rPr>
                <w:rFonts w:hint="eastAsia"/>
                <w:sz w:val="22"/>
                <w:szCs w:val="22"/>
              </w:rPr>
              <w:t>敷设弯曲半径：建议敷设弯曲半径&gt;8 倍线缆外径敷设拉力：建议敷设时短期拉力&lt;110N</w:t>
            </w:r>
          </w:p>
          <w:p>
            <w:pPr>
              <w:pStyle w:val="117"/>
              <w:spacing w:before="47"/>
              <w:rPr>
                <w:rFonts w:hint="eastAsia"/>
                <w:sz w:val="22"/>
                <w:szCs w:val="22"/>
              </w:rPr>
            </w:pPr>
            <w:r>
              <w:rPr>
                <w:rFonts w:hint="eastAsia"/>
                <w:sz w:val="22"/>
                <w:szCs w:val="22"/>
                <w:lang w:val="en-US"/>
              </w:rPr>
              <w:t>5、</w:t>
            </w:r>
            <w:r>
              <w:rPr>
                <w:rFonts w:hint="eastAsia"/>
                <w:sz w:val="22"/>
                <w:szCs w:val="22"/>
              </w:rPr>
              <w:t>使用拉力：建议使用时长期拉力&lt;20N 施工温度： 0</w:t>
            </w:r>
            <w:r>
              <w:rPr>
                <w:rFonts w:hint="eastAsia"/>
                <w:sz w:val="22"/>
                <w:szCs w:val="22"/>
                <w:lang w:val="en-US"/>
              </w:rPr>
              <w:t>-</w:t>
            </w:r>
            <w:r>
              <w:rPr>
                <w:rFonts w:hint="eastAsia"/>
                <w:sz w:val="22"/>
                <w:szCs w:val="22"/>
              </w:rPr>
              <w:t>40℃，使用温度： -10～60℃。</w:t>
            </w:r>
          </w:p>
        </w:tc>
        <w:tc>
          <w:tcPr>
            <w:tcW w:w="850" w:type="dxa"/>
            <w:noWrap w:val="0"/>
            <w:vAlign w:val="center"/>
          </w:tcPr>
          <w:p>
            <w:pPr>
              <w:pStyle w:val="117"/>
              <w:jc w:val="center"/>
              <w:rPr>
                <w:rFonts w:hint="eastAsia"/>
                <w:sz w:val="22"/>
                <w:szCs w:val="22"/>
              </w:rPr>
            </w:pPr>
            <w:r>
              <w:rPr>
                <w:rFonts w:hint="eastAsia"/>
                <w:sz w:val="22"/>
                <w:szCs w:val="22"/>
              </w:rPr>
              <w:t>箱</w:t>
            </w:r>
          </w:p>
        </w:tc>
        <w:tc>
          <w:tcPr>
            <w:tcW w:w="650" w:type="dxa"/>
            <w:noWrap w:val="0"/>
            <w:vAlign w:val="center"/>
          </w:tcPr>
          <w:p>
            <w:pPr>
              <w:pStyle w:val="117"/>
              <w:jc w:val="center"/>
              <w:rPr>
                <w:rFonts w:hint="eastAsia"/>
                <w:sz w:val="22"/>
                <w:szCs w:val="22"/>
              </w:rPr>
            </w:pPr>
            <w:r>
              <w:rPr>
                <w:rFonts w:hint="eastAsia"/>
                <w:sz w:val="22"/>
                <w:szCs w:val="22"/>
              </w:rPr>
              <w:t>26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ind w:left="6"/>
              <w:jc w:val="center"/>
              <w:rPr>
                <w:rFonts w:hint="eastAsia"/>
                <w:sz w:val="22"/>
                <w:szCs w:val="22"/>
              </w:rPr>
            </w:pPr>
            <w:r>
              <w:rPr>
                <w:rFonts w:hint="eastAsia"/>
                <w:w w:val="99"/>
                <w:sz w:val="22"/>
                <w:szCs w:val="22"/>
              </w:rPr>
              <w:t>4</w:t>
            </w:r>
          </w:p>
        </w:tc>
        <w:tc>
          <w:tcPr>
            <w:tcW w:w="1380" w:type="dxa"/>
            <w:noWrap w:val="0"/>
            <w:vAlign w:val="center"/>
          </w:tcPr>
          <w:p>
            <w:pPr>
              <w:pStyle w:val="117"/>
              <w:spacing w:before="47"/>
              <w:ind w:left="108"/>
              <w:jc w:val="center"/>
              <w:rPr>
                <w:rFonts w:hint="eastAsia"/>
                <w:sz w:val="22"/>
                <w:szCs w:val="22"/>
              </w:rPr>
            </w:pPr>
            <w:r>
              <w:rPr>
                <w:rFonts w:hint="eastAsia"/>
                <w:sz w:val="22"/>
                <w:szCs w:val="22"/>
              </w:rPr>
              <w:t>24 口网络配线架（含模块）</w:t>
            </w:r>
          </w:p>
        </w:tc>
        <w:tc>
          <w:tcPr>
            <w:tcW w:w="6010" w:type="dxa"/>
            <w:noWrap w:val="0"/>
            <w:vAlign w:val="center"/>
          </w:tcPr>
          <w:p>
            <w:pPr>
              <w:pStyle w:val="117"/>
              <w:spacing w:before="47"/>
              <w:rPr>
                <w:rFonts w:hint="eastAsia"/>
                <w:sz w:val="22"/>
                <w:szCs w:val="22"/>
              </w:rPr>
            </w:pPr>
            <w:r>
              <w:rPr>
                <w:rFonts w:hint="eastAsia"/>
                <w:sz w:val="22"/>
                <w:szCs w:val="22"/>
                <w:lang w:val="en-US"/>
              </w:rPr>
              <w:t>1、</w:t>
            </w:r>
            <w:r>
              <w:rPr>
                <w:rFonts w:hint="eastAsia"/>
                <w:sz w:val="22"/>
                <w:szCs w:val="22"/>
              </w:rPr>
              <w:t>配线架金属材质：全钢架结构+黑色喷塑，配线架塑料材质：PBT 工程塑料、PC 聚碳酸酯、ABS 工程塑料。</w:t>
            </w:r>
          </w:p>
          <w:p>
            <w:pPr>
              <w:pStyle w:val="117"/>
              <w:spacing w:before="47"/>
              <w:rPr>
                <w:rFonts w:hint="eastAsia"/>
                <w:sz w:val="22"/>
                <w:szCs w:val="22"/>
              </w:rPr>
            </w:pPr>
            <w:r>
              <w:rPr>
                <w:rFonts w:hint="eastAsia"/>
                <w:sz w:val="22"/>
                <w:szCs w:val="22"/>
                <w:lang w:val="en-US"/>
              </w:rPr>
              <w:t>2、</w:t>
            </w:r>
            <w:r>
              <w:rPr>
                <w:rFonts w:hint="eastAsia"/>
                <w:sz w:val="22"/>
                <w:szCs w:val="22"/>
              </w:rPr>
              <w:t>IDC 打线端子：磷青铜镀镍镀金层厚度：50µm。</w:t>
            </w:r>
          </w:p>
          <w:p>
            <w:pPr>
              <w:pStyle w:val="117"/>
              <w:spacing w:before="47"/>
              <w:rPr>
                <w:rFonts w:hint="eastAsia"/>
                <w:sz w:val="22"/>
                <w:szCs w:val="22"/>
              </w:rPr>
            </w:pPr>
            <w:r>
              <w:rPr>
                <w:rFonts w:hint="eastAsia"/>
                <w:sz w:val="22"/>
                <w:szCs w:val="22"/>
                <w:lang w:val="en-US"/>
              </w:rPr>
              <w:t>3、</w:t>
            </w:r>
            <w:r>
              <w:rPr>
                <w:rFonts w:hint="eastAsia"/>
                <w:sz w:val="22"/>
                <w:szCs w:val="22"/>
              </w:rPr>
              <w:t>配线架模块类型：6 口一体式模块*4 组。</w:t>
            </w:r>
          </w:p>
          <w:p>
            <w:pPr>
              <w:pStyle w:val="117"/>
              <w:spacing w:before="47"/>
              <w:rPr>
                <w:rFonts w:hint="eastAsia"/>
                <w:sz w:val="22"/>
                <w:szCs w:val="22"/>
              </w:rPr>
            </w:pPr>
            <w:r>
              <w:rPr>
                <w:rFonts w:hint="eastAsia"/>
                <w:sz w:val="22"/>
                <w:szCs w:val="22"/>
                <w:lang w:val="en-US"/>
              </w:rPr>
              <w:t>4、</w:t>
            </w:r>
            <w:r>
              <w:rPr>
                <w:rFonts w:hint="eastAsia"/>
                <w:sz w:val="22"/>
                <w:szCs w:val="22"/>
              </w:rPr>
              <w:t>RJ45 端口：可连接 1-24 根跳线。</w:t>
            </w:r>
          </w:p>
          <w:p>
            <w:pPr>
              <w:pStyle w:val="117"/>
              <w:spacing w:before="47"/>
              <w:rPr>
                <w:rFonts w:hint="eastAsia"/>
                <w:sz w:val="22"/>
                <w:szCs w:val="22"/>
              </w:rPr>
            </w:pPr>
            <w:r>
              <w:rPr>
                <w:rFonts w:hint="eastAsia"/>
                <w:sz w:val="22"/>
                <w:szCs w:val="22"/>
                <w:lang w:val="en-US"/>
              </w:rPr>
              <w:t>5、</w:t>
            </w:r>
            <w:r>
              <w:rPr>
                <w:rFonts w:hint="eastAsia"/>
                <w:sz w:val="22"/>
                <w:szCs w:val="22"/>
              </w:rPr>
              <w:t>接线端子类型：IDC 与 110 双用端子，可卡接导体为 0.4～0.6mm，安装性：19 英寸标准机架式设备。</w:t>
            </w:r>
          </w:p>
          <w:p>
            <w:pPr>
              <w:pStyle w:val="117"/>
              <w:spacing w:before="47"/>
              <w:rPr>
                <w:rFonts w:hint="eastAsia"/>
                <w:sz w:val="22"/>
                <w:szCs w:val="22"/>
              </w:rPr>
            </w:pPr>
            <w:r>
              <w:rPr>
                <w:rFonts w:hint="eastAsia"/>
                <w:sz w:val="22"/>
                <w:szCs w:val="22"/>
                <w:lang w:val="en-US"/>
              </w:rPr>
              <w:t>6、</w:t>
            </w:r>
            <w:r>
              <w:rPr>
                <w:rFonts w:hint="eastAsia"/>
                <w:sz w:val="22"/>
                <w:szCs w:val="22"/>
              </w:rPr>
              <w:t>配线架背部理线功能：配线架背部含 1*24 折叠式金属理线板。</w:t>
            </w:r>
          </w:p>
          <w:p>
            <w:pPr>
              <w:pStyle w:val="117"/>
              <w:spacing w:before="47"/>
              <w:rPr>
                <w:rFonts w:hint="eastAsia"/>
                <w:sz w:val="22"/>
                <w:szCs w:val="22"/>
              </w:rPr>
            </w:pPr>
            <w:r>
              <w:rPr>
                <w:rFonts w:hint="eastAsia"/>
                <w:sz w:val="22"/>
                <w:szCs w:val="22"/>
                <w:lang w:val="en-US"/>
              </w:rPr>
              <w:t>7、</w:t>
            </w:r>
            <w:r>
              <w:rPr>
                <w:rFonts w:hint="eastAsia"/>
                <w:sz w:val="22"/>
                <w:szCs w:val="22"/>
              </w:rPr>
              <w:t>安装方式：使用配线架包装内标配螺丝安装于机架内。</w:t>
            </w:r>
          </w:p>
          <w:p>
            <w:pPr>
              <w:pStyle w:val="117"/>
              <w:spacing w:before="47"/>
              <w:rPr>
                <w:rFonts w:hint="eastAsia"/>
                <w:sz w:val="22"/>
                <w:szCs w:val="22"/>
              </w:rPr>
            </w:pPr>
            <w:r>
              <w:rPr>
                <w:rFonts w:hint="eastAsia"/>
                <w:sz w:val="22"/>
                <w:szCs w:val="22"/>
                <w:lang w:val="en-US"/>
              </w:rPr>
              <w:t>8、</w:t>
            </w:r>
            <w:r>
              <w:rPr>
                <w:rFonts w:hint="eastAsia"/>
                <w:sz w:val="22"/>
                <w:szCs w:val="22"/>
              </w:rPr>
              <w:t>维护方式：打开机柜后门从背部进行维护。</w:t>
            </w:r>
          </w:p>
          <w:p>
            <w:pPr>
              <w:pStyle w:val="117"/>
              <w:spacing w:before="47"/>
              <w:rPr>
                <w:rFonts w:hint="eastAsia"/>
                <w:sz w:val="22"/>
                <w:szCs w:val="22"/>
              </w:rPr>
            </w:pPr>
            <w:r>
              <w:rPr>
                <w:rFonts w:hint="eastAsia"/>
                <w:sz w:val="22"/>
                <w:szCs w:val="22"/>
                <w:lang w:val="en-US"/>
              </w:rPr>
              <w:t>9、</w:t>
            </w:r>
            <w:r>
              <w:rPr>
                <w:rFonts w:hint="eastAsia"/>
                <w:sz w:val="22"/>
                <w:szCs w:val="22"/>
              </w:rPr>
              <w:t>安装高度：1U。</w:t>
            </w:r>
          </w:p>
          <w:p>
            <w:pPr>
              <w:pStyle w:val="117"/>
              <w:spacing w:before="47"/>
              <w:rPr>
                <w:rFonts w:hint="eastAsia"/>
                <w:sz w:val="22"/>
                <w:szCs w:val="22"/>
              </w:rPr>
            </w:pPr>
            <w:r>
              <w:rPr>
                <w:rFonts w:hint="eastAsia"/>
                <w:sz w:val="22"/>
                <w:szCs w:val="22"/>
                <w:lang w:val="en-US"/>
              </w:rPr>
              <w:t>10、</w:t>
            </w:r>
            <w:r>
              <w:rPr>
                <w:rFonts w:hint="eastAsia"/>
                <w:sz w:val="22"/>
                <w:szCs w:val="22"/>
              </w:rPr>
              <w:t>频率范围：0～250MHz 工作电压：125V。</w:t>
            </w:r>
          </w:p>
          <w:p>
            <w:pPr>
              <w:pStyle w:val="117"/>
              <w:spacing w:before="47"/>
              <w:rPr>
                <w:rFonts w:hint="eastAsia"/>
                <w:sz w:val="22"/>
                <w:szCs w:val="22"/>
              </w:rPr>
            </w:pPr>
            <w:r>
              <w:rPr>
                <w:rFonts w:hint="eastAsia"/>
                <w:sz w:val="22"/>
                <w:szCs w:val="22"/>
                <w:lang w:val="en-US"/>
              </w:rPr>
              <w:t>11、</w:t>
            </w:r>
            <w:r>
              <w:rPr>
                <w:rFonts w:hint="eastAsia"/>
                <w:sz w:val="22"/>
                <w:szCs w:val="22"/>
              </w:rPr>
              <w:t>耐压：750V，插入损耗：0.4dB@250MHz。</w:t>
            </w:r>
          </w:p>
          <w:p>
            <w:pPr>
              <w:pStyle w:val="117"/>
              <w:spacing w:before="47"/>
              <w:rPr>
                <w:rFonts w:hint="eastAsia"/>
                <w:sz w:val="22"/>
                <w:szCs w:val="22"/>
              </w:rPr>
            </w:pPr>
            <w:r>
              <w:rPr>
                <w:rFonts w:hint="eastAsia"/>
                <w:sz w:val="22"/>
                <w:szCs w:val="22"/>
                <w:lang w:val="en-US"/>
              </w:rPr>
              <w:t>12、</w:t>
            </w:r>
            <w:r>
              <w:rPr>
                <w:rFonts w:hint="eastAsia"/>
                <w:sz w:val="22"/>
                <w:szCs w:val="22"/>
              </w:rPr>
              <w:t>绝缘电阻：初始值≥100MΩ，恒定湿热试验后≥100MΩ 插入力：≤20N。</w:t>
            </w:r>
          </w:p>
          <w:p>
            <w:pPr>
              <w:pStyle w:val="117"/>
              <w:spacing w:before="47"/>
              <w:rPr>
                <w:rFonts w:hint="eastAsia"/>
                <w:sz w:val="22"/>
                <w:szCs w:val="22"/>
              </w:rPr>
            </w:pPr>
            <w:r>
              <w:rPr>
                <w:rFonts w:hint="eastAsia"/>
                <w:sz w:val="22"/>
                <w:szCs w:val="22"/>
                <w:lang w:val="en-US"/>
              </w:rPr>
              <w:t>13、</w:t>
            </w:r>
            <w:r>
              <w:rPr>
                <w:rFonts w:hint="eastAsia"/>
                <w:sz w:val="22"/>
                <w:szCs w:val="22"/>
              </w:rPr>
              <w:t>拔出力：≥20N。</w:t>
            </w:r>
          </w:p>
          <w:p>
            <w:pPr>
              <w:pStyle w:val="117"/>
              <w:spacing w:before="47"/>
              <w:rPr>
                <w:rFonts w:hint="eastAsia"/>
                <w:sz w:val="22"/>
                <w:szCs w:val="22"/>
              </w:rPr>
            </w:pPr>
            <w:r>
              <w:rPr>
                <w:rFonts w:hint="eastAsia"/>
                <w:sz w:val="22"/>
                <w:szCs w:val="22"/>
                <w:lang w:val="en-US"/>
              </w:rPr>
              <w:t>14、</w:t>
            </w:r>
            <w:r>
              <w:rPr>
                <w:rFonts w:hint="eastAsia"/>
                <w:sz w:val="22"/>
                <w:szCs w:val="22"/>
              </w:rPr>
              <w:t>连接器链接效果：50N 60±5s RJ45 卡接次数：≥750 次。</w:t>
            </w:r>
          </w:p>
          <w:p>
            <w:pPr>
              <w:pStyle w:val="117"/>
              <w:spacing w:before="47"/>
              <w:rPr>
                <w:rFonts w:hint="eastAsia"/>
                <w:sz w:val="22"/>
                <w:szCs w:val="22"/>
              </w:rPr>
            </w:pPr>
            <w:r>
              <w:rPr>
                <w:rFonts w:hint="eastAsia"/>
                <w:sz w:val="22"/>
                <w:szCs w:val="22"/>
                <w:lang w:val="en-US"/>
              </w:rPr>
              <w:t>15、</w:t>
            </w:r>
            <w:r>
              <w:rPr>
                <w:rFonts w:hint="eastAsia"/>
                <w:sz w:val="22"/>
                <w:szCs w:val="22"/>
              </w:rPr>
              <w:t>接线端子卡接次数：≥250 次使用温度：-40～70℃，湿度：85%（温度 85℃±3℃）。</w:t>
            </w:r>
          </w:p>
        </w:tc>
        <w:tc>
          <w:tcPr>
            <w:tcW w:w="850" w:type="dxa"/>
            <w:noWrap w:val="0"/>
            <w:vAlign w:val="center"/>
          </w:tcPr>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r>
              <w:rPr>
                <w:rFonts w:hint="eastAsia"/>
                <w:sz w:val="22"/>
                <w:szCs w:val="22"/>
              </w:rPr>
              <w:t>48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1"/>
              <w:ind w:left="6"/>
              <w:jc w:val="center"/>
              <w:rPr>
                <w:rFonts w:hint="eastAsia"/>
                <w:sz w:val="22"/>
                <w:szCs w:val="22"/>
              </w:rPr>
            </w:pPr>
            <w:r>
              <w:rPr>
                <w:rFonts w:hint="eastAsia"/>
                <w:w w:val="99"/>
                <w:sz w:val="22"/>
                <w:szCs w:val="22"/>
              </w:rPr>
              <w:t>5</w:t>
            </w:r>
          </w:p>
        </w:tc>
        <w:tc>
          <w:tcPr>
            <w:tcW w:w="1380" w:type="dxa"/>
            <w:noWrap w:val="0"/>
            <w:vAlign w:val="center"/>
          </w:tcPr>
          <w:p>
            <w:pPr>
              <w:pStyle w:val="117"/>
              <w:spacing w:before="47"/>
              <w:ind w:left="108"/>
              <w:jc w:val="center"/>
              <w:rPr>
                <w:rFonts w:hint="eastAsia"/>
                <w:sz w:val="22"/>
                <w:szCs w:val="22"/>
              </w:rPr>
            </w:pPr>
            <w:r>
              <w:rPr>
                <w:rFonts w:hint="eastAsia"/>
                <w:sz w:val="22"/>
                <w:szCs w:val="22"/>
              </w:rPr>
              <w:t>48 口网络配线架（含模块）</w:t>
            </w:r>
          </w:p>
        </w:tc>
        <w:tc>
          <w:tcPr>
            <w:tcW w:w="6010" w:type="dxa"/>
            <w:noWrap w:val="0"/>
            <w:vAlign w:val="center"/>
          </w:tcPr>
          <w:p>
            <w:pPr>
              <w:pStyle w:val="117"/>
              <w:spacing w:before="47"/>
              <w:rPr>
                <w:rFonts w:hint="eastAsia"/>
                <w:sz w:val="22"/>
                <w:szCs w:val="22"/>
              </w:rPr>
            </w:pPr>
            <w:r>
              <w:rPr>
                <w:rFonts w:hint="eastAsia"/>
                <w:sz w:val="22"/>
                <w:szCs w:val="22"/>
                <w:lang w:val="en-US"/>
              </w:rPr>
              <w:t>1、</w:t>
            </w:r>
            <w:r>
              <w:rPr>
                <w:rFonts w:hint="eastAsia"/>
                <w:sz w:val="22"/>
                <w:szCs w:val="22"/>
              </w:rPr>
              <w:t>配线架金属材质：全钢架结构+黑色喷塑，配线架塑料材质：PBT 工程塑料、PC 聚碳酸酯、ABS 工程塑料。</w:t>
            </w:r>
          </w:p>
          <w:p>
            <w:pPr>
              <w:pStyle w:val="117"/>
              <w:spacing w:before="47"/>
              <w:rPr>
                <w:rFonts w:hint="eastAsia"/>
                <w:sz w:val="22"/>
                <w:szCs w:val="22"/>
              </w:rPr>
            </w:pPr>
            <w:r>
              <w:rPr>
                <w:rFonts w:hint="eastAsia"/>
                <w:sz w:val="22"/>
                <w:szCs w:val="22"/>
                <w:lang w:val="en-US"/>
              </w:rPr>
              <w:t>2、</w:t>
            </w:r>
            <w:r>
              <w:rPr>
                <w:rFonts w:hint="eastAsia"/>
                <w:sz w:val="22"/>
                <w:szCs w:val="22"/>
              </w:rPr>
              <w:t>IDC 打线端子：磷青铜镀镍。</w:t>
            </w:r>
          </w:p>
          <w:p>
            <w:pPr>
              <w:pStyle w:val="117"/>
              <w:spacing w:before="47"/>
              <w:rPr>
                <w:rFonts w:hint="eastAsia"/>
                <w:sz w:val="22"/>
                <w:szCs w:val="22"/>
              </w:rPr>
            </w:pPr>
            <w:r>
              <w:rPr>
                <w:rFonts w:hint="eastAsia"/>
                <w:sz w:val="22"/>
                <w:szCs w:val="22"/>
                <w:lang w:val="en-US"/>
              </w:rPr>
              <w:t>3、</w:t>
            </w:r>
            <w:r>
              <w:rPr>
                <w:rFonts w:hint="eastAsia"/>
                <w:sz w:val="22"/>
                <w:szCs w:val="22"/>
              </w:rPr>
              <w:t>镀金层厚度：50µm。</w:t>
            </w:r>
          </w:p>
          <w:p>
            <w:pPr>
              <w:pStyle w:val="117"/>
              <w:spacing w:before="47"/>
              <w:rPr>
                <w:rFonts w:hint="eastAsia"/>
                <w:sz w:val="22"/>
                <w:szCs w:val="22"/>
              </w:rPr>
            </w:pPr>
            <w:r>
              <w:rPr>
                <w:rFonts w:hint="eastAsia"/>
                <w:sz w:val="22"/>
                <w:szCs w:val="22"/>
                <w:lang w:val="en-US"/>
              </w:rPr>
              <w:t>4、</w:t>
            </w:r>
            <w:r>
              <w:rPr>
                <w:rFonts w:hint="eastAsia"/>
                <w:sz w:val="22"/>
                <w:szCs w:val="22"/>
              </w:rPr>
              <w:t>配线架模块类型：6 口一体式模块*4 组。</w:t>
            </w:r>
          </w:p>
          <w:p>
            <w:pPr>
              <w:pStyle w:val="117"/>
              <w:spacing w:before="47"/>
              <w:rPr>
                <w:rFonts w:hint="eastAsia"/>
                <w:sz w:val="22"/>
                <w:szCs w:val="22"/>
              </w:rPr>
            </w:pPr>
            <w:r>
              <w:rPr>
                <w:rFonts w:hint="eastAsia"/>
                <w:sz w:val="22"/>
                <w:szCs w:val="22"/>
                <w:lang w:val="en-US"/>
              </w:rPr>
              <w:t>5、</w:t>
            </w:r>
            <w:r>
              <w:rPr>
                <w:rFonts w:hint="eastAsia"/>
                <w:sz w:val="22"/>
                <w:szCs w:val="22"/>
              </w:rPr>
              <w:t>RJ45 端口：可连接 1-24 根跳线。</w:t>
            </w:r>
          </w:p>
          <w:p>
            <w:pPr>
              <w:pStyle w:val="117"/>
              <w:spacing w:before="47"/>
              <w:rPr>
                <w:rFonts w:hint="eastAsia"/>
                <w:sz w:val="22"/>
                <w:szCs w:val="22"/>
              </w:rPr>
            </w:pPr>
            <w:r>
              <w:rPr>
                <w:rFonts w:hint="eastAsia"/>
                <w:sz w:val="22"/>
                <w:szCs w:val="22"/>
                <w:lang w:val="en-US"/>
              </w:rPr>
              <w:t>6、</w:t>
            </w:r>
            <w:r>
              <w:rPr>
                <w:rFonts w:hint="eastAsia"/>
                <w:sz w:val="22"/>
                <w:szCs w:val="22"/>
              </w:rPr>
              <w:t>接线端子类型：IDC 与 110 双用端子，可卡接导体为 0.4～ 0.6mm。</w:t>
            </w:r>
          </w:p>
          <w:p>
            <w:pPr>
              <w:pStyle w:val="117"/>
              <w:spacing w:before="47"/>
              <w:rPr>
                <w:rFonts w:hint="eastAsia"/>
                <w:sz w:val="22"/>
                <w:szCs w:val="22"/>
              </w:rPr>
            </w:pPr>
            <w:r>
              <w:rPr>
                <w:rFonts w:hint="eastAsia"/>
                <w:sz w:val="22"/>
                <w:szCs w:val="22"/>
                <w:lang w:val="en-US"/>
              </w:rPr>
              <w:t>7、</w:t>
            </w:r>
            <w:r>
              <w:rPr>
                <w:rFonts w:hint="eastAsia"/>
                <w:sz w:val="22"/>
                <w:szCs w:val="22"/>
              </w:rPr>
              <w:t>安装性：19 英寸标准机架式设备，配线架背部理线功能：配线架背部含 1*24 折叠式金属理线板。</w:t>
            </w:r>
          </w:p>
          <w:p>
            <w:pPr>
              <w:pStyle w:val="117"/>
              <w:spacing w:before="47"/>
              <w:rPr>
                <w:rFonts w:hint="eastAsia"/>
                <w:sz w:val="22"/>
                <w:szCs w:val="22"/>
              </w:rPr>
            </w:pPr>
            <w:r>
              <w:rPr>
                <w:rFonts w:hint="eastAsia"/>
                <w:sz w:val="22"/>
                <w:szCs w:val="22"/>
                <w:lang w:val="en-US"/>
              </w:rPr>
              <w:t>8、</w:t>
            </w:r>
            <w:r>
              <w:rPr>
                <w:rFonts w:hint="eastAsia"/>
                <w:sz w:val="22"/>
                <w:szCs w:val="22"/>
              </w:rPr>
              <w:t>安装方式：使用配线架包装内标配螺丝安装于机架内。</w:t>
            </w:r>
          </w:p>
          <w:p>
            <w:pPr>
              <w:pStyle w:val="117"/>
              <w:spacing w:before="47"/>
              <w:rPr>
                <w:rFonts w:hint="eastAsia"/>
                <w:sz w:val="22"/>
                <w:szCs w:val="22"/>
              </w:rPr>
            </w:pPr>
            <w:r>
              <w:rPr>
                <w:rFonts w:hint="eastAsia"/>
                <w:sz w:val="22"/>
                <w:szCs w:val="22"/>
                <w:lang w:val="en-US"/>
              </w:rPr>
              <w:t>9、</w:t>
            </w:r>
            <w:r>
              <w:rPr>
                <w:rFonts w:hint="eastAsia"/>
                <w:sz w:val="22"/>
                <w:szCs w:val="22"/>
              </w:rPr>
              <w:t>维护方式：打开机柜后门从背部进行维护。</w:t>
            </w:r>
          </w:p>
          <w:p>
            <w:pPr>
              <w:pStyle w:val="117"/>
              <w:spacing w:before="47"/>
              <w:rPr>
                <w:rFonts w:hint="eastAsia"/>
                <w:sz w:val="22"/>
                <w:szCs w:val="22"/>
              </w:rPr>
            </w:pPr>
            <w:r>
              <w:rPr>
                <w:rFonts w:hint="eastAsia"/>
                <w:sz w:val="22"/>
                <w:szCs w:val="22"/>
                <w:lang w:val="en-US"/>
              </w:rPr>
              <w:t>10</w:t>
            </w:r>
            <w:r>
              <w:rPr>
                <w:rFonts w:hint="eastAsia"/>
                <w:sz w:val="22"/>
                <w:szCs w:val="22"/>
              </w:rPr>
              <w:t>安装高度：1U。</w:t>
            </w:r>
          </w:p>
          <w:p>
            <w:pPr>
              <w:pStyle w:val="117"/>
              <w:spacing w:before="47"/>
              <w:rPr>
                <w:rFonts w:hint="eastAsia"/>
                <w:sz w:val="22"/>
                <w:szCs w:val="22"/>
              </w:rPr>
            </w:pPr>
            <w:r>
              <w:rPr>
                <w:rFonts w:hint="eastAsia"/>
                <w:sz w:val="22"/>
                <w:szCs w:val="22"/>
                <w:lang w:val="en-US"/>
              </w:rPr>
              <w:t>11、</w:t>
            </w:r>
            <w:r>
              <w:rPr>
                <w:rFonts w:hint="eastAsia"/>
                <w:sz w:val="22"/>
                <w:szCs w:val="22"/>
              </w:rPr>
              <w:t>频率范围：0～250MHz 工作电压：125V，耐压：750V。</w:t>
            </w:r>
          </w:p>
          <w:p>
            <w:pPr>
              <w:pStyle w:val="117"/>
              <w:spacing w:before="47"/>
              <w:rPr>
                <w:rFonts w:hint="eastAsia"/>
                <w:sz w:val="22"/>
                <w:szCs w:val="22"/>
              </w:rPr>
            </w:pPr>
            <w:r>
              <w:rPr>
                <w:rFonts w:hint="eastAsia"/>
                <w:sz w:val="22"/>
                <w:szCs w:val="22"/>
                <w:lang w:val="en-US"/>
              </w:rPr>
              <w:t>12、</w:t>
            </w:r>
            <w:r>
              <w:rPr>
                <w:rFonts w:hint="eastAsia"/>
                <w:sz w:val="22"/>
                <w:szCs w:val="22"/>
              </w:rPr>
              <w:t>插入损耗：0.4dB@250MHz。</w:t>
            </w:r>
          </w:p>
          <w:p>
            <w:pPr>
              <w:pStyle w:val="117"/>
              <w:spacing w:before="47"/>
              <w:rPr>
                <w:rFonts w:hint="eastAsia"/>
                <w:sz w:val="22"/>
                <w:szCs w:val="22"/>
              </w:rPr>
            </w:pPr>
            <w:r>
              <w:rPr>
                <w:rFonts w:hint="eastAsia"/>
                <w:sz w:val="22"/>
                <w:szCs w:val="22"/>
                <w:lang w:val="en-US"/>
              </w:rPr>
              <w:t>13、</w:t>
            </w:r>
            <w:r>
              <w:rPr>
                <w:rFonts w:hint="eastAsia"/>
                <w:sz w:val="22"/>
                <w:szCs w:val="22"/>
              </w:rPr>
              <w:t>绝缘电阻：初始值≥100MΩ，恒定湿热试验后≥100MΩ 插入力：≤20N。</w:t>
            </w:r>
          </w:p>
          <w:p>
            <w:pPr>
              <w:pStyle w:val="117"/>
              <w:spacing w:before="47"/>
              <w:rPr>
                <w:rFonts w:hint="eastAsia"/>
                <w:sz w:val="22"/>
                <w:szCs w:val="22"/>
              </w:rPr>
            </w:pPr>
            <w:r>
              <w:rPr>
                <w:rFonts w:hint="eastAsia"/>
                <w:sz w:val="22"/>
                <w:szCs w:val="22"/>
                <w:lang w:val="en-US"/>
              </w:rPr>
              <w:t>14、</w:t>
            </w:r>
            <w:r>
              <w:rPr>
                <w:rFonts w:hint="eastAsia"/>
                <w:sz w:val="22"/>
                <w:szCs w:val="22"/>
              </w:rPr>
              <w:t>拔出力：≥20N。</w:t>
            </w:r>
          </w:p>
          <w:p>
            <w:pPr>
              <w:pStyle w:val="117"/>
              <w:spacing w:before="47"/>
              <w:rPr>
                <w:rFonts w:hint="eastAsia"/>
                <w:sz w:val="22"/>
                <w:szCs w:val="22"/>
              </w:rPr>
            </w:pPr>
            <w:r>
              <w:rPr>
                <w:rFonts w:hint="eastAsia"/>
                <w:sz w:val="22"/>
                <w:szCs w:val="22"/>
                <w:lang w:val="en-US"/>
              </w:rPr>
              <w:t>15、</w:t>
            </w:r>
            <w:r>
              <w:rPr>
                <w:rFonts w:hint="eastAsia"/>
                <w:sz w:val="22"/>
                <w:szCs w:val="22"/>
              </w:rPr>
              <w:t>连接器链接效果：50N 60±5s RJ45 卡接次数：≥750 次。</w:t>
            </w:r>
          </w:p>
          <w:p>
            <w:pPr>
              <w:pStyle w:val="117"/>
              <w:spacing w:before="47"/>
              <w:rPr>
                <w:rFonts w:hint="eastAsia"/>
                <w:sz w:val="22"/>
                <w:szCs w:val="22"/>
              </w:rPr>
            </w:pPr>
            <w:r>
              <w:rPr>
                <w:rFonts w:hint="eastAsia"/>
                <w:sz w:val="22"/>
                <w:szCs w:val="22"/>
                <w:lang w:val="en-US"/>
              </w:rPr>
              <w:t>16、</w:t>
            </w:r>
            <w:r>
              <w:rPr>
                <w:rFonts w:hint="eastAsia"/>
                <w:sz w:val="22"/>
                <w:szCs w:val="22"/>
              </w:rPr>
              <w:t>接线端子卡接次数：≥250 次使用温度：-40～70℃，湿度：85%（温度 85℃±3℃）。</w:t>
            </w:r>
          </w:p>
        </w:tc>
        <w:tc>
          <w:tcPr>
            <w:tcW w:w="850" w:type="dxa"/>
            <w:noWrap w:val="0"/>
            <w:vAlign w:val="center"/>
          </w:tcPr>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r>
              <w:rPr>
                <w:rFonts w:hint="eastAsia"/>
                <w:sz w:val="22"/>
                <w:szCs w:val="22"/>
              </w:rPr>
              <w:t>24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ind w:left="6"/>
              <w:jc w:val="center"/>
              <w:rPr>
                <w:sz w:val="22"/>
                <w:szCs w:val="22"/>
                <w:lang w:val="en-US"/>
              </w:rPr>
            </w:pPr>
            <w:r>
              <w:rPr>
                <w:rFonts w:hint="eastAsia"/>
                <w:sz w:val="22"/>
                <w:szCs w:val="22"/>
                <w:lang w:val="en-US"/>
              </w:rPr>
              <w:t>6</w:t>
            </w:r>
          </w:p>
        </w:tc>
        <w:tc>
          <w:tcPr>
            <w:tcW w:w="1380" w:type="dxa"/>
            <w:noWrap w:val="0"/>
            <w:vAlign w:val="center"/>
          </w:tcPr>
          <w:p>
            <w:pPr>
              <w:pStyle w:val="117"/>
              <w:spacing w:before="35"/>
              <w:ind w:right="78"/>
              <w:jc w:val="center"/>
              <w:rPr>
                <w:rFonts w:hint="eastAsia"/>
                <w:sz w:val="22"/>
                <w:szCs w:val="22"/>
              </w:rPr>
            </w:pPr>
            <w:r>
              <w:rPr>
                <w:rFonts w:hint="eastAsia"/>
                <w:sz w:val="22"/>
                <w:szCs w:val="22"/>
              </w:rPr>
              <w:t>24 口光纤配线架（含模块）</w:t>
            </w:r>
          </w:p>
        </w:tc>
        <w:tc>
          <w:tcPr>
            <w:tcW w:w="6010" w:type="dxa"/>
            <w:noWrap w:val="0"/>
            <w:vAlign w:val="center"/>
          </w:tcPr>
          <w:p>
            <w:pPr>
              <w:pStyle w:val="117"/>
              <w:numPr>
                <w:ilvl w:val="0"/>
                <w:numId w:val="7"/>
              </w:numPr>
              <w:spacing w:before="35"/>
              <w:rPr>
                <w:rFonts w:hint="eastAsia"/>
                <w:sz w:val="22"/>
                <w:szCs w:val="22"/>
              </w:rPr>
            </w:pPr>
            <w:r>
              <w:rPr>
                <w:rFonts w:hint="eastAsia"/>
                <w:sz w:val="22"/>
                <w:szCs w:val="22"/>
              </w:rPr>
              <w:t>光纤配线架尺寸：483*300*44.5mm，光纤配线架材质：优质冷轧钢板整体黑色喷塑。</w:t>
            </w:r>
          </w:p>
          <w:p>
            <w:pPr>
              <w:pStyle w:val="117"/>
              <w:spacing w:before="35"/>
              <w:rPr>
                <w:rFonts w:hint="eastAsia"/>
                <w:sz w:val="22"/>
                <w:szCs w:val="22"/>
              </w:rPr>
            </w:pPr>
            <w:r>
              <w:rPr>
                <w:rFonts w:hint="eastAsia"/>
                <w:sz w:val="22"/>
                <w:szCs w:val="22"/>
                <w:lang w:val="en-US"/>
              </w:rPr>
              <w:t>2、</w:t>
            </w:r>
            <w:r>
              <w:rPr>
                <w:rFonts w:hint="eastAsia"/>
                <w:sz w:val="22"/>
                <w:szCs w:val="22"/>
              </w:rPr>
              <w:t>钢板厚度：1.0mm。</w:t>
            </w:r>
          </w:p>
          <w:p>
            <w:pPr>
              <w:pStyle w:val="117"/>
              <w:spacing w:before="70" w:line="302" w:lineRule="auto"/>
              <w:ind w:right="2811"/>
              <w:rPr>
                <w:rFonts w:hint="eastAsia"/>
                <w:sz w:val="22"/>
                <w:szCs w:val="22"/>
              </w:rPr>
            </w:pPr>
            <w:r>
              <w:rPr>
                <w:rFonts w:hint="eastAsia"/>
                <w:sz w:val="22"/>
                <w:szCs w:val="22"/>
                <w:lang w:val="en-US"/>
              </w:rPr>
              <w:t>3、</w:t>
            </w:r>
            <w:r>
              <w:rPr>
                <w:rFonts w:hint="eastAsia"/>
                <w:sz w:val="22"/>
                <w:szCs w:val="22"/>
              </w:rPr>
              <w:t>安装板材质：铝板黑色喷塑安装高度：1U。</w:t>
            </w:r>
          </w:p>
          <w:p>
            <w:pPr>
              <w:pStyle w:val="117"/>
              <w:spacing w:before="5"/>
              <w:rPr>
                <w:rFonts w:hint="eastAsia"/>
                <w:sz w:val="22"/>
                <w:szCs w:val="22"/>
              </w:rPr>
            </w:pPr>
            <w:r>
              <w:rPr>
                <w:rFonts w:hint="eastAsia"/>
                <w:sz w:val="22"/>
                <w:szCs w:val="22"/>
                <w:lang w:val="en-US"/>
              </w:rPr>
              <w:t>4、</w:t>
            </w:r>
            <w:r>
              <w:rPr>
                <w:rFonts w:hint="eastAsia"/>
                <w:sz w:val="22"/>
                <w:szCs w:val="22"/>
              </w:rPr>
              <w:t>进线光缆数量：2-4 根。</w:t>
            </w:r>
          </w:p>
          <w:p>
            <w:pPr>
              <w:pStyle w:val="117"/>
              <w:spacing w:before="70"/>
              <w:rPr>
                <w:rFonts w:hint="eastAsia"/>
                <w:sz w:val="22"/>
                <w:szCs w:val="22"/>
              </w:rPr>
            </w:pPr>
            <w:r>
              <w:rPr>
                <w:rFonts w:hint="eastAsia"/>
                <w:sz w:val="22"/>
                <w:szCs w:val="22"/>
                <w:lang w:val="en-US"/>
              </w:rPr>
              <w:t>5、</w:t>
            </w:r>
            <w:r>
              <w:rPr>
                <w:rFonts w:hint="eastAsia"/>
                <w:sz w:val="22"/>
                <w:szCs w:val="22"/>
              </w:rPr>
              <w:t>进线方式：配线架后部进线，支持室内室外光缆熔接。</w:t>
            </w:r>
          </w:p>
          <w:p>
            <w:pPr>
              <w:pStyle w:val="117"/>
              <w:spacing w:before="70" w:line="304" w:lineRule="auto"/>
              <w:ind w:right="209"/>
              <w:rPr>
                <w:rFonts w:hint="eastAsia"/>
                <w:sz w:val="22"/>
                <w:szCs w:val="22"/>
              </w:rPr>
            </w:pPr>
            <w:r>
              <w:rPr>
                <w:rFonts w:hint="eastAsia"/>
                <w:spacing w:val="-1"/>
                <w:sz w:val="22"/>
                <w:szCs w:val="22"/>
                <w:lang w:val="en-US"/>
              </w:rPr>
              <w:t>6、</w:t>
            </w:r>
            <w:r>
              <w:rPr>
                <w:rFonts w:hint="eastAsia"/>
                <w:spacing w:val="-1"/>
                <w:sz w:val="22"/>
                <w:szCs w:val="22"/>
              </w:rPr>
              <w:t xml:space="preserve">连接方式：线缆进线→线缆盘纤→尾纤熔纤→尾纤盘纤→ </w:t>
            </w:r>
            <w:r>
              <w:rPr>
                <w:rFonts w:hint="eastAsia"/>
                <w:sz w:val="22"/>
                <w:szCs w:val="22"/>
              </w:rPr>
              <w:t>耦合器连接→耦合器安装板连接→光纤跳线出线。</w:t>
            </w:r>
          </w:p>
          <w:p>
            <w:pPr>
              <w:pStyle w:val="117"/>
              <w:spacing w:before="2" w:line="302" w:lineRule="auto"/>
              <w:ind w:right="209"/>
              <w:rPr>
                <w:rFonts w:hint="eastAsia"/>
                <w:sz w:val="22"/>
                <w:szCs w:val="22"/>
              </w:rPr>
            </w:pPr>
            <w:r>
              <w:rPr>
                <w:rFonts w:hint="eastAsia"/>
                <w:spacing w:val="-1"/>
                <w:sz w:val="22"/>
                <w:szCs w:val="22"/>
                <w:lang w:val="en-US"/>
              </w:rPr>
              <w:t>7、</w:t>
            </w:r>
            <w:r>
              <w:rPr>
                <w:rFonts w:hint="eastAsia"/>
                <w:spacing w:val="-1"/>
                <w:sz w:val="22"/>
                <w:szCs w:val="22"/>
              </w:rPr>
              <w:t>耦合器安装板安装方式：安装板自带卡扣螺丝直接将安装</w:t>
            </w:r>
            <w:r>
              <w:rPr>
                <w:rFonts w:hint="eastAsia"/>
                <w:sz w:val="22"/>
                <w:szCs w:val="22"/>
              </w:rPr>
              <w:t>板卡接于爱谱华顿光纤配线架内的螺丝安装孔内。</w:t>
            </w:r>
          </w:p>
          <w:p>
            <w:pPr>
              <w:pStyle w:val="117"/>
              <w:spacing w:before="5"/>
              <w:rPr>
                <w:rFonts w:hint="eastAsia"/>
                <w:sz w:val="22"/>
                <w:szCs w:val="22"/>
              </w:rPr>
            </w:pPr>
            <w:r>
              <w:rPr>
                <w:rFonts w:hint="eastAsia"/>
                <w:sz w:val="22"/>
                <w:szCs w:val="22"/>
                <w:lang w:val="en-US"/>
              </w:rPr>
              <w:t>8、</w:t>
            </w:r>
            <w:r>
              <w:rPr>
                <w:rFonts w:hint="eastAsia"/>
                <w:sz w:val="22"/>
                <w:szCs w:val="22"/>
              </w:rPr>
              <w:t>配线架盖板安装方式：前部盖板卡扣螺丝开启，</w:t>
            </w:r>
            <w:r>
              <w:rPr>
                <w:rFonts w:hint="eastAsia"/>
                <w:spacing w:val="-3"/>
                <w:sz w:val="22"/>
                <w:szCs w:val="22"/>
              </w:rPr>
              <w:t xml:space="preserve">配线架安装方式：使用包装内标配安装支架安装于 </w:t>
            </w:r>
            <w:r>
              <w:rPr>
                <w:rFonts w:hint="eastAsia"/>
                <w:sz w:val="22"/>
                <w:szCs w:val="22"/>
              </w:rPr>
              <w:t>19</w:t>
            </w:r>
            <w:r>
              <w:rPr>
                <w:rFonts w:hint="eastAsia"/>
                <w:spacing w:val="-22"/>
                <w:sz w:val="22"/>
                <w:szCs w:val="22"/>
              </w:rPr>
              <w:t xml:space="preserve"> 英寸</w:t>
            </w:r>
            <w:r>
              <w:rPr>
                <w:rFonts w:hint="eastAsia"/>
                <w:sz w:val="22"/>
                <w:szCs w:val="22"/>
              </w:rPr>
              <w:t>标准机柜类。</w:t>
            </w:r>
          </w:p>
          <w:p>
            <w:pPr>
              <w:pStyle w:val="117"/>
              <w:spacing w:before="2" w:line="304" w:lineRule="auto"/>
              <w:ind w:right="209"/>
              <w:rPr>
                <w:rFonts w:hint="eastAsia"/>
                <w:sz w:val="22"/>
                <w:szCs w:val="22"/>
              </w:rPr>
            </w:pPr>
            <w:r>
              <w:rPr>
                <w:rFonts w:hint="eastAsia"/>
                <w:spacing w:val="-6"/>
                <w:sz w:val="22"/>
                <w:szCs w:val="22"/>
                <w:lang w:val="en-US"/>
              </w:rPr>
              <w:t>9、</w:t>
            </w:r>
            <w:r>
              <w:rPr>
                <w:rFonts w:hint="eastAsia"/>
                <w:spacing w:val="-6"/>
                <w:sz w:val="22"/>
                <w:szCs w:val="22"/>
              </w:rPr>
              <w:t xml:space="preserve">配件：配线架外箱 </w:t>
            </w:r>
            <w:r>
              <w:rPr>
                <w:rFonts w:hint="eastAsia"/>
                <w:sz w:val="22"/>
                <w:szCs w:val="22"/>
              </w:rPr>
              <w:t>x1+12</w:t>
            </w:r>
            <w:r>
              <w:rPr>
                <w:rFonts w:hint="eastAsia"/>
                <w:spacing w:val="-13"/>
                <w:sz w:val="22"/>
                <w:szCs w:val="22"/>
              </w:rPr>
              <w:t xml:space="preserve"> 位耦合器安装板 </w:t>
            </w:r>
            <w:r>
              <w:rPr>
                <w:rFonts w:hint="eastAsia"/>
                <w:sz w:val="22"/>
                <w:szCs w:val="22"/>
              </w:rPr>
              <w:t>x2+12</w:t>
            </w:r>
            <w:r>
              <w:rPr>
                <w:rFonts w:hint="eastAsia"/>
                <w:spacing w:val="-13"/>
                <w:sz w:val="22"/>
                <w:szCs w:val="22"/>
              </w:rPr>
              <w:t xml:space="preserve"> 芯光纤熔</w:t>
            </w:r>
            <w:r>
              <w:rPr>
                <w:rFonts w:hint="eastAsia"/>
                <w:spacing w:val="-18"/>
                <w:sz w:val="22"/>
                <w:szCs w:val="22"/>
              </w:rPr>
              <w:t xml:space="preserve">纤盘 </w:t>
            </w:r>
            <w:r>
              <w:rPr>
                <w:rFonts w:hint="eastAsia"/>
                <w:sz w:val="22"/>
                <w:szCs w:val="22"/>
              </w:rPr>
              <w:t>x2+</w:t>
            </w:r>
            <w:r>
              <w:rPr>
                <w:rFonts w:hint="eastAsia"/>
                <w:spacing w:val="-13"/>
                <w:sz w:val="22"/>
                <w:szCs w:val="22"/>
              </w:rPr>
              <w:t xml:space="preserve">电缆夹 </w:t>
            </w:r>
            <w:r>
              <w:rPr>
                <w:rFonts w:hint="eastAsia"/>
                <w:sz w:val="22"/>
                <w:szCs w:val="22"/>
              </w:rPr>
              <w:t>x2+</w:t>
            </w:r>
            <w:r>
              <w:rPr>
                <w:rFonts w:hint="eastAsia"/>
                <w:spacing w:val="-8"/>
                <w:sz w:val="22"/>
                <w:szCs w:val="22"/>
              </w:rPr>
              <w:t xml:space="preserve">机柜安装耳朵 </w:t>
            </w:r>
            <w:r>
              <w:rPr>
                <w:rFonts w:hint="eastAsia"/>
                <w:sz w:val="22"/>
                <w:szCs w:val="22"/>
              </w:rPr>
              <w:t>x2+</w:t>
            </w:r>
            <w:r>
              <w:rPr>
                <w:rFonts w:hint="eastAsia"/>
                <w:spacing w:val="-9"/>
                <w:sz w:val="22"/>
                <w:szCs w:val="22"/>
              </w:rPr>
              <w:t xml:space="preserve">橡胶防水圈 </w:t>
            </w:r>
            <w:r>
              <w:rPr>
                <w:rFonts w:hint="eastAsia"/>
                <w:sz w:val="22"/>
                <w:szCs w:val="22"/>
              </w:rPr>
              <w:t>x6+</w:t>
            </w:r>
            <w:r>
              <w:rPr>
                <w:rFonts w:hint="eastAsia"/>
                <w:spacing w:val="-6"/>
                <w:sz w:val="22"/>
                <w:szCs w:val="22"/>
              </w:rPr>
              <w:t>耦合</w:t>
            </w:r>
            <w:r>
              <w:rPr>
                <w:rFonts w:hint="eastAsia"/>
                <w:spacing w:val="-8"/>
                <w:sz w:val="22"/>
                <w:szCs w:val="22"/>
              </w:rPr>
              <w:t xml:space="preserve">器安装小螺丝 </w:t>
            </w:r>
            <w:r>
              <w:rPr>
                <w:rFonts w:hint="eastAsia"/>
                <w:sz w:val="22"/>
                <w:szCs w:val="22"/>
              </w:rPr>
              <w:t>x48+</w:t>
            </w:r>
            <w:r>
              <w:rPr>
                <w:rFonts w:hint="eastAsia"/>
                <w:spacing w:val="-13"/>
                <w:sz w:val="22"/>
                <w:szCs w:val="22"/>
              </w:rPr>
              <w:t xml:space="preserve">小扎带 </w:t>
            </w:r>
            <w:r>
              <w:rPr>
                <w:rFonts w:hint="eastAsia"/>
                <w:sz w:val="22"/>
                <w:szCs w:val="22"/>
              </w:rPr>
              <w:t>x24。</w:t>
            </w:r>
          </w:p>
          <w:p>
            <w:pPr>
              <w:pStyle w:val="117"/>
              <w:rPr>
                <w:rFonts w:hint="eastAsia"/>
                <w:sz w:val="22"/>
                <w:szCs w:val="22"/>
              </w:rPr>
            </w:pPr>
            <w:r>
              <w:rPr>
                <w:rFonts w:hint="eastAsia"/>
                <w:sz w:val="22"/>
                <w:szCs w:val="22"/>
                <w:lang w:val="en-US"/>
              </w:rPr>
              <w:t>10、</w:t>
            </w:r>
            <w:r>
              <w:rPr>
                <w:rFonts w:hint="eastAsia"/>
                <w:sz w:val="22"/>
                <w:szCs w:val="22"/>
              </w:rPr>
              <w:t>使用温度：-20～70℃，湿度：≤85%（温度 85℃±3℃）。</w:t>
            </w:r>
          </w:p>
        </w:tc>
        <w:tc>
          <w:tcPr>
            <w:tcW w:w="850"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sz w:val="22"/>
                <w:szCs w:val="22"/>
              </w:rPr>
              <w:t>48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ind w:left="6"/>
              <w:jc w:val="center"/>
              <w:rPr>
                <w:rFonts w:hint="eastAsia"/>
                <w:sz w:val="22"/>
                <w:szCs w:val="22"/>
              </w:rPr>
            </w:pPr>
            <w:r>
              <w:rPr>
                <w:rFonts w:hint="eastAsia"/>
                <w:w w:val="99"/>
                <w:sz w:val="22"/>
                <w:szCs w:val="22"/>
              </w:rPr>
              <w:t>7</w:t>
            </w:r>
          </w:p>
        </w:tc>
        <w:tc>
          <w:tcPr>
            <w:tcW w:w="1380" w:type="dxa"/>
            <w:noWrap w:val="0"/>
            <w:vAlign w:val="center"/>
          </w:tcPr>
          <w:p>
            <w:pPr>
              <w:pStyle w:val="117"/>
              <w:spacing w:before="161" w:line="302" w:lineRule="auto"/>
              <w:ind w:right="107"/>
              <w:jc w:val="center"/>
              <w:rPr>
                <w:rFonts w:hint="eastAsia"/>
                <w:sz w:val="22"/>
                <w:szCs w:val="22"/>
              </w:rPr>
            </w:pPr>
            <w:r>
              <w:rPr>
                <w:rFonts w:hint="eastAsia"/>
                <w:sz w:val="22"/>
                <w:szCs w:val="22"/>
              </w:rPr>
              <w:t>24 口光纤配线架（含模块）</w:t>
            </w:r>
          </w:p>
        </w:tc>
        <w:tc>
          <w:tcPr>
            <w:tcW w:w="6010" w:type="dxa"/>
            <w:noWrap w:val="0"/>
            <w:vAlign w:val="center"/>
          </w:tcPr>
          <w:p>
            <w:pPr>
              <w:pStyle w:val="117"/>
              <w:spacing w:before="35" w:line="304" w:lineRule="auto"/>
              <w:ind w:right="209"/>
              <w:rPr>
                <w:rFonts w:hint="eastAsia"/>
                <w:spacing w:val="-1"/>
                <w:sz w:val="22"/>
                <w:szCs w:val="22"/>
              </w:rPr>
            </w:pPr>
            <w:r>
              <w:rPr>
                <w:rFonts w:hint="eastAsia"/>
                <w:spacing w:val="-1"/>
                <w:sz w:val="22"/>
                <w:szCs w:val="22"/>
                <w:lang w:val="en-US"/>
              </w:rPr>
              <w:t>1、</w:t>
            </w:r>
            <w:r>
              <w:rPr>
                <w:rFonts w:hint="eastAsia"/>
                <w:spacing w:val="-1"/>
                <w:sz w:val="22"/>
                <w:szCs w:val="22"/>
              </w:rPr>
              <w:t>光纤配线架尺寸：483*300*44.5mm，光纤配线架材质：优质冷轧钢板整体黑色喷塑钢板厚度：1.0mm。</w:t>
            </w:r>
          </w:p>
          <w:p>
            <w:pPr>
              <w:pStyle w:val="117"/>
              <w:spacing w:before="35" w:line="304" w:lineRule="auto"/>
              <w:ind w:right="209"/>
              <w:rPr>
                <w:rFonts w:hint="eastAsia"/>
                <w:spacing w:val="-1"/>
                <w:sz w:val="22"/>
                <w:szCs w:val="22"/>
              </w:rPr>
            </w:pPr>
            <w:r>
              <w:rPr>
                <w:rFonts w:hint="eastAsia"/>
                <w:spacing w:val="-1"/>
                <w:sz w:val="22"/>
                <w:szCs w:val="22"/>
                <w:lang w:val="en-US"/>
              </w:rPr>
              <w:t>2、</w:t>
            </w:r>
            <w:r>
              <w:rPr>
                <w:rFonts w:hint="eastAsia"/>
                <w:spacing w:val="-1"/>
                <w:sz w:val="22"/>
                <w:szCs w:val="22"/>
              </w:rPr>
              <w:t>安装板材质：铝板黑色喷塑</w:t>
            </w:r>
            <w:r>
              <w:rPr>
                <w:rFonts w:hint="eastAsia"/>
                <w:spacing w:val="-1"/>
                <w:sz w:val="22"/>
                <w:szCs w:val="22"/>
                <w:lang w:eastAsia="zh-CN"/>
              </w:rPr>
              <w:t>，</w:t>
            </w:r>
            <w:r>
              <w:rPr>
                <w:rFonts w:hint="eastAsia"/>
                <w:spacing w:val="-1"/>
                <w:sz w:val="22"/>
                <w:szCs w:val="22"/>
              </w:rPr>
              <w:t>安装高度：1U。</w:t>
            </w:r>
          </w:p>
          <w:p>
            <w:pPr>
              <w:pStyle w:val="117"/>
              <w:spacing w:before="35" w:line="304" w:lineRule="auto"/>
              <w:ind w:right="209"/>
              <w:rPr>
                <w:rFonts w:hint="eastAsia"/>
                <w:spacing w:val="-1"/>
                <w:sz w:val="22"/>
                <w:szCs w:val="22"/>
              </w:rPr>
            </w:pPr>
            <w:r>
              <w:rPr>
                <w:rFonts w:hint="eastAsia"/>
                <w:spacing w:val="-1"/>
                <w:sz w:val="22"/>
                <w:szCs w:val="22"/>
                <w:lang w:val="en-US"/>
              </w:rPr>
              <w:t>3、</w:t>
            </w:r>
            <w:r>
              <w:rPr>
                <w:rFonts w:hint="eastAsia"/>
                <w:spacing w:val="-1"/>
                <w:sz w:val="22"/>
                <w:szCs w:val="22"/>
              </w:rPr>
              <w:t>进线光缆数量：2-4 根。</w:t>
            </w:r>
          </w:p>
          <w:p>
            <w:pPr>
              <w:pStyle w:val="117"/>
              <w:spacing w:before="35" w:line="304" w:lineRule="auto"/>
              <w:ind w:right="209"/>
              <w:rPr>
                <w:rFonts w:hint="eastAsia"/>
                <w:spacing w:val="-1"/>
                <w:sz w:val="22"/>
                <w:szCs w:val="22"/>
              </w:rPr>
            </w:pPr>
            <w:r>
              <w:rPr>
                <w:rFonts w:hint="eastAsia"/>
                <w:spacing w:val="-1"/>
                <w:sz w:val="22"/>
                <w:szCs w:val="22"/>
                <w:lang w:val="en-US"/>
              </w:rPr>
              <w:t>4、</w:t>
            </w:r>
            <w:r>
              <w:rPr>
                <w:rFonts w:hint="eastAsia"/>
                <w:spacing w:val="-1"/>
                <w:sz w:val="22"/>
                <w:szCs w:val="22"/>
              </w:rPr>
              <w:t>进线方式：配线架后部进线，支持室内室外光缆熔接连接方式：线缆进线→线缆盘纤→尾纤熔纤→尾纤盘纤→ 耦合器连接→耦合器安装板连接→光纤跳线出线。</w:t>
            </w:r>
          </w:p>
          <w:p>
            <w:pPr>
              <w:pStyle w:val="117"/>
              <w:spacing w:before="35" w:line="304" w:lineRule="auto"/>
              <w:ind w:right="209"/>
              <w:rPr>
                <w:rFonts w:hint="eastAsia"/>
                <w:spacing w:val="-1"/>
                <w:sz w:val="22"/>
                <w:szCs w:val="22"/>
              </w:rPr>
            </w:pPr>
            <w:r>
              <w:rPr>
                <w:rFonts w:hint="eastAsia"/>
                <w:spacing w:val="-1"/>
                <w:sz w:val="22"/>
                <w:szCs w:val="22"/>
                <w:lang w:val="en-US"/>
              </w:rPr>
              <w:t>5、</w:t>
            </w:r>
            <w:r>
              <w:rPr>
                <w:rFonts w:hint="eastAsia"/>
                <w:spacing w:val="-1"/>
                <w:sz w:val="22"/>
                <w:szCs w:val="22"/>
              </w:rPr>
              <w:t>耦合器安装板安装方式：安装板自带卡扣螺丝直接将安装板卡接于爱谱华顿光纤配线架内的螺丝安装孔内。</w:t>
            </w:r>
          </w:p>
          <w:p>
            <w:pPr>
              <w:pStyle w:val="117"/>
              <w:spacing w:before="35" w:line="304" w:lineRule="auto"/>
              <w:ind w:right="209"/>
              <w:rPr>
                <w:rFonts w:hint="eastAsia"/>
                <w:spacing w:val="-1"/>
                <w:sz w:val="22"/>
                <w:szCs w:val="22"/>
              </w:rPr>
            </w:pPr>
            <w:r>
              <w:rPr>
                <w:rFonts w:hint="eastAsia"/>
                <w:spacing w:val="-1"/>
                <w:sz w:val="22"/>
                <w:szCs w:val="22"/>
                <w:lang w:val="en-US"/>
              </w:rPr>
              <w:t>6、</w:t>
            </w:r>
            <w:r>
              <w:rPr>
                <w:rFonts w:hint="eastAsia"/>
                <w:spacing w:val="-1"/>
                <w:sz w:val="22"/>
                <w:szCs w:val="22"/>
              </w:rPr>
              <w:t>配线架盖板安装方式：前部盖板卡扣螺丝开启。</w:t>
            </w:r>
          </w:p>
          <w:p>
            <w:pPr>
              <w:pStyle w:val="117"/>
              <w:spacing w:before="35" w:line="304" w:lineRule="auto"/>
              <w:ind w:right="209"/>
              <w:rPr>
                <w:rFonts w:hint="eastAsia"/>
                <w:spacing w:val="-1"/>
                <w:sz w:val="22"/>
                <w:szCs w:val="22"/>
              </w:rPr>
            </w:pPr>
            <w:r>
              <w:rPr>
                <w:rFonts w:hint="eastAsia"/>
                <w:spacing w:val="-1"/>
                <w:sz w:val="22"/>
                <w:szCs w:val="22"/>
                <w:lang w:val="en-US"/>
              </w:rPr>
              <w:t>7、</w:t>
            </w:r>
            <w:r>
              <w:rPr>
                <w:rFonts w:hint="eastAsia"/>
                <w:spacing w:val="-1"/>
                <w:sz w:val="22"/>
                <w:szCs w:val="22"/>
              </w:rPr>
              <w:t>配线架安装方式：使用包装内标配安装支架安装于 19 英寸标准机柜类。</w:t>
            </w:r>
          </w:p>
          <w:p>
            <w:pPr>
              <w:pStyle w:val="117"/>
              <w:spacing w:before="35" w:line="304" w:lineRule="auto"/>
              <w:ind w:right="209"/>
              <w:rPr>
                <w:rFonts w:hint="eastAsia"/>
                <w:spacing w:val="-1"/>
                <w:sz w:val="22"/>
                <w:szCs w:val="22"/>
              </w:rPr>
            </w:pPr>
            <w:r>
              <w:rPr>
                <w:rFonts w:hint="eastAsia"/>
                <w:spacing w:val="-1"/>
                <w:sz w:val="22"/>
                <w:szCs w:val="22"/>
                <w:lang w:val="en-US"/>
              </w:rPr>
              <w:t>8、</w:t>
            </w:r>
            <w:r>
              <w:rPr>
                <w:rFonts w:hint="eastAsia"/>
                <w:spacing w:val="-1"/>
                <w:sz w:val="22"/>
                <w:szCs w:val="22"/>
              </w:rPr>
              <w:t>配件：配线架外箱 x1+12 位耦合器安装板 x2+12 芯光纤熔纤盘 x2+电缆夹 x2+机柜安装耳朵 x2+橡胶防水圈 x6+耦合器安装小螺丝 x48+小扎带 x24。</w:t>
            </w:r>
          </w:p>
          <w:p>
            <w:pPr>
              <w:pStyle w:val="117"/>
              <w:spacing w:before="35" w:line="304" w:lineRule="auto"/>
              <w:ind w:right="209"/>
              <w:rPr>
                <w:rFonts w:hint="eastAsia"/>
                <w:spacing w:val="-1"/>
                <w:sz w:val="22"/>
                <w:szCs w:val="22"/>
              </w:rPr>
            </w:pPr>
            <w:r>
              <w:rPr>
                <w:rFonts w:hint="eastAsia"/>
                <w:spacing w:val="-1"/>
                <w:sz w:val="22"/>
                <w:szCs w:val="22"/>
                <w:lang w:val="en-US"/>
              </w:rPr>
              <w:t>9、</w:t>
            </w:r>
            <w:r>
              <w:rPr>
                <w:rFonts w:hint="eastAsia"/>
                <w:spacing w:val="-1"/>
                <w:sz w:val="22"/>
                <w:szCs w:val="22"/>
              </w:rPr>
              <w:t>使用温度：-20～70℃，湿度：≤85%（温度 85℃±3℃）。</w:t>
            </w:r>
          </w:p>
        </w:tc>
        <w:tc>
          <w:tcPr>
            <w:tcW w:w="850" w:type="dxa"/>
            <w:noWrap w:val="0"/>
            <w:vAlign w:val="center"/>
          </w:tcPr>
          <w:p>
            <w:pPr>
              <w:pStyle w:val="117"/>
              <w:spacing w:before="35" w:line="304" w:lineRule="auto"/>
              <w:ind w:right="209"/>
              <w:rPr>
                <w:rFonts w:hint="eastAsia"/>
                <w:spacing w:val="-1"/>
                <w:sz w:val="22"/>
                <w:szCs w:val="22"/>
              </w:rPr>
            </w:pPr>
            <w:r>
              <w:rPr>
                <w:rFonts w:hint="eastAsia"/>
                <w:spacing w:val="-1"/>
                <w:sz w:val="22"/>
                <w:szCs w:val="22"/>
              </w:rPr>
              <w:t>台</w:t>
            </w:r>
          </w:p>
        </w:tc>
        <w:tc>
          <w:tcPr>
            <w:tcW w:w="650" w:type="dxa"/>
            <w:noWrap w:val="0"/>
            <w:vAlign w:val="center"/>
          </w:tcPr>
          <w:p>
            <w:pPr>
              <w:pStyle w:val="117"/>
              <w:spacing w:before="35" w:line="304" w:lineRule="auto"/>
              <w:ind w:right="209"/>
              <w:rPr>
                <w:rFonts w:hint="eastAsia"/>
                <w:spacing w:val="-1"/>
                <w:sz w:val="22"/>
                <w:szCs w:val="22"/>
              </w:rPr>
            </w:pPr>
            <w:r>
              <w:rPr>
                <w:rFonts w:hint="eastAsia"/>
                <w:spacing w:val="-1"/>
                <w:sz w:val="22"/>
                <w:szCs w:val="22"/>
              </w:rPr>
              <w:t>24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 w:hRule="atLeast"/>
          <w:jc w:val="center"/>
        </w:trPr>
        <w:tc>
          <w:tcPr>
            <w:tcW w:w="628" w:type="dxa"/>
            <w:noWrap w:val="0"/>
            <w:vAlign w:val="center"/>
          </w:tcPr>
          <w:p>
            <w:pPr>
              <w:pStyle w:val="117"/>
              <w:spacing w:before="35" w:line="304" w:lineRule="auto"/>
              <w:ind w:right="209"/>
              <w:jc w:val="center"/>
              <w:rPr>
                <w:rFonts w:hint="eastAsia"/>
                <w:spacing w:val="-1"/>
                <w:sz w:val="22"/>
                <w:szCs w:val="22"/>
              </w:rPr>
            </w:pPr>
            <w:r>
              <w:rPr>
                <w:rFonts w:hint="eastAsia"/>
                <w:spacing w:val="-1"/>
                <w:sz w:val="22"/>
                <w:szCs w:val="22"/>
              </w:rPr>
              <w:t>8</w:t>
            </w:r>
          </w:p>
        </w:tc>
        <w:tc>
          <w:tcPr>
            <w:tcW w:w="1380" w:type="dxa"/>
            <w:noWrap w:val="0"/>
            <w:vAlign w:val="center"/>
          </w:tcPr>
          <w:p>
            <w:pPr>
              <w:pStyle w:val="117"/>
              <w:spacing w:before="35" w:line="304" w:lineRule="auto"/>
              <w:ind w:right="209"/>
              <w:jc w:val="center"/>
              <w:rPr>
                <w:rFonts w:hint="eastAsia"/>
                <w:spacing w:val="-1"/>
                <w:sz w:val="22"/>
                <w:szCs w:val="22"/>
              </w:rPr>
            </w:pPr>
            <w:r>
              <w:rPr>
                <w:rFonts w:hint="eastAsia"/>
                <w:spacing w:val="-1"/>
                <w:sz w:val="22"/>
                <w:szCs w:val="22"/>
              </w:rPr>
              <w:t>理线器</w:t>
            </w:r>
          </w:p>
        </w:tc>
        <w:tc>
          <w:tcPr>
            <w:tcW w:w="6010" w:type="dxa"/>
            <w:noWrap w:val="0"/>
            <w:vAlign w:val="center"/>
          </w:tcPr>
          <w:p>
            <w:pPr>
              <w:pStyle w:val="117"/>
              <w:spacing w:before="35" w:line="304" w:lineRule="auto"/>
              <w:ind w:right="209"/>
              <w:rPr>
                <w:rFonts w:hint="eastAsia"/>
                <w:spacing w:val="-1"/>
                <w:sz w:val="22"/>
                <w:szCs w:val="22"/>
              </w:rPr>
            </w:pPr>
            <w:r>
              <w:rPr>
                <w:rFonts w:hint="eastAsia"/>
                <w:spacing w:val="-1"/>
                <w:sz w:val="22"/>
                <w:szCs w:val="22"/>
                <w:lang w:val="en-US"/>
              </w:rPr>
              <w:t>1、</w:t>
            </w:r>
            <w:r>
              <w:rPr>
                <w:rFonts w:hint="eastAsia"/>
                <w:spacing w:val="-1"/>
                <w:sz w:val="22"/>
                <w:szCs w:val="22"/>
              </w:rPr>
              <w:t>理线器整体材质：钢架+黑色喷塑安装高度：1U。</w:t>
            </w:r>
          </w:p>
          <w:p>
            <w:pPr>
              <w:pStyle w:val="117"/>
              <w:spacing w:before="35" w:line="304" w:lineRule="auto"/>
              <w:ind w:right="209"/>
              <w:rPr>
                <w:rFonts w:hint="eastAsia"/>
                <w:spacing w:val="-1"/>
                <w:sz w:val="22"/>
                <w:szCs w:val="22"/>
              </w:rPr>
            </w:pPr>
            <w:r>
              <w:rPr>
                <w:rFonts w:hint="eastAsia"/>
                <w:spacing w:val="-1"/>
                <w:sz w:val="22"/>
                <w:szCs w:val="22"/>
                <w:lang w:val="en-US"/>
              </w:rPr>
              <w:t>2、</w:t>
            </w:r>
            <w:r>
              <w:rPr>
                <w:rFonts w:hint="eastAsia"/>
                <w:spacing w:val="-1"/>
                <w:sz w:val="22"/>
                <w:szCs w:val="22"/>
              </w:rPr>
              <w:t>安装方式：机柜螺丝安装使用温度： -20～70℃，湿度：85%（温度 85℃±3℃）。</w:t>
            </w:r>
          </w:p>
        </w:tc>
        <w:tc>
          <w:tcPr>
            <w:tcW w:w="850" w:type="dxa"/>
            <w:noWrap w:val="0"/>
            <w:vAlign w:val="center"/>
          </w:tcPr>
          <w:p>
            <w:pPr>
              <w:pStyle w:val="117"/>
              <w:jc w:val="center"/>
              <w:rPr>
                <w:rFonts w:hint="eastAsia"/>
                <w:spacing w:val="-1"/>
                <w:sz w:val="22"/>
                <w:szCs w:val="22"/>
              </w:rPr>
            </w:pPr>
          </w:p>
          <w:p>
            <w:pPr>
              <w:pStyle w:val="117"/>
              <w:jc w:val="center"/>
              <w:rPr>
                <w:rFonts w:hint="eastAsia"/>
                <w:spacing w:val="-1"/>
                <w:sz w:val="22"/>
                <w:szCs w:val="22"/>
              </w:rPr>
            </w:pPr>
            <w:r>
              <w:rPr>
                <w:rFonts w:hint="eastAsia"/>
                <w:spacing w:val="-1"/>
                <w:sz w:val="22"/>
                <w:szCs w:val="22"/>
              </w:rPr>
              <w:t>台</w:t>
            </w:r>
          </w:p>
        </w:tc>
        <w:tc>
          <w:tcPr>
            <w:tcW w:w="650" w:type="dxa"/>
            <w:noWrap w:val="0"/>
            <w:vAlign w:val="center"/>
          </w:tcPr>
          <w:p>
            <w:pPr>
              <w:pStyle w:val="117"/>
              <w:jc w:val="center"/>
              <w:rPr>
                <w:rFonts w:hint="eastAsia"/>
                <w:spacing w:val="-1"/>
                <w:sz w:val="22"/>
                <w:szCs w:val="22"/>
              </w:rPr>
            </w:pPr>
          </w:p>
          <w:p>
            <w:pPr>
              <w:pStyle w:val="117"/>
              <w:jc w:val="center"/>
              <w:rPr>
                <w:rFonts w:hint="eastAsia"/>
                <w:spacing w:val="-1"/>
                <w:sz w:val="22"/>
                <w:szCs w:val="22"/>
              </w:rPr>
            </w:pPr>
            <w:r>
              <w:rPr>
                <w:rFonts w:hint="eastAsia"/>
                <w:spacing w:val="-1"/>
                <w:sz w:val="22"/>
                <w:szCs w:val="22"/>
              </w:rPr>
              <w:t>72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35" w:line="304" w:lineRule="auto"/>
              <w:ind w:right="209"/>
              <w:jc w:val="center"/>
              <w:rPr>
                <w:rFonts w:hint="eastAsia"/>
                <w:spacing w:val="-1"/>
                <w:sz w:val="22"/>
                <w:szCs w:val="22"/>
              </w:rPr>
            </w:pPr>
            <w:r>
              <w:rPr>
                <w:rFonts w:hint="eastAsia"/>
                <w:spacing w:val="-1"/>
                <w:sz w:val="22"/>
                <w:szCs w:val="22"/>
              </w:rPr>
              <w:t>9</w:t>
            </w:r>
          </w:p>
        </w:tc>
        <w:tc>
          <w:tcPr>
            <w:tcW w:w="1380" w:type="dxa"/>
            <w:noWrap w:val="0"/>
            <w:vAlign w:val="center"/>
          </w:tcPr>
          <w:p>
            <w:pPr>
              <w:pStyle w:val="117"/>
              <w:spacing w:before="35" w:line="304" w:lineRule="auto"/>
              <w:ind w:left="109" w:right="209"/>
              <w:jc w:val="center"/>
              <w:rPr>
                <w:rFonts w:hint="eastAsia"/>
                <w:spacing w:val="-1"/>
                <w:sz w:val="22"/>
                <w:szCs w:val="22"/>
              </w:rPr>
            </w:pPr>
            <w:r>
              <w:rPr>
                <w:rFonts w:hint="eastAsia"/>
                <w:spacing w:val="-1"/>
                <w:sz w:val="22"/>
                <w:szCs w:val="22"/>
              </w:rPr>
              <w:t>光纤跳线</w:t>
            </w:r>
          </w:p>
        </w:tc>
        <w:tc>
          <w:tcPr>
            <w:tcW w:w="6010" w:type="dxa"/>
            <w:noWrap w:val="0"/>
            <w:vAlign w:val="center"/>
          </w:tcPr>
          <w:p>
            <w:pPr>
              <w:pStyle w:val="117"/>
              <w:spacing w:before="35" w:line="304" w:lineRule="auto"/>
              <w:ind w:right="209"/>
              <w:rPr>
                <w:rFonts w:hint="eastAsia"/>
                <w:spacing w:val="-1"/>
                <w:sz w:val="22"/>
                <w:szCs w:val="22"/>
              </w:rPr>
            </w:pPr>
            <w:r>
              <w:rPr>
                <w:rFonts w:hint="eastAsia"/>
                <w:spacing w:val="-1"/>
                <w:sz w:val="22"/>
                <w:szCs w:val="22"/>
                <w:lang w:val="en-US"/>
              </w:rPr>
              <w:t>1、</w:t>
            </w:r>
            <w:r>
              <w:rPr>
                <w:rFonts w:hint="eastAsia"/>
                <w:spacing w:val="-1"/>
                <w:sz w:val="22"/>
                <w:szCs w:val="22"/>
              </w:rPr>
              <w:t>标准：YD/T1272，ISO/IEC 11801，ANSI/TIA-568-C.3。</w:t>
            </w:r>
          </w:p>
          <w:p>
            <w:pPr>
              <w:pStyle w:val="117"/>
              <w:spacing w:before="35" w:line="304" w:lineRule="auto"/>
              <w:ind w:right="209"/>
              <w:rPr>
                <w:rFonts w:hint="eastAsia"/>
                <w:spacing w:val="-1"/>
                <w:sz w:val="22"/>
                <w:szCs w:val="22"/>
              </w:rPr>
            </w:pPr>
            <w:r>
              <w:rPr>
                <w:rFonts w:hint="eastAsia"/>
                <w:spacing w:val="-1"/>
                <w:sz w:val="22"/>
                <w:szCs w:val="22"/>
                <w:lang w:val="en-US"/>
              </w:rPr>
              <w:t>2、</w:t>
            </w:r>
            <w:r>
              <w:rPr>
                <w:rFonts w:hint="eastAsia"/>
                <w:spacing w:val="-1"/>
                <w:sz w:val="22"/>
                <w:szCs w:val="22"/>
              </w:rPr>
              <w:t>依据标准出厂前 100%光学测试，性能优于国内和国际标准。</w:t>
            </w:r>
          </w:p>
          <w:p>
            <w:pPr>
              <w:pStyle w:val="117"/>
              <w:spacing w:before="35" w:line="304" w:lineRule="auto"/>
              <w:ind w:right="209"/>
              <w:rPr>
                <w:rFonts w:hint="eastAsia"/>
                <w:spacing w:val="-1"/>
                <w:sz w:val="22"/>
                <w:szCs w:val="22"/>
              </w:rPr>
            </w:pPr>
            <w:r>
              <w:rPr>
                <w:rFonts w:hint="eastAsia"/>
                <w:spacing w:val="-1"/>
                <w:sz w:val="22"/>
                <w:szCs w:val="22"/>
                <w:lang w:val="en-US"/>
              </w:rPr>
              <w:t>3、</w:t>
            </w:r>
            <w:r>
              <w:rPr>
                <w:rFonts w:hint="eastAsia"/>
                <w:spacing w:val="-1"/>
                <w:sz w:val="22"/>
                <w:szCs w:val="22"/>
              </w:rPr>
              <w:t>高质量陶瓷插芯，插入损耗低，耐久性好。</w:t>
            </w:r>
          </w:p>
          <w:p>
            <w:pPr>
              <w:pStyle w:val="117"/>
              <w:spacing w:before="35" w:line="304" w:lineRule="auto"/>
              <w:ind w:right="209"/>
              <w:rPr>
                <w:rFonts w:hint="eastAsia"/>
                <w:spacing w:val="-1"/>
                <w:sz w:val="22"/>
                <w:szCs w:val="22"/>
              </w:rPr>
            </w:pPr>
            <w:r>
              <w:rPr>
                <w:rFonts w:hint="eastAsia"/>
                <w:spacing w:val="-1"/>
                <w:sz w:val="22"/>
                <w:szCs w:val="22"/>
                <w:lang w:val="en-US"/>
              </w:rPr>
              <w:t>4、</w:t>
            </w:r>
            <w:r>
              <w:rPr>
                <w:rFonts w:hint="eastAsia"/>
                <w:spacing w:val="-1"/>
                <w:sz w:val="22"/>
                <w:szCs w:val="22"/>
              </w:rPr>
              <w:t>重复性，互换性，光学特性稳定。</w:t>
            </w:r>
          </w:p>
          <w:p>
            <w:pPr>
              <w:pStyle w:val="117"/>
              <w:spacing w:before="35" w:line="304" w:lineRule="auto"/>
              <w:ind w:right="209"/>
              <w:rPr>
                <w:rFonts w:hint="eastAsia"/>
                <w:spacing w:val="-1"/>
                <w:sz w:val="22"/>
                <w:szCs w:val="22"/>
              </w:rPr>
            </w:pPr>
            <w:r>
              <w:rPr>
                <w:rFonts w:hint="eastAsia"/>
                <w:spacing w:val="-1"/>
                <w:sz w:val="22"/>
                <w:szCs w:val="22"/>
                <w:lang w:val="en-US"/>
              </w:rPr>
              <w:t>5、</w:t>
            </w:r>
            <w:r>
              <w:rPr>
                <w:rFonts w:hint="eastAsia"/>
                <w:spacing w:val="-1"/>
                <w:sz w:val="22"/>
                <w:szCs w:val="22"/>
              </w:rPr>
              <w:t>各种长度，多种类型的跳纤和尾纤可供选择。</w:t>
            </w:r>
          </w:p>
          <w:p>
            <w:pPr>
              <w:pStyle w:val="117"/>
              <w:spacing w:before="35" w:line="304" w:lineRule="auto"/>
              <w:ind w:right="209"/>
              <w:rPr>
                <w:rFonts w:hint="eastAsia"/>
                <w:spacing w:val="-1"/>
                <w:sz w:val="22"/>
                <w:szCs w:val="22"/>
              </w:rPr>
            </w:pPr>
            <w:r>
              <w:rPr>
                <w:rFonts w:hint="eastAsia"/>
                <w:spacing w:val="-1"/>
                <w:sz w:val="22"/>
                <w:szCs w:val="22"/>
                <w:lang w:val="en-US"/>
              </w:rPr>
              <w:t>6、</w:t>
            </w:r>
            <w:r>
              <w:rPr>
                <w:rFonts w:hint="eastAsia"/>
                <w:spacing w:val="-1"/>
                <w:sz w:val="22"/>
                <w:szCs w:val="22"/>
              </w:rPr>
              <w:t>单芯光缆护套外径：3mm。</w:t>
            </w:r>
          </w:p>
          <w:p>
            <w:pPr>
              <w:pStyle w:val="117"/>
              <w:spacing w:before="35" w:line="304" w:lineRule="auto"/>
              <w:ind w:right="209"/>
              <w:rPr>
                <w:rFonts w:hint="eastAsia"/>
                <w:spacing w:val="-1"/>
                <w:sz w:val="22"/>
                <w:szCs w:val="22"/>
              </w:rPr>
            </w:pPr>
            <w:r>
              <w:rPr>
                <w:rFonts w:hint="eastAsia"/>
                <w:spacing w:val="-1"/>
                <w:sz w:val="22"/>
                <w:szCs w:val="22"/>
                <w:lang w:val="en-US"/>
              </w:rPr>
              <w:t>7、</w:t>
            </w:r>
            <w:r>
              <w:rPr>
                <w:rFonts w:hint="eastAsia"/>
                <w:spacing w:val="-1"/>
                <w:sz w:val="22"/>
                <w:szCs w:val="22"/>
              </w:rPr>
              <w:t>插入损耗（含重复性）：≤0.2dB。</w:t>
            </w:r>
          </w:p>
          <w:p>
            <w:pPr>
              <w:pStyle w:val="117"/>
              <w:spacing w:before="35" w:line="304" w:lineRule="auto"/>
              <w:ind w:right="209"/>
              <w:rPr>
                <w:rFonts w:hint="eastAsia"/>
                <w:spacing w:val="-1"/>
                <w:sz w:val="22"/>
                <w:szCs w:val="22"/>
                <w:lang w:val="en-US"/>
              </w:rPr>
            </w:pPr>
            <w:r>
              <w:rPr>
                <w:rFonts w:hint="eastAsia"/>
                <w:spacing w:val="-1"/>
                <w:sz w:val="22"/>
                <w:szCs w:val="22"/>
                <w:lang w:val="en-US"/>
              </w:rPr>
              <w:t>8、</w:t>
            </w:r>
            <w:r>
              <w:rPr>
                <w:rFonts w:hint="eastAsia"/>
                <w:spacing w:val="-1"/>
                <w:sz w:val="22"/>
                <w:szCs w:val="22"/>
              </w:rPr>
              <w:t>互换性：≤0.2dB</w:t>
            </w:r>
            <w:r>
              <w:rPr>
                <w:rFonts w:hint="eastAsia"/>
                <w:spacing w:val="-1"/>
                <w:sz w:val="22"/>
                <w:szCs w:val="22"/>
                <w:lang w:val="en-US"/>
              </w:rPr>
              <w:t>/。</w:t>
            </w:r>
          </w:p>
          <w:p>
            <w:pPr>
              <w:pStyle w:val="117"/>
              <w:spacing w:before="35" w:line="304" w:lineRule="auto"/>
              <w:ind w:right="209"/>
              <w:rPr>
                <w:rFonts w:hint="eastAsia"/>
                <w:spacing w:val="-1"/>
                <w:sz w:val="22"/>
                <w:szCs w:val="22"/>
              </w:rPr>
            </w:pPr>
            <w:r>
              <w:rPr>
                <w:rFonts w:hint="eastAsia"/>
                <w:spacing w:val="-1"/>
                <w:sz w:val="22"/>
                <w:szCs w:val="22"/>
                <w:lang w:val="en-US"/>
              </w:rPr>
              <w:t>9、</w:t>
            </w:r>
            <w:r>
              <w:rPr>
                <w:rFonts w:hint="eastAsia"/>
                <w:spacing w:val="-1"/>
                <w:sz w:val="22"/>
                <w:szCs w:val="22"/>
              </w:rPr>
              <w:t>回波损耗：≥50dB（SM）,≥35dB（MM）。</w:t>
            </w:r>
          </w:p>
          <w:p>
            <w:pPr>
              <w:pStyle w:val="117"/>
              <w:spacing w:before="35" w:line="304" w:lineRule="auto"/>
              <w:ind w:right="209"/>
              <w:rPr>
                <w:rFonts w:hint="eastAsia"/>
                <w:spacing w:val="-1"/>
                <w:sz w:val="22"/>
                <w:szCs w:val="22"/>
                <w:lang w:val="en-US"/>
              </w:rPr>
            </w:pPr>
            <w:r>
              <w:rPr>
                <w:rFonts w:hint="eastAsia"/>
                <w:spacing w:val="-1"/>
                <w:sz w:val="22"/>
                <w:szCs w:val="22"/>
                <w:lang w:val="en-US"/>
              </w:rPr>
              <w:t>10、</w:t>
            </w:r>
            <w:r>
              <w:rPr>
                <w:rFonts w:hint="eastAsia"/>
                <w:spacing w:val="-1"/>
                <w:sz w:val="22"/>
                <w:szCs w:val="22"/>
              </w:rPr>
              <w:t>重复性≥1000 次。</w:t>
            </w:r>
          </w:p>
          <w:p>
            <w:pPr>
              <w:pStyle w:val="117"/>
              <w:spacing w:before="35" w:line="304" w:lineRule="auto"/>
              <w:ind w:right="209"/>
              <w:rPr>
                <w:rFonts w:hint="eastAsia"/>
                <w:spacing w:val="-1"/>
                <w:sz w:val="22"/>
                <w:szCs w:val="22"/>
              </w:rPr>
            </w:pPr>
            <w:r>
              <w:rPr>
                <w:rFonts w:hint="eastAsia"/>
                <w:spacing w:val="-1"/>
                <w:sz w:val="22"/>
                <w:szCs w:val="22"/>
                <w:lang w:val="en-US"/>
              </w:rPr>
              <w:t>11、</w:t>
            </w:r>
            <w:r>
              <w:rPr>
                <w:rFonts w:hint="eastAsia"/>
                <w:spacing w:val="-1"/>
                <w:sz w:val="22"/>
                <w:szCs w:val="22"/>
              </w:rPr>
              <w:t>工作温度：-20℃~+60℃ LC/UPC 单模第三方检验报告。</w:t>
            </w:r>
          </w:p>
        </w:tc>
        <w:tc>
          <w:tcPr>
            <w:tcW w:w="850" w:type="dxa"/>
            <w:noWrap w:val="0"/>
            <w:vAlign w:val="center"/>
          </w:tcPr>
          <w:p>
            <w:pPr>
              <w:pStyle w:val="117"/>
              <w:jc w:val="center"/>
              <w:rPr>
                <w:rFonts w:hint="eastAsia"/>
                <w:spacing w:val="-1"/>
                <w:sz w:val="22"/>
                <w:szCs w:val="22"/>
              </w:rPr>
            </w:pPr>
            <w:r>
              <w:rPr>
                <w:rFonts w:hint="eastAsia"/>
                <w:spacing w:val="-1"/>
                <w:sz w:val="22"/>
                <w:szCs w:val="22"/>
              </w:rPr>
              <w:t>根</w:t>
            </w:r>
          </w:p>
        </w:tc>
        <w:tc>
          <w:tcPr>
            <w:tcW w:w="650" w:type="dxa"/>
            <w:noWrap w:val="0"/>
            <w:vAlign w:val="center"/>
          </w:tcPr>
          <w:p>
            <w:pPr>
              <w:pStyle w:val="117"/>
              <w:jc w:val="center"/>
              <w:rPr>
                <w:rFonts w:hint="eastAsia"/>
                <w:spacing w:val="-1"/>
                <w:sz w:val="22"/>
                <w:szCs w:val="22"/>
              </w:rPr>
            </w:pPr>
            <w:r>
              <w:rPr>
                <w:rFonts w:hint="eastAsia"/>
                <w:spacing w:val="-1"/>
                <w:sz w:val="22"/>
                <w:szCs w:val="22"/>
              </w:rPr>
              <w:t>480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2" w:line="304" w:lineRule="auto"/>
              <w:ind w:right="209"/>
              <w:jc w:val="center"/>
              <w:rPr>
                <w:rFonts w:hint="eastAsia"/>
                <w:sz w:val="22"/>
                <w:szCs w:val="22"/>
                <w:lang w:val="en-US"/>
              </w:rPr>
            </w:pPr>
            <w:r>
              <w:rPr>
                <w:rFonts w:hint="eastAsia"/>
                <w:sz w:val="22"/>
                <w:szCs w:val="22"/>
              </w:rPr>
              <w:t>1</w:t>
            </w:r>
            <w:r>
              <w:rPr>
                <w:rFonts w:hint="eastAsia"/>
                <w:sz w:val="22"/>
                <w:szCs w:val="22"/>
                <w:lang w:val="en-US"/>
              </w:rPr>
              <w:t>0</w:t>
            </w:r>
          </w:p>
        </w:tc>
        <w:tc>
          <w:tcPr>
            <w:tcW w:w="1380" w:type="dxa"/>
            <w:noWrap w:val="0"/>
            <w:vAlign w:val="center"/>
          </w:tcPr>
          <w:p>
            <w:pPr>
              <w:pStyle w:val="117"/>
              <w:spacing w:before="2" w:line="304" w:lineRule="auto"/>
              <w:ind w:right="209"/>
              <w:jc w:val="center"/>
              <w:rPr>
                <w:rFonts w:hint="eastAsia"/>
                <w:sz w:val="22"/>
                <w:szCs w:val="22"/>
              </w:rPr>
            </w:pPr>
            <w:r>
              <w:rPr>
                <w:rFonts w:hint="eastAsia"/>
                <w:sz w:val="22"/>
                <w:szCs w:val="22"/>
              </w:rPr>
              <w:t>六类网络跳线</w:t>
            </w:r>
          </w:p>
        </w:tc>
        <w:tc>
          <w:tcPr>
            <w:tcW w:w="6010" w:type="dxa"/>
            <w:noWrap w:val="0"/>
            <w:vAlign w:val="center"/>
          </w:tcPr>
          <w:p>
            <w:pPr>
              <w:pStyle w:val="117"/>
              <w:spacing w:before="2" w:line="304" w:lineRule="auto"/>
              <w:ind w:right="209"/>
              <w:rPr>
                <w:rFonts w:hint="eastAsia"/>
                <w:sz w:val="22"/>
                <w:szCs w:val="22"/>
              </w:rPr>
            </w:pPr>
            <w:r>
              <w:rPr>
                <w:rFonts w:hint="eastAsia"/>
                <w:sz w:val="22"/>
                <w:szCs w:val="22"/>
                <w:lang w:val="en-US"/>
              </w:rPr>
              <w:t>1、</w:t>
            </w:r>
            <w:r>
              <w:rPr>
                <w:rFonts w:hint="eastAsia"/>
                <w:sz w:val="22"/>
                <w:szCs w:val="22"/>
              </w:rPr>
              <w:t>标准：YD/T 926.3，ISO/IEC 11801，ANSI/TIA - 568- C.2。</w:t>
            </w:r>
          </w:p>
          <w:p>
            <w:pPr>
              <w:pStyle w:val="117"/>
              <w:spacing w:before="2" w:line="304" w:lineRule="auto"/>
              <w:ind w:right="209"/>
              <w:rPr>
                <w:rFonts w:hint="eastAsia"/>
                <w:sz w:val="22"/>
                <w:szCs w:val="22"/>
              </w:rPr>
            </w:pPr>
            <w:r>
              <w:rPr>
                <w:rFonts w:hint="eastAsia"/>
                <w:sz w:val="22"/>
                <w:szCs w:val="22"/>
                <w:lang w:val="en-US"/>
              </w:rPr>
              <w:t>2、</w:t>
            </w:r>
            <w:r>
              <w:rPr>
                <w:rFonts w:hint="eastAsia"/>
                <w:sz w:val="22"/>
                <w:szCs w:val="22"/>
              </w:rPr>
              <w:t>原厂成型，100%测试，具有更高的可靠性和传输性能。</w:t>
            </w:r>
          </w:p>
          <w:p>
            <w:pPr>
              <w:pStyle w:val="117"/>
              <w:spacing w:before="2" w:line="304" w:lineRule="auto"/>
              <w:ind w:right="209"/>
              <w:rPr>
                <w:rFonts w:hint="eastAsia"/>
                <w:sz w:val="22"/>
                <w:szCs w:val="22"/>
              </w:rPr>
            </w:pPr>
            <w:r>
              <w:rPr>
                <w:rFonts w:hint="eastAsia"/>
                <w:sz w:val="22"/>
                <w:szCs w:val="22"/>
                <w:lang w:val="en-US"/>
              </w:rPr>
              <w:t>3、</w:t>
            </w:r>
            <w:r>
              <w:rPr>
                <w:rFonts w:hint="eastAsia"/>
                <w:sz w:val="22"/>
                <w:szCs w:val="22"/>
              </w:rPr>
              <w:t>多种颜色及 1~20 米长度可选。</w:t>
            </w:r>
          </w:p>
          <w:p>
            <w:pPr>
              <w:pStyle w:val="117"/>
              <w:spacing w:before="2" w:line="304" w:lineRule="auto"/>
              <w:ind w:right="209"/>
              <w:rPr>
                <w:rFonts w:hint="eastAsia"/>
                <w:sz w:val="22"/>
                <w:szCs w:val="22"/>
              </w:rPr>
            </w:pPr>
            <w:r>
              <w:rPr>
                <w:rFonts w:hint="eastAsia"/>
                <w:sz w:val="22"/>
                <w:szCs w:val="22"/>
                <w:lang w:val="en-US"/>
              </w:rPr>
              <w:t>4、</w:t>
            </w:r>
            <w:r>
              <w:rPr>
                <w:rFonts w:hint="eastAsia"/>
                <w:sz w:val="22"/>
                <w:szCs w:val="22"/>
              </w:rPr>
              <w:t>导体: 多股绞合，软圆铜线。</w:t>
            </w:r>
          </w:p>
          <w:p>
            <w:pPr>
              <w:pStyle w:val="117"/>
              <w:spacing w:before="2" w:line="304" w:lineRule="auto"/>
              <w:ind w:right="209"/>
              <w:rPr>
                <w:rFonts w:hint="eastAsia"/>
                <w:sz w:val="22"/>
                <w:szCs w:val="22"/>
              </w:rPr>
            </w:pPr>
            <w:r>
              <w:rPr>
                <w:rFonts w:hint="eastAsia"/>
                <w:sz w:val="22"/>
                <w:szCs w:val="22"/>
                <w:lang w:val="en-US"/>
              </w:rPr>
              <w:t>5、</w:t>
            </w:r>
            <w:r>
              <w:rPr>
                <w:rFonts w:hint="eastAsia"/>
                <w:sz w:val="22"/>
                <w:szCs w:val="22"/>
              </w:rPr>
              <w:t>导体线规：24AWG。</w:t>
            </w:r>
          </w:p>
          <w:p>
            <w:pPr>
              <w:pStyle w:val="117"/>
              <w:spacing w:before="2" w:line="304" w:lineRule="auto"/>
              <w:ind w:right="209"/>
              <w:rPr>
                <w:rFonts w:hint="eastAsia"/>
                <w:sz w:val="22"/>
                <w:szCs w:val="22"/>
              </w:rPr>
            </w:pPr>
            <w:r>
              <w:rPr>
                <w:rFonts w:hint="eastAsia"/>
                <w:sz w:val="22"/>
                <w:szCs w:val="22"/>
                <w:lang w:val="en-US"/>
              </w:rPr>
              <w:t>6、</w:t>
            </w:r>
            <w:r>
              <w:rPr>
                <w:rFonts w:hint="eastAsia"/>
                <w:sz w:val="22"/>
                <w:szCs w:val="22"/>
              </w:rPr>
              <w:t>屏蔽方式: U/UTP。</w:t>
            </w:r>
          </w:p>
          <w:p>
            <w:pPr>
              <w:pStyle w:val="117"/>
              <w:spacing w:before="2" w:line="304" w:lineRule="auto"/>
              <w:ind w:right="209"/>
              <w:rPr>
                <w:rFonts w:hint="eastAsia"/>
                <w:sz w:val="22"/>
                <w:szCs w:val="22"/>
              </w:rPr>
            </w:pPr>
            <w:r>
              <w:rPr>
                <w:rFonts w:hint="eastAsia"/>
                <w:sz w:val="22"/>
                <w:szCs w:val="22"/>
                <w:lang w:val="en-US"/>
              </w:rPr>
              <w:t>7、</w:t>
            </w:r>
            <w:r>
              <w:rPr>
                <w:rFonts w:hint="eastAsia"/>
                <w:sz w:val="22"/>
                <w:szCs w:val="22"/>
              </w:rPr>
              <w:t>护套材料：PVC，护套外径：6.0±0.3mm。</w:t>
            </w:r>
          </w:p>
          <w:p>
            <w:pPr>
              <w:pStyle w:val="117"/>
              <w:spacing w:before="2" w:line="304" w:lineRule="auto"/>
              <w:ind w:right="209"/>
              <w:rPr>
                <w:rFonts w:hint="eastAsia"/>
                <w:sz w:val="22"/>
                <w:szCs w:val="22"/>
              </w:rPr>
            </w:pPr>
            <w:r>
              <w:rPr>
                <w:rFonts w:hint="eastAsia"/>
                <w:sz w:val="22"/>
                <w:szCs w:val="22"/>
                <w:lang w:val="en-US"/>
              </w:rPr>
              <w:t>8、</w:t>
            </w:r>
            <w:r>
              <w:rPr>
                <w:rFonts w:hint="eastAsia"/>
                <w:sz w:val="22"/>
                <w:szCs w:val="22"/>
              </w:rPr>
              <w:t>插头: RJ45，8P8C。</w:t>
            </w:r>
          </w:p>
          <w:p>
            <w:pPr>
              <w:pStyle w:val="117"/>
              <w:spacing w:before="2" w:line="304" w:lineRule="auto"/>
              <w:ind w:right="209"/>
              <w:rPr>
                <w:rFonts w:hint="eastAsia"/>
                <w:sz w:val="22"/>
                <w:szCs w:val="22"/>
              </w:rPr>
            </w:pPr>
            <w:r>
              <w:rPr>
                <w:rFonts w:hint="eastAsia"/>
                <w:sz w:val="22"/>
                <w:szCs w:val="22"/>
                <w:lang w:val="en-US"/>
              </w:rPr>
              <w:t>9、</w:t>
            </w:r>
            <w:r>
              <w:rPr>
                <w:rFonts w:hint="eastAsia"/>
                <w:sz w:val="22"/>
                <w:szCs w:val="22"/>
              </w:rPr>
              <w:t>插头护套： PVC。</w:t>
            </w:r>
          </w:p>
          <w:p>
            <w:pPr>
              <w:pStyle w:val="117"/>
              <w:spacing w:before="2" w:line="304" w:lineRule="auto"/>
              <w:ind w:right="209"/>
              <w:rPr>
                <w:rFonts w:hint="eastAsia"/>
                <w:sz w:val="22"/>
                <w:szCs w:val="22"/>
              </w:rPr>
            </w:pPr>
            <w:r>
              <w:rPr>
                <w:rFonts w:hint="eastAsia"/>
                <w:sz w:val="22"/>
                <w:szCs w:val="22"/>
                <w:lang w:val="en-US"/>
              </w:rPr>
              <w:t>10、</w:t>
            </w:r>
            <w:r>
              <w:rPr>
                <w:rFonts w:hint="eastAsia"/>
                <w:sz w:val="22"/>
                <w:szCs w:val="22"/>
              </w:rPr>
              <w:t>塑胶壳：透明聚碳酸酯。</w:t>
            </w:r>
          </w:p>
          <w:p>
            <w:pPr>
              <w:pStyle w:val="117"/>
              <w:spacing w:before="2" w:line="304" w:lineRule="auto"/>
              <w:ind w:right="209"/>
              <w:rPr>
                <w:rFonts w:hint="eastAsia"/>
                <w:sz w:val="22"/>
                <w:szCs w:val="22"/>
              </w:rPr>
            </w:pPr>
            <w:r>
              <w:rPr>
                <w:rFonts w:hint="eastAsia"/>
                <w:sz w:val="22"/>
                <w:szCs w:val="22"/>
                <w:lang w:val="en-US"/>
              </w:rPr>
              <w:t>11、</w:t>
            </w:r>
            <w:r>
              <w:rPr>
                <w:rFonts w:hint="eastAsia"/>
                <w:sz w:val="22"/>
                <w:szCs w:val="22"/>
              </w:rPr>
              <w:t>簧片材料：铜表面镀金。</w:t>
            </w:r>
          </w:p>
          <w:p>
            <w:pPr>
              <w:pStyle w:val="117"/>
              <w:spacing w:before="2" w:line="304" w:lineRule="auto"/>
              <w:ind w:right="209"/>
              <w:rPr>
                <w:rFonts w:hint="eastAsia"/>
                <w:sz w:val="22"/>
                <w:szCs w:val="22"/>
              </w:rPr>
            </w:pPr>
            <w:r>
              <w:rPr>
                <w:rFonts w:hint="eastAsia"/>
                <w:sz w:val="22"/>
                <w:szCs w:val="22"/>
                <w:lang w:val="en-US"/>
              </w:rPr>
              <w:t>12、</w:t>
            </w:r>
            <w:r>
              <w:rPr>
                <w:rFonts w:hint="eastAsia"/>
                <w:sz w:val="22"/>
                <w:szCs w:val="22"/>
              </w:rPr>
              <w:t>插拔次数：≥1000 次。</w:t>
            </w:r>
          </w:p>
          <w:p>
            <w:pPr>
              <w:pStyle w:val="117"/>
              <w:spacing w:before="2" w:line="304" w:lineRule="auto"/>
              <w:ind w:right="209"/>
              <w:rPr>
                <w:rFonts w:hint="eastAsia"/>
                <w:sz w:val="22"/>
                <w:szCs w:val="22"/>
              </w:rPr>
            </w:pPr>
            <w:r>
              <w:rPr>
                <w:rFonts w:hint="eastAsia"/>
                <w:sz w:val="22"/>
                <w:szCs w:val="22"/>
                <w:lang w:val="en-US"/>
              </w:rPr>
              <w:t>13、</w:t>
            </w:r>
            <w:r>
              <w:rPr>
                <w:rFonts w:hint="eastAsia"/>
                <w:sz w:val="22"/>
                <w:szCs w:val="22"/>
              </w:rPr>
              <w:t>最高传输频率：250MHz。</w:t>
            </w:r>
          </w:p>
          <w:p>
            <w:pPr>
              <w:pStyle w:val="117"/>
              <w:spacing w:before="2" w:line="304" w:lineRule="auto"/>
              <w:ind w:right="209"/>
              <w:rPr>
                <w:rFonts w:hint="eastAsia"/>
                <w:sz w:val="22"/>
                <w:szCs w:val="22"/>
              </w:rPr>
            </w:pPr>
            <w:r>
              <w:rPr>
                <w:rFonts w:hint="eastAsia"/>
                <w:sz w:val="22"/>
                <w:szCs w:val="22"/>
                <w:lang w:val="en-US"/>
              </w:rPr>
              <w:t>14、</w:t>
            </w:r>
            <w:r>
              <w:rPr>
                <w:rFonts w:hint="eastAsia"/>
                <w:sz w:val="22"/>
                <w:szCs w:val="22"/>
              </w:rPr>
              <w:t>工作环境温度：-10℃～+60℃。</w:t>
            </w:r>
          </w:p>
          <w:p>
            <w:pPr>
              <w:pStyle w:val="117"/>
              <w:spacing w:before="2" w:line="304" w:lineRule="auto"/>
              <w:ind w:right="209"/>
              <w:rPr>
                <w:rFonts w:hint="eastAsia"/>
                <w:sz w:val="22"/>
                <w:szCs w:val="22"/>
              </w:rPr>
            </w:pPr>
            <w:r>
              <w:rPr>
                <w:rFonts w:hint="eastAsia"/>
                <w:sz w:val="22"/>
                <w:szCs w:val="22"/>
                <w:lang w:val="en-US"/>
              </w:rPr>
              <w:t>15、</w:t>
            </w:r>
            <w:r>
              <w:rPr>
                <w:rFonts w:hint="eastAsia"/>
                <w:sz w:val="22"/>
                <w:szCs w:val="22"/>
              </w:rPr>
              <w:t>符合 TIA-EIA-568-C.2-2009 标准的单体性能要求并提供第三方检验报告。</w:t>
            </w:r>
          </w:p>
          <w:p>
            <w:pPr>
              <w:pStyle w:val="117"/>
              <w:spacing w:before="2" w:line="304" w:lineRule="auto"/>
              <w:ind w:right="209"/>
              <w:rPr>
                <w:rFonts w:hint="eastAsia"/>
                <w:sz w:val="22"/>
                <w:szCs w:val="22"/>
              </w:rPr>
            </w:pPr>
            <w:r>
              <w:rPr>
                <w:rFonts w:hint="eastAsia"/>
                <w:sz w:val="22"/>
                <w:szCs w:val="22"/>
                <w:lang w:val="en-US"/>
              </w:rPr>
              <w:t>16、</w:t>
            </w:r>
            <w:r>
              <w:rPr>
                <w:rFonts w:hint="eastAsia"/>
                <w:sz w:val="22"/>
                <w:szCs w:val="22"/>
              </w:rPr>
              <w:t>符合信道性能要求并提供 1 米跳线、2 米跳线、3 米跳线、4 米跳线、5 米跳线的第三方信道报告，报告中必须体现产品长度。</w:t>
            </w:r>
          </w:p>
          <w:p>
            <w:pPr>
              <w:pStyle w:val="117"/>
              <w:spacing w:before="2" w:line="304" w:lineRule="auto"/>
              <w:ind w:right="209"/>
              <w:rPr>
                <w:rFonts w:hint="eastAsia"/>
                <w:sz w:val="22"/>
                <w:szCs w:val="22"/>
              </w:rPr>
            </w:pPr>
            <w:r>
              <w:rPr>
                <w:rFonts w:hint="eastAsia"/>
                <w:sz w:val="22"/>
                <w:szCs w:val="22"/>
                <w:lang w:val="en-US"/>
              </w:rPr>
              <w:t>17、</w:t>
            </w:r>
            <w:r>
              <w:rPr>
                <w:rFonts w:hint="eastAsia"/>
                <w:sz w:val="22"/>
                <w:szCs w:val="22"/>
              </w:rPr>
              <w:t>产品符合 ETL 认证并提供证书。</w:t>
            </w:r>
          </w:p>
          <w:p>
            <w:pPr>
              <w:pStyle w:val="117"/>
              <w:spacing w:before="2" w:line="304" w:lineRule="auto"/>
              <w:ind w:right="209"/>
              <w:rPr>
                <w:rFonts w:hint="eastAsia"/>
                <w:sz w:val="22"/>
                <w:szCs w:val="22"/>
              </w:rPr>
            </w:pPr>
            <w:r>
              <w:rPr>
                <w:rFonts w:hint="eastAsia"/>
                <w:sz w:val="22"/>
                <w:szCs w:val="22"/>
                <w:lang w:val="en-US"/>
              </w:rPr>
              <w:t>18、</w:t>
            </w:r>
            <w:r>
              <w:rPr>
                <w:rFonts w:hint="eastAsia"/>
                <w:sz w:val="22"/>
                <w:szCs w:val="22"/>
              </w:rPr>
              <w:t>产品符合 REACH 法规的要求并提供第三方检测报告。</w:t>
            </w:r>
          </w:p>
        </w:tc>
        <w:tc>
          <w:tcPr>
            <w:tcW w:w="850" w:type="dxa"/>
            <w:noWrap w:val="0"/>
            <w:vAlign w:val="center"/>
          </w:tcPr>
          <w:p>
            <w:pPr>
              <w:pStyle w:val="117"/>
              <w:jc w:val="center"/>
              <w:rPr>
                <w:rFonts w:hint="eastAsia"/>
                <w:sz w:val="22"/>
                <w:szCs w:val="22"/>
              </w:rPr>
            </w:pPr>
            <w:r>
              <w:rPr>
                <w:rFonts w:hint="eastAsia"/>
                <w:w w:val="99"/>
                <w:sz w:val="22"/>
                <w:szCs w:val="22"/>
              </w:rPr>
              <w:t>根</w:t>
            </w:r>
          </w:p>
        </w:tc>
        <w:tc>
          <w:tcPr>
            <w:tcW w:w="650" w:type="dxa"/>
            <w:noWrap w:val="0"/>
            <w:vAlign w:val="center"/>
          </w:tcPr>
          <w:p>
            <w:pPr>
              <w:pStyle w:val="117"/>
              <w:jc w:val="center"/>
              <w:rPr>
                <w:rFonts w:hint="eastAsia"/>
                <w:sz w:val="22"/>
                <w:szCs w:val="22"/>
              </w:rPr>
            </w:pPr>
            <w:r>
              <w:rPr>
                <w:rFonts w:hint="eastAsia"/>
                <w:sz w:val="22"/>
                <w:szCs w:val="22"/>
              </w:rPr>
              <w:t>480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9518" w:type="dxa"/>
            <w:gridSpan w:val="5"/>
            <w:noWrap w:val="0"/>
            <w:vAlign w:val="center"/>
          </w:tcPr>
          <w:p>
            <w:pPr>
              <w:pStyle w:val="117"/>
              <w:jc w:val="center"/>
              <w:rPr>
                <w:rFonts w:hint="eastAsia"/>
                <w:sz w:val="22"/>
                <w:szCs w:val="22"/>
              </w:rPr>
            </w:pPr>
            <w:r>
              <w:rPr>
                <w:rFonts w:hint="eastAsia"/>
                <w:b/>
                <w:w w:val="99"/>
                <w:sz w:val="22"/>
                <w:szCs w:val="22"/>
              </w:rPr>
              <w:t>三、</w:t>
            </w:r>
            <w:r>
              <w:rPr>
                <w:rFonts w:hint="eastAsia"/>
                <w:b/>
                <w:sz w:val="22"/>
                <w:szCs w:val="22"/>
              </w:rPr>
              <w:t>防雷接地系统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7"/>
              <w:ind w:left="6"/>
              <w:jc w:val="center"/>
              <w:rPr>
                <w:rFonts w:hint="eastAsia"/>
                <w:sz w:val="22"/>
                <w:szCs w:val="22"/>
              </w:rPr>
            </w:pPr>
            <w:r>
              <w:rPr>
                <w:rFonts w:hint="eastAsia"/>
                <w:w w:val="99"/>
                <w:sz w:val="22"/>
                <w:szCs w:val="22"/>
              </w:rPr>
              <w:t>1</w:t>
            </w:r>
          </w:p>
        </w:tc>
        <w:tc>
          <w:tcPr>
            <w:tcW w:w="1380" w:type="dxa"/>
            <w:noWrap w:val="0"/>
            <w:vAlign w:val="center"/>
          </w:tcPr>
          <w:p>
            <w:pPr>
              <w:pStyle w:val="117"/>
              <w:spacing w:before="47"/>
              <w:ind w:left="84" w:right="78"/>
              <w:jc w:val="center"/>
              <w:rPr>
                <w:rFonts w:hint="eastAsia"/>
                <w:sz w:val="22"/>
                <w:szCs w:val="22"/>
              </w:rPr>
            </w:pPr>
            <w:r>
              <w:rPr>
                <w:rFonts w:hint="eastAsia"/>
                <w:sz w:val="22"/>
                <w:szCs w:val="22"/>
              </w:rPr>
              <w:t>接地铜排</w:t>
            </w:r>
          </w:p>
        </w:tc>
        <w:tc>
          <w:tcPr>
            <w:tcW w:w="6010" w:type="dxa"/>
            <w:noWrap w:val="0"/>
            <w:vAlign w:val="center"/>
          </w:tcPr>
          <w:p>
            <w:pPr>
              <w:pStyle w:val="117"/>
              <w:spacing w:before="47"/>
              <w:ind w:left="108"/>
              <w:rPr>
                <w:rFonts w:hint="eastAsia"/>
                <w:sz w:val="22"/>
                <w:szCs w:val="22"/>
                <w:lang w:val="en-US"/>
              </w:rPr>
            </w:pPr>
            <w:r>
              <w:rPr>
                <w:rFonts w:hint="eastAsia"/>
                <w:sz w:val="22"/>
                <w:szCs w:val="22"/>
              </w:rPr>
              <w:t>30*30mm 紫铜排</w:t>
            </w:r>
          </w:p>
        </w:tc>
        <w:tc>
          <w:tcPr>
            <w:tcW w:w="850" w:type="dxa"/>
            <w:noWrap w:val="0"/>
            <w:vAlign w:val="center"/>
          </w:tcPr>
          <w:p>
            <w:pPr>
              <w:pStyle w:val="117"/>
              <w:jc w:val="center"/>
              <w:rPr>
                <w:rFonts w:hint="eastAsia"/>
                <w:sz w:val="22"/>
                <w:szCs w:val="22"/>
              </w:rPr>
            </w:pPr>
            <w:r>
              <w:rPr>
                <w:rFonts w:hint="eastAsia"/>
                <w:w w:val="99"/>
                <w:sz w:val="22"/>
                <w:szCs w:val="22"/>
              </w:rPr>
              <w:t>m</w:t>
            </w:r>
          </w:p>
        </w:tc>
        <w:tc>
          <w:tcPr>
            <w:tcW w:w="650" w:type="dxa"/>
            <w:noWrap w:val="0"/>
            <w:vAlign w:val="center"/>
          </w:tcPr>
          <w:p>
            <w:pPr>
              <w:pStyle w:val="117"/>
              <w:jc w:val="center"/>
              <w:rPr>
                <w:rFonts w:hint="eastAsia"/>
                <w:sz w:val="22"/>
                <w:szCs w:val="22"/>
              </w:rPr>
            </w:pPr>
            <w:r>
              <w:rPr>
                <w:rFonts w:hint="eastAsia"/>
                <w:sz w:val="22"/>
                <w:szCs w:val="22"/>
              </w:rPr>
              <w:t>122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7"/>
              <w:ind w:left="6"/>
              <w:jc w:val="center"/>
              <w:rPr>
                <w:rFonts w:hint="eastAsia"/>
                <w:sz w:val="22"/>
                <w:szCs w:val="22"/>
              </w:rPr>
            </w:pPr>
            <w:r>
              <w:rPr>
                <w:rFonts w:hint="eastAsia"/>
                <w:w w:val="99"/>
                <w:sz w:val="22"/>
                <w:szCs w:val="22"/>
              </w:rPr>
              <w:t>2</w:t>
            </w:r>
          </w:p>
        </w:tc>
        <w:tc>
          <w:tcPr>
            <w:tcW w:w="1380" w:type="dxa"/>
            <w:noWrap w:val="0"/>
            <w:vAlign w:val="center"/>
          </w:tcPr>
          <w:p>
            <w:pPr>
              <w:pStyle w:val="117"/>
              <w:spacing w:before="47"/>
              <w:ind w:left="84" w:right="78"/>
              <w:jc w:val="center"/>
              <w:rPr>
                <w:rFonts w:hint="eastAsia"/>
                <w:sz w:val="22"/>
                <w:szCs w:val="22"/>
              </w:rPr>
            </w:pPr>
            <w:r>
              <w:rPr>
                <w:rFonts w:hint="eastAsia"/>
                <w:sz w:val="22"/>
                <w:szCs w:val="22"/>
              </w:rPr>
              <w:t>接地铜箔</w:t>
            </w:r>
          </w:p>
        </w:tc>
        <w:tc>
          <w:tcPr>
            <w:tcW w:w="6010" w:type="dxa"/>
            <w:noWrap w:val="0"/>
            <w:vAlign w:val="center"/>
          </w:tcPr>
          <w:p>
            <w:pPr>
              <w:pStyle w:val="117"/>
              <w:spacing w:before="47"/>
              <w:ind w:left="108"/>
              <w:rPr>
                <w:rFonts w:hint="eastAsia"/>
                <w:sz w:val="22"/>
                <w:szCs w:val="22"/>
                <w:lang w:val="en-US"/>
              </w:rPr>
            </w:pPr>
            <w:r>
              <w:rPr>
                <w:rFonts w:hint="eastAsia"/>
                <w:sz w:val="22"/>
                <w:szCs w:val="22"/>
              </w:rPr>
              <w:t>100*0.3mm</w:t>
            </w:r>
          </w:p>
        </w:tc>
        <w:tc>
          <w:tcPr>
            <w:tcW w:w="850" w:type="dxa"/>
            <w:noWrap w:val="0"/>
            <w:vAlign w:val="center"/>
          </w:tcPr>
          <w:p>
            <w:pPr>
              <w:pStyle w:val="117"/>
              <w:jc w:val="center"/>
              <w:rPr>
                <w:rFonts w:hint="eastAsia"/>
                <w:sz w:val="22"/>
                <w:szCs w:val="22"/>
              </w:rPr>
            </w:pPr>
            <w:r>
              <w:rPr>
                <w:rFonts w:hint="eastAsia"/>
                <w:w w:val="99"/>
                <w:sz w:val="22"/>
                <w:szCs w:val="22"/>
              </w:rPr>
              <w:t>m</w:t>
            </w:r>
          </w:p>
        </w:tc>
        <w:tc>
          <w:tcPr>
            <w:tcW w:w="650" w:type="dxa"/>
            <w:noWrap w:val="0"/>
            <w:vAlign w:val="center"/>
          </w:tcPr>
          <w:p>
            <w:pPr>
              <w:pStyle w:val="117"/>
              <w:jc w:val="center"/>
              <w:rPr>
                <w:rFonts w:hint="eastAsia"/>
                <w:sz w:val="22"/>
                <w:szCs w:val="22"/>
              </w:rPr>
            </w:pPr>
            <w:r>
              <w:rPr>
                <w:rFonts w:hint="eastAsia"/>
                <w:sz w:val="22"/>
                <w:szCs w:val="22"/>
              </w:rPr>
              <w:t>190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7"/>
              <w:ind w:left="6"/>
              <w:jc w:val="center"/>
              <w:rPr>
                <w:rFonts w:hint="eastAsia"/>
                <w:sz w:val="22"/>
                <w:szCs w:val="22"/>
              </w:rPr>
            </w:pPr>
            <w:r>
              <w:rPr>
                <w:rFonts w:hint="eastAsia"/>
                <w:w w:val="99"/>
                <w:sz w:val="22"/>
                <w:szCs w:val="22"/>
              </w:rPr>
              <w:t>3</w:t>
            </w:r>
          </w:p>
        </w:tc>
        <w:tc>
          <w:tcPr>
            <w:tcW w:w="1380" w:type="dxa"/>
            <w:noWrap w:val="0"/>
            <w:vAlign w:val="center"/>
          </w:tcPr>
          <w:p>
            <w:pPr>
              <w:pStyle w:val="117"/>
              <w:spacing w:before="47"/>
              <w:ind w:left="84" w:right="76"/>
              <w:jc w:val="center"/>
              <w:rPr>
                <w:rFonts w:hint="eastAsia"/>
                <w:sz w:val="22"/>
                <w:szCs w:val="22"/>
              </w:rPr>
            </w:pPr>
            <w:r>
              <w:rPr>
                <w:rFonts w:hint="eastAsia"/>
                <w:sz w:val="22"/>
                <w:szCs w:val="22"/>
              </w:rPr>
              <w:t>等电位端子箱</w:t>
            </w:r>
          </w:p>
        </w:tc>
        <w:tc>
          <w:tcPr>
            <w:tcW w:w="6010" w:type="dxa"/>
            <w:noWrap w:val="0"/>
            <w:vAlign w:val="center"/>
          </w:tcPr>
          <w:p>
            <w:pPr>
              <w:pStyle w:val="117"/>
              <w:spacing w:before="47"/>
              <w:ind w:left="108"/>
              <w:rPr>
                <w:rFonts w:hint="eastAsia"/>
                <w:sz w:val="22"/>
                <w:szCs w:val="22"/>
                <w:lang w:val="en-US"/>
              </w:rPr>
            </w:pPr>
            <w:r>
              <w:rPr>
                <w:rFonts w:hint="eastAsia"/>
                <w:sz w:val="22"/>
                <w:szCs w:val="22"/>
              </w:rPr>
              <w:t>定制</w:t>
            </w:r>
          </w:p>
        </w:tc>
        <w:tc>
          <w:tcPr>
            <w:tcW w:w="850" w:type="dxa"/>
            <w:noWrap w:val="0"/>
            <w:vAlign w:val="center"/>
          </w:tcPr>
          <w:p>
            <w:pPr>
              <w:pStyle w:val="117"/>
              <w:jc w:val="center"/>
              <w:rPr>
                <w:rFonts w:hint="eastAsia"/>
                <w:sz w:val="22"/>
                <w:szCs w:val="22"/>
              </w:rPr>
            </w:pPr>
            <w:r>
              <w:rPr>
                <w:rFonts w:hint="eastAsia"/>
                <w:w w:val="99"/>
                <w:sz w:val="22"/>
                <w:szCs w:val="22"/>
              </w:rPr>
              <w:t>个</w:t>
            </w:r>
          </w:p>
        </w:tc>
        <w:tc>
          <w:tcPr>
            <w:tcW w:w="650" w:type="dxa"/>
            <w:noWrap w:val="0"/>
            <w:vAlign w:val="center"/>
          </w:tcPr>
          <w:p>
            <w:pPr>
              <w:pStyle w:val="117"/>
              <w:jc w:val="center"/>
              <w:rPr>
                <w:rFonts w:hint="eastAsia"/>
                <w:sz w:val="22"/>
                <w:szCs w:val="22"/>
              </w:rPr>
            </w:pPr>
            <w:r>
              <w:rPr>
                <w:rFonts w:hint="eastAsia"/>
                <w:w w:val="99"/>
                <w:sz w:val="22"/>
                <w:szCs w:val="22"/>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7"/>
              <w:ind w:left="6"/>
              <w:jc w:val="center"/>
              <w:rPr>
                <w:rFonts w:hint="eastAsia"/>
                <w:sz w:val="22"/>
                <w:szCs w:val="22"/>
              </w:rPr>
            </w:pPr>
            <w:r>
              <w:rPr>
                <w:rFonts w:hint="eastAsia"/>
                <w:w w:val="99"/>
                <w:sz w:val="22"/>
                <w:szCs w:val="22"/>
              </w:rPr>
              <w:t>4</w:t>
            </w:r>
          </w:p>
        </w:tc>
        <w:tc>
          <w:tcPr>
            <w:tcW w:w="1380" w:type="dxa"/>
            <w:noWrap w:val="0"/>
            <w:vAlign w:val="center"/>
          </w:tcPr>
          <w:p>
            <w:pPr>
              <w:pStyle w:val="117"/>
              <w:spacing w:before="47"/>
              <w:ind w:left="84" w:right="78"/>
              <w:jc w:val="center"/>
              <w:rPr>
                <w:rFonts w:hint="eastAsia"/>
                <w:sz w:val="22"/>
                <w:szCs w:val="22"/>
              </w:rPr>
            </w:pPr>
            <w:r>
              <w:rPr>
                <w:rFonts w:hint="eastAsia"/>
                <w:sz w:val="22"/>
                <w:szCs w:val="22"/>
              </w:rPr>
              <w:t>接地线缆</w:t>
            </w:r>
          </w:p>
        </w:tc>
        <w:tc>
          <w:tcPr>
            <w:tcW w:w="6010" w:type="dxa"/>
            <w:noWrap w:val="0"/>
            <w:vAlign w:val="center"/>
          </w:tcPr>
          <w:p>
            <w:pPr>
              <w:pStyle w:val="117"/>
              <w:spacing w:before="47"/>
              <w:ind w:left="108"/>
              <w:rPr>
                <w:rFonts w:hint="eastAsia"/>
                <w:sz w:val="22"/>
                <w:szCs w:val="22"/>
                <w:lang w:val="en-US"/>
              </w:rPr>
            </w:pPr>
            <w:r>
              <w:rPr>
                <w:rFonts w:hint="eastAsia"/>
                <w:sz w:val="22"/>
                <w:szCs w:val="22"/>
              </w:rPr>
              <w:t>BVR6</w:t>
            </w:r>
          </w:p>
        </w:tc>
        <w:tc>
          <w:tcPr>
            <w:tcW w:w="850" w:type="dxa"/>
            <w:noWrap w:val="0"/>
            <w:vAlign w:val="center"/>
          </w:tcPr>
          <w:p>
            <w:pPr>
              <w:pStyle w:val="117"/>
              <w:jc w:val="center"/>
              <w:rPr>
                <w:rFonts w:hint="eastAsia"/>
                <w:sz w:val="22"/>
                <w:szCs w:val="22"/>
              </w:rPr>
            </w:pPr>
            <w:r>
              <w:rPr>
                <w:rFonts w:hint="eastAsia"/>
                <w:w w:val="99"/>
                <w:sz w:val="22"/>
                <w:szCs w:val="22"/>
              </w:rPr>
              <w:t>m</w:t>
            </w:r>
          </w:p>
        </w:tc>
        <w:tc>
          <w:tcPr>
            <w:tcW w:w="650" w:type="dxa"/>
            <w:noWrap w:val="0"/>
            <w:vAlign w:val="center"/>
          </w:tcPr>
          <w:p>
            <w:pPr>
              <w:pStyle w:val="117"/>
              <w:jc w:val="center"/>
              <w:rPr>
                <w:rFonts w:hint="eastAsia"/>
                <w:sz w:val="22"/>
                <w:szCs w:val="22"/>
              </w:rPr>
            </w:pPr>
            <w:r>
              <w:rPr>
                <w:rFonts w:hint="eastAsia"/>
                <w:sz w:val="22"/>
                <w:szCs w:val="22"/>
              </w:rPr>
              <w:t>80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7"/>
              <w:ind w:left="6"/>
              <w:jc w:val="center"/>
              <w:rPr>
                <w:rFonts w:hint="eastAsia"/>
                <w:sz w:val="22"/>
                <w:szCs w:val="22"/>
              </w:rPr>
            </w:pPr>
            <w:r>
              <w:rPr>
                <w:rFonts w:hint="eastAsia"/>
                <w:w w:val="99"/>
                <w:sz w:val="22"/>
                <w:szCs w:val="22"/>
              </w:rPr>
              <w:t>5</w:t>
            </w:r>
          </w:p>
        </w:tc>
        <w:tc>
          <w:tcPr>
            <w:tcW w:w="1380" w:type="dxa"/>
            <w:noWrap w:val="0"/>
            <w:vAlign w:val="center"/>
          </w:tcPr>
          <w:p>
            <w:pPr>
              <w:pStyle w:val="117"/>
              <w:spacing w:before="47"/>
              <w:ind w:left="84" w:right="78"/>
              <w:jc w:val="center"/>
              <w:rPr>
                <w:rFonts w:hint="eastAsia"/>
                <w:sz w:val="22"/>
                <w:szCs w:val="22"/>
              </w:rPr>
            </w:pPr>
            <w:r>
              <w:rPr>
                <w:rFonts w:hint="eastAsia"/>
                <w:sz w:val="22"/>
                <w:szCs w:val="22"/>
              </w:rPr>
              <w:t>接地线缆</w:t>
            </w:r>
          </w:p>
        </w:tc>
        <w:tc>
          <w:tcPr>
            <w:tcW w:w="6010" w:type="dxa"/>
            <w:noWrap w:val="0"/>
            <w:vAlign w:val="center"/>
          </w:tcPr>
          <w:p>
            <w:pPr>
              <w:pStyle w:val="117"/>
              <w:spacing w:before="47"/>
              <w:ind w:left="108"/>
              <w:rPr>
                <w:rFonts w:hint="eastAsia"/>
                <w:sz w:val="22"/>
                <w:szCs w:val="22"/>
                <w:lang w:val="en-US"/>
              </w:rPr>
            </w:pPr>
            <w:r>
              <w:rPr>
                <w:rFonts w:hint="eastAsia"/>
                <w:sz w:val="22"/>
                <w:szCs w:val="22"/>
              </w:rPr>
              <w:t>BVR16</w:t>
            </w:r>
          </w:p>
        </w:tc>
        <w:tc>
          <w:tcPr>
            <w:tcW w:w="850" w:type="dxa"/>
            <w:noWrap w:val="0"/>
            <w:vAlign w:val="center"/>
          </w:tcPr>
          <w:p>
            <w:pPr>
              <w:pStyle w:val="117"/>
              <w:jc w:val="center"/>
              <w:rPr>
                <w:rFonts w:hint="eastAsia"/>
                <w:sz w:val="22"/>
                <w:szCs w:val="22"/>
              </w:rPr>
            </w:pPr>
            <w:r>
              <w:rPr>
                <w:rFonts w:hint="eastAsia"/>
                <w:w w:val="99"/>
                <w:sz w:val="22"/>
                <w:szCs w:val="22"/>
              </w:rPr>
              <w:t>m</w:t>
            </w:r>
          </w:p>
        </w:tc>
        <w:tc>
          <w:tcPr>
            <w:tcW w:w="650" w:type="dxa"/>
            <w:noWrap w:val="0"/>
            <w:vAlign w:val="center"/>
          </w:tcPr>
          <w:p>
            <w:pPr>
              <w:pStyle w:val="117"/>
              <w:jc w:val="center"/>
              <w:rPr>
                <w:rFonts w:hint="eastAsia"/>
                <w:sz w:val="22"/>
                <w:szCs w:val="22"/>
              </w:rPr>
            </w:pPr>
            <w:r>
              <w:rPr>
                <w:rFonts w:hint="eastAsia"/>
                <w:sz w:val="22"/>
                <w:szCs w:val="22"/>
              </w:rPr>
              <w:t>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7"/>
              <w:ind w:left="6"/>
              <w:jc w:val="center"/>
              <w:rPr>
                <w:rFonts w:hint="eastAsia"/>
                <w:sz w:val="22"/>
                <w:szCs w:val="22"/>
              </w:rPr>
            </w:pPr>
            <w:r>
              <w:rPr>
                <w:rFonts w:hint="eastAsia"/>
                <w:w w:val="99"/>
                <w:sz w:val="22"/>
                <w:szCs w:val="22"/>
              </w:rPr>
              <w:t>6</w:t>
            </w:r>
          </w:p>
        </w:tc>
        <w:tc>
          <w:tcPr>
            <w:tcW w:w="1380" w:type="dxa"/>
            <w:noWrap w:val="0"/>
            <w:vAlign w:val="center"/>
          </w:tcPr>
          <w:p>
            <w:pPr>
              <w:pStyle w:val="117"/>
              <w:spacing w:before="47"/>
              <w:ind w:left="84" w:right="78"/>
              <w:jc w:val="center"/>
              <w:rPr>
                <w:rFonts w:hint="eastAsia"/>
                <w:sz w:val="22"/>
                <w:szCs w:val="22"/>
              </w:rPr>
            </w:pPr>
            <w:r>
              <w:rPr>
                <w:rFonts w:hint="eastAsia"/>
                <w:sz w:val="22"/>
                <w:szCs w:val="22"/>
              </w:rPr>
              <w:t>接地线缆</w:t>
            </w:r>
          </w:p>
        </w:tc>
        <w:tc>
          <w:tcPr>
            <w:tcW w:w="6010" w:type="dxa"/>
            <w:noWrap w:val="0"/>
            <w:vAlign w:val="center"/>
          </w:tcPr>
          <w:p>
            <w:pPr>
              <w:pStyle w:val="117"/>
              <w:spacing w:before="47"/>
              <w:ind w:left="108"/>
              <w:rPr>
                <w:rFonts w:hint="eastAsia"/>
                <w:sz w:val="22"/>
                <w:szCs w:val="22"/>
                <w:lang w:val="en-US"/>
              </w:rPr>
            </w:pPr>
            <w:r>
              <w:rPr>
                <w:rFonts w:hint="eastAsia"/>
                <w:sz w:val="22"/>
                <w:szCs w:val="22"/>
              </w:rPr>
              <w:t>BVR25</w:t>
            </w:r>
          </w:p>
        </w:tc>
        <w:tc>
          <w:tcPr>
            <w:tcW w:w="850" w:type="dxa"/>
            <w:noWrap w:val="0"/>
            <w:vAlign w:val="center"/>
          </w:tcPr>
          <w:p>
            <w:pPr>
              <w:pStyle w:val="117"/>
              <w:jc w:val="center"/>
              <w:rPr>
                <w:rFonts w:hint="eastAsia"/>
                <w:sz w:val="22"/>
                <w:szCs w:val="22"/>
              </w:rPr>
            </w:pPr>
            <w:r>
              <w:rPr>
                <w:rFonts w:hint="eastAsia"/>
                <w:w w:val="99"/>
                <w:sz w:val="22"/>
                <w:szCs w:val="22"/>
              </w:rPr>
              <w:t>m</w:t>
            </w:r>
          </w:p>
        </w:tc>
        <w:tc>
          <w:tcPr>
            <w:tcW w:w="650" w:type="dxa"/>
            <w:noWrap w:val="0"/>
            <w:vAlign w:val="center"/>
          </w:tcPr>
          <w:p>
            <w:pPr>
              <w:pStyle w:val="117"/>
              <w:jc w:val="center"/>
              <w:rPr>
                <w:rFonts w:hint="eastAsia"/>
                <w:sz w:val="22"/>
                <w:szCs w:val="22"/>
              </w:rPr>
            </w:pPr>
            <w:r>
              <w:rPr>
                <w:rFonts w:hint="eastAsia"/>
                <w:sz w:val="22"/>
                <w:szCs w:val="22"/>
              </w:rPr>
              <w:t>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7"/>
              <w:ind w:left="6"/>
              <w:jc w:val="center"/>
              <w:rPr>
                <w:rFonts w:hint="eastAsia"/>
                <w:sz w:val="22"/>
                <w:szCs w:val="22"/>
              </w:rPr>
            </w:pPr>
            <w:r>
              <w:rPr>
                <w:rFonts w:hint="eastAsia"/>
                <w:w w:val="99"/>
                <w:sz w:val="22"/>
                <w:szCs w:val="22"/>
              </w:rPr>
              <w:t>7</w:t>
            </w:r>
          </w:p>
        </w:tc>
        <w:tc>
          <w:tcPr>
            <w:tcW w:w="1380" w:type="dxa"/>
            <w:noWrap w:val="0"/>
            <w:vAlign w:val="center"/>
          </w:tcPr>
          <w:p>
            <w:pPr>
              <w:pStyle w:val="117"/>
              <w:spacing w:before="47"/>
              <w:ind w:left="84" w:right="78"/>
              <w:jc w:val="center"/>
              <w:rPr>
                <w:rFonts w:hint="eastAsia"/>
                <w:sz w:val="22"/>
                <w:szCs w:val="22"/>
              </w:rPr>
            </w:pPr>
            <w:r>
              <w:rPr>
                <w:rFonts w:hint="eastAsia"/>
                <w:sz w:val="22"/>
                <w:szCs w:val="22"/>
              </w:rPr>
              <w:t>辅材</w:t>
            </w:r>
          </w:p>
        </w:tc>
        <w:tc>
          <w:tcPr>
            <w:tcW w:w="6010" w:type="dxa"/>
            <w:noWrap w:val="0"/>
            <w:vAlign w:val="center"/>
          </w:tcPr>
          <w:p>
            <w:pPr>
              <w:pStyle w:val="117"/>
              <w:spacing w:before="47"/>
              <w:ind w:left="108"/>
              <w:rPr>
                <w:rFonts w:hint="eastAsia"/>
                <w:sz w:val="22"/>
                <w:szCs w:val="22"/>
                <w:lang w:val="en-US"/>
              </w:rPr>
            </w:pPr>
            <w:r>
              <w:rPr>
                <w:rFonts w:hint="eastAsia"/>
                <w:sz w:val="22"/>
                <w:szCs w:val="22"/>
              </w:rPr>
              <w:t>铜鼻子等辅材</w:t>
            </w:r>
          </w:p>
        </w:tc>
        <w:tc>
          <w:tcPr>
            <w:tcW w:w="850" w:type="dxa"/>
            <w:noWrap w:val="0"/>
            <w:vAlign w:val="center"/>
          </w:tcPr>
          <w:p>
            <w:pPr>
              <w:pStyle w:val="117"/>
              <w:jc w:val="center"/>
              <w:rPr>
                <w:rFonts w:hint="eastAsia"/>
                <w:sz w:val="22"/>
                <w:szCs w:val="22"/>
              </w:rPr>
            </w:pPr>
            <w:r>
              <w:rPr>
                <w:rFonts w:hint="eastAsia"/>
                <w:w w:val="99"/>
                <w:sz w:val="22"/>
                <w:szCs w:val="22"/>
              </w:rPr>
              <w:t>项</w:t>
            </w:r>
          </w:p>
        </w:tc>
        <w:tc>
          <w:tcPr>
            <w:tcW w:w="650" w:type="dxa"/>
            <w:noWrap w:val="0"/>
            <w:vAlign w:val="center"/>
          </w:tcPr>
          <w:p>
            <w:pPr>
              <w:pStyle w:val="117"/>
              <w:jc w:val="center"/>
              <w:rPr>
                <w:rFonts w:hint="eastAsia"/>
                <w:sz w:val="22"/>
                <w:szCs w:val="22"/>
              </w:rPr>
            </w:pPr>
            <w:r>
              <w:rPr>
                <w:rFonts w:hint="eastAsia"/>
                <w:w w:val="99"/>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9518" w:type="dxa"/>
            <w:gridSpan w:val="5"/>
            <w:noWrap w:val="0"/>
            <w:vAlign w:val="center"/>
          </w:tcPr>
          <w:p>
            <w:pPr>
              <w:pStyle w:val="117"/>
              <w:spacing w:before="47"/>
              <w:ind w:left="13"/>
              <w:jc w:val="center"/>
              <w:rPr>
                <w:rFonts w:hint="eastAsia"/>
                <w:w w:val="99"/>
                <w:sz w:val="22"/>
                <w:szCs w:val="22"/>
              </w:rPr>
            </w:pPr>
            <w:r>
              <w:rPr>
                <w:rFonts w:hint="eastAsia"/>
                <w:b/>
                <w:w w:val="99"/>
                <w:sz w:val="22"/>
                <w:szCs w:val="22"/>
              </w:rPr>
              <w:t>四、</w:t>
            </w:r>
            <w:r>
              <w:rPr>
                <w:rFonts w:hint="eastAsia"/>
                <w:b/>
                <w:sz w:val="22"/>
                <w:szCs w:val="22"/>
              </w:rPr>
              <w:t>消防工程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ind w:left="6"/>
              <w:jc w:val="center"/>
              <w:rPr>
                <w:rFonts w:hint="eastAsia"/>
                <w:sz w:val="22"/>
                <w:szCs w:val="22"/>
              </w:rPr>
            </w:pPr>
            <w:r>
              <w:rPr>
                <w:rFonts w:hint="eastAsia"/>
                <w:w w:val="99"/>
                <w:sz w:val="22"/>
                <w:szCs w:val="22"/>
              </w:rPr>
              <w:t>1</w:t>
            </w:r>
          </w:p>
        </w:tc>
        <w:tc>
          <w:tcPr>
            <w:tcW w:w="1380" w:type="dxa"/>
            <w:noWrap w:val="0"/>
            <w:vAlign w:val="center"/>
          </w:tcPr>
          <w:p>
            <w:pPr>
              <w:pStyle w:val="117"/>
              <w:spacing w:line="304" w:lineRule="auto"/>
              <w:ind w:right="195"/>
              <w:jc w:val="center"/>
              <w:rPr>
                <w:rFonts w:hint="eastAsia"/>
                <w:sz w:val="22"/>
                <w:szCs w:val="22"/>
              </w:rPr>
            </w:pPr>
            <w:r>
              <w:rPr>
                <w:rFonts w:hint="eastAsia"/>
                <w:sz w:val="22"/>
                <w:szCs w:val="22"/>
              </w:rPr>
              <w:t>柜式七氟丙烷气体灭火装置</w:t>
            </w:r>
          </w:p>
        </w:tc>
        <w:tc>
          <w:tcPr>
            <w:tcW w:w="6010" w:type="dxa"/>
            <w:noWrap w:val="0"/>
            <w:vAlign w:val="center"/>
          </w:tcPr>
          <w:p>
            <w:pPr>
              <w:pStyle w:val="117"/>
              <w:spacing w:before="35" w:line="304" w:lineRule="auto"/>
              <w:ind w:right="111"/>
              <w:rPr>
                <w:rFonts w:hint="eastAsia"/>
                <w:sz w:val="22"/>
                <w:szCs w:val="22"/>
              </w:rPr>
            </w:pPr>
            <w:r>
              <w:rPr>
                <w:rFonts w:hint="eastAsia"/>
                <w:spacing w:val="-11"/>
                <w:sz w:val="22"/>
                <w:szCs w:val="22"/>
              </w:rPr>
              <w:t xml:space="preserve">瓶组容积 </w:t>
            </w:r>
            <w:r>
              <w:rPr>
                <w:rFonts w:hint="eastAsia"/>
                <w:sz w:val="22"/>
                <w:szCs w:val="22"/>
              </w:rPr>
              <w:t>90L</w:t>
            </w:r>
            <w:r>
              <w:rPr>
                <w:rFonts w:hint="eastAsia"/>
                <w:spacing w:val="-9"/>
                <w:sz w:val="22"/>
                <w:szCs w:val="22"/>
              </w:rPr>
              <w:t xml:space="preserve">、储存压力 </w:t>
            </w:r>
            <w:r>
              <w:rPr>
                <w:rFonts w:hint="eastAsia"/>
                <w:sz w:val="22"/>
                <w:szCs w:val="22"/>
              </w:rPr>
              <w:t>2.5 Mpa</w:t>
            </w:r>
            <w:r>
              <w:rPr>
                <w:rFonts w:hint="eastAsia"/>
                <w:spacing w:val="-2"/>
                <w:sz w:val="22"/>
                <w:szCs w:val="22"/>
              </w:rPr>
              <w:t>，一种采用七氟丙烷洁净</w:t>
            </w:r>
            <w:r>
              <w:rPr>
                <w:rFonts w:hint="eastAsia"/>
                <w:sz w:val="22"/>
                <w:szCs w:val="22"/>
              </w:rPr>
              <w:t>气体做为灭火剂的一种高效无管网灭火装置。当火灾发生时，本装置可直接向防护区喷射灭火剂，使灭火剂能迅速、均匀地充满整个防护区，灭火效率高、速度快装置。</w:t>
            </w:r>
            <w:r>
              <w:rPr>
                <w:rFonts w:hint="eastAsia"/>
                <w:spacing w:val="-5"/>
                <w:sz w:val="22"/>
                <w:szCs w:val="22"/>
              </w:rPr>
              <w:t>工作压力：公称工作压力</w:t>
            </w:r>
            <w:r>
              <w:rPr>
                <w:rFonts w:hint="eastAsia"/>
                <w:sz w:val="22"/>
                <w:szCs w:val="22"/>
              </w:rPr>
              <w:t xml:space="preserve"> 2.5+0.1MPa（表压），最大工作压力 4.2Mpa。</w:t>
            </w:r>
          </w:p>
          <w:p>
            <w:pPr>
              <w:pStyle w:val="117"/>
              <w:spacing w:before="35" w:line="304" w:lineRule="auto"/>
              <w:ind w:right="111"/>
              <w:rPr>
                <w:rFonts w:hint="eastAsia"/>
                <w:sz w:val="22"/>
                <w:szCs w:val="22"/>
              </w:rPr>
            </w:pPr>
            <w:r>
              <w:rPr>
                <w:rFonts w:hint="eastAsia"/>
                <w:sz w:val="22"/>
                <w:szCs w:val="22"/>
                <w:lang w:val="en-US"/>
              </w:rPr>
              <w:t>2、</w:t>
            </w:r>
            <w:r>
              <w:rPr>
                <w:rFonts w:hint="eastAsia"/>
                <w:sz w:val="22"/>
                <w:szCs w:val="22"/>
              </w:rPr>
              <w:t>装置喷嘴安装必须满足装置不动喷射角度可根据现场实际情况可 360 度调节；每一只七氟丙烷储瓶都必须装有压力表，具有检漏功能、且压力表与瓶组间有开关控制。装置含瓶组、容器阀、压力信号装置、压力表、立柜、转换接头、低泄高密阀、安全阀、高压连接管、喷头、电磁阀。</w:t>
            </w:r>
          </w:p>
        </w:tc>
        <w:tc>
          <w:tcPr>
            <w:tcW w:w="850" w:type="dxa"/>
            <w:noWrap w:val="0"/>
            <w:vAlign w:val="center"/>
          </w:tcPr>
          <w:p>
            <w:pPr>
              <w:pStyle w:val="117"/>
              <w:jc w:val="center"/>
              <w:rPr>
                <w:rFonts w:hint="eastAsia"/>
                <w:sz w:val="22"/>
                <w:szCs w:val="22"/>
              </w:rPr>
            </w:pPr>
            <w:r>
              <w:rPr>
                <w:rFonts w:hint="eastAsia"/>
                <w:w w:val="99"/>
                <w:sz w:val="22"/>
                <w:szCs w:val="22"/>
              </w:rPr>
              <w:t>套</w:t>
            </w:r>
          </w:p>
        </w:tc>
        <w:tc>
          <w:tcPr>
            <w:tcW w:w="650"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w w:val="99"/>
                <w:sz w:val="22"/>
                <w:szCs w:val="22"/>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w w:val="99"/>
                <w:sz w:val="22"/>
                <w:szCs w:val="22"/>
              </w:rPr>
              <w:t>3</w:t>
            </w:r>
          </w:p>
        </w:tc>
        <w:tc>
          <w:tcPr>
            <w:tcW w:w="1380" w:type="dxa"/>
            <w:noWrap w:val="0"/>
            <w:vAlign w:val="center"/>
          </w:tcPr>
          <w:p>
            <w:pPr>
              <w:pStyle w:val="117"/>
              <w:jc w:val="center"/>
              <w:rPr>
                <w:rFonts w:hint="eastAsia"/>
                <w:sz w:val="22"/>
                <w:szCs w:val="22"/>
              </w:rPr>
            </w:pPr>
          </w:p>
          <w:p>
            <w:pPr>
              <w:pStyle w:val="117"/>
              <w:ind w:right="76"/>
              <w:jc w:val="center"/>
              <w:rPr>
                <w:rFonts w:hint="eastAsia"/>
                <w:sz w:val="22"/>
                <w:szCs w:val="22"/>
              </w:rPr>
            </w:pPr>
            <w:r>
              <w:rPr>
                <w:rFonts w:hint="eastAsia"/>
                <w:sz w:val="22"/>
                <w:szCs w:val="22"/>
              </w:rPr>
              <w:t>七氟丙烷药剂</w:t>
            </w:r>
          </w:p>
        </w:tc>
        <w:tc>
          <w:tcPr>
            <w:tcW w:w="6010" w:type="dxa"/>
            <w:noWrap w:val="0"/>
            <w:vAlign w:val="center"/>
          </w:tcPr>
          <w:p>
            <w:pPr>
              <w:pStyle w:val="117"/>
              <w:spacing w:before="35"/>
              <w:ind w:left="109"/>
              <w:rPr>
                <w:rFonts w:hint="eastAsia"/>
                <w:sz w:val="22"/>
                <w:szCs w:val="22"/>
              </w:rPr>
            </w:pPr>
            <w:r>
              <w:rPr>
                <w:rFonts w:hint="eastAsia"/>
                <w:sz w:val="22"/>
                <w:szCs w:val="22"/>
              </w:rPr>
              <w:t>纯度 99.99%；无色、无味的气体，其臭氧耗损潜能值（ODP）</w:t>
            </w:r>
            <w:r>
              <w:rPr>
                <w:rFonts w:hint="eastAsia"/>
                <w:spacing w:val="-11"/>
                <w:sz w:val="22"/>
                <w:szCs w:val="22"/>
              </w:rPr>
              <w:t xml:space="preserve">为零，在 </w:t>
            </w:r>
            <w:r>
              <w:rPr>
                <w:rFonts w:hint="eastAsia"/>
                <w:sz w:val="22"/>
                <w:szCs w:val="22"/>
              </w:rPr>
              <w:t>ISO</w:t>
            </w:r>
            <w:r>
              <w:rPr>
                <w:rFonts w:hint="eastAsia"/>
                <w:spacing w:val="-9"/>
                <w:sz w:val="22"/>
                <w:szCs w:val="22"/>
              </w:rPr>
              <w:t xml:space="preserve"> 认可的洁净气体灭火剂中，其洁净性</w:t>
            </w:r>
            <w:r>
              <w:rPr>
                <w:rFonts w:hint="eastAsia"/>
                <w:sz w:val="22"/>
                <w:szCs w:val="22"/>
              </w:rPr>
              <w:t>最好，具有清洁、低毒、电绝缘性能好、灭火效率高等特点</w:t>
            </w:r>
          </w:p>
        </w:tc>
        <w:tc>
          <w:tcPr>
            <w:tcW w:w="850" w:type="dxa"/>
            <w:noWrap w:val="0"/>
            <w:vAlign w:val="center"/>
          </w:tcPr>
          <w:p>
            <w:pPr>
              <w:pStyle w:val="117"/>
              <w:spacing w:line="304" w:lineRule="auto"/>
              <w:jc w:val="center"/>
              <w:rPr>
                <w:rFonts w:hint="eastAsia"/>
                <w:sz w:val="22"/>
                <w:szCs w:val="22"/>
              </w:rPr>
            </w:pPr>
            <w:r>
              <w:rPr>
                <w:rFonts w:hint="eastAsia"/>
                <w:sz w:val="22"/>
                <w:szCs w:val="22"/>
              </w:rPr>
              <w:t>公斤</w:t>
            </w:r>
          </w:p>
        </w:tc>
        <w:tc>
          <w:tcPr>
            <w:tcW w:w="650" w:type="dxa"/>
            <w:noWrap w:val="0"/>
            <w:vAlign w:val="center"/>
          </w:tcPr>
          <w:p>
            <w:pPr>
              <w:pStyle w:val="117"/>
              <w:jc w:val="center"/>
              <w:rPr>
                <w:rFonts w:hint="eastAsia"/>
                <w:sz w:val="22"/>
                <w:szCs w:val="22"/>
              </w:rPr>
            </w:pPr>
            <w:r>
              <w:rPr>
                <w:rFonts w:hint="eastAsia"/>
                <w:sz w:val="22"/>
                <w:szCs w:val="22"/>
              </w:rPr>
              <w:t>490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7"/>
              <w:ind w:left="6"/>
              <w:jc w:val="center"/>
              <w:rPr>
                <w:rFonts w:hint="eastAsia"/>
                <w:sz w:val="22"/>
                <w:szCs w:val="22"/>
              </w:rPr>
            </w:pPr>
            <w:r>
              <w:rPr>
                <w:rFonts w:hint="eastAsia"/>
                <w:w w:val="99"/>
                <w:sz w:val="22"/>
                <w:szCs w:val="22"/>
              </w:rPr>
              <w:t>4</w:t>
            </w:r>
          </w:p>
        </w:tc>
        <w:tc>
          <w:tcPr>
            <w:tcW w:w="1380" w:type="dxa"/>
            <w:noWrap w:val="0"/>
            <w:vAlign w:val="center"/>
          </w:tcPr>
          <w:p>
            <w:pPr>
              <w:pStyle w:val="117"/>
              <w:spacing w:before="47"/>
              <w:ind w:left="84" w:right="78"/>
              <w:jc w:val="center"/>
              <w:rPr>
                <w:rFonts w:hint="eastAsia"/>
                <w:sz w:val="22"/>
                <w:szCs w:val="22"/>
              </w:rPr>
            </w:pPr>
            <w:r>
              <w:rPr>
                <w:rFonts w:hint="eastAsia"/>
                <w:sz w:val="22"/>
                <w:szCs w:val="22"/>
              </w:rPr>
              <w:t>系统标牌</w:t>
            </w:r>
          </w:p>
        </w:tc>
        <w:tc>
          <w:tcPr>
            <w:tcW w:w="6010" w:type="dxa"/>
            <w:noWrap w:val="0"/>
            <w:vAlign w:val="center"/>
          </w:tcPr>
          <w:p>
            <w:pPr>
              <w:pStyle w:val="117"/>
              <w:spacing w:before="47"/>
              <w:ind w:left="109"/>
              <w:rPr>
                <w:rFonts w:hint="eastAsia"/>
                <w:sz w:val="22"/>
                <w:szCs w:val="22"/>
              </w:rPr>
            </w:pPr>
            <w:r>
              <w:rPr>
                <w:rFonts w:hint="eastAsia"/>
                <w:sz w:val="22"/>
                <w:szCs w:val="22"/>
              </w:rPr>
              <w:t>铜质标牌</w:t>
            </w:r>
          </w:p>
        </w:tc>
        <w:tc>
          <w:tcPr>
            <w:tcW w:w="850" w:type="dxa"/>
            <w:noWrap w:val="0"/>
            <w:vAlign w:val="center"/>
          </w:tcPr>
          <w:p>
            <w:pPr>
              <w:pStyle w:val="117"/>
              <w:jc w:val="center"/>
              <w:rPr>
                <w:rFonts w:hint="eastAsia"/>
                <w:sz w:val="22"/>
                <w:szCs w:val="22"/>
              </w:rPr>
            </w:pPr>
            <w:r>
              <w:rPr>
                <w:rFonts w:hint="eastAsia"/>
                <w:w w:val="99"/>
                <w:sz w:val="22"/>
                <w:szCs w:val="22"/>
              </w:rPr>
              <w:t>块</w:t>
            </w:r>
          </w:p>
        </w:tc>
        <w:tc>
          <w:tcPr>
            <w:tcW w:w="650" w:type="dxa"/>
            <w:noWrap w:val="0"/>
            <w:vAlign w:val="center"/>
          </w:tcPr>
          <w:p>
            <w:pPr>
              <w:pStyle w:val="117"/>
              <w:jc w:val="center"/>
              <w:rPr>
                <w:rFonts w:hint="eastAsia"/>
                <w:sz w:val="22"/>
                <w:szCs w:val="22"/>
              </w:rPr>
            </w:pPr>
            <w:r>
              <w:rPr>
                <w:rFonts w:hint="eastAsia"/>
                <w:w w:val="99"/>
                <w:sz w:val="22"/>
                <w:szCs w:val="22"/>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ind w:left="6"/>
              <w:jc w:val="center"/>
              <w:rPr>
                <w:rFonts w:hint="eastAsia"/>
                <w:sz w:val="22"/>
                <w:szCs w:val="22"/>
              </w:rPr>
            </w:pPr>
            <w:r>
              <w:rPr>
                <w:rFonts w:hint="eastAsia"/>
                <w:w w:val="99"/>
                <w:sz w:val="22"/>
                <w:szCs w:val="22"/>
              </w:rPr>
              <w:t>5</w:t>
            </w:r>
          </w:p>
        </w:tc>
        <w:tc>
          <w:tcPr>
            <w:tcW w:w="1380" w:type="dxa"/>
            <w:noWrap w:val="0"/>
            <w:vAlign w:val="center"/>
          </w:tcPr>
          <w:p>
            <w:pPr>
              <w:pStyle w:val="117"/>
              <w:ind w:left="84" w:right="76"/>
              <w:jc w:val="center"/>
              <w:rPr>
                <w:rFonts w:hint="eastAsia"/>
                <w:sz w:val="22"/>
                <w:szCs w:val="22"/>
              </w:rPr>
            </w:pPr>
            <w:r>
              <w:rPr>
                <w:rFonts w:hint="eastAsia"/>
                <w:sz w:val="22"/>
                <w:szCs w:val="22"/>
              </w:rPr>
              <w:t>泄压口</w:t>
            </w:r>
          </w:p>
        </w:tc>
        <w:tc>
          <w:tcPr>
            <w:tcW w:w="6010" w:type="dxa"/>
            <w:noWrap w:val="0"/>
            <w:vAlign w:val="center"/>
          </w:tcPr>
          <w:p>
            <w:pPr>
              <w:pStyle w:val="117"/>
              <w:spacing w:before="35" w:line="304" w:lineRule="auto"/>
              <w:ind w:left="109" w:right="209"/>
              <w:rPr>
                <w:rFonts w:hint="eastAsia"/>
                <w:sz w:val="22"/>
                <w:szCs w:val="22"/>
              </w:rPr>
            </w:pPr>
            <w:r>
              <w:rPr>
                <w:rFonts w:hint="eastAsia"/>
                <w:sz w:val="22"/>
                <w:szCs w:val="22"/>
              </w:rPr>
              <w:t>泄压装置是保护围护结构完整性而设置的，在实施气体喷放时，泄压口能够随着室内气压的增大而自动开启，当压力减小或喷放结束后，能够自动关闭。泄压口的材质为钢制，并经防腐处理，不会因长时间使用而产生锈蚀。</w:t>
            </w:r>
          </w:p>
        </w:tc>
        <w:tc>
          <w:tcPr>
            <w:tcW w:w="850" w:type="dxa"/>
            <w:noWrap w:val="0"/>
            <w:vAlign w:val="center"/>
          </w:tcPr>
          <w:p>
            <w:pPr>
              <w:pStyle w:val="117"/>
              <w:jc w:val="center"/>
              <w:rPr>
                <w:rFonts w:hint="eastAsia"/>
                <w:sz w:val="22"/>
                <w:szCs w:val="22"/>
              </w:rPr>
            </w:pPr>
            <w:r>
              <w:rPr>
                <w:rFonts w:hint="eastAsia"/>
                <w:w w:val="99"/>
                <w:sz w:val="22"/>
                <w:szCs w:val="22"/>
              </w:rPr>
              <w:t>个</w:t>
            </w:r>
          </w:p>
        </w:tc>
        <w:tc>
          <w:tcPr>
            <w:tcW w:w="650" w:type="dxa"/>
            <w:noWrap w:val="0"/>
            <w:vAlign w:val="center"/>
          </w:tcPr>
          <w:p>
            <w:pPr>
              <w:pStyle w:val="117"/>
              <w:jc w:val="center"/>
              <w:rPr>
                <w:rFonts w:hint="eastAsia"/>
                <w:sz w:val="22"/>
                <w:szCs w:val="22"/>
              </w:rPr>
            </w:pPr>
            <w:r>
              <w:rPr>
                <w:rFonts w:hint="eastAsia"/>
                <w:w w:val="99"/>
                <w:sz w:val="22"/>
                <w:szCs w:val="22"/>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131"/>
              <w:ind w:left="6"/>
              <w:jc w:val="center"/>
              <w:rPr>
                <w:rFonts w:hint="eastAsia"/>
                <w:sz w:val="22"/>
                <w:szCs w:val="22"/>
              </w:rPr>
            </w:pPr>
            <w:r>
              <w:rPr>
                <w:rFonts w:hint="eastAsia"/>
                <w:w w:val="99"/>
                <w:sz w:val="22"/>
                <w:szCs w:val="22"/>
              </w:rPr>
              <w:t>6</w:t>
            </w:r>
          </w:p>
        </w:tc>
        <w:tc>
          <w:tcPr>
            <w:tcW w:w="1380" w:type="dxa"/>
            <w:noWrap w:val="0"/>
            <w:vAlign w:val="center"/>
          </w:tcPr>
          <w:p>
            <w:pPr>
              <w:pStyle w:val="117"/>
              <w:spacing w:before="131"/>
              <w:ind w:left="84" w:right="73"/>
              <w:jc w:val="center"/>
              <w:rPr>
                <w:rFonts w:hint="eastAsia"/>
                <w:sz w:val="22"/>
                <w:szCs w:val="22"/>
              </w:rPr>
            </w:pPr>
            <w:r>
              <w:rPr>
                <w:rFonts w:hint="eastAsia"/>
                <w:sz w:val="22"/>
                <w:szCs w:val="22"/>
              </w:rPr>
              <w:t>气体灭火控制盘</w:t>
            </w:r>
          </w:p>
        </w:tc>
        <w:tc>
          <w:tcPr>
            <w:tcW w:w="6010" w:type="dxa"/>
            <w:noWrap w:val="0"/>
            <w:vAlign w:val="center"/>
          </w:tcPr>
          <w:p>
            <w:pPr>
              <w:pStyle w:val="117"/>
              <w:spacing w:before="35"/>
              <w:ind w:left="109"/>
              <w:rPr>
                <w:rFonts w:hint="eastAsia"/>
                <w:sz w:val="22"/>
                <w:szCs w:val="22"/>
              </w:rPr>
            </w:pPr>
            <w:r>
              <w:rPr>
                <w:rFonts w:hint="eastAsia"/>
                <w:sz w:val="22"/>
                <w:szCs w:val="22"/>
              </w:rPr>
              <w:t>壁挂式报警控制器，液晶汉显，气体一体机,可以连接 200个总线设备，具有在线或离线编程、注释功能在配接通讯接口后可以进行联网；</w:t>
            </w:r>
          </w:p>
        </w:tc>
        <w:tc>
          <w:tcPr>
            <w:tcW w:w="850" w:type="dxa"/>
            <w:noWrap w:val="0"/>
            <w:vAlign w:val="center"/>
          </w:tcPr>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r>
              <w:rPr>
                <w:rFonts w:hint="eastAsia"/>
                <w:w w:val="99"/>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7"/>
              <w:ind w:left="6"/>
              <w:jc w:val="center"/>
              <w:rPr>
                <w:rFonts w:hint="eastAsia"/>
                <w:sz w:val="22"/>
                <w:szCs w:val="22"/>
              </w:rPr>
            </w:pPr>
            <w:r>
              <w:rPr>
                <w:rFonts w:hint="eastAsia"/>
                <w:w w:val="99"/>
                <w:sz w:val="22"/>
                <w:szCs w:val="22"/>
              </w:rPr>
              <w:t>7</w:t>
            </w:r>
          </w:p>
        </w:tc>
        <w:tc>
          <w:tcPr>
            <w:tcW w:w="1380" w:type="dxa"/>
            <w:noWrap w:val="0"/>
            <w:vAlign w:val="center"/>
          </w:tcPr>
          <w:p>
            <w:pPr>
              <w:pStyle w:val="117"/>
              <w:spacing w:before="47"/>
              <w:ind w:left="84" w:right="78"/>
              <w:jc w:val="center"/>
              <w:rPr>
                <w:rFonts w:hint="eastAsia"/>
                <w:sz w:val="22"/>
                <w:szCs w:val="22"/>
              </w:rPr>
            </w:pPr>
            <w:r>
              <w:rPr>
                <w:rFonts w:hint="eastAsia"/>
                <w:sz w:val="22"/>
                <w:szCs w:val="22"/>
              </w:rPr>
              <w:t>智能电源盘</w:t>
            </w:r>
          </w:p>
        </w:tc>
        <w:tc>
          <w:tcPr>
            <w:tcW w:w="6010" w:type="dxa"/>
            <w:noWrap w:val="0"/>
            <w:vAlign w:val="center"/>
          </w:tcPr>
          <w:p>
            <w:pPr>
              <w:pStyle w:val="117"/>
              <w:spacing w:before="47"/>
              <w:ind w:left="109"/>
              <w:rPr>
                <w:rFonts w:hint="eastAsia"/>
                <w:sz w:val="22"/>
                <w:szCs w:val="22"/>
              </w:rPr>
            </w:pPr>
            <w:r>
              <w:rPr>
                <w:rFonts w:hint="eastAsia"/>
                <w:sz w:val="22"/>
                <w:szCs w:val="22"/>
              </w:rPr>
              <w:t>智能专用，入箱式，提供 24V 设备电源,含备电。</w:t>
            </w:r>
          </w:p>
        </w:tc>
        <w:tc>
          <w:tcPr>
            <w:tcW w:w="850" w:type="dxa"/>
            <w:noWrap w:val="0"/>
            <w:vAlign w:val="center"/>
          </w:tcPr>
          <w:p>
            <w:pPr>
              <w:pStyle w:val="117"/>
              <w:jc w:val="center"/>
              <w:rPr>
                <w:rFonts w:hint="eastAsia"/>
                <w:sz w:val="22"/>
                <w:szCs w:val="22"/>
              </w:rPr>
            </w:pPr>
            <w:r>
              <w:rPr>
                <w:rFonts w:hint="eastAsia"/>
                <w:w w:val="99"/>
                <w:sz w:val="22"/>
                <w:szCs w:val="22"/>
              </w:rPr>
              <w:t>只</w:t>
            </w:r>
          </w:p>
        </w:tc>
        <w:tc>
          <w:tcPr>
            <w:tcW w:w="650" w:type="dxa"/>
            <w:noWrap w:val="0"/>
            <w:vAlign w:val="center"/>
          </w:tcPr>
          <w:p>
            <w:pPr>
              <w:pStyle w:val="117"/>
              <w:jc w:val="center"/>
              <w:rPr>
                <w:rFonts w:hint="eastAsia"/>
                <w:sz w:val="22"/>
                <w:szCs w:val="22"/>
              </w:rPr>
            </w:pPr>
            <w:r>
              <w:rPr>
                <w:rFonts w:hint="eastAsia"/>
                <w:w w:val="99"/>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131"/>
              <w:ind w:left="6"/>
              <w:jc w:val="center"/>
              <w:rPr>
                <w:rFonts w:hint="eastAsia"/>
                <w:sz w:val="22"/>
                <w:szCs w:val="22"/>
              </w:rPr>
            </w:pPr>
            <w:r>
              <w:rPr>
                <w:rFonts w:hint="eastAsia"/>
                <w:w w:val="99"/>
                <w:sz w:val="22"/>
                <w:szCs w:val="22"/>
              </w:rPr>
              <w:t>8</w:t>
            </w:r>
          </w:p>
        </w:tc>
        <w:tc>
          <w:tcPr>
            <w:tcW w:w="1380" w:type="dxa"/>
            <w:noWrap w:val="0"/>
            <w:vAlign w:val="center"/>
          </w:tcPr>
          <w:p>
            <w:pPr>
              <w:pStyle w:val="117"/>
              <w:spacing w:line="304" w:lineRule="auto"/>
              <w:ind w:right="195"/>
              <w:jc w:val="center"/>
              <w:rPr>
                <w:rFonts w:hint="eastAsia"/>
                <w:sz w:val="22"/>
                <w:szCs w:val="22"/>
              </w:rPr>
            </w:pPr>
            <w:r>
              <w:rPr>
                <w:rFonts w:hint="eastAsia"/>
                <w:sz w:val="22"/>
                <w:szCs w:val="22"/>
              </w:rPr>
              <w:t>点型光电感烟火灾探测器</w:t>
            </w:r>
          </w:p>
        </w:tc>
        <w:tc>
          <w:tcPr>
            <w:tcW w:w="6010" w:type="dxa"/>
            <w:noWrap w:val="0"/>
            <w:vAlign w:val="center"/>
          </w:tcPr>
          <w:p>
            <w:pPr>
              <w:pStyle w:val="117"/>
              <w:spacing w:before="35"/>
              <w:ind w:left="109"/>
              <w:rPr>
                <w:rFonts w:hint="eastAsia"/>
                <w:sz w:val="22"/>
                <w:szCs w:val="22"/>
              </w:rPr>
            </w:pPr>
            <w:r>
              <w:rPr>
                <w:rFonts w:hint="eastAsia"/>
                <w:sz w:val="22"/>
                <w:szCs w:val="22"/>
              </w:rPr>
              <w:t>内置微处理器，探测器对自身采集到的数据进行存储、分析和判断，具有自诊断功能；污染自动补偿。根据自身的污染程度进行零位漂移，最大程度减少误报；</w:t>
            </w:r>
          </w:p>
        </w:tc>
        <w:tc>
          <w:tcPr>
            <w:tcW w:w="850" w:type="dxa"/>
            <w:noWrap w:val="0"/>
            <w:vAlign w:val="center"/>
          </w:tcPr>
          <w:p>
            <w:pPr>
              <w:pStyle w:val="117"/>
              <w:jc w:val="center"/>
              <w:rPr>
                <w:rFonts w:hint="eastAsia"/>
                <w:sz w:val="22"/>
                <w:szCs w:val="22"/>
              </w:rPr>
            </w:pPr>
            <w:r>
              <w:rPr>
                <w:rFonts w:hint="eastAsia"/>
                <w:w w:val="99"/>
                <w:sz w:val="22"/>
                <w:szCs w:val="22"/>
              </w:rPr>
              <w:t>只</w:t>
            </w:r>
          </w:p>
        </w:tc>
        <w:tc>
          <w:tcPr>
            <w:tcW w:w="650" w:type="dxa"/>
            <w:noWrap w:val="0"/>
            <w:vAlign w:val="center"/>
          </w:tcPr>
          <w:p>
            <w:pPr>
              <w:pStyle w:val="117"/>
              <w:jc w:val="center"/>
              <w:rPr>
                <w:rFonts w:hint="eastAsia"/>
                <w:sz w:val="22"/>
                <w:szCs w:val="22"/>
              </w:rPr>
            </w:pPr>
            <w:r>
              <w:rPr>
                <w:rFonts w:hint="eastAsia"/>
                <w:sz w:val="22"/>
                <w:szCs w:val="22"/>
              </w:rPr>
              <w:t>11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131"/>
              <w:ind w:left="6"/>
              <w:jc w:val="center"/>
              <w:rPr>
                <w:rFonts w:hint="eastAsia"/>
                <w:sz w:val="22"/>
                <w:szCs w:val="22"/>
              </w:rPr>
            </w:pPr>
            <w:r>
              <w:rPr>
                <w:rFonts w:hint="eastAsia"/>
                <w:w w:val="99"/>
                <w:sz w:val="22"/>
                <w:szCs w:val="22"/>
              </w:rPr>
              <w:t>9</w:t>
            </w:r>
          </w:p>
        </w:tc>
        <w:tc>
          <w:tcPr>
            <w:tcW w:w="1380" w:type="dxa"/>
            <w:noWrap w:val="0"/>
            <w:vAlign w:val="center"/>
          </w:tcPr>
          <w:p>
            <w:pPr>
              <w:pStyle w:val="117"/>
              <w:ind w:right="76"/>
              <w:jc w:val="center"/>
              <w:rPr>
                <w:rFonts w:hint="eastAsia"/>
                <w:sz w:val="22"/>
                <w:szCs w:val="22"/>
              </w:rPr>
            </w:pPr>
            <w:r>
              <w:rPr>
                <w:rFonts w:hint="eastAsia"/>
                <w:sz w:val="22"/>
                <w:szCs w:val="22"/>
              </w:rPr>
              <w:t>点型感温火灾探测器（A2）</w:t>
            </w:r>
          </w:p>
        </w:tc>
        <w:tc>
          <w:tcPr>
            <w:tcW w:w="6010" w:type="dxa"/>
            <w:noWrap w:val="0"/>
            <w:vAlign w:val="center"/>
          </w:tcPr>
          <w:p>
            <w:pPr>
              <w:pStyle w:val="117"/>
              <w:spacing w:before="35"/>
              <w:ind w:left="109"/>
              <w:rPr>
                <w:rFonts w:hint="eastAsia"/>
                <w:sz w:val="22"/>
                <w:szCs w:val="22"/>
              </w:rPr>
            </w:pPr>
            <w:r>
              <w:rPr>
                <w:rFonts w:hint="eastAsia"/>
                <w:sz w:val="22"/>
                <w:szCs w:val="22"/>
              </w:rPr>
              <w:t>内置微处理器。探测器对自身采集到的数据进行存储和判</w:t>
            </w:r>
            <w:r>
              <w:rPr>
                <w:rFonts w:hint="eastAsia"/>
                <w:spacing w:val="-4"/>
                <w:sz w:val="22"/>
                <w:szCs w:val="22"/>
              </w:rPr>
              <w:t xml:space="preserve">断，并具有自诊断功能；探测器为 </w:t>
            </w:r>
            <w:r>
              <w:rPr>
                <w:rFonts w:hint="eastAsia"/>
                <w:sz w:val="22"/>
                <w:szCs w:val="22"/>
              </w:rPr>
              <w:t>A2</w:t>
            </w:r>
            <w:r>
              <w:rPr>
                <w:rFonts w:hint="eastAsia"/>
                <w:spacing w:val="-9"/>
                <w:sz w:val="22"/>
                <w:szCs w:val="22"/>
              </w:rPr>
              <w:t xml:space="preserve"> 类感温探测器，同时</w:t>
            </w:r>
            <w:r>
              <w:rPr>
                <w:rFonts w:hint="eastAsia"/>
                <w:spacing w:val="-13"/>
                <w:sz w:val="22"/>
                <w:szCs w:val="22"/>
              </w:rPr>
              <w:t xml:space="preserve">兼具有 </w:t>
            </w:r>
            <w:r>
              <w:rPr>
                <w:rFonts w:hint="eastAsia"/>
                <w:sz w:val="22"/>
                <w:szCs w:val="22"/>
              </w:rPr>
              <w:t>S</w:t>
            </w:r>
            <w:r>
              <w:rPr>
                <w:rFonts w:hint="eastAsia"/>
                <w:spacing w:val="-34"/>
                <w:sz w:val="22"/>
                <w:szCs w:val="22"/>
              </w:rPr>
              <w:t xml:space="preserve"> 和 </w:t>
            </w:r>
            <w:r>
              <w:rPr>
                <w:rFonts w:hint="eastAsia"/>
                <w:sz w:val="22"/>
                <w:szCs w:val="22"/>
              </w:rPr>
              <w:t>R</w:t>
            </w:r>
            <w:r>
              <w:rPr>
                <w:rFonts w:hint="eastAsia"/>
                <w:spacing w:val="-13"/>
                <w:sz w:val="22"/>
                <w:szCs w:val="22"/>
              </w:rPr>
              <w:t xml:space="preserve"> 功能；</w:t>
            </w:r>
          </w:p>
        </w:tc>
        <w:tc>
          <w:tcPr>
            <w:tcW w:w="850" w:type="dxa"/>
            <w:noWrap w:val="0"/>
            <w:vAlign w:val="center"/>
          </w:tcPr>
          <w:p>
            <w:pPr>
              <w:pStyle w:val="117"/>
              <w:jc w:val="center"/>
              <w:rPr>
                <w:rFonts w:hint="eastAsia"/>
                <w:sz w:val="22"/>
                <w:szCs w:val="22"/>
              </w:rPr>
            </w:pPr>
            <w:r>
              <w:rPr>
                <w:rFonts w:hint="eastAsia"/>
                <w:w w:val="99"/>
                <w:sz w:val="22"/>
                <w:szCs w:val="22"/>
              </w:rPr>
              <w:t>只</w:t>
            </w:r>
          </w:p>
        </w:tc>
        <w:tc>
          <w:tcPr>
            <w:tcW w:w="650" w:type="dxa"/>
            <w:noWrap w:val="0"/>
            <w:vAlign w:val="center"/>
          </w:tcPr>
          <w:p>
            <w:pPr>
              <w:pStyle w:val="117"/>
              <w:jc w:val="center"/>
              <w:rPr>
                <w:rFonts w:hint="eastAsia"/>
                <w:sz w:val="22"/>
                <w:szCs w:val="22"/>
              </w:rPr>
            </w:pPr>
            <w:r>
              <w:rPr>
                <w:rFonts w:hint="eastAsia"/>
                <w:sz w:val="22"/>
                <w:szCs w:val="22"/>
              </w:rPr>
              <w:t>24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sz w:val="22"/>
                <w:szCs w:val="22"/>
              </w:rPr>
              <w:t>10</w:t>
            </w:r>
          </w:p>
        </w:tc>
        <w:tc>
          <w:tcPr>
            <w:tcW w:w="1380" w:type="dxa"/>
            <w:noWrap w:val="0"/>
            <w:vAlign w:val="center"/>
          </w:tcPr>
          <w:p>
            <w:pPr>
              <w:pStyle w:val="117"/>
              <w:spacing w:before="47"/>
              <w:ind w:right="78"/>
              <w:jc w:val="center"/>
              <w:rPr>
                <w:rFonts w:hint="eastAsia"/>
                <w:sz w:val="22"/>
                <w:szCs w:val="22"/>
              </w:rPr>
            </w:pPr>
            <w:r>
              <w:rPr>
                <w:rFonts w:hint="eastAsia"/>
                <w:sz w:val="22"/>
                <w:szCs w:val="22"/>
              </w:rPr>
              <w:t>探测器底座</w:t>
            </w:r>
          </w:p>
        </w:tc>
        <w:tc>
          <w:tcPr>
            <w:tcW w:w="6010" w:type="dxa"/>
            <w:noWrap w:val="0"/>
            <w:vAlign w:val="center"/>
          </w:tcPr>
          <w:p>
            <w:pPr>
              <w:pStyle w:val="117"/>
              <w:spacing w:before="47"/>
              <w:ind w:left="109"/>
              <w:rPr>
                <w:rFonts w:hint="eastAsia"/>
                <w:sz w:val="22"/>
                <w:szCs w:val="22"/>
              </w:rPr>
            </w:pPr>
            <w:r>
              <w:rPr>
                <w:rFonts w:hint="eastAsia"/>
                <w:sz w:val="22"/>
                <w:szCs w:val="22"/>
              </w:rPr>
              <w:t>编址型探测器底座，用于配接感烟探测器、感温探测器。</w:t>
            </w:r>
          </w:p>
        </w:tc>
        <w:tc>
          <w:tcPr>
            <w:tcW w:w="850" w:type="dxa"/>
            <w:noWrap w:val="0"/>
            <w:vAlign w:val="center"/>
          </w:tcPr>
          <w:p>
            <w:pPr>
              <w:pStyle w:val="117"/>
              <w:jc w:val="center"/>
              <w:rPr>
                <w:rFonts w:hint="eastAsia"/>
                <w:sz w:val="22"/>
                <w:szCs w:val="22"/>
              </w:rPr>
            </w:pPr>
            <w:r>
              <w:rPr>
                <w:rFonts w:hint="eastAsia"/>
                <w:w w:val="99"/>
                <w:sz w:val="22"/>
                <w:szCs w:val="22"/>
              </w:rPr>
              <w:t>只</w:t>
            </w:r>
          </w:p>
        </w:tc>
        <w:tc>
          <w:tcPr>
            <w:tcW w:w="650" w:type="dxa"/>
            <w:noWrap w:val="0"/>
            <w:vAlign w:val="center"/>
          </w:tcPr>
          <w:p>
            <w:pPr>
              <w:pStyle w:val="117"/>
              <w:jc w:val="center"/>
              <w:rPr>
                <w:rFonts w:hint="eastAsia"/>
                <w:sz w:val="22"/>
                <w:szCs w:val="22"/>
              </w:rPr>
            </w:pPr>
            <w:r>
              <w:rPr>
                <w:rFonts w:hint="eastAsia"/>
                <w:sz w:val="22"/>
                <w:szCs w:val="22"/>
              </w:rPr>
              <w:t>35</w:t>
            </w:r>
          </w:p>
        </w:tc>
      </w:tr>
      <w:tr>
        <w:tblPrEx>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sz w:val="22"/>
                <w:szCs w:val="22"/>
              </w:rPr>
              <w:t>11</w:t>
            </w:r>
          </w:p>
        </w:tc>
        <w:tc>
          <w:tcPr>
            <w:tcW w:w="1380" w:type="dxa"/>
            <w:noWrap w:val="0"/>
            <w:vAlign w:val="center"/>
          </w:tcPr>
          <w:p>
            <w:pPr>
              <w:pStyle w:val="117"/>
              <w:jc w:val="center"/>
              <w:rPr>
                <w:rFonts w:hint="eastAsia"/>
                <w:sz w:val="22"/>
                <w:szCs w:val="22"/>
              </w:rPr>
            </w:pPr>
          </w:p>
          <w:p>
            <w:pPr>
              <w:pStyle w:val="117"/>
              <w:spacing w:before="131"/>
              <w:ind w:right="78"/>
              <w:jc w:val="center"/>
              <w:rPr>
                <w:rFonts w:hint="eastAsia"/>
                <w:sz w:val="22"/>
                <w:szCs w:val="22"/>
              </w:rPr>
            </w:pPr>
            <w:r>
              <w:rPr>
                <w:rFonts w:hint="eastAsia"/>
                <w:sz w:val="22"/>
                <w:szCs w:val="22"/>
              </w:rPr>
              <w:t>气体释放显示灯</w:t>
            </w:r>
          </w:p>
        </w:tc>
        <w:tc>
          <w:tcPr>
            <w:tcW w:w="6010" w:type="dxa"/>
            <w:noWrap w:val="0"/>
            <w:vAlign w:val="center"/>
          </w:tcPr>
          <w:p>
            <w:pPr>
              <w:pStyle w:val="117"/>
              <w:spacing w:before="35"/>
              <w:ind w:left="109"/>
              <w:rPr>
                <w:rFonts w:hint="eastAsia"/>
                <w:sz w:val="22"/>
                <w:szCs w:val="22"/>
              </w:rPr>
            </w:pPr>
            <w:r>
              <w:rPr>
                <w:rFonts w:hint="eastAsia"/>
                <w:sz w:val="22"/>
                <w:szCs w:val="22"/>
              </w:rPr>
              <w:t>二总线，无极性，采用电源 DC24～28V，内置微处理器CPU；电子闪烁。常安装在气体灭火保护区门外，用于显示气体灭火状态。</w:t>
            </w:r>
          </w:p>
        </w:tc>
        <w:tc>
          <w:tcPr>
            <w:tcW w:w="850" w:type="dxa"/>
            <w:noWrap w:val="0"/>
            <w:vAlign w:val="center"/>
          </w:tcPr>
          <w:p>
            <w:pPr>
              <w:pStyle w:val="117"/>
              <w:jc w:val="center"/>
              <w:rPr>
                <w:rFonts w:hint="eastAsia"/>
                <w:sz w:val="22"/>
                <w:szCs w:val="22"/>
              </w:rPr>
            </w:pPr>
            <w:r>
              <w:rPr>
                <w:rFonts w:hint="eastAsia"/>
                <w:w w:val="99"/>
                <w:sz w:val="22"/>
                <w:szCs w:val="22"/>
              </w:rPr>
              <w:t>只</w:t>
            </w:r>
          </w:p>
        </w:tc>
        <w:tc>
          <w:tcPr>
            <w:tcW w:w="650" w:type="dxa"/>
            <w:noWrap w:val="0"/>
            <w:vAlign w:val="center"/>
          </w:tcPr>
          <w:p>
            <w:pPr>
              <w:pStyle w:val="117"/>
              <w:jc w:val="center"/>
              <w:rPr>
                <w:rFonts w:hint="eastAsia"/>
                <w:sz w:val="22"/>
                <w:szCs w:val="22"/>
              </w:rPr>
            </w:pPr>
            <w:r>
              <w:rPr>
                <w:rFonts w:hint="eastAsia"/>
                <w:w w:val="99"/>
                <w:sz w:val="22"/>
                <w:szCs w:val="22"/>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sz w:val="22"/>
                <w:szCs w:val="22"/>
              </w:rPr>
              <w:t>12</w:t>
            </w:r>
          </w:p>
        </w:tc>
        <w:tc>
          <w:tcPr>
            <w:tcW w:w="1380" w:type="dxa"/>
            <w:noWrap w:val="0"/>
            <w:vAlign w:val="center"/>
          </w:tcPr>
          <w:p>
            <w:pPr>
              <w:pStyle w:val="117"/>
              <w:jc w:val="center"/>
              <w:rPr>
                <w:rFonts w:hint="eastAsia"/>
                <w:sz w:val="22"/>
                <w:szCs w:val="22"/>
              </w:rPr>
            </w:pPr>
          </w:p>
          <w:p>
            <w:pPr>
              <w:pStyle w:val="117"/>
              <w:ind w:right="76"/>
              <w:jc w:val="center"/>
              <w:rPr>
                <w:rFonts w:hint="eastAsia"/>
                <w:sz w:val="22"/>
                <w:szCs w:val="22"/>
              </w:rPr>
            </w:pPr>
            <w:r>
              <w:rPr>
                <w:rFonts w:hint="eastAsia"/>
                <w:sz w:val="22"/>
                <w:szCs w:val="22"/>
              </w:rPr>
              <w:t>紧急启停按钮</w:t>
            </w:r>
          </w:p>
        </w:tc>
        <w:tc>
          <w:tcPr>
            <w:tcW w:w="6010" w:type="dxa"/>
            <w:noWrap w:val="0"/>
            <w:vAlign w:val="center"/>
          </w:tcPr>
          <w:p>
            <w:pPr>
              <w:pStyle w:val="117"/>
              <w:spacing w:before="35" w:line="304" w:lineRule="auto"/>
              <w:ind w:left="109" w:right="209"/>
              <w:rPr>
                <w:rFonts w:hint="eastAsia"/>
                <w:sz w:val="22"/>
                <w:szCs w:val="22"/>
              </w:rPr>
            </w:pPr>
            <w:r>
              <w:rPr>
                <w:rFonts w:hint="eastAsia"/>
                <w:spacing w:val="-5"/>
                <w:sz w:val="22"/>
                <w:szCs w:val="22"/>
              </w:rPr>
              <w:t xml:space="preserve">二总线，无极性，采用 </w:t>
            </w:r>
            <w:r>
              <w:rPr>
                <w:rFonts w:hint="eastAsia"/>
                <w:sz w:val="22"/>
                <w:szCs w:val="22"/>
              </w:rPr>
              <w:t>DC24V</w:t>
            </w:r>
            <w:r>
              <w:rPr>
                <w:rFonts w:hint="eastAsia"/>
                <w:spacing w:val="-12"/>
                <w:sz w:val="22"/>
                <w:szCs w:val="22"/>
              </w:rPr>
              <w:t xml:space="preserve"> 电源，内置微处理器 </w:t>
            </w:r>
            <w:r>
              <w:rPr>
                <w:rFonts w:hint="eastAsia"/>
                <w:sz w:val="22"/>
                <w:szCs w:val="22"/>
              </w:rPr>
              <w:t xml:space="preserve">CPU； </w:t>
            </w:r>
            <w:r>
              <w:rPr>
                <w:rFonts w:hint="eastAsia"/>
                <w:spacing w:val="-1"/>
                <w:sz w:val="22"/>
                <w:szCs w:val="22"/>
              </w:rPr>
              <w:t>常安装在气体灭火保护区门外，用于现场紧急启动、停止气体灭火控制设备。需要紧急启动时，按下玻璃片，此时</w:t>
            </w:r>
            <w:r>
              <w:rPr>
                <w:rFonts w:hint="eastAsia"/>
                <w:sz w:val="22"/>
                <w:szCs w:val="22"/>
              </w:rPr>
              <w:t>红灯亮，实现气体灭火操作。</w:t>
            </w:r>
          </w:p>
        </w:tc>
        <w:tc>
          <w:tcPr>
            <w:tcW w:w="850" w:type="dxa"/>
            <w:noWrap w:val="0"/>
            <w:vAlign w:val="center"/>
          </w:tcPr>
          <w:p>
            <w:pPr>
              <w:pStyle w:val="117"/>
              <w:jc w:val="center"/>
              <w:rPr>
                <w:rFonts w:hint="eastAsia"/>
                <w:sz w:val="22"/>
                <w:szCs w:val="22"/>
              </w:rPr>
            </w:pPr>
            <w:r>
              <w:rPr>
                <w:rFonts w:hint="eastAsia"/>
                <w:w w:val="99"/>
                <w:sz w:val="22"/>
                <w:szCs w:val="22"/>
              </w:rPr>
              <w:t>只</w:t>
            </w:r>
          </w:p>
        </w:tc>
        <w:tc>
          <w:tcPr>
            <w:tcW w:w="650" w:type="dxa"/>
            <w:noWrap w:val="0"/>
            <w:vAlign w:val="center"/>
          </w:tcPr>
          <w:p>
            <w:pPr>
              <w:pStyle w:val="117"/>
              <w:jc w:val="center"/>
              <w:rPr>
                <w:rFonts w:hint="eastAsia"/>
                <w:sz w:val="22"/>
                <w:szCs w:val="22"/>
              </w:rPr>
            </w:pPr>
            <w:r>
              <w:rPr>
                <w:rFonts w:hint="eastAsia"/>
                <w:w w:val="99"/>
                <w:sz w:val="22"/>
                <w:szCs w:val="22"/>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sz w:val="22"/>
                <w:szCs w:val="22"/>
              </w:rPr>
              <w:t>13</w:t>
            </w:r>
          </w:p>
        </w:tc>
        <w:tc>
          <w:tcPr>
            <w:tcW w:w="1380" w:type="dxa"/>
            <w:noWrap w:val="0"/>
            <w:vAlign w:val="center"/>
          </w:tcPr>
          <w:p>
            <w:pPr>
              <w:pStyle w:val="117"/>
              <w:spacing w:before="131"/>
              <w:ind w:right="78"/>
              <w:jc w:val="center"/>
              <w:rPr>
                <w:rFonts w:hint="eastAsia"/>
                <w:sz w:val="22"/>
                <w:szCs w:val="22"/>
              </w:rPr>
            </w:pPr>
            <w:r>
              <w:rPr>
                <w:rFonts w:hint="eastAsia"/>
                <w:sz w:val="22"/>
                <w:szCs w:val="22"/>
              </w:rPr>
              <w:t>编码声光警报器</w:t>
            </w:r>
          </w:p>
        </w:tc>
        <w:tc>
          <w:tcPr>
            <w:tcW w:w="6010" w:type="dxa"/>
            <w:noWrap w:val="0"/>
            <w:vAlign w:val="center"/>
          </w:tcPr>
          <w:p>
            <w:pPr>
              <w:pStyle w:val="117"/>
              <w:spacing w:before="35" w:line="304" w:lineRule="auto"/>
              <w:ind w:left="109" w:right="209"/>
              <w:rPr>
                <w:rFonts w:hint="eastAsia"/>
                <w:sz w:val="22"/>
                <w:szCs w:val="22"/>
              </w:rPr>
            </w:pPr>
            <w:r>
              <w:rPr>
                <w:rFonts w:hint="eastAsia"/>
                <w:spacing w:val="-5"/>
                <w:sz w:val="22"/>
                <w:szCs w:val="22"/>
              </w:rPr>
              <w:t xml:space="preserve">二总线，无极性，采用 </w:t>
            </w:r>
            <w:r>
              <w:rPr>
                <w:rFonts w:hint="eastAsia"/>
                <w:sz w:val="22"/>
                <w:szCs w:val="22"/>
              </w:rPr>
              <w:t>DC24V</w:t>
            </w:r>
            <w:r>
              <w:rPr>
                <w:rFonts w:hint="eastAsia"/>
                <w:spacing w:val="-12"/>
                <w:sz w:val="22"/>
                <w:szCs w:val="22"/>
              </w:rPr>
              <w:t xml:space="preserve"> 电源，内置微处理器 </w:t>
            </w:r>
            <w:r>
              <w:rPr>
                <w:rFonts w:hint="eastAsia"/>
                <w:sz w:val="22"/>
                <w:szCs w:val="22"/>
              </w:rPr>
              <w:t xml:space="preserve">CPU； </w:t>
            </w:r>
            <w:r>
              <w:rPr>
                <w:rFonts w:hint="eastAsia"/>
                <w:spacing w:val="-1"/>
                <w:sz w:val="22"/>
                <w:szCs w:val="22"/>
              </w:rPr>
              <w:t>常安装在气体灭火保护区内外，用于声、光警告信号，火</w:t>
            </w:r>
            <w:r>
              <w:rPr>
                <w:rFonts w:hint="eastAsia"/>
                <w:sz w:val="22"/>
                <w:szCs w:val="22"/>
              </w:rPr>
              <w:t>状态 DC24～28V，≤50mA，&gt;90dB</w:t>
            </w:r>
          </w:p>
        </w:tc>
        <w:tc>
          <w:tcPr>
            <w:tcW w:w="850" w:type="dxa"/>
            <w:noWrap w:val="0"/>
            <w:vAlign w:val="center"/>
          </w:tcPr>
          <w:p>
            <w:pPr>
              <w:pStyle w:val="117"/>
              <w:jc w:val="center"/>
              <w:rPr>
                <w:rFonts w:hint="eastAsia"/>
                <w:sz w:val="22"/>
                <w:szCs w:val="22"/>
              </w:rPr>
            </w:pPr>
            <w:r>
              <w:rPr>
                <w:rFonts w:hint="eastAsia"/>
                <w:w w:val="99"/>
                <w:sz w:val="22"/>
                <w:szCs w:val="22"/>
              </w:rPr>
              <w:t>只</w:t>
            </w:r>
          </w:p>
        </w:tc>
        <w:tc>
          <w:tcPr>
            <w:tcW w:w="650" w:type="dxa"/>
            <w:noWrap w:val="0"/>
            <w:vAlign w:val="center"/>
          </w:tcPr>
          <w:p>
            <w:pPr>
              <w:pStyle w:val="117"/>
              <w:jc w:val="center"/>
              <w:rPr>
                <w:rFonts w:hint="eastAsia"/>
                <w:sz w:val="22"/>
                <w:szCs w:val="22"/>
              </w:rPr>
            </w:pPr>
            <w:r>
              <w:rPr>
                <w:rFonts w:hint="eastAsia"/>
                <w:w w:val="99"/>
                <w:sz w:val="22"/>
                <w:szCs w:val="22"/>
              </w:rPr>
              <w:t>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sz w:val="22"/>
                <w:szCs w:val="22"/>
              </w:rPr>
              <w:t>14</w:t>
            </w:r>
          </w:p>
        </w:tc>
        <w:tc>
          <w:tcPr>
            <w:tcW w:w="1380" w:type="dxa"/>
            <w:noWrap w:val="0"/>
            <w:vAlign w:val="center"/>
          </w:tcPr>
          <w:p>
            <w:pPr>
              <w:pStyle w:val="117"/>
              <w:spacing w:before="49"/>
              <w:ind w:right="76"/>
              <w:jc w:val="center"/>
              <w:rPr>
                <w:rFonts w:hint="eastAsia"/>
                <w:sz w:val="22"/>
                <w:szCs w:val="22"/>
              </w:rPr>
            </w:pPr>
            <w:r>
              <w:rPr>
                <w:rFonts w:hint="eastAsia"/>
                <w:sz w:val="22"/>
                <w:szCs w:val="22"/>
              </w:rPr>
              <w:t>气体灭火模块</w:t>
            </w:r>
          </w:p>
        </w:tc>
        <w:tc>
          <w:tcPr>
            <w:tcW w:w="6010" w:type="dxa"/>
            <w:noWrap w:val="0"/>
            <w:vAlign w:val="center"/>
          </w:tcPr>
          <w:p>
            <w:pPr>
              <w:pStyle w:val="117"/>
              <w:spacing w:before="49"/>
              <w:ind w:left="109"/>
              <w:rPr>
                <w:rFonts w:hint="eastAsia"/>
                <w:sz w:val="22"/>
                <w:szCs w:val="22"/>
              </w:rPr>
            </w:pPr>
            <w:r>
              <w:rPr>
                <w:rFonts w:hint="eastAsia"/>
                <w:sz w:val="22"/>
                <w:szCs w:val="22"/>
              </w:rPr>
              <w:t>总线联接气体灭火控制盘，多线联接气体末端设备。</w:t>
            </w:r>
          </w:p>
        </w:tc>
        <w:tc>
          <w:tcPr>
            <w:tcW w:w="850" w:type="dxa"/>
            <w:noWrap w:val="0"/>
            <w:vAlign w:val="center"/>
          </w:tcPr>
          <w:p>
            <w:pPr>
              <w:pStyle w:val="117"/>
              <w:jc w:val="center"/>
              <w:rPr>
                <w:rFonts w:hint="eastAsia"/>
                <w:sz w:val="22"/>
                <w:szCs w:val="22"/>
              </w:rPr>
            </w:pPr>
            <w:r>
              <w:rPr>
                <w:rFonts w:hint="eastAsia"/>
                <w:w w:val="99"/>
                <w:sz w:val="22"/>
                <w:szCs w:val="22"/>
              </w:rPr>
              <w:t>只</w:t>
            </w:r>
          </w:p>
        </w:tc>
        <w:tc>
          <w:tcPr>
            <w:tcW w:w="650" w:type="dxa"/>
            <w:noWrap w:val="0"/>
            <w:vAlign w:val="center"/>
          </w:tcPr>
          <w:p>
            <w:pPr>
              <w:pStyle w:val="117"/>
              <w:jc w:val="center"/>
              <w:rPr>
                <w:rFonts w:hint="eastAsia"/>
                <w:sz w:val="22"/>
                <w:szCs w:val="22"/>
              </w:rPr>
            </w:pPr>
            <w:r>
              <w:rPr>
                <w:rFonts w:hint="eastAsia"/>
                <w:w w:val="99"/>
                <w:sz w:val="22"/>
                <w:szCs w:val="22"/>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sz w:val="22"/>
                <w:szCs w:val="22"/>
              </w:rPr>
              <w:t>15</w:t>
            </w:r>
          </w:p>
        </w:tc>
        <w:tc>
          <w:tcPr>
            <w:tcW w:w="1380" w:type="dxa"/>
            <w:noWrap w:val="0"/>
            <w:vAlign w:val="center"/>
          </w:tcPr>
          <w:p>
            <w:pPr>
              <w:pStyle w:val="117"/>
              <w:spacing w:before="2"/>
              <w:jc w:val="center"/>
              <w:rPr>
                <w:rFonts w:hint="eastAsia"/>
                <w:sz w:val="22"/>
                <w:szCs w:val="22"/>
              </w:rPr>
            </w:pPr>
          </w:p>
          <w:p>
            <w:pPr>
              <w:pStyle w:val="117"/>
              <w:ind w:right="78"/>
              <w:jc w:val="center"/>
              <w:rPr>
                <w:rFonts w:hint="eastAsia"/>
                <w:sz w:val="22"/>
                <w:szCs w:val="22"/>
              </w:rPr>
            </w:pPr>
            <w:r>
              <w:rPr>
                <w:rFonts w:hint="eastAsia"/>
                <w:sz w:val="22"/>
                <w:szCs w:val="22"/>
              </w:rPr>
              <w:t>输入模块</w:t>
            </w:r>
          </w:p>
        </w:tc>
        <w:tc>
          <w:tcPr>
            <w:tcW w:w="6010" w:type="dxa"/>
            <w:noWrap w:val="0"/>
            <w:vAlign w:val="center"/>
          </w:tcPr>
          <w:p>
            <w:pPr>
              <w:pStyle w:val="117"/>
              <w:spacing w:before="37"/>
              <w:ind w:left="109"/>
              <w:rPr>
                <w:rFonts w:hint="eastAsia"/>
                <w:sz w:val="22"/>
                <w:szCs w:val="22"/>
              </w:rPr>
            </w:pPr>
            <w:r>
              <w:rPr>
                <w:rFonts w:hint="eastAsia"/>
                <w:sz w:val="22"/>
                <w:szCs w:val="22"/>
              </w:rPr>
              <w:t>二总线，无极性，内置微处理器 CPU； 采用 SMT 表面贴装</w:t>
            </w:r>
          </w:p>
          <w:p>
            <w:pPr>
              <w:pStyle w:val="117"/>
              <w:spacing w:before="68"/>
              <w:ind w:left="109"/>
              <w:rPr>
                <w:rFonts w:hint="eastAsia"/>
                <w:sz w:val="22"/>
                <w:szCs w:val="22"/>
              </w:rPr>
            </w:pPr>
            <w:r>
              <w:rPr>
                <w:rFonts w:hint="eastAsia"/>
                <w:sz w:val="22"/>
                <w:szCs w:val="22"/>
              </w:rPr>
              <w:t>工艺；电子编码方式。可通过专用电子编码器编址。</w:t>
            </w:r>
          </w:p>
        </w:tc>
        <w:tc>
          <w:tcPr>
            <w:tcW w:w="850"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w w:val="99"/>
                <w:sz w:val="22"/>
                <w:szCs w:val="22"/>
              </w:rPr>
              <w:t>只</w:t>
            </w:r>
          </w:p>
        </w:tc>
        <w:tc>
          <w:tcPr>
            <w:tcW w:w="650"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w w:val="99"/>
                <w:sz w:val="22"/>
                <w:szCs w:val="22"/>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sz w:val="22"/>
                <w:szCs w:val="22"/>
              </w:rPr>
              <w:t>16</w:t>
            </w:r>
          </w:p>
        </w:tc>
        <w:tc>
          <w:tcPr>
            <w:tcW w:w="1380" w:type="dxa"/>
            <w:noWrap w:val="0"/>
            <w:vAlign w:val="center"/>
          </w:tcPr>
          <w:p>
            <w:pPr>
              <w:pStyle w:val="117"/>
              <w:jc w:val="center"/>
              <w:rPr>
                <w:rFonts w:hint="eastAsia"/>
                <w:sz w:val="22"/>
                <w:szCs w:val="22"/>
              </w:rPr>
            </w:pPr>
          </w:p>
          <w:p>
            <w:pPr>
              <w:pStyle w:val="117"/>
              <w:spacing w:before="131"/>
              <w:ind w:left="84" w:right="76"/>
              <w:jc w:val="center"/>
              <w:rPr>
                <w:rFonts w:hint="eastAsia"/>
                <w:sz w:val="22"/>
                <w:szCs w:val="22"/>
              </w:rPr>
            </w:pPr>
            <w:r>
              <w:rPr>
                <w:rFonts w:hint="eastAsia"/>
                <w:sz w:val="22"/>
                <w:szCs w:val="22"/>
              </w:rPr>
              <w:t>输入输出模块</w:t>
            </w:r>
          </w:p>
        </w:tc>
        <w:tc>
          <w:tcPr>
            <w:tcW w:w="6010" w:type="dxa"/>
            <w:noWrap w:val="0"/>
            <w:vAlign w:val="center"/>
          </w:tcPr>
          <w:p>
            <w:pPr>
              <w:pStyle w:val="117"/>
              <w:spacing w:before="35"/>
              <w:ind w:left="109"/>
              <w:rPr>
                <w:rFonts w:hint="eastAsia"/>
                <w:sz w:val="22"/>
                <w:szCs w:val="22"/>
              </w:rPr>
            </w:pPr>
            <w:r>
              <w:rPr>
                <w:rFonts w:hint="eastAsia"/>
                <w:sz w:val="22"/>
                <w:szCs w:val="22"/>
              </w:rPr>
              <w:t>二总线，无极性，采用 DC24V 电源，内置微处理器 CPU；</w:t>
            </w:r>
          </w:p>
          <w:p>
            <w:pPr>
              <w:pStyle w:val="117"/>
              <w:spacing w:before="6" w:line="320" w:lineRule="atLeast"/>
              <w:ind w:left="109" w:right="209"/>
              <w:rPr>
                <w:rFonts w:hint="eastAsia"/>
                <w:sz w:val="22"/>
                <w:szCs w:val="22"/>
              </w:rPr>
            </w:pPr>
            <w:r>
              <w:rPr>
                <w:rFonts w:hint="eastAsia"/>
                <w:spacing w:val="-18"/>
                <w:sz w:val="22"/>
                <w:szCs w:val="22"/>
              </w:rPr>
              <w:t xml:space="preserve">采用 </w:t>
            </w:r>
            <w:r>
              <w:rPr>
                <w:rFonts w:hint="eastAsia"/>
                <w:sz w:val="22"/>
                <w:szCs w:val="22"/>
              </w:rPr>
              <w:t>SMT</w:t>
            </w:r>
            <w:r>
              <w:rPr>
                <w:rFonts w:hint="eastAsia"/>
                <w:spacing w:val="-9"/>
                <w:sz w:val="22"/>
                <w:szCs w:val="22"/>
              </w:rPr>
              <w:t xml:space="preserve"> 表面贴装工艺；电子编码方式。可通过专用电子</w:t>
            </w:r>
            <w:r>
              <w:rPr>
                <w:rFonts w:hint="eastAsia"/>
                <w:sz w:val="22"/>
                <w:szCs w:val="22"/>
              </w:rPr>
              <w:t>编码器编址。</w:t>
            </w:r>
          </w:p>
        </w:tc>
        <w:tc>
          <w:tcPr>
            <w:tcW w:w="850" w:type="dxa"/>
            <w:noWrap w:val="0"/>
            <w:vAlign w:val="center"/>
          </w:tcPr>
          <w:p>
            <w:pPr>
              <w:pStyle w:val="117"/>
              <w:jc w:val="center"/>
              <w:rPr>
                <w:rFonts w:hint="eastAsia"/>
                <w:sz w:val="22"/>
                <w:szCs w:val="22"/>
              </w:rPr>
            </w:pPr>
            <w:r>
              <w:rPr>
                <w:rFonts w:hint="eastAsia"/>
                <w:w w:val="99"/>
                <w:sz w:val="22"/>
                <w:szCs w:val="22"/>
              </w:rPr>
              <w:t>只</w:t>
            </w:r>
          </w:p>
        </w:tc>
        <w:tc>
          <w:tcPr>
            <w:tcW w:w="650" w:type="dxa"/>
            <w:noWrap w:val="0"/>
            <w:vAlign w:val="center"/>
          </w:tcPr>
          <w:p>
            <w:pPr>
              <w:pStyle w:val="117"/>
              <w:jc w:val="center"/>
              <w:rPr>
                <w:rFonts w:hint="eastAsia"/>
                <w:sz w:val="22"/>
                <w:szCs w:val="22"/>
              </w:rPr>
            </w:pPr>
            <w:r>
              <w:rPr>
                <w:rFonts w:hint="eastAsia"/>
                <w:w w:val="99"/>
                <w:sz w:val="22"/>
                <w:szCs w:val="22"/>
              </w:rPr>
              <w:t>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sz w:val="22"/>
                <w:szCs w:val="22"/>
              </w:rPr>
              <w:t>17</w:t>
            </w:r>
          </w:p>
        </w:tc>
        <w:tc>
          <w:tcPr>
            <w:tcW w:w="1380" w:type="dxa"/>
            <w:noWrap w:val="0"/>
            <w:vAlign w:val="center"/>
          </w:tcPr>
          <w:p>
            <w:pPr>
              <w:pStyle w:val="117"/>
              <w:spacing w:before="47"/>
              <w:ind w:left="84" w:right="78"/>
              <w:jc w:val="center"/>
              <w:rPr>
                <w:rFonts w:hint="eastAsia"/>
                <w:sz w:val="22"/>
                <w:szCs w:val="22"/>
              </w:rPr>
            </w:pPr>
            <w:r>
              <w:rPr>
                <w:rFonts w:hint="eastAsia"/>
                <w:sz w:val="22"/>
                <w:szCs w:val="22"/>
              </w:rPr>
              <w:t>辅材</w:t>
            </w:r>
          </w:p>
        </w:tc>
        <w:tc>
          <w:tcPr>
            <w:tcW w:w="6010" w:type="dxa"/>
            <w:noWrap w:val="0"/>
            <w:vAlign w:val="center"/>
          </w:tcPr>
          <w:p>
            <w:pPr>
              <w:pStyle w:val="117"/>
              <w:spacing w:before="47"/>
              <w:rPr>
                <w:rFonts w:hint="eastAsia"/>
                <w:sz w:val="22"/>
                <w:szCs w:val="22"/>
              </w:rPr>
            </w:pPr>
            <w:r>
              <w:rPr>
                <w:rFonts w:hint="eastAsia"/>
                <w:sz w:val="22"/>
                <w:szCs w:val="22"/>
              </w:rPr>
              <w:t>线缆，管材等配件</w:t>
            </w:r>
          </w:p>
        </w:tc>
        <w:tc>
          <w:tcPr>
            <w:tcW w:w="850" w:type="dxa"/>
            <w:noWrap w:val="0"/>
            <w:vAlign w:val="center"/>
          </w:tcPr>
          <w:p>
            <w:pPr>
              <w:pStyle w:val="117"/>
              <w:jc w:val="center"/>
              <w:rPr>
                <w:rFonts w:hint="eastAsia"/>
                <w:sz w:val="22"/>
                <w:szCs w:val="22"/>
              </w:rPr>
            </w:pPr>
            <w:r>
              <w:rPr>
                <w:rFonts w:hint="eastAsia"/>
                <w:w w:val="99"/>
                <w:sz w:val="22"/>
                <w:szCs w:val="22"/>
              </w:rPr>
              <w:t>项</w:t>
            </w:r>
          </w:p>
        </w:tc>
        <w:tc>
          <w:tcPr>
            <w:tcW w:w="650" w:type="dxa"/>
            <w:noWrap w:val="0"/>
            <w:vAlign w:val="center"/>
          </w:tcPr>
          <w:p>
            <w:pPr>
              <w:pStyle w:val="117"/>
              <w:jc w:val="center"/>
              <w:rPr>
                <w:rFonts w:hint="eastAsia"/>
                <w:sz w:val="22"/>
                <w:szCs w:val="22"/>
              </w:rPr>
            </w:pPr>
            <w:r>
              <w:rPr>
                <w:rFonts w:hint="eastAsia"/>
                <w:w w:val="99"/>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9518" w:type="dxa"/>
            <w:gridSpan w:val="5"/>
            <w:noWrap w:val="0"/>
            <w:vAlign w:val="center"/>
          </w:tcPr>
          <w:p>
            <w:pPr>
              <w:pStyle w:val="117"/>
              <w:spacing w:before="47"/>
              <w:ind w:right="279"/>
              <w:jc w:val="center"/>
              <w:rPr>
                <w:rFonts w:hint="eastAsia"/>
                <w:w w:val="99"/>
                <w:sz w:val="22"/>
                <w:szCs w:val="22"/>
              </w:rPr>
            </w:pPr>
            <w:r>
              <w:rPr>
                <w:rFonts w:hint="eastAsia"/>
                <w:b/>
                <w:w w:val="99"/>
                <w:sz w:val="22"/>
                <w:szCs w:val="22"/>
              </w:rPr>
              <w:t>五、</w:t>
            </w:r>
            <w:r>
              <w:rPr>
                <w:rFonts w:hint="eastAsia"/>
                <w:b/>
                <w:sz w:val="22"/>
                <w:szCs w:val="22"/>
              </w:rPr>
              <w:t>安全防范系统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9518" w:type="dxa"/>
            <w:gridSpan w:val="5"/>
            <w:noWrap w:val="0"/>
            <w:vAlign w:val="center"/>
          </w:tcPr>
          <w:p>
            <w:pPr>
              <w:pStyle w:val="117"/>
              <w:spacing w:before="47"/>
              <w:ind w:right="279"/>
              <w:jc w:val="center"/>
              <w:rPr>
                <w:rFonts w:hint="eastAsia"/>
                <w:w w:val="99"/>
                <w:sz w:val="22"/>
                <w:szCs w:val="22"/>
              </w:rPr>
            </w:pPr>
            <w:r>
              <w:rPr>
                <w:rFonts w:hint="eastAsia"/>
                <w:b/>
                <w:sz w:val="22"/>
                <w:szCs w:val="22"/>
              </w:rPr>
              <w:t>1）门禁系统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131"/>
              <w:ind w:left="6"/>
              <w:jc w:val="center"/>
              <w:rPr>
                <w:rFonts w:hint="eastAsia"/>
                <w:sz w:val="22"/>
                <w:szCs w:val="22"/>
              </w:rPr>
            </w:pPr>
            <w:r>
              <w:rPr>
                <w:rFonts w:hint="eastAsia"/>
                <w:w w:val="99"/>
                <w:sz w:val="22"/>
                <w:szCs w:val="22"/>
              </w:rPr>
              <w:t>1</w:t>
            </w:r>
          </w:p>
        </w:tc>
        <w:tc>
          <w:tcPr>
            <w:tcW w:w="1380" w:type="dxa"/>
            <w:noWrap w:val="0"/>
            <w:vAlign w:val="center"/>
          </w:tcPr>
          <w:p>
            <w:pPr>
              <w:pStyle w:val="117"/>
              <w:spacing w:before="131"/>
              <w:ind w:right="78"/>
              <w:jc w:val="center"/>
              <w:rPr>
                <w:rFonts w:hint="eastAsia"/>
                <w:sz w:val="22"/>
                <w:szCs w:val="22"/>
              </w:rPr>
            </w:pPr>
            <w:r>
              <w:rPr>
                <w:rFonts w:hint="eastAsia"/>
                <w:sz w:val="22"/>
                <w:szCs w:val="22"/>
              </w:rPr>
              <w:t>人脸门禁一体机</w:t>
            </w:r>
          </w:p>
        </w:tc>
        <w:tc>
          <w:tcPr>
            <w:tcW w:w="6010" w:type="dxa"/>
            <w:noWrap w:val="0"/>
            <w:vAlign w:val="center"/>
          </w:tcPr>
          <w:p>
            <w:pPr>
              <w:pStyle w:val="117"/>
              <w:spacing w:before="35" w:line="304" w:lineRule="auto"/>
              <w:ind w:left="109" w:right="159"/>
              <w:rPr>
                <w:rFonts w:hint="eastAsia"/>
                <w:sz w:val="22"/>
                <w:szCs w:val="22"/>
              </w:rPr>
            </w:pPr>
            <w:r>
              <w:rPr>
                <w:rFonts w:hint="eastAsia"/>
                <w:sz w:val="22"/>
                <w:szCs w:val="22"/>
              </w:rPr>
              <w:t>1</w:t>
            </w:r>
            <w:r>
              <w:rPr>
                <w:rFonts w:hint="eastAsia"/>
                <w:spacing w:val="-6"/>
                <w:sz w:val="22"/>
                <w:szCs w:val="22"/>
              </w:rPr>
              <w:t xml:space="preserve">、设备外观：采用 </w:t>
            </w:r>
            <w:r>
              <w:rPr>
                <w:rFonts w:hint="eastAsia"/>
                <w:sz w:val="22"/>
                <w:szCs w:val="22"/>
              </w:rPr>
              <w:t>7</w:t>
            </w:r>
            <w:r>
              <w:rPr>
                <w:rFonts w:hint="eastAsia"/>
                <w:spacing w:val="-26"/>
                <w:sz w:val="22"/>
                <w:szCs w:val="22"/>
              </w:rPr>
              <w:t xml:space="preserve"> 英寸 </w:t>
            </w:r>
            <w:r>
              <w:rPr>
                <w:rFonts w:hint="eastAsia"/>
                <w:sz w:val="22"/>
                <w:szCs w:val="22"/>
              </w:rPr>
              <w:t>LCD</w:t>
            </w:r>
            <w:r>
              <w:rPr>
                <w:rFonts w:hint="eastAsia"/>
                <w:spacing w:val="-9"/>
                <w:sz w:val="22"/>
                <w:szCs w:val="22"/>
              </w:rPr>
              <w:t xml:space="preserve"> 触摸显示屏，</w:t>
            </w:r>
            <w:r>
              <w:rPr>
                <w:rFonts w:hint="eastAsia"/>
                <w:sz w:val="22"/>
                <w:szCs w:val="22"/>
              </w:rPr>
              <w:t>200</w:t>
            </w:r>
            <w:r>
              <w:rPr>
                <w:rFonts w:hint="eastAsia"/>
                <w:spacing w:val="-14"/>
                <w:sz w:val="22"/>
                <w:szCs w:val="22"/>
              </w:rPr>
              <w:t xml:space="preserve"> 万像素双</w:t>
            </w:r>
            <w:r>
              <w:rPr>
                <w:rFonts w:hint="eastAsia"/>
                <w:spacing w:val="-5"/>
                <w:sz w:val="22"/>
                <w:szCs w:val="22"/>
              </w:rPr>
              <w:t xml:space="preserve">目摄像头，面部识别距离 </w:t>
            </w:r>
            <w:r>
              <w:rPr>
                <w:rFonts w:hint="eastAsia"/>
                <w:sz w:val="22"/>
                <w:szCs w:val="22"/>
              </w:rPr>
              <w:t>0.2-3m，支持照片视频防假；</w:t>
            </w:r>
          </w:p>
          <w:p>
            <w:pPr>
              <w:pStyle w:val="117"/>
              <w:spacing w:before="35"/>
              <w:ind w:left="109"/>
              <w:rPr>
                <w:rFonts w:hint="eastAsia"/>
                <w:sz w:val="22"/>
                <w:szCs w:val="22"/>
              </w:rPr>
            </w:pPr>
            <w:r>
              <w:rPr>
                <w:rFonts w:hint="eastAsia"/>
                <w:sz w:val="22"/>
                <w:szCs w:val="22"/>
              </w:rPr>
              <w:t>2、设备容量：支持 50000 张人脸白名单，1：N 人脸比对时间＜0.2S/人，支持 5000 枚指纹，50000 张卡片，100000 条记录；</w:t>
            </w:r>
          </w:p>
          <w:p>
            <w:pPr>
              <w:pStyle w:val="117"/>
              <w:spacing w:before="68" w:line="304" w:lineRule="auto"/>
              <w:ind w:left="109" w:right="111"/>
              <w:rPr>
                <w:rFonts w:hint="eastAsia"/>
                <w:sz w:val="22"/>
                <w:szCs w:val="22"/>
              </w:rPr>
            </w:pPr>
            <w:r>
              <w:rPr>
                <w:rFonts w:hint="eastAsia"/>
                <w:sz w:val="22"/>
                <w:szCs w:val="22"/>
              </w:rPr>
              <w:t>3、认证方式：支持人脸、刷卡、指纹、密码（超级密码） 及其组合的认证方式；可读取 Mifare 卡（IC 卡）卡号、CPU 序列号、身份证序列号；</w:t>
            </w:r>
          </w:p>
          <w:p>
            <w:pPr>
              <w:pStyle w:val="117"/>
              <w:spacing w:before="3" w:line="304" w:lineRule="auto"/>
              <w:ind w:left="109" w:right="109"/>
              <w:rPr>
                <w:rFonts w:hint="eastAsia"/>
                <w:sz w:val="22"/>
                <w:szCs w:val="22"/>
              </w:rPr>
            </w:pPr>
            <w:r>
              <w:rPr>
                <w:rFonts w:hint="eastAsia"/>
                <w:sz w:val="22"/>
                <w:szCs w:val="22"/>
              </w:rPr>
              <w:t>4</w:t>
            </w:r>
            <w:r>
              <w:rPr>
                <w:rFonts w:hint="eastAsia"/>
                <w:spacing w:val="-5"/>
                <w:sz w:val="22"/>
                <w:szCs w:val="22"/>
              </w:rPr>
              <w:t xml:space="preserve">、通讯方式：上行通讯为 </w:t>
            </w:r>
            <w:r>
              <w:rPr>
                <w:rFonts w:hint="eastAsia"/>
                <w:sz w:val="22"/>
                <w:szCs w:val="22"/>
              </w:rPr>
              <w:t>TCP/IP</w:t>
            </w:r>
            <w:r>
              <w:rPr>
                <w:rFonts w:hint="eastAsia"/>
                <w:spacing w:val="-13"/>
                <w:sz w:val="22"/>
                <w:szCs w:val="22"/>
              </w:rPr>
              <w:t xml:space="preserve">，支持 </w:t>
            </w:r>
            <w:r>
              <w:rPr>
                <w:rFonts w:hint="eastAsia"/>
                <w:sz w:val="22"/>
                <w:szCs w:val="22"/>
              </w:rPr>
              <w:t>Ehome</w:t>
            </w:r>
            <w:r>
              <w:rPr>
                <w:rFonts w:hint="eastAsia"/>
                <w:spacing w:val="-11"/>
                <w:sz w:val="22"/>
                <w:szCs w:val="22"/>
              </w:rPr>
              <w:t xml:space="preserve"> 跨公网传</w:t>
            </w:r>
            <w:r>
              <w:rPr>
                <w:rFonts w:hint="eastAsia"/>
                <w:spacing w:val="-17"/>
                <w:sz w:val="22"/>
                <w:szCs w:val="22"/>
              </w:rPr>
              <w:t xml:space="preserve">输；支持外接 </w:t>
            </w:r>
            <w:r>
              <w:rPr>
                <w:rFonts w:hint="eastAsia"/>
                <w:sz w:val="22"/>
                <w:szCs w:val="22"/>
              </w:rPr>
              <w:t>RS485，Wiegand</w:t>
            </w:r>
            <w:r>
              <w:rPr>
                <w:rFonts w:hint="eastAsia"/>
                <w:spacing w:val="-12"/>
                <w:sz w:val="22"/>
                <w:szCs w:val="22"/>
              </w:rPr>
              <w:t xml:space="preserve"> 副读卡器</w:t>
            </w:r>
            <w:r>
              <w:rPr>
                <w:rFonts w:hint="eastAsia"/>
                <w:sz w:val="22"/>
                <w:szCs w:val="22"/>
              </w:rPr>
              <w:t>（</w:t>
            </w:r>
            <w:r>
              <w:rPr>
                <w:rFonts w:hint="eastAsia"/>
                <w:spacing w:val="-2"/>
                <w:sz w:val="22"/>
                <w:szCs w:val="22"/>
              </w:rPr>
              <w:t>不支持外接指纹</w:t>
            </w:r>
            <w:r>
              <w:rPr>
                <w:rFonts w:hint="eastAsia"/>
                <w:sz w:val="22"/>
                <w:szCs w:val="22"/>
              </w:rPr>
              <w:t>读卡器）</w:t>
            </w:r>
            <w:r>
              <w:rPr>
                <w:rFonts w:hint="eastAsia"/>
                <w:spacing w:val="-5"/>
                <w:sz w:val="22"/>
                <w:szCs w:val="22"/>
              </w:rPr>
              <w:t xml:space="preserve">；基线支持标准韦根 </w:t>
            </w:r>
            <w:r>
              <w:rPr>
                <w:rFonts w:hint="eastAsia"/>
                <w:sz w:val="22"/>
                <w:szCs w:val="22"/>
              </w:rPr>
              <w:t>34/26；</w:t>
            </w:r>
          </w:p>
          <w:p>
            <w:pPr>
              <w:pStyle w:val="117"/>
              <w:spacing w:line="304" w:lineRule="auto"/>
              <w:ind w:left="109" w:right="209"/>
              <w:rPr>
                <w:rFonts w:hint="eastAsia"/>
                <w:sz w:val="22"/>
                <w:szCs w:val="22"/>
              </w:rPr>
            </w:pPr>
            <w:r>
              <w:rPr>
                <w:rFonts w:hint="eastAsia"/>
                <w:sz w:val="22"/>
                <w:szCs w:val="22"/>
              </w:rPr>
              <w:t>5、视频对讲：支持与云眸、4200 客户端、主副室内分机、管理机的视频对讲功能；支持远程视频预览功能，可以通过 RTSP 协议输出视频码流，编码格式 H.264；</w:t>
            </w:r>
          </w:p>
          <w:p>
            <w:pPr>
              <w:pStyle w:val="117"/>
              <w:spacing w:before="3" w:line="304" w:lineRule="auto"/>
              <w:ind w:left="109" w:right="111"/>
              <w:rPr>
                <w:rFonts w:hint="eastAsia"/>
                <w:sz w:val="22"/>
                <w:szCs w:val="22"/>
              </w:rPr>
            </w:pPr>
            <w:r>
              <w:rPr>
                <w:rFonts w:hint="eastAsia"/>
                <w:sz w:val="22"/>
                <w:szCs w:val="22"/>
              </w:rPr>
              <w:t>6、输入接口：LAN*1、RS485*1、wiegand</w:t>
            </w:r>
            <w:r>
              <w:rPr>
                <w:rFonts w:hint="eastAsia"/>
                <w:spacing w:val="-8"/>
                <w:sz w:val="22"/>
                <w:szCs w:val="22"/>
              </w:rPr>
              <w:t xml:space="preserve"> </w:t>
            </w:r>
            <w:r>
              <w:rPr>
                <w:rFonts w:hint="eastAsia"/>
                <w:sz w:val="22"/>
                <w:szCs w:val="22"/>
              </w:rPr>
              <w:t>*</w:t>
            </w:r>
            <w:r>
              <w:rPr>
                <w:rFonts w:hint="eastAsia"/>
                <w:spacing w:val="-4"/>
                <w:sz w:val="22"/>
                <w:szCs w:val="22"/>
              </w:rPr>
              <w:t xml:space="preserve"> </w:t>
            </w:r>
            <w:r>
              <w:rPr>
                <w:rFonts w:hint="eastAsia"/>
                <w:sz w:val="22"/>
                <w:szCs w:val="22"/>
              </w:rPr>
              <w:t>1、USB*1、门磁*1、报警输入*2、防拆*1、开门按钮*1；</w:t>
            </w:r>
          </w:p>
          <w:p>
            <w:pPr>
              <w:pStyle w:val="117"/>
              <w:spacing w:before="2"/>
              <w:ind w:left="109"/>
              <w:rPr>
                <w:rFonts w:hint="eastAsia"/>
                <w:sz w:val="22"/>
                <w:szCs w:val="22"/>
              </w:rPr>
            </w:pPr>
            <w:r>
              <w:rPr>
                <w:rFonts w:hint="eastAsia"/>
                <w:sz w:val="22"/>
                <w:szCs w:val="22"/>
              </w:rPr>
              <w:t>7、输出接口：电锁*1</w:t>
            </w:r>
            <w:r>
              <w:rPr>
                <w:rFonts w:hint="eastAsia"/>
                <w:spacing w:val="-9"/>
                <w:sz w:val="22"/>
                <w:szCs w:val="22"/>
              </w:rPr>
              <w:t xml:space="preserve"> 个，报警输出</w:t>
            </w:r>
            <w:r>
              <w:rPr>
                <w:rFonts w:hint="eastAsia"/>
                <w:sz w:val="22"/>
                <w:szCs w:val="22"/>
              </w:rPr>
              <w:t>*1</w:t>
            </w:r>
            <w:r>
              <w:rPr>
                <w:rFonts w:hint="eastAsia"/>
                <w:spacing w:val="-18"/>
                <w:sz w:val="22"/>
                <w:szCs w:val="22"/>
              </w:rPr>
              <w:t xml:space="preserve"> 个；</w:t>
            </w:r>
          </w:p>
          <w:p>
            <w:pPr>
              <w:pStyle w:val="117"/>
              <w:spacing w:before="68"/>
              <w:ind w:left="109"/>
              <w:rPr>
                <w:rFonts w:hint="eastAsia"/>
                <w:sz w:val="22"/>
                <w:szCs w:val="22"/>
              </w:rPr>
            </w:pPr>
            <w:r>
              <w:rPr>
                <w:rFonts w:hint="eastAsia"/>
                <w:sz w:val="22"/>
                <w:szCs w:val="22"/>
              </w:rPr>
              <w:t>8、工作电压： DC 12V/2A，不自带电源；</w:t>
            </w:r>
          </w:p>
          <w:p>
            <w:pPr>
              <w:pStyle w:val="117"/>
              <w:spacing w:before="70" w:line="304" w:lineRule="auto"/>
              <w:ind w:left="109" w:right="111"/>
              <w:rPr>
                <w:rFonts w:hint="eastAsia"/>
                <w:sz w:val="22"/>
                <w:szCs w:val="22"/>
              </w:rPr>
            </w:pPr>
            <w:r>
              <w:rPr>
                <w:rFonts w:hint="eastAsia"/>
                <w:sz w:val="22"/>
                <w:szCs w:val="22"/>
              </w:rPr>
              <w:t>9、使用环境：室内外环境，室外使用需要配遮阳罩，避免阳光直射；</w:t>
            </w:r>
          </w:p>
          <w:p>
            <w:pPr>
              <w:pStyle w:val="117"/>
              <w:spacing w:before="2"/>
              <w:ind w:left="109"/>
              <w:rPr>
                <w:rFonts w:hint="eastAsia"/>
                <w:sz w:val="22"/>
                <w:szCs w:val="22"/>
              </w:rPr>
            </w:pPr>
            <w:r>
              <w:rPr>
                <w:rFonts w:hint="eastAsia"/>
                <w:sz w:val="22"/>
                <w:szCs w:val="22"/>
              </w:rPr>
              <w:t>10、安装方式：标配金属安装挂板，支持明装、86 底盒安装；</w:t>
            </w:r>
          </w:p>
        </w:tc>
        <w:tc>
          <w:tcPr>
            <w:tcW w:w="850" w:type="dxa"/>
            <w:noWrap w:val="0"/>
            <w:vAlign w:val="center"/>
          </w:tcPr>
          <w:p>
            <w:pPr>
              <w:pStyle w:val="117"/>
              <w:ind w:left="11"/>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r>
              <w:rPr>
                <w:rFonts w:hint="eastAsia"/>
                <w:sz w:val="22"/>
                <w:szCs w:val="22"/>
              </w:rPr>
              <w:t>12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1"/>
              <w:ind w:left="6"/>
              <w:jc w:val="center"/>
              <w:rPr>
                <w:rFonts w:hint="eastAsia"/>
                <w:sz w:val="22"/>
                <w:szCs w:val="22"/>
              </w:rPr>
            </w:pPr>
            <w:r>
              <w:rPr>
                <w:rFonts w:hint="eastAsia"/>
                <w:w w:val="99"/>
                <w:sz w:val="22"/>
                <w:szCs w:val="22"/>
              </w:rPr>
              <w:t>2</w:t>
            </w:r>
          </w:p>
        </w:tc>
        <w:tc>
          <w:tcPr>
            <w:tcW w:w="1380" w:type="dxa"/>
            <w:noWrap w:val="0"/>
            <w:vAlign w:val="center"/>
          </w:tcPr>
          <w:p>
            <w:pPr>
              <w:pStyle w:val="117"/>
              <w:spacing w:before="1"/>
              <w:jc w:val="center"/>
              <w:rPr>
                <w:rFonts w:hint="eastAsia"/>
                <w:sz w:val="22"/>
                <w:szCs w:val="22"/>
              </w:rPr>
            </w:pPr>
            <w:r>
              <w:rPr>
                <w:rFonts w:hint="eastAsia"/>
                <w:sz w:val="22"/>
                <w:szCs w:val="22"/>
              </w:rPr>
              <w:t>双门磁力锁</w:t>
            </w:r>
          </w:p>
        </w:tc>
        <w:tc>
          <w:tcPr>
            <w:tcW w:w="6010" w:type="dxa"/>
            <w:noWrap w:val="0"/>
            <w:vAlign w:val="center"/>
          </w:tcPr>
          <w:p>
            <w:pPr>
              <w:pStyle w:val="117"/>
              <w:spacing w:before="2"/>
              <w:rPr>
                <w:rFonts w:hint="eastAsia"/>
                <w:spacing w:val="-9"/>
                <w:sz w:val="22"/>
                <w:szCs w:val="22"/>
              </w:rPr>
            </w:pPr>
            <w:r>
              <w:rPr>
                <w:rFonts w:hint="eastAsia"/>
                <w:sz w:val="22"/>
                <w:szCs w:val="22"/>
                <w:lang w:val="en-US"/>
              </w:rPr>
              <w:t>1、</w:t>
            </w:r>
            <w:r>
              <w:rPr>
                <w:rFonts w:hint="eastAsia"/>
                <w:sz w:val="22"/>
                <w:szCs w:val="22"/>
              </w:rPr>
              <w:t>最大拉力：280kg(</w:t>
            </w:r>
            <w:r>
              <w:rPr>
                <w:rFonts w:hint="eastAsia"/>
                <w:spacing w:val="-9"/>
                <w:sz w:val="22"/>
                <w:szCs w:val="22"/>
              </w:rPr>
              <w:t>600Lbs)*2 静态直线拉力； 支持锁状态反馈，门磁输出；断电开锁；具有电锁状态指示灯；</w:t>
            </w:r>
          </w:p>
          <w:p>
            <w:pPr>
              <w:pStyle w:val="117"/>
              <w:spacing w:before="2"/>
              <w:rPr>
                <w:rFonts w:hint="eastAsia"/>
                <w:spacing w:val="-9"/>
                <w:sz w:val="22"/>
                <w:szCs w:val="22"/>
              </w:rPr>
            </w:pPr>
            <w:r>
              <w:rPr>
                <w:rFonts w:hint="eastAsia"/>
                <w:spacing w:val="-9"/>
                <w:sz w:val="22"/>
                <w:szCs w:val="22"/>
                <w:lang w:val="en-US"/>
              </w:rPr>
              <w:t>2、</w:t>
            </w:r>
            <w:r>
              <w:rPr>
                <w:rFonts w:hint="eastAsia"/>
                <w:spacing w:val="-9"/>
                <w:sz w:val="22"/>
                <w:szCs w:val="22"/>
              </w:rPr>
              <w:t>锁体尺寸：长 480*宽 48.5*厚 26.5(mm)； 吸板尺寸：长 180*宽 38*厚 11(mm)；</w:t>
            </w:r>
          </w:p>
          <w:p>
            <w:pPr>
              <w:pStyle w:val="117"/>
              <w:spacing w:before="2"/>
              <w:rPr>
                <w:rFonts w:hint="eastAsia"/>
                <w:spacing w:val="-9"/>
                <w:sz w:val="22"/>
                <w:szCs w:val="22"/>
                <w:lang w:val="en-US"/>
              </w:rPr>
            </w:pPr>
            <w:r>
              <w:rPr>
                <w:rFonts w:hint="eastAsia"/>
                <w:spacing w:val="-9"/>
                <w:sz w:val="22"/>
                <w:szCs w:val="22"/>
                <w:lang w:val="en-US"/>
              </w:rPr>
              <w:t>3、</w:t>
            </w:r>
            <w:r>
              <w:rPr>
                <w:rFonts w:hint="eastAsia"/>
                <w:spacing w:val="-9"/>
                <w:sz w:val="22"/>
                <w:szCs w:val="22"/>
              </w:rPr>
              <w:t>使用环境：室内；工作电压：12V/500mA*2</w:t>
            </w:r>
            <w:r>
              <w:rPr>
                <w:rFonts w:hint="eastAsia"/>
                <w:spacing w:val="-9"/>
                <w:sz w:val="22"/>
                <w:szCs w:val="22"/>
              </w:rPr>
              <w:tab/>
            </w:r>
            <w:r>
              <w:rPr>
                <w:rFonts w:hint="eastAsia"/>
                <w:spacing w:val="-9"/>
                <w:sz w:val="22"/>
                <w:szCs w:val="22"/>
              </w:rPr>
              <w:t>24V/250mA*2</w:t>
            </w:r>
            <w:r>
              <w:rPr>
                <w:rFonts w:hint="eastAsia"/>
                <w:spacing w:val="-9"/>
                <w:sz w:val="22"/>
                <w:szCs w:val="22"/>
                <w:lang w:val="en-US"/>
              </w:rPr>
              <w:t>/</w:t>
            </w:r>
          </w:p>
          <w:p>
            <w:pPr>
              <w:pStyle w:val="117"/>
              <w:spacing w:before="2"/>
              <w:rPr>
                <w:rFonts w:hint="eastAsia"/>
                <w:sz w:val="22"/>
                <w:szCs w:val="22"/>
              </w:rPr>
            </w:pPr>
            <w:r>
              <w:rPr>
                <w:rFonts w:hint="eastAsia"/>
                <w:spacing w:val="-9"/>
                <w:sz w:val="22"/>
                <w:szCs w:val="22"/>
                <w:lang w:val="en-US"/>
              </w:rPr>
              <w:t>4、</w:t>
            </w:r>
            <w:r>
              <w:rPr>
                <w:rFonts w:hint="eastAsia"/>
                <w:spacing w:val="-9"/>
                <w:sz w:val="22"/>
                <w:szCs w:val="22"/>
              </w:rPr>
              <w:t>适用门型：木门、玻璃门、金属门、防火门。</w:t>
            </w:r>
          </w:p>
        </w:tc>
        <w:tc>
          <w:tcPr>
            <w:tcW w:w="850" w:type="dxa"/>
            <w:noWrap w:val="0"/>
            <w:vAlign w:val="center"/>
          </w:tcPr>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ind w:left="13"/>
              <w:jc w:val="center"/>
              <w:rPr>
                <w:rFonts w:hint="eastAsia"/>
                <w:sz w:val="22"/>
                <w:szCs w:val="22"/>
              </w:rPr>
            </w:pPr>
            <w:r>
              <w:rPr>
                <w:rFonts w:hint="eastAsia"/>
                <w:w w:val="99"/>
                <w:sz w:val="22"/>
                <w:szCs w:val="22"/>
              </w:rPr>
              <w:t>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131"/>
              <w:ind w:left="6"/>
              <w:jc w:val="center"/>
              <w:rPr>
                <w:rFonts w:hint="eastAsia"/>
                <w:sz w:val="22"/>
                <w:szCs w:val="22"/>
              </w:rPr>
            </w:pPr>
            <w:r>
              <w:rPr>
                <w:rFonts w:hint="eastAsia"/>
                <w:w w:val="99"/>
                <w:sz w:val="22"/>
                <w:szCs w:val="22"/>
              </w:rPr>
              <w:t>3</w:t>
            </w:r>
          </w:p>
        </w:tc>
        <w:tc>
          <w:tcPr>
            <w:tcW w:w="1380" w:type="dxa"/>
            <w:noWrap w:val="0"/>
            <w:vAlign w:val="center"/>
          </w:tcPr>
          <w:p>
            <w:pPr>
              <w:pStyle w:val="117"/>
              <w:spacing w:before="131"/>
              <w:ind w:right="78"/>
              <w:jc w:val="center"/>
              <w:rPr>
                <w:rFonts w:hint="eastAsia"/>
                <w:sz w:val="22"/>
                <w:szCs w:val="22"/>
              </w:rPr>
            </w:pPr>
            <w:r>
              <w:rPr>
                <w:rFonts w:hint="eastAsia"/>
                <w:sz w:val="22"/>
                <w:szCs w:val="22"/>
              </w:rPr>
              <w:t>单门磁力锁</w:t>
            </w:r>
          </w:p>
        </w:tc>
        <w:tc>
          <w:tcPr>
            <w:tcW w:w="6010" w:type="dxa"/>
            <w:noWrap w:val="0"/>
            <w:vAlign w:val="center"/>
          </w:tcPr>
          <w:p>
            <w:pPr>
              <w:pStyle w:val="117"/>
              <w:spacing w:before="35"/>
              <w:rPr>
                <w:rFonts w:hint="eastAsia"/>
                <w:sz w:val="22"/>
                <w:szCs w:val="22"/>
              </w:rPr>
            </w:pPr>
            <w:r>
              <w:rPr>
                <w:rFonts w:hint="eastAsia"/>
                <w:sz w:val="22"/>
                <w:szCs w:val="22"/>
              </w:rPr>
              <w:t>单开门磁力锁,具有检测门开关状态功能,最大拉力：280kg(600Lbs)*2 静态直线拉力；支持锁状态反馈，门磁输出；断电开锁；具有电锁状态指示灯；含支架</w:t>
            </w:r>
          </w:p>
        </w:tc>
        <w:tc>
          <w:tcPr>
            <w:tcW w:w="850" w:type="dxa"/>
            <w:noWrap w:val="0"/>
            <w:vAlign w:val="center"/>
          </w:tcPr>
          <w:p>
            <w:pPr>
              <w:pStyle w:val="117"/>
              <w:jc w:val="center"/>
              <w:rPr>
                <w:rFonts w:hint="eastAsia"/>
                <w:sz w:val="22"/>
                <w:szCs w:val="22"/>
              </w:rPr>
            </w:pPr>
          </w:p>
          <w:p>
            <w:pPr>
              <w:pStyle w:val="117"/>
              <w:ind w:left="11"/>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w w:val="99"/>
                <w:sz w:val="22"/>
                <w:szCs w:val="22"/>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sz w:val="22"/>
                <w:szCs w:val="22"/>
                <w:lang w:val="en-US"/>
              </w:rPr>
            </w:pPr>
            <w:r>
              <w:rPr>
                <w:rFonts w:hint="eastAsia"/>
                <w:sz w:val="22"/>
                <w:szCs w:val="22"/>
                <w:lang w:val="en-US"/>
              </w:rPr>
              <w:t>4</w:t>
            </w:r>
          </w:p>
        </w:tc>
        <w:tc>
          <w:tcPr>
            <w:tcW w:w="1380" w:type="dxa"/>
            <w:noWrap w:val="0"/>
            <w:vAlign w:val="center"/>
          </w:tcPr>
          <w:p>
            <w:pPr>
              <w:pStyle w:val="117"/>
              <w:tabs>
                <w:tab w:val="left" w:pos="497"/>
                <w:tab w:val="center" w:pos="1613"/>
              </w:tabs>
              <w:ind w:right="78"/>
              <w:jc w:val="center"/>
              <w:rPr>
                <w:rFonts w:hint="eastAsia"/>
                <w:sz w:val="22"/>
                <w:szCs w:val="22"/>
              </w:rPr>
            </w:pPr>
            <w:r>
              <w:rPr>
                <w:rFonts w:hint="eastAsia"/>
                <w:sz w:val="22"/>
                <w:szCs w:val="22"/>
              </w:rPr>
              <w:t>磁力锁支架</w:t>
            </w:r>
          </w:p>
        </w:tc>
        <w:tc>
          <w:tcPr>
            <w:tcW w:w="6010" w:type="dxa"/>
            <w:noWrap w:val="0"/>
            <w:vAlign w:val="center"/>
          </w:tcPr>
          <w:p>
            <w:pPr>
              <w:pStyle w:val="117"/>
              <w:spacing w:line="304" w:lineRule="auto"/>
              <w:ind w:right="209"/>
              <w:rPr>
                <w:rFonts w:hint="eastAsia"/>
                <w:sz w:val="22"/>
                <w:szCs w:val="22"/>
              </w:rPr>
            </w:pPr>
            <w:r>
              <w:rPr>
                <w:rFonts w:hint="eastAsia"/>
                <w:sz w:val="22"/>
                <w:szCs w:val="22"/>
              </w:rPr>
              <w:t>L 型支架尺寸：长 240*宽 47*厚 28.5mm Z 型支架尺寸：长 180*宽 50*厚 50mm 开门角度：90°，适用门类型：内开式木门/金属门/窄框门</w:t>
            </w:r>
          </w:p>
        </w:tc>
        <w:tc>
          <w:tcPr>
            <w:tcW w:w="850"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w w:val="99"/>
                <w:sz w:val="22"/>
                <w:szCs w:val="22"/>
              </w:rPr>
              <w:t>个</w:t>
            </w:r>
          </w:p>
          <w:p>
            <w:pPr>
              <w:pStyle w:val="117"/>
              <w:jc w:val="center"/>
              <w:rPr>
                <w:rFonts w:hint="eastAsia"/>
                <w:sz w:val="22"/>
                <w:szCs w:val="22"/>
              </w:rPr>
            </w:pPr>
          </w:p>
        </w:tc>
        <w:tc>
          <w:tcPr>
            <w:tcW w:w="650"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sz w:val="22"/>
                <w:szCs w:val="22"/>
              </w:rPr>
              <w:t>24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5</w:t>
            </w:r>
          </w:p>
        </w:tc>
        <w:tc>
          <w:tcPr>
            <w:tcW w:w="1380" w:type="dxa"/>
            <w:noWrap w:val="0"/>
            <w:vAlign w:val="center"/>
          </w:tcPr>
          <w:p>
            <w:pPr>
              <w:pStyle w:val="117"/>
              <w:spacing w:line="304" w:lineRule="auto"/>
              <w:ind w:left="109" w:right="209"/>
              <w:jc w:val="center"/>
              <w:rPr>
                <w:rFonts w:hint="eastAsia"/>
                <w:sz w:val="22"/>
                <w:szCs w:val="22"/>
              </w:rPr>
            </w:pPr>
            <w:r>
              <w:rPr>
                <w:rFonts w:hint="eastAsia"/>
                <w:sz w:val="22"/>
                <w:szCs w:val="22"/>
              </w:rPr>
              <w:t>出门按钮</w:t>
            </w:r>
          </w:p>
        </w:tc>
        <w:tc>
          <w:tcPr>
            <w:tcW w:w="6010" w:type="dxa"/>
            <w:noWrap w:val="0"/>
            <w:vAlign w:val="center"/>
          </w:tcPr>
          <w:p>
            <w:pPr>
              <w:pStyle w:val="117"/>
              <w:spacing w:line="304" w:lineRule="auto"/>
              <w:ind w:right="209"/>
              <w:rPr>
                <w:rFonts w:hint="eastAsia"/>
                <w:sz w:val="22"/>
                <w:szCs w:val="22"/>
              </w:rPr>
            </w:pPr>
            <w:r>
              <w:rPr>
                <w:rFonts w:hint="eastAsia"/>
                <w:sz w:val="22"/>
                <w:szCs w:val="22"/>
                <w:lang w:val="en-US"/>
              </w:rPr>
              <w:t>1、</w:t>
            </w:r>
            <w:r>
              <w:rPr>
                <w:rFonts w:hint="eastAsia"/>
                <w:sz w:val="22"/>
                <w:szCs w:val="22"/>
              </w:rPr>
              <w:t>结构：塑料面板；</w:t>
            </w:r>
          </w:p>
          <w:p>
            <w:pPr>
              <w:pStyle w:val="117"/>
              <w:spacing w:line="304" w:lineRule="auto"/>
              <w:ind w:right="209"/>
              <w:rPr>
                <w:rFonts w:hint="eastAsia"/>
                <w:sz w:val="22"/>
                <w:szCs w:val="22"/>
              </w:rPr>
            </w:pPr>
            <w:r>
              <w:rPr>
                <w:rFonts w:hint="eastAsia"/>
                <w:sz w:val="22"/>
                <w:szCs w:val="22"/>
                <w:lang w:val="en-US"/>
              </w:rPr>
              <w:t>2、</w:t>
            </w:r>
            <w:r>
              <w:rPr>
                <w:rFonts w:hint="eastAsia"/>
                <w:sz w:val="22"/>
                <w:szCs w:val="22"/>
              </w:rPr>
              <w:t>性能：最大耐电流 1.25A，电压 250V； 输出：常开；</w:t>
            </w:r>
          </w:p>
          <w:p>
            <w:pPr>
              <w:pStyle w:val="117"/>
              <w:spacing w:line="304" w:lineRule="auto"/>
              <w:ind w:right="209"/>
              <w:rPr>
                <w:rFonts w:hint="eastAsia"/>
                <w:sz w:val="22"/>
                <w:szCs w:val="22"/>
              </w:rPr>
            </w:pPr>
            <w:r>
              <w:rPr>
                <w:rFonts w:hint="eastAsia"/>
                <w:sz w:val="22"/>
                <w:szCs w:val="22"/>
                <w:lang w:val="en-US"/>
              </w:rPr>
              <w:t>3、</w:t>
            </w:r>
            <w:r>
              <w:rPr>
                <w:rFonts w:hint="eastAsia"/>
                <w:sz w:val="22"/>
                <w:szCs w:val="22"/>
              </w:rPr>
              <w:t>类型：适合埋入式电器盒使用； 尺寸：86*86mm；</w:t>
            </w:r>
          </w:p>
          <w:p>
            <w:pPr>
              <w:pStyle w:val="117"/>
              <w:spacing w:line="304" w:lineRule="auto"/>
              <w:ind w:right="209"/>
              <w:rPr>
                <w:rFonts w:hint="eastAsia"/>
                <w:sz w:val="22"/>
                <w:szCs w:val="22"/>
              </w:rPr>
            </w:pPr>
            <w:r>
              <w:rPr>
                <w:rFonts w:hint="eastAsia"/>
                <w:sz w:val="22"/>
                <w:szCs w:val="22"/>
                <w:lang w:val="en-US"/>
              </w:rPr>
              <w:t>4、</w:t>
            </w:r>
            <w:r>
              <w:rPr>
                <w:rFonts w:hint="eastAsia"/>
                <w:sz w:val="22"/>
                <w:szCs w:val="22"/>
              </w:rPr>
              <w:t>重量：0.07kg；</w:t>
            </w:r>
          </w:p>
        </w:tc>
        <w:tc>
          <w:tcPr>
            <w:tcW w:w="850" w:type="dxa"/>
            <w:noWrap w:val="0"/>
            <w:vAlign w:val="center"/>
          </w:tcPr>
          <w:p>
            <w:pPr>
              <w:pStyle w:val="117"/>
              <w:jc w:val="center"/>
              <w:rPr>
                <w:rFonts w:hint="eastAsia"/>
                <w:sz w:val="22"/>
                <w:szCs w:val="22"/>
              </w:rPr>
            </w:pPr>
          </w:p>
          <w:p>
            <w:pPr>
              <w:pStyle w:val="117"/>
              <w:ind w:left="11"/>
              <w:jc w:val="center"/>
              <w:rPr>
                <w:rFonts w:hint="eastAsia"/>
                <w:sz w:val="22"/>
                <w:szCs w:val="22"/>
              </w:rPr>
            </w:pPr>
            <w:r>
              <w:rPr>
                <w:rFonts w:hint="eastAsia"/>
                <w:w w:val="99"/>
                <w:sz w:val="22"/>
                <w:szCs w:val="22"/>
              </w:rPr>
              <w:t>个</w:t>
            </w:r>
          </w:p>
        </w:tc>
        <w:tc>
          <w:tcPr>
            <w:tcW w:w="650" w:type="dxa"/>
            <w:noWrap w:val="0"/>
            <w:vAlign w:val="center"/>
          </w:tcPr>
          <w:p>
            <w:pPr>
              <w:pStyle w:val="117"/>
              <w:jc w:val="center"/>
              <w:rPr>
                <w:rFonts w:hint="eastAsia"/>
                <w:sz w:val="22"/>
                <w:szCs w:val="22"/>
              </w:rPr>
            </w:pPr>
          </w:p>
          <w:p>
            <w:pPr>
              <w:pStyle w:val="117"/>
              <w:jc w:val="center"/>
              <w:rPr>
                <w:rFonts w:hint="eastAsia"/>
                <w:sz w:val="22"/>
                <w:szCs w:val="22"/>
              </w:rPr>
            </w:pPr>
            <w:r>
              <w:rPr>
                <w:rFonts w:hint="eastAsia"/>
                <w:sz w:val="22"/>
                <w:szCs w:val="22"/>
              </w:rPr>
              <w:t>12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ind w:left="6"/>
              <w:jc w:val="center"/>
              <w:rPr>
                <w:rFonts w:hint="eastAsia"/>
                <w:sz w:val="22"/>
                <w:szCs w:val="22"/>
              </w:rPr>
            </w:pPr>
            <w:r>
              <w:rPr>
                <w:rFonts w:hint="eastAsia"/>
                <w:w w:val="99"/>
                <w:sz w:val="22"/>
                <w:szCs w:val="22"/>
              </w:rPr>
              <w:t>6</w:t>
            </w:r>
          </w:p>
        </w:tc>
        <w:tc>
          <w:tcPr>
            <w:tcW w:w="1380" w:type="dxa"/>
            <w:noWrap w:val="0"/>
            <w:vAlign w:val="center"/>
          </w:tcPr>
          <w:p>
            <w:pPr>
              <w:pStyle w:val="117"/>
              <w:spacing w:line="304" w:lineRule="auto"/>
              <w:ind w:right="209"/>
              <w:jc w:val="center"/>
              <w:rPr>
                <w:rFonts w:hint="eastAsia"/>
                <w:sz w:val="22"/>
                <w:szCs w:val="22"/>
              </w:rPr>
            </w:pPr>
            <w:r>
              <w:rPr>
                <w:rFonts w:hint="eastAsia"/>
                <w:sz w:val="22"/>
                <w:szCs w:val="22"/>
              </w:rPr>
              <w:t>人脸发卡器</w:t>
            </w:r>
          </w:p>
        </w:tc>
        <w:tc>
          <w:tcPr>
            <w:tcW w:w="6010" w:type="dxa"/>
            <w:noWrap w:val="0"/>
            <w:vAlign w:val="center"/>
          </w:tcPr>
          <w:p>
            <w:pPr>
              <w:pStyle w:val="117"/>
              <w:spacing w:line="304" w:lineRule="auto"/>
              <w:ind w:left="109" w:right="209"/>
              <w:rPr>
                <w:rFonts w:hint="eastAsia"/>
                <w:sz w:val="22"/>
                <w:szCs w:val="22"/>
              </w:rPr>
            </w:pPr>
            <w:r>
              <w:rPr>
                <w:rFonts w:hint="eastAsia"/>
                <w:sz w:val="22"/>
                <w:szCs w:val="22"/>
              </w:rPr>
              <w:t>1、3.97 英寸触摸显示屏，屏幕分辨率 800*480；</w:t>
            </w:r>
          </w:p>
          <w:p>
            <w:pPr>
              <w:pStyle w:val="117"/>
              <w:spacing w:line="304" w:lineRule="auto"/>
              <w:ind w:left="109" w:right="209"/>
              <w:rPr>
                <w:rFonts w:hint="eastAsia"/>
                <w:sz w:val="22"/>
                <w:szCs w:val="22"/>
              </w:rPr>
            </w:pPr>
            <w:r>
              <w:rPr>
                <w:rFonts w:hint="eastAsia"/>
                <w:sz w:val="22"/>
                <w:szCs w:val="22"/>
              </w:rPr>
              <w:t>2、采用 200 万双目摄像头，有照片视频防假功能；</w:t>
            </w:r>
          </w:p>
          <w:p>
            <w:pPr>
              <w:pStyle w:val="117"/>
              <w:spacing w:line="304" w:lineRule="auto"/>
              <w:ind w:left="109" w:right="209"/>
              <w:rPr>
                <w:rFonts w:hint="eastAsia"/>
                <w:sz w:val="22"/>
                <w:szCs w:val="22"/>
              </w:rPr>
            </w:pPr>
            <w:r>
              <w:rPr>
                <w:rFonts w:hint="eastAsia"/>
                <w:sz w:val="22"/>
                <w:szCs w:val="22"/>
              </w:rPr>
              <w:t>3、支持人脸、卡片（Mifare/CPU/二三代身份证序列号）、指纹、身份证采集；</w:t>
            </w:r>
          </w:p>
          <w:p>
            <w:pPr>
              <w:pStyle w:val="117"/>
              <w:spacing w:line="304" w:lineRule="auto"/>
              <w:ind w:left="109" w:right="209"/>
              <w:rPr>
                <w:rFonts w:hint="eastAsia"/>
                <w:sz w:val="22"/>
                <w:szCs w:val="22"/>
              </w:rPr>
            </w:pPr>
            <w:r>
              <w:rPr>
                <w:rFonts w:hint="eastAsia"/>
                <w:sz w:val="22"/>
                <w:szCs w:val="22"/>
              </w:rPr>
              <w:t>4、支持有线网络和无线 WiFi 传输；</w:t>
            </w:r>
          </w:p>
          <w:p>
            <w:pPr>
              <w:pStyle w:val="117"/>
              <w:spacing w:line="304" w:lineRule="auto"/>
              <w:ind w:left="109" w:right="209"/>
              <w:rPr>
                <w:rFonts w:hint="eastAsia"/>
                <w:sz w:val="22"/>
                <w:szCs w:val="22"/>
              </w:rPr>
            </w:pPr>
            <w:r>
              <w:rPr>
                <w:rFonts w:hint="eastAsia"/>
                <w:sz w:val="22"/>
                <w:szCs w:val="22"/>
              </w:rPr>
              <w:t>5、支持客户端在线采集和设备端离线采集方式：</w:t>
            </w:r>
          </w:p>
          <w:p>
            <w:pPr>
              <w:pStyle w:val="117"/>
              <w:spacing w:line="304" w:lineRule="auto"/>
              <w:ind w:left="109" w:right="209"/>
              <w:rPr>
                <w:rFonts w:hint="eastAsia"/>
                <w:sz w:val="22"/>
                <w:szCs w:val="22"/>
              </w:rPr>
            </w:pPr>
            <w:r>
              <w:rPr>
                <w:rFonts w:hint="eastAsia"/>
                <w:sz w:val="22"/>
                <w:szCs w:val="22"/>
              </w:rPr>
              <w:t>1）客端端在线采集方式：设备通过网络 SDK 对接到客户端，客户端进行在线采集，采集信息实时上传；</w:t>
            </w:r>
          </w:p>
          <w:p>
            <w:pPr>
              <w:pStyle w:val="117"/>
              <w:spacing w:line="304" w:lineRule="auto"/>
              <w:ind w:left="109" w:right="209"/>
              <w:rPr>
                <w:rFonts w:hint="eastAsia"/>
                <w:sz w:val="22"/>
                <w:szCs w:val="22"/>
              </w:rPr>
            </w:pPr>
            <w:r>
              <w:rPr>
                <w:rFonts w:hint="eastAsia"/>
                <w:sz w:val="22"/>
                <w:szCs w:val="22"/>
              </w:rPr>
              <w:t>2）设备端离线采集方式：设备端本地进行采集并存储，采集的数据可远程获取到客户端，也可 U 盘导出，导出数据已加密；</w:t>
            </w:r>
          </w:p>
          <w:p>
            <w:pPr>
              <w:pStyle w:val="117"/>
              <w:spacing w:line="304" w:lineRule="auto"/>
              <w:ind w:left="109" w:right="209"/>
              <w:rPr>
                <w:rFonts w:hint="eastAsia"/>
                <w:sz w:val="22"/>
                <w:szCs w:val="22"/>
              </w:rPr>
            </w:pPr>
            <w:r>
              <w:rPr>
                <w:rFonts w:hint="eastAsia"/>
                <w:sz w:val="22"/>
                <w:szCs w:val="22"/>
              </w:rPr>
              <w:t>6、支持 2000 人员数据存储，含 2000 注册人脸图片、2000 条登记居民身份证件信息、20000 张注册卡片信息、20000 采集枚指纹信息；</w:t>
            </w:r>
          </w:p>
          <w:p>
            <w:pPr>
              <w:pStyle w:val="117"/>
              <w:spacing w:line="304" w:lineRule="auto"/>
              <w:ind w:left="109" w:right="209"/>
              <w:rPr>
                <w:rFonts w:hint="eastAsia"/>
                <w:sz w:val="22"/>
                <w:szCs w:val="22"/>
              </w:rPr>
            </w:pPr>
            <w:r>
              <w:rPr>
                <w:rFonts w:hint="eastAsia"/>
                <w:sz w:val="22"/>
                <w:szCs w:val="22"/>
              </w:rPr>
              <w:t>7、工作电压：DC12V/1.5A (自带电源适配器）。</w:t>
            </w:r>
          </w:p>
        </w:tc>
        <w:tc>
          <w:tcPr>
            <w:tcW w:w="850" w:type="dxa"/>
            <w:noWrap w:val="0"/>
            <w:vAlign w:val="center"/>
          </w:tcPr>
          <w:p>
            <w:pPr>
              <w:pStyle w:val="117"/>
              <w:jc w:val="center"/>
              <w:rPr>
                <w:rFonts w:hint="eastAsia"/>
                <w:sz w:val="22"/>
                <w:szCs w:val="22"/>
              </w:rPr>
            </w:pPr>
            <w:r>
              <w:rPr>
                <w:rFonts w:hint="eastAsia"/>
                <w:w w:val="99"/>
                <w:sz w:val="22"/>
                <w:szCs w:val="22"/>
              </w:rPr>
              <w:t>套</w:t>
            </w:r>
          </w:p>
        </w:tc>
        <w:tc>
          <w:tcPr>
            <w:tcW w:w="650" w:type="dxa"/>
            <w:noWrap w:val="0"/>
            <w:vAlign w:val="center"/>
          </w:tcPr>
          <w:p>
            <w:pPr>
              <w:pStyle w:val="117"/>
              <w:ind w:left="13"/>
              <w:jc w:val="center"/>
              <w:rPr>
                <w:rFonts w:hint="eastAsia"/>
                <w:sz w:val="22"/>
                <w:szCs w:val="22"/>
              </w:rPr>
            </w:pPr>
            <w:r>
              <w:rPr>
                <w:rFonts w:hint="eastAsia"/>
                <w:w w:val="99"/>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line="305" w:lineRule="auto"/>
              <w:jc w:val="center"/>
              <w:rPr>
                <w:rFonts w:hint="eastAsia"/>
                <w:sz w:val="22"/>
                <w:szCs w:val="22"/>
              </w:rPr>
            </w:pPr>
            <w:r>
              <w:rPr>
                <w:rFonts w:hint="eastAsia"/>
                <w:sz w:val="22"/>
                <w:szCs w:val="22"/>
              </w:rPr>
              <w:t>7</w:t>
            </w:r>
          </w:p>
        </w:tc>
        <w:tc>
          <w:tcPr>
            <w:tcW w:w="1380" w:type="dxa"/>
            <w:noWrap w:val="0"/>
            <w:vAlign w:val="center"/>
          </w:tcPr>
          <w:p>
            <w:pPr>
              <w:pStyle w:val="117"/>
              <w:spacing w:line="304" w:lineRule="auto"/>
              <w:ind w:left="109" w:right="209"/>
              <w:jc w:val="center"/>
              <w:rPr>
                <w:rFonts w:hint="eastAsia"/>
                <w:sz w:val="22"/>
                <w:szCs w:val="22"/>
              </w:rPr>
            </w:pPr>
            <w:r>
              <w:rPr>
                <w:rFonts w:hint="eastAsia"/>
                <w:sz w:val="22"/>
                <w:szCs w:val="22"/>
              </w:rPr>
              <w:t>ID 卡</w:t>
            </w:r>
          </w:p>
        </w:tc>
        <w:tc>
          <w:tcPr>
            <w:tcW w:w="6010" w:type="dxa"/>
            <w:noWrap w:val="0"/>
            <w:vAlign w:val="center"/>
          </w:tcPr>
          <w:p>
            <w:pPr>
              <w:pStyle w:val="117"/>
              <w:spacing w:line="304" w:lineRule="auto"/>
              <w:ind w:right="209"/>
              <w:rPr>
                <w:rFonts w:hint="eastAsia"/>
                <w:sz w:val="22"/>
                <w:szCs w:val="22"/>
              </w:rPr>
            </w:pPr>
            <w:r>
              <w:rPr>
                <w:rFonts w:hint="eastAsia"/>
                <w:sz w:val="22"/>
                <w:szCs w:val="22"/>
                <w:lang w:val="en-US"/>
              </w:rPr>
              <w:t>1、</w:t>
            </w:r>
            <w:r>
              <w:rPr>
                <w:rFonts w:hint="eastAsia"/>
                <w:sz w:val="22"/>
                <w:szCs w:val="22"/>
              </w:rPr>
              <w:t>卡片类型：mifare 卡 符合标准：ISO14443 Type A 卡片容量：1K；</w:t>
            </w:r>
          </w:p>
          <w:p>
            <w:pPr>
              <w:pStyle w:val="117"/>
              <w:spacing w:line="304" w:lineRule="auto"/>
              <w:ind w:right="209"/>
              <w:rPr>
                <w:rFonts w:hint="eastAsia"/>
                <w:sz w:val="22"/>
                <w:szCs w:val="22"/>
              </w:rPr>
            </w:pPr>
            <w:r>
              <w:rPr>
                <w:rFonts w:hint="eastAsia"/>
                <w:sz w:val="22"/>
                <w:szCs w:val="22"/>
                <w:lang w:val="en-US"/>
              </w:rPr>
              <w:t>2、</w:t>
            </w:r>
            <w:r>
              <w:rPr>
                <w:rFonts w:hint="eastAsia"/>
                <w:sz w:val="22"/>
                <w:szCs w:val="22"/>
              </w:rPr>
              <w:t>工作频率：13.56MHz；</w:t>
            </w:r>
          </w:p>
          <w:p>
            <w:pPr>
              <w:pStyle w:val="117"/>
              <w:spacing w:line="304" w:lineRule="auto"/>
              <w:ind w:right="209"/>
              <w:rPr>
                <w:rFonts w:hint="eastAsia"/>
                <w:sz w:val="22"/>
                <w:szCs w:val="22"/>
              </w:rPr>
            </w:pPr>
            <w:r>
              <w:rPr>
                <w:rFonts w:hint="eastAsia"/>
                <w:sz w:val="22"/>
                <w:szCs w:val="22"/>
                <w:lang w:val="en-US"/>
              </w:rPr>
              <w:t>3、</w:t>
            </w:r>
            <w:r>
              <w:rPr>
                <w:rFonts w:hint="eastAsia"/>
                <w:sz w:val="22"/>
                <w:szCs w:val="22"/>
              </w:rPr>
              <w:t>卡片尺寸：85.6mm*53.98mm*0.76mm。</w:t>
            </w:r>
          </w:p>
        </w:tc>
        <w:tc>
          <w:tcPr>
            <w:tcW w:w="850" w:type="dxa"/>
            <w:noWrap w:val="0"/>
            <w:vAlign w:val="center"/>
          </w:tcPr>
          <w:p>
            <w:pPr>
              <w:pStyle w:val="117"/>
              <w:spacing w:line="304" w:lineRule="auto"/>
              <w:jc w:val="center"/>
              <w:rPr>
                <w:rFonts w:hint="eastAsia"/>
                <w:sz w:val="22"/>
                <w:szCs w:val="22"/>
              </w:rPr>
            </w:pPr>
            <w:r>
              <w:rPr>
                <w:rFonts w:hint="eastAsia"/>
                <w:sz w:val="22"/>
                <w:szCs w:val="22"/>
              </w:rPr>
              <w:t>张</w:t>
            </w:r>
          </w:p>
        </w:tc>
        <w:tc>
          <w:tcPr>
            <w:tcW w:w="650" w:type="dxa"/>
            <w:noWrap w:val="0"/>
            <w:vAlign w:val="center"/>
          </w:tcPr>
          <w:p>
            <w:pPr>
              <w:pStyle w:val="117"/>
              <w:spacing w:line="304" w:lineRule="auto"/>
              <w:jc w:val="center"/>
              <w:rPr>
                <w:rFonts w:hint="eastAsia"/>
                <w:sz w:val="22"/>
                <w:szCs w:val="22"/>
              </w:rPr>
            </w:pPr>
            <w:r>
              <w:rPr>
                <w:rFonts w:hint="eastAsia"/>
                <w:sz w:val="22"/>
                <w:szCs w:val="22"/>
              </w:rPr>
              <w:t>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3" w:line="305" w:lineRule="auto"/>
              <w:jc w:val="center"/>
              <w:rPr>
                <w:rFonts w:hint="eastAsia"/>
                <w:spacing w:val="-12"/>
                <w:sz w:val="22"/>
                <w:szCs w:val="22"/>
              </w:rPr>
            </w:pPr>
            <w:r>
              <w:rPr>
                <w:rFonts w:hint="eastAsia"/>
                <w:spacing w:val="-12"/>
                <w:sz w:val="22"/>
                <w:szCs w:val="22"/>
              </w:rPr>
              <w:t>8</w:t>
            </w:r>
          </w:p>
        </w:tc>
        <w:tc>
          <w:tcPr>
            <w:tcW w:w="1380" w:type="dxa"/>
            <w:noWrap w:val="0"/>
            <w:vAlign w:val="center"/>
          </w:tcPr>
          <w:p>
            <w:pPr>
              <w:pStyle w:val="117"/>
              <w:spacing w:before="3" w:line="304" w:lineRule="auto"/>
              <w:ind w:right="109"/>
              <w:jc w:val="center"/>
              <w:rPr>
                <w:rFonts w:hint="eastAsia"/>
                <w:spacing w:val="-12"/>
                <w:sz w:val="22"/>
                <w:szCs w:val="22"/>
              </w:rPr>
            </w:pPr>
            <w:r>
              <w:rPr>
                <w:rFonts w:hint="eastAsia"/>
                <w:spacing w:val="-12"/>
                <w:sz w:val="22"/>
                <w:szCs w:val="22"/>
              </w:rPr>
              <w:t>门禁电源</w:t>
            </w:r>
          </w:p>
        </w:tc>
        <w:tc>
          <w:tcPr>
            <w:tcW w:w="6010" w:type="dxa"/>
            <w:noWrap w:val="0"/>
            <w:vAlign w:val="center"/>
          </w:tcPr>
          <w:p>
            <w:pPr>
              <w:pStyle w:val="117"/>
              <w:spacing w:before="3" w:line="304" w:lineRule="auto"/>
              <w:ind w:right="109"/>
              <w:rPr>
                <w:rFonts w:hint="eastAsia"/>
                <w:spacing w:val="-12"/>
                <w:sz w:val="22"/>
                <w:szCs w:val="22"/>
              </w:rPr>
            </w:pPr>
            <w:r>
              <w:rPr>
                <w:rFonts w:hint="eastAsia"/>
                <w:spacing w:val="-12"/>
                <w:sz w:val="22"/>
                <w:szCs w:val="22"/>
                <w:lang w:val="en-US"/>
              </w:rPr>
              <w:t>1、</w:t>
            </w:r>
            <w:r>
              <w:rPr>
                <w:rFonts w:hint="eastAsia"/>
                <w:spacing w:val="-12"/>
                <w:sz w:val="22"/>
                <w:szCs w:val="22"/>
              </w:rPr>
              <w:t>输入电压：100-240VAC； 输出电压：12VDC，输出电流：4.17A； 输出功率：50W；</w:t>
            </w:r>
          </w:p>
          <w:p>
            <w:pPr>
              <w:pStyle w:val="117"/>
              <w:spacing w:before="3" w:line="304" w:lineRule="auto"/>
              <w:ind w:right="109"/>
              <w:rPr>
                <w:rFonts w:hint="eastAsia"/>
                <w:spacing w:val="-12"/>
                <w:sz w:val="22"/>
                <w:szCs w:val="22"/>
              </w:rPr>
            </w:pPr>
            <w:r>
              <w:rPr>
                <w:rFonts w:hint="eastAsia"/>
                <w:spacing w:val="-12"/>
                <w:sz w:val="22"/>
                <w:szCs w:val="22"/>
                <w:lang w:val="en-US"/>
              </w:rPr>
              <w:t>2、</w:t>
            </w:r>
            <w:r>
              <w:rPr>
                <w:rFonts w:hint="eastAsia"/>
                <w:spacing w:val="-12"/>
                <w:sz w:val="22"/>
                <w:szCs w:val="22"/>
              </w:rPr>
              <w:t>支持蓄电池（0T7-12）接入（设备本身不含蓄电池）； 工作温度：-10℃-+70℃；</w:t>
            </w:r>
          </w:p>
          <w:p>
            <w:pPr>
              <w:pStyle w:val="117"/>
              <w:spacing w:before="3" w:line="304" w:lineRule="auto"/>
              <w:ind w:right="109"/>
              <w:rPr>
                <w:rFonts w:hint="eastAsia"/>
                <w:spacing w:val="-12"/>
                <w:sz w:val="22"/>
                <w:szCs w:val="22"/>
              </w:rPr>
            </w:pPr>
            <w:r>
              <w:rPr>
                <w:rFonts w:hint="eastAsia"/>
                <w:spacing w:val="-12"/>
                <w:sz w:val="22"/>
                <w:szCs w:val="22"/>
                <w:lang w:val="en-US"/>
              </w:rPr>
              <w:t>3、</w:t>
            </w:r>
            <w:r>
              <w:rPr>
                <w:rFonts w:hint="eastAsia"/>
                <w:spacing w:val="-12"/>
                <w:sz w:val="22"/>
                <w:szCs w:val="22"/>
              </w:rPr>
              <w:t>工作湿度：＜95%；</w:t>
            </w:r>
          </w:p>
          <w:p>
            <w:pPr>
              <w:pStyle w:val="117"/>
              <w:spacing w:before="3" w:line="304" w:lineRule="auto"/>
              <w:ind w:right="109"/>
              <w:rPr>
                <w:rFonts w:hint="eastAsia"/>
                <w:spacing w:val="-12"/>
                <w:sz w:val="22"/>
                <w:szCs w:val="22"/>
              </w:rPr>
            </w:pPr>
            <w:r>
              <w:rPr>
                <w:rFonts w:hint="eastAsia"/>
                <w:spacing w:val="-12"/>
                <w:sz w:val="22"/>
                <w:szCs w:val="22"/>
                <w:lang w:val="en-US"/>
              </w:rPr>
              <w:t>4、</w:t>
            </w:r>
            <w:r>
              <w:rPr>
                <w:rFonts w:hint="eastAsia"/>
                <w:spacing w:val="-12"/>
                <w:sz w:val="22"/>
                <w:szCs w:val="22"/>
              </w:rPr>
              <w:t>带机箱，机箱尺寸：237*285*85mm；</w:t>
            </w:r>
          </w:p>
        </w:tc>
        <w:tc>
          <w:tcPr>
            <w:tcW w:w="850" w:type="dxa"/>
            <w:noWrap w:val="0"/>
            <w:vAlign w:val="center"/>
          </w:tcPr>
          <w:p>
            <w:pPr>
              <w:pStyle w:val="117"/>
              <w:spacing w:line="304" w:lineRule="auto"/>
              <w:jc w:val="center"/>
              <w:rPr>
                <w:rFonts w:hint="eastAsia"/>
                <w:spacing w:val="-12"/>
                <w:sz w:val="22"/>
                <w:szCs w:val="22"/>
              </w:rPr>
            </w:pPr>
            <w:r>
              <w:rPr>
                <w:rFonts w:hint="eastAsia"/>
                <w:spacing w:val="-12"/>
                <w:sz w:val="22"/>
                <w:szCs w:val="22"/>
              </w:rPr>
              <w:t>个</w:t>
            </w:r>
          </w:p>
        </w:tc>
        <w:tc>
          <w:tcPr>
            <w:tcW w:w="650" w:type="dxa"/>
            <w:noWrap w:val="0"/>
            <w:vAlign w:val="center"/>
          </w:tcPr>
          <w:p>
            <w:pPr>
              <w:pStyle w:val="117"/>
              <w:spacing w:line="304" w:lineRule="auto"/>
              <w:jc w:val="center"/>
              <w:rPr>
                <w:rFonts w:hint="eastAsia"/>
                <w:spacing w:val="-12"/>
                <w:sz w:val="22"/>
                <w:szCs w:val="22"/>
              </w:rPr>
            </w:pPr>
            <w:r>
              <w:rPr>
                <w:rFonts w:hint="eastAsia"/>
                <w:spacing w:val="-12"/>
                <w:sz w:val="22"/>
                <w:szCs w:val="22"/>
                <w:lang w:val="en-US"/>
              </w:rPr>
              <w:t>1</w:t>
            </w:r>
            <w:r>
              <w:rPr>
                <w:rFonts w:hint="eastAsia"/>
                <w:spacing w:val="-12"/>
                <w:sz w:val="22"/>
                <w:szCs w:val="22"/>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7"/>
              <w:ind w:left="6"/>
              <w:jc w:val="center"/>
              <w:rPr>
                <w:rFonts w:hint="eastAsia"/>
                <w:sz w:val="22"/>
                <w:szCs w:val="22"/>
              </w:rPr>
            </w:pPr>
            <w:r>
              <w:rPr>
                <w:rFonts w:hint="eastAsia"/>
                <w:w w:val="99"/>
                <w:sz w:val="22"/>
                <w:szCs w:val="22"/>
              </w:rPr>
              <w:t>9</w:t>
            </w:r>
          </w:p>
        </w:tc>
        <w:tc>
          <w:tcPr>
            <w:tcW w:w="1380" w:type="dxa"/>
            <w:noWrap w:val="0"/>
            <w:vAlign w:val="center"/>
          </w:tcPr>
          <w:p>
            <w:pPr>
              <w:pStyle w:val="117"/>
              <w:spacing w:before="47"/>
              <w:ind w:left="84" w:right="78"/>
              <w:jc w:val="center"/>
              <w:rPr>
                <w:rFonts w:hint="eastAsia"/>
                <w:sz w:val="22"/>
                <w:szCs w:val="22"/>
              </w:rPr>
            </w:pPr>
            <w:r>
              <w:rPr>
                <w:rFonts w:hint="eastAsia"/>
                <w:sz w:val="22"/>
                <w:szCs w:val="22"/>
              </w:rPr>
              <w:t>安装辅材</w:t>
            </w:r>
          </w:p>
        </w:tc>
        <w:tc>
          <w:tcPr>
            <w:tcW w:w="6010" w:type="dxa"/>
            <w:noWrap w:val="0"/>
            <w:vAlign w:val="center"/>
          </w:tcPr>
          <w:p>
            <w:pPr>
              <w:pStyle w:val="117"/>
              <w:spacing w:before="47"/>
              <w:rPr>
                <w:rFonts w:hint="eastAsia"/>
                <w:sz w:val="22"/>
                <w:szCs w:val="22"/>
              </w:rPr>
            </w:pPr>
            <w:r>
              <w:rPr>
                <w:rFonts w:hint="eastAsia"/>
                <w:sz w:val="22"/>
                <w:szCs w:val="22"/>
              </w:rPr>
              <w:t>线缆，管路等</w:t>
            </w:r>
          </w:p>
        </w:tc>
        <w:tc>
          <w:tcPr>
            <w:tcW w:w="850" w:type="dxa"/>
            <w:noWrap w:val="0"/>
            <w:vAlign w:val="center"/>
          </w:tcPr>
          <w:p>
            <w:pPr>
              <w:pStyle w:val="117"/>
              <w:jc w:val="center"/>
              <w:rPr>
                <w:rFonts w:hint="eastAsia"/>
                <w:sz w:val="22"/>
                <w:szCs w:val="22"/>
              </w:rPr>
            </w:pPr>
            <w:r>
              <w:rPr>
                <w:rFonts w:hint="eastAsia"/>
                <w:w w:val="99"/>
                <w:sz w:val="22"/>
                <w:szCs w:val="22"/>
              </w:rPr>
              <w:t>项</w:t>
            </w:r>
          </w:p>
        </w:tc>
        <w:tc>
          <w:tcPr>
            <w:tcW w:w="650" w:type="dxa"/>
            <w:noWrap w:val="0"/>
            <w:vAlign w:val="center"/>
          </w:tcPr>
          <w:p>
            <w:pPr>
              <w:pStyle w:val="117"/>
              <w:jc w:val="center"/>
              <w:rPr>
                <w:rFonts w:hint="eastAsia"/>
                <w:sz w:val="22"/>
                <w:szCs w:val="22"/>
              </w:rPr>
            </w:pPr>
            <w:r>
              <w:rPr>
                <w:rFonts w:hint="eastAsia"/>
                <w:w w:val="99"/>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9518" w:type="dxa"/>
            <w:gridSpan w:val="5"/>
            <w:noWrap w:val="0"/>
            <w:vAlign w:val="center"/>
          </w:tcPr>
          <w:p>
            <w:pPr>
              <w:pStyle w:val="117"/>
              <w:spacing w:before="47"/>
              <w:ind w:right="279"/>
              <w:jc w:val="center"/>
              <w:rPr>
                <w:rFonts w:hint="eastAsia"/>
                <w:w w:val="99"/>
                <w:sz w:val="22"/>
                <w:szCs w:val="22"/>
              </w:rPr>
            </w:pPr>
            <w:r>
              <w:rPr>
                <w:rFonts w:hint="eastAsia"/>
                <w:b/>
                <w:sz w:val="22"/>
                <w:szCs w:val="22"/>
              </w:rPr>
              <w:t>2）监控系统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r>
              <w:rPr>
                <w:rFonts w:hint="eastAsia"/>
                <w:sz w:val="22"/>
                <w:szCs w:val="22"/>
              </w:rPr>
              <w:t>1</w:t>
            </w:r>
          </w:p>
        </w:tc>
        <w:tc>
          <w:tcPr>
            <w:tcW w:w="1380" w:type="dxa"/>
            <w:noWrap w:val="0"/>
            <w:vAlign w:val="center"/>
          </w:tcPr>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p>
          <w:p>
            <w:pPr>
              <w:pStyle w:val="117"/>
              <w:jc w:val="center"/>
              <w:rPr>
                <w:rFonts w:hint="eastAsia"/>
                <w:sz w:val="22"/>
                <w:szCs w:val="22"/>
              </w:rPr>
            </w:pPr>
            <w:r>
              <w:rPr>
                <w:rFonts w:hint="eastAsia"/>
                <w:sz w:val="22"/>
                <w:szCs w:val="22"/>
              </w:rPr>
              <w:t>网络彩色半球摄像机</w:t>
            </w:r>
          </w:p>
        </w:tc>
        <w:tc>
          <w:tcPr>
            <w:tcW w:w="6010" w:type="dxa"/>
            <w:noWrap w:val="0"/>
            <w:vAlign w:val="center"/>
          </w:tcPr>
          <w:p>
            <w:pPr>
              <w:pStyle w:val="117"/>
              <w:rPr>
                <w:rFonts w:hint="eastAsia"/>
                <w:sz w:val="22"/>
                <w:szCs w:val="22"/>
                <w:lang w:val="en-US"/>
              </w:rPr>
            </w:pPr>
            <w:r>
              <w:rPr>
                <w:rFonts w:hint="eastAsia"/>
                <w:sz w:val="22"/>
                <w:szCs w:val="22"/>
                <w:lang w:val="en-US"/>
              </w:rPr>
              <w:t>1、</w:t>
            </w:r>
            <w:r>
              <w:rPr>
                <w:rFonts w:hint="eastAsia"/>
                <w:sz w:val="22"/>
                <w:szCs w:val="22"/>
              </w:rPr>
              <w:t>200 万星光级 1/2.7”CMOS ICR 日夜型半球型网络摄像机最低照度: 彩色：0.002 Lux @（F1.2，AGC ON），0 Lux with IR。</w:t>
            </w:r>
          </w:p>
          <w:p>
            <w:pPr>
              <w:pStyle w:val="117"/>
              <w:numPr>
                <w:ilvl w:val="0"/>
                <w:numId w:val="8"/>
              </w:numPr>
              <w:rPr>
                <w:rFonts w:hint="eastAsia"/>
                <w:sz w:val="22"/>
                <w:szCs w:val="22"/>
              </w:rPr>
            </w:pPr>
            <w:r>
              <w:rPr>
                <w:rFonts w:hint="eastAsia"/>
                <w:sz w:val="22"/>
                <w:szCs w:val="22"/>
              </w:rPr>
              <w:t>焦距及视场角:</w:t>
            </w:r>
          </w:p>
          <w:p>
            <w:pPr>
              <w:pStyle w:val="117"/>
              <w:rPr>
                <w:rFonts w:hint="eastAsia"/>
                <w:sz w:val="22"/>
                <w:szCs w:val="22"/>
              </w:rPr>
            </w:pPr>
            <w:r>
              <w:rPr>
                <w:rFonts w:hint="eastAsia"/>
                <w:sz w:val="22"/>
                <w:szCs w:val="22"/>
              </w:rPr>
              <w:t>2.8 mm@ F1.6，水平视场角：107.1°，垂直视场角： 57°，对角线视场角：127.6°</w:t>
            </w:r>
          </w:p>
          <w:p>
            <w:pPr>
              <w:pStyle w:val="117"/>
              <w:rPr>
                <w:rFonts w:hint="eastAsia"/>
                <w:sz w:val="22"/>
                <w:szCs w:val="22"/>
              </w:rPr>
            </w:pPr>
            <w:r>
              <w:rPr>
                <w:rFonts w:hint="eastAsia"/>
                <w:sz w:val="22"/>
                <w:szCs w:val="22"/>
              </w:rPr>
              <w:t>4 mm@ F1.6，水平视场角：87.3°，垂直视场角：46.3°，对角线视场角：104.2°</w:t>
            </w:r>
          </w:p>
          <w:p>
            <w:pPr>
              <w:pStyle w:val="117"/>
              <w:rPr>
                <w:rFonts w:hint="eastAsia"/>
                <w:sz w:val="22"/>
                <w:szCs w:val="22"/>
              </w:rPr>
            </w:pPr>
            <w:r>
              <w:rPr>
                <w:rFonts w:hint="eastAsia"/>
                <w:sz w:val="22"/>
                <w:szCs w:val="22"/>
              </w:rPr>
              <w:t>6 mm@ F1.6，水平视场角：52.7°，垂直视场角：30.3°，对角线视场角：60.1°</w:t>
            </w:r>
          </w:p>
          <w:p>
            <w:pPr>
              <w:pStyle w:val="117"/>
              <w:rPr>
                <w:rFonts w:hint="eastAsia"/>
                <w:sz w:val="22"/>
                <w:szCs w:val="22"/>
              </w:rPr>
            </w:pPr>
            <w:r>
              <w:rPr>
                <w:rFonts w:hint="eastAsia"/>
                <w:sz w:val="22"/>
                <w:szCs w:val="22"/>
              </w:rPr>
              <w:t>8 mm@ F1.6，水平视场角：40.9°，垂直视场角：22.5°，对角线视场角：47.4°</w:t>
            </w:r>
          </w:p>
          <w:p>
            <w:pPr>
              <w:pStyle w:val="117"/>
              <w:rPr>
                <w:rFonts w:hint="eastAsia"/>
                <w:sz w:val="22"/>
                <w:szCs w:val="22"/>
              </w:rPr>
            </w:pPr>
            <w:r>
              <w:rPr>
                <w:rFonts w:hint="eastAsia"/>
                <w:sz w:val="22"/>
                <w:szCs w:val="22"/>
                <w:lang w:val="en-US"/>
              </w:rPr>
              <w:t>3、</w:t>
            </w:r>
            <w:r>
              <w:rPr>
                <w:rFonts w:hint="eastAsia"/>
                <w:sz w:val="22"/>
                <w:szCs w:val="22"/>
              </w:rPr>
              <w:t>调节角度: 水平：0°~360°；垂直：0°~75°；旋转：0°~360°，宽动态范围: 120 dB</w:t>
            </w:r>
          </w:p>
          <w:p>
            <w:pPr>
              <w:pStyle w:val="117"/>
              <w:rPr>
                <w:rFonts w:hint="eastAsia"/>
                <w:sz w:val="22"/>
                <w:szCs w:val="22"/>
              </w:rPr>
            </w:pPr>
            <w:r>
              <w:rPr>
                <w:rFonts w:hint="eastAsia"/>
                <w:sz w:val="22"/>
                <w:szCs w:val="22"/>
                <w:lang w:val="en-US"/>
              </w:rPr>
              <w:t>4、</w:t>
            </w:r>
            <w:r>
              <w:rPr>
                <w:rFonts w:hint="eastAsia"/>
                <w:sz w:val="22"/>
                <w:szCs w:val="22"/>
              </w:rPr>
              <w:t>视频压缩标准:</w:t>
            </w:r>
          </w:p>
          <w:p>
            <w:pPr>
              <w:pStyle w:val="117"/>
              <w:rPr>
                <w:rFonts w:hint="eastAsia"/>
                <w:sz w:val="22"/>
                <w:szCs w:val="22"/>
              </w:rPr>
            </w:pPr>
            <w:r>
              <w:rPr>
                <w:rFonts w:hint="eastAsia"/>
                <w:sz w:val="22"/>
                <w:szCs w:val="22"/>
              </w:rPr>
              <w:t>主码流：H.265/ H.264</w:t>
            </w:r>
          </w:p>
          <w:p>
            <w:pPr>
              <w:pStyle w:val="117"/>
              <w:rPr>
                <w:rFonts w:hint="eastAsia"/>
                <w:sz w:val="22"/>
                <w:szCs w:val="22"/>
              </w:rPr>
            </w:pPr>
            <w:r>
              <w:rPr>
                <w:rFonts w:hint="eastAsia"/>
                <w:sz w:val="22"/>
                <w:szCs w:val="22"/>
              </w:rPr>
              <w:t>子码流：H.265/H.264/MJPEG</w:t>
            </w:r>
          </w:p>
          <w:p>
            <w:pPr>
              <w:pStyle w:val="117"/>
              <w:rPr>
                <w:rFonts w:hint="eastAsia"/>
                <w:sz w:val="22"/>
                <w:szCs w:val="22"/>
              </w:rPr>
            </w:pPr>
            <w:r>
              <w:rPr>
                <w:rFonts w:hint="eastAsia"/>
                <w:sz w:val="22"/>
                <w:szCs w:val="22"/>
              </w:rPr>
              <w:t>第三码流：H.265/H.264</w:t>
            </w:r>
          </w:p>
          <w:p>
            <w:pPr>
              <w:pStyle w:val="117"/>
              <w:rPr>
                <w:rFonts w:hint="eastAsia"/>
                <w:sz w:val="22"/>
                <w:szCs w:val="22"/>
                <w:lang w:val="en-US"/>
              </w:rPr>
            </w:pPr>
            <w:r>
              <w:rPr>
                <w:rFonts w:hint="eastAsia"/>
                <w:sz w:val="22"/>
                <w:szCs w:val="22"/>
              </w:rPr>
              <w:t>最大图像尺寸: 1920 × 1080</w:t>
            </w:r>
          </w:p>
          <w:p>
            <w:pPr>
              <w:pStyle w:val="117"/>
              <w:rPr>
                <w:rFonts w:hint="eastAsia"/>
                <w:sz w:val="22"/>
                <w:szCs w:val="22"/>
              </w:rPr>
            </w:pPr>
            <w:r>
              <w:rPr>
                <w:rFonts w:hint="eastAsia"/>
                <w:sz w:val="22"/>
                <w:szCs w:val="22"/>
                <w:lang w:val="en-US"/>
              </w:rPr>
              <w:t>5、</w:t>
            </w:r>
            <w:r>
              <w:rPr>
                <w:rFonts w:hint="eastAsia"/>
                <w:sz w:val="22"/>
                <w:szCs w:val="22"/>
              </w:rPr>
              <w:t>存储功能: NAS（NFS，SMB/CIFS 均支持） 网络: 1 个 RJ45 10 M/100 M 自适应以太网口，启动及工作温湿度: -30 ℃~60 ℃，湿度小于 95%（无凝结），供电方式: DC：12V±25%</w:t>
            </w:r>
          </w:p>
          <w:p>
            <w:pPr>
              <w:pStyle w:val="117"/>
              <w:rPr>
                <w:rFonts w:hint="eastAsia"/>
                <w:sz w:val="22"/>
                <w:szCs w:val="22"/>
              </w:rPr>
            </w:pPr>
            <w:r>
              <w:rPr>
                <w:rFonts w:hint="eastAsia"/>
                <w:sz w:val="22"/>
                <w:szCs w:val="22"/>
              </w:rPr>
              <w:t>电源接口类型: Φ5.5 mm 圆口，电流及功耗: DC：12 V，0.38 A，4.5 W Max；</w:t>
            </w:r>
          </w:p>
          <w:p>
            <w:pPr>
              <w:pStyle w:val="117"/>
              <w:rPr>
                <w:rFonts w:hint="eastAsia"/>
                <w:sz w:val="22"/>
                <w:szCs w:val="22"/>
              </w:rPr>
            </w:pPr>
            <w:r>
              <w:rPr>
                <w:rFonts w:hint="eastAsia"/>
                <w:sz w:val="22"/>
                <w:szCs w:val="22"/>
                <w:lang w:val="en-US"/>
              </w:rPr>
              <w:t>6、</w:t>
            </w:r>
            <w:r>
              <w:rPr>
                <w:rFonts w:hint="eastAsia"/>
                <w:sz w:val="22"/>
                <w:szCs w:val="22"/>
              </w:rPr>
              <w:t>补光: 最远可达 30 米 m。</w:t>
            </w:r>
          </w:p>
        </w:tc>
        <w:tc>
          <w:tcPr>
            <w:tcW w:w="850" w:type="dxa"/>
            <w:noWrap w:val="0"/>
            <w:vAlign w:val="center"/>
          </w:tcPr>
          <w:p>
            <w:pPr>
              <w:pStyle w:val="117"/>
              <w:jc w:val="center"/>
              <w:rPr>
                <w:rFonts w:hint="eastAsia"/>
                <w:sz w:val="22"/>
                <w:szCs w:val="22"/>
              </w:rPr>
            </w:pPr>
            <w:r>
              <w:rPr>
                <w:rFonts w:hint="eastAsia"/>
                <w:sz w:val="22"/>
                <w:szCs w:val="22"/>
              </w:rPr>
              <w:t>台</w:t>
            </w:r>
          </w:p>
        </w:tc>
        <w:tc>
          <w:tcPr>
            <w:tcW w:w="650" w:type="dxa"/>
            <w:noWrap w:val="0"/>
            <w:vAlign w:val="center"/>
          </w:tcPr>
          <w:p>
            <w:pPr>
              <w:pStyle w:val="117"/>
              <w:jc w:val="center"/>
              <w:rPr>
                <w:rFonts w:hint="eastAsia"/>
                <w:sz w:val="22"/>
                <w:szCs w:val="22"/>
              </w:rPr>
            </w:pPr>
            <w:r>
              <w:rPr>
                <w:rFonts w:hint="eastAsia"/>
                <w:sz w:val="22"/>
                <w:szCs w:val="22"/>
              </w:rPr>
              <w:t>21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jc w:val="center"/>
              <w:rPr>
                <w:rFonts w:hint="eastAsia"/>
                <w:sz w:val="22"/>
                <w:szCs w:val="22"/>
              </w:rPr>
            </w:pPr>
            <w:r>
              <w:rPr>
                <w:rFonts w:hint="eastAsia"/>
                <w:w w:val="99"/>
                <w:sz w:val="22"/>
                <w:szCs w:val="22"/>
              </w:rPr>
              <w:t>2</w:t>
            </w:r>
          </w:p>
        </w:tc>
        <w:tc>
          <w:tcPr>
            <w:tcW w:w="1380" w:type="dxa"/>
            <w:noWrap w:val="0"/>
            <w:vAlign w:val="center"/>
          </w:tcPr>
          <w:p>
            <w:pPr>
              <w:pStyle w:val="117"/>
              <w:ind w:right="73"/>
              <w:jc w:val="center"/>
              <w:rPr>
                <w:rFonts w:hint="eastAsia"/>
                <w:sz w:val="22"/>
                <w:szCs w:val="22"/>
              </w:rPr>
            </w:pPr>
            <w:r>
              <w:rPr>
                <w:rFonts w:hint="eastAsia"/>
                <w:sz w:val="22"/>
                <w:szCs w:val="22"/>
              </w:rPr>
              <w:t>NVR</w:t>
            </w:r>
          </w:p>
        </w:tc>
        <w:tc>
          <w:tcPr>
            <w:tcW w:w="6010" w:type="dxa"/>
            <w:noWrap w:val="0"/>
            <w:vAlign w:val="center"/>
          </w:tcPr>
          <w:p>
            <w:pPr>
              <w:pStyle w:val="117"/>
              <w:rPr>
                <w:rFonts w:hint="eastAsia"/>
                <w:sz w:val="22"/>
                <w:szCs w:val="22"/>
              </w:rPr>
            </w:pPr>
            <w:r>
              <w:rPr>
                <w:rFonts w:hint="eastAsia"/>
                <w:sz w:val="22"/>
                <w:szCs w:val="22"/>
                <w:lang w:val="en-US"/>
              </w:rPr>
              <w:t>1、</w:t>
            </w:r>
            <w:r>
              <w:rPr>
                <w:rFonts w:hint="eastAsia"/>
                <w:sz w:val="22"/>
                <w:szCs w:val="22"/>
              </w:rPr>
              <w:t>2U 标准机架式，2 个 HDMI，2 个 VGA,HDMI+VGA 组内同源；</w:t>
            </w:r>
          </w:p>
          <w:p>
            <w:pPr>
              <w:pStyle w:val="117"/>
              <w:rPr>
                <w:rFonts w:hint="eastAsia"/>
                <w:sz w:val="22"/>
                <w:szCs w:val="22"/>
              </w:rPr>
            </w:pPr>
            <w:r>
              <w:rPr>
                <w:rFonts w:hint="eastAsia"/>
                <w:sz w:val="22"/>
                <w:szCs w:val="22"/>
                <w:lang w:val="en-US"/>
              </w:rPr>
              <w:t>2、</w:t>
            </w:r>
            <w:r>
              <w:rPr>
                <w:rFonts w:hint="eastAsia"/>
                <w:sz w:val="22"/>
                <w:szCs w:val="22"/>
              </w:rPr>
              <w:t>8 盘位，可满配 6TB 硬盘</w:t>
            </w:r>
          </w:p>
          <w:p>
            <w:pPr>
              <w:pStyle w:val="117"/>
              <w:rPr>
                <w:rFonts w:hint="eastAsia"/>
                <w:sz w:val="22"/>
                <w:szCs w:val="22"/>
              </w:rPr>
            </w:pPr>
            <w:r>
              <w:rPr>
                <w:rFonts w:hint="eastAsia"/>
                <w:sz w:val="22"/>
                <w:szCs w:val="22"/>
                <w:lang w:val="en-US"/>
              </w:rPr>
              <w:t>3、</w:t>
            </w:r>
            <w:r>
              <w:rPr>
                <w:rFonts w:hint="eastAsia"/>
                <w:sz w:val="22"/>
                <w:szCs w:val="22"/>
              </w:rPr>
              <w:t>2 个千兆网口，2 个 USB2.0 接口、1 个 USB3.0 接口，1 个 eSATA 接口，报警 IO：16 进 4 路（可选配 8 出）</w:t>
            </w:r>
          </w:p>
          <w:p>
            <w:pPr>
              <w:pStyle w:val="117"/>
              <w:rPr>
                <w:rFonts w:hint="eastAsia"/>
                <w:sz w:val="22"/>
                <w:szCs w:val="22"/>
              </w:rPr>
            </w:pPr>
            <w:r>
              <w:rPr>
                <w:rFonts w:hint="eastAsia"/>
                <w:sz w:val="22"/>
                <w:szCs w:val="22"/>
                <w:lang w:val="en-US"/>
              </w:rPr>
              <w:t>4、</w:t>
            </w:r>
            <w:r>
              <w:rPr>
                <w:rFonts w:hint="eastAsia"/>
                <w:sz w:val="22"/>
                <w:szCs w:val="22"/>
              </w:rPr>
              <w:t>软件性能：输入带宽：256M，32</w:t>
            </w:r>
            <w:r>
              <w:rPr>
                <w:rFonts w:hint="eastAsia"/>
                <w:spacing w:val="-35"/>
                <w:sz w:val="22"/>
                <w:szCs w:val="22"/>
              </w:rPr>
              <w:t xml:space="preserve"> 路 </w:t>
            </w:r>
            <w:r>
              <w:rPr>
                <w:rFonts w:hint="eastAsia"/>
                <w:sz w:val="22"/>
                <w:szCs w:val="22"/>
              </w:rPr>
              <w:t>H.264、H.265</w:t>
            </w:r>
            <w:r>
              <w:rPr>
                <w:rFonts w:hint="eastAsia"/>
                <w:spacing w:val="-14"/>
                <w:sz w:val="22"/>
                <w:szCs w:val="22"/>
              </w:rPr>
              <w:t xml:space="preserve"> 混合接入</w:t>
            </w:r>
            <w:r>
              <w:rPr>
                <w:rFonts w:hint="eastAsia"/>
                <w:spacing w:val="-11"/>
                <w:sz w:val="22"/>
                <w:szCs w:val="22"/>
              </w:rPr>
              <w:t xml:space="preserve">最大支持 </w:t>
            </w:r>
            <w:r>
              <w:rPr>
                <w:rFonts w:hint="eastAsia"/>
                <w:sz w:val="22"/>
                <w:szCs w:val="22"/>
              </w:rPr>
              <w:t>8×1080P</w:t>
            </w:r>
            <w:r>
              <w:rPr>
                <w:rFonts w:hint="eastAsia"/>
                <w:spacing w:val="-17"/>
                <w:sz w:val="22"/>
                <w:szCs w:val="22"/>
              </w:rPr>
              <w:t xml:space="preserve"> 码，</w:t>
            </w:r>
            <w:r>
              <w:rPr>
                <w:rFonts w:hint="eastAsia"/>
                <w:spacing w:val="-18"/>
                <w:sz w:val="22"/>
                <w:szCs w:val="22"/>
              </w:rPr>
              <w:t xml:space="preserve">持 </w:t>
            </w:r>
            <w:r>
              <w:rPr>
                <w:rFonts w:hint="eastAsia"/>
                <w:sz w:val="22"/>
                <w:szCs w:val="22"/>
              </w:rPr>
              <w:t>H.265、H.264</w:t>
            </w:r>
            <w:r>
              <w:rPr>
                <w:rFonts w:hint="eastAsia"/>
                <w:spacing w:val="-18"/>
                <w:sz w:val="22"/>
                <w:szCs w:val="22"/>
              </w:rPr>
              <w:t xml:space="preserve"> 解码，</w:t>
            </w:r>
            <w:r>
              <w:rPr>
                <w:rFonts w:hint="eastAsia"/>
                <w:sz w:val="22"/>
                <w:szCs w:val="22"/>
              </w:rPr>
              <w:t>Smart 2.0/整机热备/ANR/智能检索/智能回放/车牌检索/人脸检索/热度图/客流量统计/分时段回放/超高倍速回放/ 双系统备份</w:t>
            </w:r>
          </w:p>
        </w:tc>
        <w:tc>
          <w:tcPr>
            <w:tcW w:w="850" w:type="dxa"/>
            <w:noWrap w:val="0"/>
            <w:vAlign w:val="center"/>
          </w:tcPr>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ind w:right="279"/>
              <w:jc w:val="center"/>
              <w:rPr>
                <w:rFonts w:hint="eastAsia"/>
                <w:sz w:val="22"/>
                <w:szCs w:val="22"/>
                <w:lang w:val="en-US"/>
              </w:rPr>
            </w:pPr>
            <w:r>
              <w:rPr>
                <w:rFonts w:hint="eastAsia"/>
                <w:sz w:val="22"/>
                <w:szCs w:val="22"/>
                <w:lang w:val="en-US"/>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7"/>
              <w:jc w:val="center"/>
              <w:rPr>
                <w:rFonts w:hint="eastAsia"/>
                <w:sz w:val="22"/>
                <w:szCs w:val="22"/>
              </w:rPr>
            </w:pPr>
            <w:r>
              <w:rPr>
                <w:rFonts w:hint="eastAsia"/>
                <w:w w:val="99"/>
                <w:sz w:val="22"/>
                <w:szCs w:val="22"/>
              </w:rPr>
              <w:t>3</w:t>
            </w:r>
          </w:p>
        </w:tc>
        <w:tc>
          <w:tcPr>
            <w:tcW w:w="1380" w:type="dxa"/>
            <w:noWrap w:val="0"/>
            <w:vAlign w:val="center"/>
          </w:tcPr>
          <w:p>
            <w:pPr>
              <w:pStyle w:val="117"/>
              <w:spacing w:before="47"/>
              <w:ind w:right="76"/>
              <w:jc w:val="center"/>
              <w:rPr>
                <w:rFonts w:hint="eastAsia"/>
                <w:sz w:val="22"/>
                <w:szCs w:val="22"/>
              </w:rPr>
            </w:pPr>
            <w:r>
              <w:rPr>
                <w:rFonts w:hint="eastAsia"/>
                <w:sz w:val="22"/>
                <w:szCs w:val="22"/>
              </w:rPr>
              <w:t>4T 硬盘</w:t>
            </w:r>
          </w:p>
        </w:tc>
        <w:tc>
          <w:tcPr>
            <w:tcW w:w="6010" w:type="dxa"/>
            <w:noWrap w:val="0"/>
            <w:vAlign w:val="center"/>
          </w:tcPr>
          <w:p>
            <w:pPr>
              <w:pStyle w:val="117"/>
              <w:spacing w:before="47"/>
              <w:ind w:left="109"/>
              <w:rPr>
                <w:rFonts w:hint="eastAsia"/>
                <w:sz w:val="22"/>
                <w:szCs w:val="22"/>
                <w:lang w:val="en-US"/>
              </w:rPr>
            </w:pPr>
            <w:r>
              <w:rPr>
                <w:rFonts w:hint="eastAsia"/>
                <w:sz w:val="22"/>
                <w:szCs w:val="22"/>
                <w:lang w:val="en-US"/>
              </w:rPr>
              <w:t>4TB/64MB(6Gb/</w:t>
            </w:r>
            <w:r>
              <w:rPr>
                <w:rFonts w:hint="eastAsia"/>
                <w:sz w:val="22"/>
                <w:szCs w:val="22"/>
              </w:rPr>
              <w:t>秒</w:t>
            </w:r>
            <w:r>
              <w:rPr>
                <w:rFonts w:hint="eastAsia"/>
                <w:sz w:val="22"/>
                <w:szCs w:val="22"/>
                <w:lang w:val="en-US"/>
              </w:rPr>
              <w:t xml:space="preserve"> NCQ)/5900RPM/SATA3</w:t>
            </w:r>
          </w:p>
        </w:tc>
        <w:tc>
          <w:tcPr>
            <w:tcW w:w="850" w:type="dxa"/>
            <w:noWrap w:val="0"/>
            <w:vAlign w:val="center"/>
          </w:tcPr>
          <w:p>
            <w:pPr>
              <w:pStyle w:val="117"/>
              <w:jc w:val="center"/>
              <w:rPr>
                <w:rFonts w:hint="eastAsia"/>
                <w:sz w:val="22"/>
                <w:szCs w:val="22"/>
              </w:rPr>
            </w:pPr>
            <w:r>
              <w:rPr>
                <w:rFonts w:hint="eastAsia"/>
                <w:w w:val="99"/>
                <w:sz w:val="22"/>
                <w:szCs w:val="22"/>
              </w:rPr>
              <w:t>块</w:t>
            </w:r>
          </w:p>
        </w:tc>
        <w:tc>
          <w:tcPr>
            <w:tcW w:w="650" w:type="dxa"/>
            <w:noWrap w:val="0"/>
            <w:vAlign w:val="center"/>
          </w:tcPr>
          <w:p>
            <w:pPr>
              <w:pStyle w:val="117"/>
              <w:ind w:right="279"/>
              <w:jc w:val="center"/>
              <w:rPr>
                <w:rFonts w:hint="eastAsia"/>
                <w:sz w:val="22"/>
                <w:szCs w:val="22"/>
              </w:rPr>
            </w:pPr>
            <w:r>
              <w:rPr>
                <w:rFonts w:hint="eastAsia"/>
                <w:w w:val="99"/>
                <w:sz w:val="22"/>
                <w:szCs w:val="22"/>
              </w:rPr>
              <w:t>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7"/>
              <w:ind w:left="6"/>
              <w:jc w:val="center"/>
              <w:rPr>
                <w:rFonts w:hint="eastAsia"/>
                <w:sz w:val="22"/>
                <w:szCs w:val="22"/>
              </w:rPr>
            </w:pPr>
            <w:r>
              <w:rPr>
                <w:rFonts w:hint="eastAsia"/>
                <w:w w:val="99"/>
                <w:sz w:val="22"/>
                <w:szCs w:val="22"/>
              </w:rPr>
              <w:t>4</w:t>
            </w:r>
          </w:p>
        </w:tc>
        <w:tc>
          <w:tcPr>
            <w:tcW w:w="1380" w:type="dxa"/>
            <w:noWrap w:val="0"/>
            <w:vAlign w:val="center"/>
          </w:tcPr>
          <w:p>
            <w:pPr>
              <w:pStyle w:val="117"/>
              <w:spacing w:before="47"/>
              <w:ind w:right="78"/>
              <w:jc w:val="center"/>
              <w:rPr>
                <w:rFonts w:hint="eastAsia"/>
                <w:sz w:val="22"/>
                <w:szCs w:val="22"/>
              </w:rPr>
            </w:pPr>
            <w:r>
              <w:rPr>
                <w:rFonts w:hint="eastAsia"/>
                <w:sz w:val="22"/>
                <w:szCs w:val="22"/>
              </w:rPr>
              <w:t>摄像机电源</w:t>
            </w:r>
          </w:p>
        </w:tc>
        <w:tc>
          <w:tcPr>
            <w:tcW w:w="6010" w:type="dxa"/>
            <w:noWrap w:val="0"/>
            <w:vAlign w:val="center"/>
          </w:tcPr>
          <w:p>
            <w:pPr>
              <w:pStyle w:val="117"/>
              <w:spacing w:before="47"/>
              <w:ind w:left="109"/>
              <w:rPr>
                <w:rFonts w:hint="eastAsia"/>
                <w:sz w:val="22"/>
                <w:szCs w:val="22"/>
              </w:rPr>
            </w:pPr>
            <w:r>
              <w:rPr>
                <w:rFonts w:hint="eastAsia"/>
                <w:sz w:val="22"/>
                <w:szCs w:val="22"/>
              </w:rPr>
              <w:t>12V/1A 圆头、插墙式，国标，输出线长 1500mm</w:t>
            </w:r>
          </w:p>
        </w:tc>
        <w:tc>
          <w:tcPr>
            <w:tcW w:w="850" w:type="dxa"/>
            <w:noWrap w:val="0"/>
            <w:vAlign w:val="center"/>
          </w:tcPr>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ind w:right="227"/>
              <w:jc w:val="center"/>
              <w:rPr>
                <w:rFonts w:hint="eastAsia"/>
                <w:sz w:val="22"/>
                <w:szCs w:val="22"/>
              </w:rPr>
            </w:pPr>
            <w:r>
              <w:rPr>
                <w:rFonts w:hint="eastAsia"/>
                <w:sz w:val="22"/>
                <w:szCs w:val="22"/>
              </w:rPr>
              <w:t>21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7"/>
              <w:ind w:left="6"/>
              <w:jc w:val="center"/>
              <w:rPr>
                <w:rFonts w:hint="eastAsia"/>
                <w:sz w:val="22"/>
                <w:szCs w:val="22"/>
              </w:rPr>
            </w:pPr>
            <w:r>
              <w:rPr>
                <w:rFonts w:hint="eastAsia"/>
                <w:w w:val="99"/>
                <w:sz w:val="22"/>
                <w:szCs w:val="22"/>
              </w:rPr>
              <w:t>5</w:t>
            </w:r>
          </w:p>
        </w:tc>
        <w:tc>
          <w:tcPr>
            <w:tcW w:w="1380" w:type="dxa"/>
            <w:noWrap w:val="0"/>
            <w:vAlign w:val="center"/>
          </w:tcPr>
          <w:p>
            <w:pPr>
              <w:pStyle w:val="117"/>
              <w:spacing w:before="47"/>
              <w:ind w:right="78"/>
              <w:jc w:val="center"/>
              <w:rPr>
                <w:rFonts w:hint="eastAsia"/>
                <w:sz w:val="22"/>
                <w:szCs w:val="22"/>
              </w:rPr>
            </w:pPr>
            <w:r>
              <w:rPr>
                <w:rFonts w:hint="eastAsia"/>
                <w:sz w:val="22"/>
                <w:szCs w:val="22"/>
              </w:rPr>
              <w:t>安装辅材</w:t>
            </w:r>
          </w:p>
        </w:tc>
        <w:tc>
          <w:tcPr>
            <w:tcW w:w="6010" w:type="dxa"/>
            <w:noWrap w:val="0"/>
            <w:vAlign w:val="center"/>
          </w:tcPr>
          <w:p>
            <w:pPr>
              <w:pStyle w:val="117"/>
              <w:spacing w:before="47"/>
              <w:ind w:left="109"/>
              <w:rPr>
                <w:rFonts w:hint="eastAsia"/>
                <w:sz w:val="22"/>
                <w:szCs w:val="22"/>
              </w:rPr>
            </w:pPr>
            <w:r>
              <w:rPr>
                <w:rFonts w:hint="eastAsia"/>
                <w:sz w:val="22"/>
                <w:szCs w:val="22"/>
              </w:rPr>
              <w:t>线缆，管路等</w:t>
            </w:r>
          </w:p>
        </w:tc>
        <w:tc>
          <w:tcPr>
            <w:tcW w:w="850" w:type="dxa"/>
            <w:noWrap w:val="0"/>
            <w:vAlign w:val="center"/>
          </w:tcPr>
          <w:p>
            <w:pPr>
              <w:pStyle w:val="117"/>
              <w:jc w:val="center"/>
              <w:rPr>
                <w:rFonts w:hint="eastAsia"/>
                <w:sz w:val="22"/>
                <w:szCs w:val="22"/>
              </w:rPr>
            </w:pPr>
            <w:r>
              <w:rPr>
                <w:rFonts w:hint="eastAsia"/>
                <w:w w:val="99"/>
                <w:sz w:val="22"/>
                <w:szCs w:val="22"/>
              </w:rPr>
              <w:t>项</w:t>
            </w:r>
          </w:p>
        </w:tc>
        <w:tc>
          <w:tcPr>
            <w:tcW w:w="650" w:type="dxa"/>
            <w:noWrap w:val="0"/>
            <w:vAlign w:val="center"/>
          </w:tcPr>
          <w:p>
            <w:pPr>
              <w:pStyle w:val="117"/>
              <w:jc w:val="center"/>
              <w:rPr>
                <w:rFonts w:hint="eastAsia"/>
                <w:sz w:val="22"/>
                <w:szCs w:val="22"/>
              </w:rPr>
            </w:pPr>
            <w:r>
              <w:rPr>
                <w:rFonts w:hint="eastAsia"/>
                <w:w w:val="99"/>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47"/>
              <w:ind w:left="6"/>
              <w:jc w:val="center"/>
              <w:rPr>
                <w:rFonts w:hint="eastAsia"/>
                <w:sz w:val="22"/>
                <w:szCs w:val="22"/>
              </w:rPr>
            </w:pPr>
            <w:r>
              <w:rPr>
                <w:rFonts w:hint="eastAsia"/>
                <w:w w:val="99"/>
                <w:sz w:val="22"/>
                <w:szCs w:val="22"/>
              </w:rPr>
              <w:t>6</w:t>
            </w:r>
          </w:p>
        </w:tc>
        <w:tc>
          <w:tcPr>
            <w:tcW w:w="1380" w:type="dxa"/>
            <w:noWrap w:val="0"/>
            <w:vAlign w:val="center"/>
          </w:tcPr>
          <w:p>
            <w:pPr>
              <w:pStyle w:val="117"/>
              <w:spacing w:before="47"/>
              <w:ind w:left="84" w:right="76"/>
              <w:jc w:val="center"/>
              <w:rPr>
                <w:rFonts w:hint="eastAsia"/>
                <w:sz w:val="22"/>
                <w:szCs w:val="22"/>
              </w:rPr>
            </w:pPr>
            <w:r>
              <w:rPr>
                <w:rFonts w:hint="eastAsia"/>
                <w:sz w:val="22"/>
                <w:szCs w:val="22"/>
              </w:rPr>
              <w:t>交换机</w:t>
            </w:r>
          </w:p>
        </w:tc>
        <w:tc>
          <w:tcPr>
            <w:tcW w:w="6010" w:type="dxa"/>
            <w:noWrap w:val="0"/>
            <w:vAlign w:val="center"/>
          </w:tcPr>
          <w:p>
            <w:pPr>
              <w:pStyle w:val="117"/>
              <w:spacing w:before="47"/>
              <w:ind w:left="109"/>
              <w:rPr>
                <w:rFonts w:hint="eastAsia"/>
                <w:sz w:val="22"/>
                <w:szCs w:val="22"/>
              </w:rPr>
            </w:pPr>
            <w:r>
              <w:rPr>
                <w:rFonts w:hint="eastAsia"/>
                <w:sz w:val="22"/>
                <w:szCs w:val="22"/>
              </w:rPr>
              <w:t>24 口 POE 交换机</w:t>
            </w:r>
          </w:p>
        </w:tc>
        <w:tc>
          <w:tcPr>
            <w:tcW w:w="850" w:type="dxa"/>
            <w:noWrap w:val="0"/>
            <w:vAlign w:val="center"/>
          </w:tcPr>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r>
              <w:rPr>
                <w:rFonts w:hint="eastAsia"/>
                <w:w w:val="99"/>
                <w:sz w:val="22"/>
                <w:szCs w:val="22"/>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4" w:hRule="atLeast"/>
          <w:jc w:val="center"/>
        </w:trPr>
        <w:tc>
          <w:tcPr>
            <w:tcW w:w="628" w:type="dxa"/>
            <w:noWrap w:val="0"/>
            <w:vAlign w:val="center"/>
          </w:tcPr>
          <w:p>
            <w:pPr>
              <w:pStyle w:val="117"/>
              <w:jc w:val="center"/>
              <w:rPr>
                <w:rFonts w:hint="eastAsia"/>
                <w:sz w:val="22"/>
                <w:szCs w:val="22"/>
              </w:rPr>
            </w:pPr>
            <w:r>
              <w:rPr>
                <w:rFonts w:hint="eastAsia"/>
                <w:w w:val="99"/>
                <w:sz w:val="22"/>
                <w:szCs w:val="22"/>
              </w:rPr>
              <w:t>7</w:t>
            </w:r>
          </w:p>
        </w:tc>
        <w:tc>
          <w:tcPr>
            <w:tcW w:w="1380" w:type="dxa"/>
            <w:noWrap w:val="0"/>
            <w:vAlign w:val="center"/>
          </w:tcPr>
          <w:p>
            <w:pPr>
              <w:pStyle w:val="117"/>
              <w:ind w:right="76"/>
              <w:jc w:val="center"/>
              <w:rPr>
                <w:rFonts w:hint="eastAsia"/>
                <w:sz w:val="22"/>
                <w:szCs w:val="22"/>
              </w:rPr>
            </w:pPr>
            <w:r>
              <w:rPr>
                <w:rFonts w:hint="eastAsia"/>
                <w:sz w:val="22"/>
                <w:szCs w:val="22"/>
              </w:rPr>
              <w:t>电视机</w:t>
            </w:r>
          </w:p>
        </w:tc>
        <w:tc>
          <w:tcPr>
            <w:tcW w:w="6010" w:type="dxa"/>
            <w:noWrap w:val="0"/>
            <w:vAlign w:val="center"/>
          </w:tcPr>
          <w:p>
            <w:pPr>
              <w:pStyle w:val="117"/>
              <w:spacing w:line="304" w:lineRule="auto"/>
              <w:ind w:right="110"/>
              <w:rPr>
                <w:rFonts w:hint="eastAsia"/>
                <w:sz w:val="22"/>
                <w:szCs w:val="22"/>
              </w:rPr>
            </w:pPr>
            <w:r>
              <w:rPr>
                <w:rFonts w:hint="eastAsia"/>
                <w:sz w:val="22"/>
                <w:szCs w:val="22"/>
              </w:rPr>
              <w:t>100</w:t>
            </w:r>
            <w:r>
              <w:rPr>
                <w:rFonts w:hint="eastAsia"/>
                <w:spacing w:val="-12"/>
                <w:sz w:val="22"/>
                <w:szCs w:val="22"/>
              </w:rPr>
              <w:t xml:space="preserve"> 寸电视机</w:t>
            </w:r>
            <w:r>
              <w:rPr>
                <w:rFonts w:hint="eastAsia"/>
                <w:sz w:val="22"/>
                <w:szCs w:val="22"/>
              </w:rPr>
              <w:t>，4</w:t>
            </w:r>
            <w:r>
              <w:rPr>
                <w:rFonts w:hint="eastAsia"/>
                <w:spacing w:val="-26"/>
                <w:sz w:val="22"/>
                <w:szCs w:val="22"/>
              </w:rPr>
              <w:t xml:space="preserve"> 核心 </w:t>
            </w:r>
            <w:r>
              <w:rPr>
                <w:rFonts w:hint="eastAsia"/>
                <w:sz w:val="22"/>
                <w:szCs w:val="22"/>
              </w:rPr>
              <w:t>CPU</w:t>
            </w:r>
            <w:r>
              <w:rPr>
                <w:rFonts w:hint="eastAsia"/>
                <w:spacing w:val="-6"/>
                <w:sz w:val="22"/>
                <w:szCs w:val="22"/>
              </w:rPr>
              <w:t xml:space="preserve">，动行内存不于小 </w:t>
            </w:r>
            <w:r>
              <w:rPr>
                <w:rFonts w:hint="eastAsia"/>
                <w:sz w:val="22"/>
                <w:szCs w:val="22"/>
              </w:rPr>
              <w:t>3G</w:t>
            </w:r>
            <w:r>
              <w:rPr>
                <w:rFonts w:hint="eastAsia"/>
                <w:spacing w:val="-3"/>
                <w:sz w:val="22"/>
                <w:szCs w:val="22"/>
              </w:rPr>
              <w:t>，存储内存</w:t>
            </w:r>
            <w:r>
              <w:rPr>
                <w:rFonts w:hint="eastAsia"/>
                <w:spacing w:val="-13"/>
                <w:sz w:val="22"/>
                <w:szCs w:val="22"/>
              </w:rPr>
              <w:t xml:space="preserve">不小于 </w:t>
            </w:r>
            <w:r>
              <w:rPr>
                <w:rFonts w:hint="eastAsia"/>
                <w:sz w:val="22"/>
                <w:szCs w:val="22"/>
              </w:rPr>
              <w:t>64GB</w:t>
            </w:r>
            <w:r>
              <w:rPr>
                <w:rFonts w:hint="eastAsia"/>
                <w:spacing w:val="-10"/>
                <w:sz w:val="22"/>
                <w:szCs w:val="22"/>
              </w:rPr>
              <w:t xml:space="preserve">，超高清 </w:t>
            </w:r>
            <w:r>
              <w:rPr>
                <w:rFonts w:hint="eastAsia"/>
                <w:sz w:val="22"/>
                <w:szCs w:val="22"/>
              </w:rPr>
              <w:t>4K</w:t>
            </w:r>
            <w:r>
              <w:rPr>
                <w:rFonts w:hint="eastAsia"/>
                <w:spacing w:val="-13"/>
                <w:sz w:val="22"/>
                <w:szCs w:val="22"/>
              </w:rPr>
              <w:t xml:space="preserve"> 以上分辨率，包括 </w:t>
            </w:r>
            <w:r>
              <w:rPr>
                <w:rFonts w:hint="eastAsia"/>
                <w:sz w:val="22"/>
                <w:szCs w:val="22"/>
              </w:rPr>
              <w:t>HDMI2.0</w:t>
            </w:r>
            <w:r>
              <w:rPr>
                <w:rFonts w:hint="eastAsia"/>
                <w:spacing w:val="-25"/>
                <w:sz w:val="22"/>
                <w:szCs w:val="22"/>
              </w:rPr>
              <w:t xml:space="preserve"> 接</w:t>
            </w:r>
            <w:r>
              <w:rPr>
                <w:rFonts w:hint="eastAsia"/>
                <w:sz w:val="22"/>
                <w:szCs w:val="22"/>
              </w:rPr>
              <w:t>口，USB 接口等。</w:t>
            </w:r>
          </w:p>
        </w:tc>
        <w:tc>
          <w:tcPr>
            <w:tcW w:w="850" w:type="dxa"/>
            <w:noWrap w:val="0"/>
            <w:vAlign w:val="center"/>
          </w:tcPr>
          <w:p>
            <w:pPr>
              <w:pStyle w:val="117"/>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r>
              <w:rPr>
                <w:rFonts w:hint="eastAsia"/>
                <w:w w:val="99"/>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9518" w:type="dxa"/>
            <w:gridSpan w:val="5"/>
            <w:noWrap w:val="0"/>
            <w:vAlign w:val="center"/>
          </w:tcPr>
          <w:p>
            <w:pPr>
              <w:pStyle w:val="117"/>
              <w:spacing w:before="131"/>
              <w:ind w:left="13"/>
              <w:jc w:val="center"/>
              <w:rPr>
                <w:rFonts w:hint="eastAsia"/>
                <w:w w:val="99"/>
                <w:sz w:val="22"/>
                <w:szCs w:val="22"/>
              </w:rPr>
            </w:pPr>
            <w:r>
              <w:rPr>
                <w:rFonts w:hint="eastAsia"/>
                <w:b/>
                <w:w w:val="99"/>
                <w:sz w:val="22"/>
                <w:szCs w:val="22"/>
                <w:lang w:val="en-US"/>
              </w:rPr>
              <w:t>六</w:t>
            </w:r>
            <w:r>
              <w:rPr>
                <w:rFonts w:hint="eastAsia"/>
                <w:b/>
                <w:w w:val="99"/>
                <w:sz w:val="22"/>
                <w:szCs w:val="22"/>
              </w:rPr>
              <w:t>、</w:t>
            </w:r>
            <w:r>
              <w:rPr>
                <w:rFonts w:hint="eastAsia"/>
                <w:b/>
                <w:sz w:val="22"/>
                <w:szCs w:val="22"/>
              </w:rPr>
              <w:t>机房搬迁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628" w:type="dxa"/>
            <w:noWrap w:val="0"/>
            <w:vAlign w:val="center"/>
          </w:tcPr>
          <w:p>
            <w:pPr>
              <w:pStyle w:val="117"/>
              <w:spacing w:before="131"/>
              <w:ind w:left="6"/>
              <w:jc w:val="center"/>
              <w:rPr>
                <w:rFonts w:hint="eastAsia"/>
                <w:sz w:val="22"/>
                <w:szCs w:val="22"/>
              </w:rPr>
            </w:pPr>
            <w:r>
              <w:rPr>
                <w:rFonts w:hint="eastAsia"/>
                <w:w w:val="99"/>
                <w:sz w:val="22"/>
                <w:szCs w:val="22"/>
              </w:rPr>
              <w:t>1</w:t>
            </w:r>
          </w:p>
        </w:tc>
        <w:tc>
          <w:tcPr>
            <w:tcW w:w="1380" w:type="dxa"/>
            <w:noWrap w:val="0"/>
            <w:vAlign w:val="center"/>
          </w:tcPr>
          <w:p>
            <w:pPr>
              <w:pStyle w:val="117"/>
              <w:spacing w:before="131"/>
              <w:ind w:right="78"/>
              <w:jc w:val="center"/>
              <w:rPr>
                <w:rFonts w:hint="eastAsia"/>
                <w:sz w:val="22"/>
                <w:szCs w:val="22"/>
              </w:rPr>
            </w:pPr>
            <w:r>
              <w:rPr>
                <w:rFonts w:hint="eastAsia"/>
                <w:sz w:val="22"/>
                <w:szCs w:val="22"/>
              </w:rPr>
              <w:t>设备搬迁</w:t>
            </w:r>
          </w:p>
        </w:tc>
        <w:tc>
          <w:tcPr>
            <w:tcW w:w="6010" w:type="dxa"/>
            <w:noWrap w:val="0"/>
            <w:vAlign w:val="center"/>
          </w:tcPr>
          <w:p>
            <w:pPr>
              <w:pStyle w:val="117"/>
              <w:spacing w:before="35"/>
              <w:rPr>
                <w:rFonts w:hint="eastAsia"/>
                <w:sz w:val="22"/>
                <w:szCs w:val="22"/>
                <w:lang w:val="en-US"/>
              </w:rPr>
            </w:pPr>
            <w:r>
              <w:rPr>
                <w:rFonts w:hint="eastAsia"/>
                <w:spacing w:val="-26"/>
                <w:sz w:val="22"/>
                <w:szCs w:val="22"/>
              </w:rPr>
              <w:t xml:space="preserve">原 </w:t>
            </w:r>
            <w:r>
              <w:rPr>
                <w:rFonts w:hint="eastAsia"/>
                <w:sz w:val="22"/>
                <w:szCs w:val="22"/>
              </w:rPr>
              <w:t>5</w:t>
            </w:r>
            <w:r>
              <w:rPr>
                <w:rFonts w:hint="eastAsia"/>
                <w:spacing w:val="-13"/>
                <w:sz w:val="22"/>
                <w:szCs w:val="22"/>
              </w:rPr>
              <w:t xml:space="preserve"> 层机房设备搬迁至 </w:t>
            </w:r>
            <w:r>
              <w:rPr>
                <w:rFonts w:hint="eastAsia"/>
                <w:sz w:val="22"/>
                <w:szCs w:val="22"/>
              </w:rPr>
              <w:t>4</w:t>
            </w:r>
            <w:r>
              <w:rPr>
                <w:rFonts w:hint="eastAsia"/>
                <w:spacing w:val="-25"/>
                <w:sz w:val="22"/>
                <w:szCs w:val="22"/>
              </w:rPr>
              <w:t xml:space="preserve"> 层</w:t>
            </w:r>
            <w:r>
              <w:rPr>
                <w:rFonts w:hint="eastAsia"/>
                <w:sz w:val="22"/>
                <w:szCs w:val="22"/>
              </w:rPr>
              <w:t>（</w:t>
            </w:r>
            <w:r>
              <w:rPr>
                <w:rFonts w:hint="eastAsia"/>
                <w:spacing w:val="-26"/>
                <w:sz w:val="22"/>
                <w:szCs w:val="22"/>
              </w:rPr>
              <w:t xml:space="preserve">约 </w:t>
            </w:r>
            <w:r>
              <w:rPr>
                <w:rFonts w:hint="eastAsia"/>
                <w:sz w:val="22"/>
                <w:szCs w:val="22"/>
              </w:rPr>
              <w:t>80</w:t>
            </w:r>
            <w:r>
              <w:rPr>
                <w:rFonts w:hint="eastAsia"/>
                <w:spacing w:val="-8"/>
                <w:sz w:val="22"/>
                <w:szCs w:val="22"/>
              </w:rPr>
              <w:t xml:space="preserve"> 台服务器及数据、</w:t>
            </w:r>
            <w:r>
              <w:rPr>
                <w:rFonts w:hint="eastAsia"/>
                <w:sz w:val="22"/>
                <w:szCs w:val="22"/>
              </w:rPr>
              <w:t>2</w:t>
            </w:r>
            <w:r>
              <w:rPr>
                <w:rFonts w:hint="eastAsia"/>
                <w:spacing w:val="-25"/>
                <w:sz w:val="22"/>
                <w:szCs w:val="22"/>
              </w:rPr>
              <w:t xml:space="preserve"> 台</w:t>
            </w:r>
            <w:r>
              <w:rPr>
                <w:rFonts w:hint="eastAsia"/>
                <w:spacing w:val="-8"/>
                <w:sz w:val="22"/>
                <w:szCs w:val="22"/>
              </w:rPr>
              <w:t xml:space="preserve">核心交换机及 </w:t>
            </w:r>
            <w:r>
              <w:rPr>
                <w:rFonts w:hint="eastAsia"/>
                <w:sz w:val="22"/>
                <w:szCs w:val="22"/>
              </w:rPr>
              <w:t>2</w:t>
            </w:r>
            <w:r>
              <w:rPr>
                <w:rFonts w:hint="eastAsia"/>
                <w:spacing w:val="-12"/>
                <w:sz w:val="22"/>
                <w:szCs w:val="22"/>
              </w:rPr>
              <w:t xml:space="preserve"> 台路由器</w:t>
            </w:r>
            <w:r>
              <w:rPr>
                <w:rFonts w:hint="eastAsia"/>
                <w:sz w:val="22"/>
                <w:szCs w:val="22"/>
              </w:rPr>
              <w:t>），</w:t>
            </w:r>
            <w:r>
              <w:rPr>
                <w:rFonts w:hint="eastAsia"/>
                <w:spacing w:val="-1"/>
                <w:sz w:val="22"/>
                <w:szCs w:val="22"/>
              </w:rPr>
              <w:t>并保证原有公安重要业务不</w:t>
            </w:r>
            <w:r>
              <w:rPr>
                <w:rFonts w:hint="eastAsia"/>
                <w:sz w:val="22"/>
                <w:szCs w:val="22"/>
              </w:rPr>
              <w:t>中断，具体迁移方案要通过用户审核方可实施。</w:t>
            </w:r>
          </w:p>
        </w:tc>
        <w:tc>
          <w:tcPr>
            <w:tcW w:w="850" w:type="dxa"/>
            <w:noWrap w:val="0"/>
            <w:vAlign w:val="center"/>
          </w:tcPr>
          <w:p>
            <w:pPr>
              <w:pStyle w:val="117"/>
              <w:spacing w:before="131"/>
              <w:ind w:left="11"/>
              <w:jc w:val="center"/>
              <w:rPr>
                <w:rFonts w:hint="eastAsia"/>
                <w:sz w:val="22"/>
                <w:szCs w:val="22"/>
              </w:rPr>
            </w:pPr>
            <w:r>
              <w:rPr>
                <w:rFonts w:hint="eastAsia"/>
                <w:w w:val="99"/>
                <w:sz w:val="22"/>
                <w:szCs w:val="22"/>
              </w:rPr>
              <w:t>项</w:t>
            </w:r>
          </w:p>
        </w:tc>
        <w:tc>
          <w:tcPr>
            <w:tcW w:w="650" w:type="dxa"/>
            <w:noWrap w:val="0"/>
            <w:vAlign w:val="center"/>
          </w:tcPr>
          <w:p>
            <w:pPr>
              <w:pStyle w:val="117"/>
              <w:spacing w:before="131"/>
              <w:ind w:left="13"/>
              <w:jc w:val="center"/>
              <w:rPr>
                <w:rFonts w:hint="eastAsia"/>
                <w:sz w:val="22"/>
                <w:szCs w:val="22"/>
              </w:rPr>
            </w:pPr>
            <w:r>
              <w:rPr>
                <w:rFonts w:hint="eastAsia"/>
                <w:w w:val="99"/>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17" w:hRule="atLeast"/>
          <w:jc w:val="center"/>
        </w:trPr>
        <w:tc>
          <w:tcPr>
            <w:tcW w:w="628" w:type="dxa"/>
            <w:noWrap w:val="0"/>
            <w:vAlign w:val="center"/>
          </w:tcPr>
          <w:p>
            <w:pPr>
              <w:pStyle w:val="117"/>
              <w:jc w:val="center"/>
              <w:rPr>
                <w:rFonts w:hint="eastAsia"/>
                <w:sz w:val="22"/>
                <w:szCs w:val="22"/>
              </w:rPr>
            </w:pPr>
          </w:p>
          <w:p>
            <w:pPr>
              <w:pStyle w:val="117"/>
              <w:jc w:val="center"/>
              <w:rPr>
                <w:rFonts w:hint="eastAsia"/>
                <w:sz w:val="22"/>
                <w:szCs w:val="22"/>
              </w:rPr>
            </w:pPr>
          </w:p>
          <w:p>
            <w:pPr>
              <w:pStyle w:val="117"/>
              <w:spacing w:before="9"/>
              <w:jc w:val="center"/>
              <w:rPr>
                <w:rFonts w:hint="eastAsia"/>
                <w:sz w:val="22"/>
                <w:szCs w:val="22"/>
              </w:rPr>
            </w:pPr>
          </w:p>
          <w:p>
            <w:pPr>
              <w:pStyle w:val="117"/>
              <w:ind w:left="6"/>
              <w:jc w:val="center"/>
              <w:rPr>
                <w:rFonts w:hint="eastAsia"/>
                <w:sz w:val="22"/>
                <w:szCs w:val="22"/>
              </w:rPr>
            </w:pPr>
            <w:r>
              <w:rPr>
                <w:rFonts w:hint="eastAsia"/>
                <w:w w:val="99"/>
                <w:sz w:val="22"/>
                <w:szCs w:val="22"/>
              </w:rPr>
              <w:t>2</w:t>
            </w:r>
          </w:p>
        </w:tc>
        <w:tc>
          <w:tcPr>
            <w:tcW w:w="1380" w:type="dxa"/>
            <w:noWrap w:val="0"/>
            <w:vAlign w:val="center"/>
          </w:tcPr>
          <w:p>
            <w:pPr>
              <w:pStyle w:val="117"/>
              <w:jc w:val="center"/>
              <w:rPr>
                <w:rFonts w:hint="eastAsia"/>
                <w:sz w:val="22"/>
                <w:szCs w:val="22"/>
              </w:rPr>
            </w:pPr>
          </w:p>
          <w:p>
            <w:pPr>
              <w:pStyle w:val="117"/>
              <w:jc w:val="center"/>
              <w:rPr>
                <w:rFonts w:hint="eastAsia"/>
                <w:sz w:val="22"/>
                <w:szCs w:val="22"/>
              </w:rPr>
            </w:pPr>
          </w:p>
          <w:p>
            <w:pPr>
              <w:pStyle w:val="117"/>
              <w:spacing w:before="9"/>
              <w:jc w:val="center"/>
              <w:rPr>
                <w:rFonts w:hint="eastAsia"/>
                <w:sz w:val="22"/>
                <w:szCs w:val="22"/>
              </w:rPr>
            </w:pPr>
          </w:p>
          <w:p>
            <w:pPr>
              <w:pStyle w:val="117"/>
              <w:ind w:right="78"/>
              <w:jc w:val="center"/>
              <w:rPr>
                <w:rFonts w:hint="eastAsia"/>
                <w:sz w:val="22"/>
                <w:szCs w:val="22"/>
              </w:rPr>
            </w:pPr>
            <w:r>
              <w:rPr>
                <w:rFonts w:hint="eastAsia"/>
                <w:sz w:val="22"/>
                <w:szCs w:val="22"/>
              </w:rPr>
              <w:t>汇聚交换机</w:t>
            </w:r>
          </w:p>
        </w:tc>
        <w:tc>
          <w:tcPr>
            <w:tcW w:w="6010" w:type="dxa"/>
            <w:noWrap w:val="0"/>
            <w:vAlign w:val="center"/>
          </w:tcPr>
          <w:p>
            <w:pPr>
              <w:pStyle w:val="117"/>
              <w:spacing w:before="35"/>
              <w:rPr>
                <w:rFonts w:hint="eastAsia"/>
                <w:sz w:val="22"/>
                <w:szCs w:val="22"/>
              </w:rPr>
            </w:pPr>
            <w:r>
              <w:rPr>
                <w:rFonts w:hint="eastAsia"/>
                <w:sz w:val="22"/>
                <w:szCs w:val="22"/>
              </w:rPr>
              <w:t>1、产品架构：采用分布式体系结构、模块化设计，有线无线一体化，有源无源EPON一体化,主控板冗余热备份、无源背板、冗余电源支持双路供电，提供官网证明和实物正反面图片等说明材料。</w:t>
            </w:r>
          </w:p>
          <w:p>
            <w:pPr>
              <w:pStyle w:val="117"/>
              <w:spacing w:before="35"/>
              <w:rPr>
                <w:rFonts w:hint="eastAsia"/>
                <w:sz w:val="22"/>
                <w:szCs w:val="22"/>
              </w:rPr>
            </w:pPr>
            <w:r>
              <w:rPr>
                <w:rFonts w:hint="eastAsia"/>
                <w:sz w:val="22"/>
                <w:szCs w:val="22"/>
              </w:rPr>
              <w:t>2、槽位数量：主控引擎槽≥2，电源槽位≥2。</w:t>
            </w:r>
          </w:p>
          <w:p>
            <w:pPr>
              <w:pStyle w:val="117"/>
              <w:spacing w:before="35"/>
              <w:rPr>
                <w:rFonts w:hint="eastAsia"/>
                <w:sz w:val="22"/>
                <w:szCs w:val="22"/>
              </w:rPr>
            </w:pPr>
            <w:r>
              <w:rPr>
                <w:rFonts w:hint="eastAsia"/>
                <w:sz w:val="22"/>
                <w:szCs w:val="22"/>
              </w:rPr>
              <w:t>3、设备性能：交换容量≥48Tbps,包转发率≥16500Mpps。</w:t>
            </w:r>
          </w:p>
          <w:p>
            <w:pPr>
              <w:pStyle w:val="117"/>
              <w:spacing w:before="35"/>
              <w:rPr>
                <w:rFonts w:hint="eastAsia"/>
                <w:sz w:val="22"/>
                <w:szCs w:val="22"/>
              </w:rPr>
            </w:pPr>
            <w:r>
              <w:rPr>
                <w:rFonts w:hint="eastAsia"/>
                <w:sz w:val="22"/>
                <w:szCs w:val="22"/>
              </w:rPr>
              <w:t>4、园区特性：支持POE+，满足新一代园区网以太网供电需求，支持以太网和OLT融合组网，提供说明材料。</w:t>
            </w:r>
          </w:p>
          <w:p>
            <w:pPr>
              <w:pStyle w:val="117"/>
              <w:spacing w:before="35"/>
              <w:rPr>
                <w:rFonts w:hint="eastAsia"/>
                <w:sz w:val="22"/>
                <w:szCs w:val="22"/>
              </w:rPr>
            </w:pPr>
            <w:r>
              <w:rPr>
                <w:rFonts w:hint="eastAsia"/>
                <w:sz w:val="22"/>
                <w:szCs w:val="22"/>
              </w:rPr>
              <w:t>5、网络安全：支持独立硬件安全业务插卡包括防火墙、负载均衡、应用控制、入侵防御、OLT板卡，支持IEEE 802.1ae（Macsec）介质访问控制安全技术，提供官网链接截图等说明材料。</w:t>
            </w:r>
          </w:p>
          <w:p>
            <w:pPr>
              <w:pStyle w:val="117"/>
              <w:spacing w:before="35"/>
              <w:rPr>
                <w:rFonts w:hint="eastAsia"/>
                <w:sz w:val="22"/>
                <w:szCs w:val="22"/>
              </w:rPr>
            </w:pPr>
            <w:r>
              <w:rPr>
                <w:rFonts w:hint="eastAsia"/>
                <w:sz w:val="22"/>
                <w:szCs w:val="22"/>
              </w:rPr>
              <w:t>6、有线无线：配置原生的无线AC功能，无需独立的AC板卡或带AC功能的接口板，即支持无线AP管理功能。</w:t>
            </w:r>
          </w:p>
          <w:p>
            <w:pPr>
              <w:pStyle w:val="117"/>
              <w:spacing w:before="35"/>
              <w:rPr>
                <w:rFonts w:hint="eastAsia"/>
                <w:sz w:val="22"/>
                <w:szCs w:val="22"/>
              </w:rPr>
            </w:pPr>
            <w:r>
              <w:rPr>
                <w:rFonts w:hint="eastAsia"/>
                <w:sz w:val="22"/>
                <w:szCs w:val="22"/>
              </w:rPr>
              <w:t>7、虚拟化：支持多虚一技术(N:1)，支持4框虚拟化技术，支持一虚多技术（1:N），提供权威测试报告。</w:t>
            </w:r>
          </w:p>
          <w:p>
            <w:pPr>
              <w:pStyle w:val="117"/>
              <w:spacing w:before="35"/>
              <w:rPr>
                <w:rFonts w:hint="eastAsia"/>
                <w:sz w:val="22"/>
                <w:szCs w:val="22"/>
              </w:rPr>
            </w:pPr>
            <w:r>
              <w:rPr>
                <w:rFonts w:hint="eastAsia"/>
                <w:sz w:val="22"/>
                <w:szCs w:val="22"/>
              </w:rPr>
              <w:t>9、基础配置：主控引擎≥2，交流电源≥2，接口配置：千兆以太网电接口(RJ45)≥48，万兆以太网光接口(SFP+,LC) ≥55，配置万兆光模块≥48。</w:t>
            </w:r>
          </w:p>
          <w:p>
            <w:pPr>
              <w:pStyle w:val="117"/>
              <w:spacing w:before="68"/>
              <w:rPr>
                <w:rFonts w:hint="eastAsia"/>
                <w:sz w:val="22"/>
                <w:szCs w:val="22"/>
                <w:lang w:val="en-US"/>
              </w:rPr>
            </w:pPr>
            <w:r>
              <w:rPr>
                <w:rFonts w:hint="eastAsia"/>
                <w:sz w:val="22"/>
                <w:szCs w:val="22"/>
              </w:rPr>
              <w:t>1</w:t>
            </w:r>
            <w:r>
              <w:rPr>
                <w:rFonts w:hint="eastAsia"/>
                <w:sz w:val="22"/>
                <w:szCs w:val="22"/>
                <w:lang w:val="en-US"/>
              </w:rPr>
              <w:t>0</w:t>
            </w:r>
            <w:r>
              <w:rPr>
                <w:rFonts w:hint="eastAsia"/>
                <w:sz w:val="22"/>
                <w:szCs w:val="22"/>
              </w:rPr>
              <w:t>、售后服务：售后服务体系完善程度认证7星级或以上，提供说明材料。</w:t>
            </w:r>
          </w:p>
        </w:tc>
        <w:tc>
          <w:tcPr>
            <w:tcW w:w="850" w:type="dxa"/>
            <w:noWrap w:val="0"/>
            <w:vAlign w:val="center"/>
          </w:tcPr>
          <w:p>
            <w:pPr>
              <w:pStyle w:val="117"/>
              <w:jc w:val="center"/>
              <w:rPr>
                <w:rFonts w:hint="eastAsia"/>
                <w:sz w:val="22"/>
                <w:szCs w:val="22"/>
              </w:rPr>
            </w:pPr>
          </w:p>
          <w:p>
            <w:pPr>
              <w:pStyle w:val="117"/>
              <w:jc w:val="center"/>
              <w:rPr>
                <w:rFonts w:hint="eastAsia"/>
                <w:sz w:val="22"/>
                <w:szCs w:val="22"/>
              </w:rPr>
            </w:pPr>
          </w:p>
          <w:p>
            <w:pPr>
              <w:pStyle w:val="117"/>
              <w:spacing w:before="9"/>
              <w:jc w:val="center"/>
              <w:rPr>
                <w:rFonts w:hint="eastAsia"/>
                <w:sz w:val="22"/>
                <w:szCs w:val="22"/>
              </w:rPr>
            </w:pPr>
          </w:p>
          <w:p>
            <w:pPr>
              <w:pStyle w:val="117"/>
              <w:ind w:left="11"/>
              <w:jc w:val="center"/>
              <w:rPr>
                <w:rFonts w:hint="eastAsia"/>
                <w:sz w:val="22"/>
                <w:szCs w:val="22"/>
              </w:rPr>
            </w:pPr>
            <w:r>
              <w:rPr>
                <w:rFonts w:hint="eastAsia"/>
                <w:w w:val="99"/>
                <w:sz w:val="22"/>
                <w:szCs w:val="22"/>
              </w:rPr>
              <w:t>台</w:t>
            </w:r>
          </w:p>
        </w:tc>
        <w:tc>
          <w:tcPr>
            <w:tcW w:w="650" w:type="dxa"/>
            <w:noWrap w:val="0"/>
            <w:vAlign w:val="center"/>
          </w:tcPr>
          <w:p>
            <w:pPr>
              <w:pStyle w:val="117"/>
              <w:jc w:val="center"/>
              <w:rPr>
                <w:rFonts w:hint="eastAsia"/>
                <w:sz w:val="22"/>
                <w:szCs w:val="22"/>
              </w:rPr>
            </w:pPr>
          </w:p>
          <w:p>
            <w:pPr>
              <w:pStyle w:val="117"/>
              <w:jc w:val="center"/>
              <w:rPr>
                <w:rFonts w:hint="eastAsia"/>
                <w:sz w:val="22"/>
                <w:szCs w:val="22"/>
              </w:rPr>
            </w:pPr>
          </w:p>
          <w:p>
            <w:pPr>
              <w:pStyle w:val="117"/>
              <w:spacing w:before="9"/>
              <w:jc w:val="center"/>
              <w:rPr>
                <w:rFonts w:hint="eastAsia"/>
                <w:sz w:val="22"/>
                <w:szCs w:val="22"/>
              </w:rPr>
            </w:pPr>
          </w:p>
          <w:p>
            <w:pPr>
              <w:pStyle w:val="117"/>
              <w:ind w:left="13"/>
              <w:jc w:val="center"/>
              <w:rPr>
                <w:rFonts w:hint="eastAsia"/>
                <w:sz w:val="22"/>
                <w:szCs w:val="22"/>
              </w:rPr>
            </w:pPr>
            <w:r>
              <w:rPr>
                <w:rFonts w:hint="eastAsia"/>
                <w:w w:val="99"/>
                <w:sz w:val="22"/>
                <w:szCs w:val="22"/>
              </w:rPr>
              <w:t>1</w:t>
            </w:r>
          </w:p>
        </w:tc>
      </w:tr>
    </w:tbl>
    <w:p>
      <w:pPr>
        <w:rPr>
          <w:rFonts w:hint="eastAsia" w:ascii="宋体" w:hAnsi="宋体" w:cs="宋体"/>
          <w:vanish/>
          <w:sz w:val="22"/>
          <w:szCs w:val="22"/>
        </w:rPr>
      </w:pPr>
      <w:r>
        <w:rPr>
          <w:rFonts w:hint="eastAsia" w:ascii="宋体" w:hAnsi="宋体" w:cs="宋体"/>
          <w:vanish/>
          <w:sz w:val="22"/>
          <w:szCs w:val="22"/>
        </w:rPr>
        <w:br w:type="page"/>
      </w:r>
    </w:p>
    <w:p>
      <w:pPr>
        <w:pStyle w:val="2"/>
        <w:rPr>
          <w:rFonts w:hint="eastAsia" w:ascii="宋体" w:hAnsi="宋体" w:cs="宋体"/>
          <w:vanish/>
          <w:sz w:val="22"/>
          <w:szCs w:val="22"/>
        </w:rPr>
      </w:pPr>
    </w:p>
    <w:p>
      <w:pPr>
        <w:pStyle w:val="3"/>
        <w:ind w:firstLine="210"/>
        <w:rPr>
          <w:rFonts w:hint="eastAsia"/>
        </w:rPr>
      </w:pPr>
    </w:p>
    <w:p>
      <w:pPr>
        <w:rPr>
          <w:rFonts w:hint="eastAsia" w:ascii="宋体" w:hAnsi="宋体" w:cs="宋体"/>
          <w:vanish/>
          <w:sz w:val="22"/>
          <w:szCs w:val="22"/>
        </w:rPr>
      </w:pPr>
    </w:p>
    <w:p>
      <w:pPr>
        <w:pStyle w:val="117"/>
        <w:spacing w:before="3" w:line="304" w:lineRule="auto"/>
        <w:ind w:right="96"/>
        <w:rPr>
          <w:rFonts w:hint="eastAsia"/>
          <w:b/>
          <w:bCs/>
          <w:sz w:val="22"/>
          <w:szCs w:val="22"/>
        </w:rPr>
      </w:pPr>
      <w:bookmarkStart w:id="30" w:name="6.2.3 机房信息系统安全防护分项"/>
      <w:bookmarkEnd w:id="30"/>
      <w:r>
        <w:rPr>
          <w:rFonts w:hint="eastAsia"/>
          <w:sz w:val="22"/>
          <w:szCs w:val="22"/>
          <w:lang w:val="en-US"/>
        </w:rPr>
        <w:t>2.3、</w:t>
      </w:r>
      <w:r>
        <w:rPr>
          <w:rFonts w:hint="eastAsia"/>
          <w:b/>
          <w:bCs/>
          <w:sz w:val="22"/>
          <w:szCs w:val="22"/>
        </w:rPr>
        <w:t>机房信息系统安全防护</w:t>
      </w:r>
    </w:p>
    <w:tbl>
      <w:tblPr>
        <w:tblStyle w:val="43"/>
        <w:tblW w:w="965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43"/>
        <w:gridCol w:w="1084"/>
        <w:gridCol w:w="6464"/>
        <w:gridCol w:w="700"/>
        <w:gridCol w:w="56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844" w:type="dxa"/>
            <w:noWrap w:val="0"/>
            <w:vAlign w:val="center"/>
          </w:tcPr>
          <w:p>
            <w:pPr>
              <w:pStyle w:val="117"/>
              <w:spacing w:before="47"/>
              <w:ind w:left="239" w:right="227"/>
              <w:jc w:val="center"/>
              <w:rPr>
                <w:rFonts w:hint="eastAsia"/>
                <w:b/>
                <w:sz w:val="22"/>
                <w:szCs w:val="22"/>
              </w:rPr>
            </w:pPr>
            <w:r>
              <w:rPr>
                <w:rFonts w:hint="eastAsia"/>
                <w:b/>
                <w:sz w:val="22"/>
                <w:szCs w:val="22"/>
              </w:rPr>
              <w:t>序号</w:t>
            </w:r>
          </w:p>
        </w:tc>
        <w:tc>
          <w:tcPr>
            <w:tcW w:w="1084" w:type="dxa"/>
            <w:noWrap w:val="0"/>
            <w:vAlign w:val="center"/>
          </w:tcPr>
          <w:p>
            <w:pPr>
              <w:pStyle w:val="117"/>
              <w:spacing w:before="47"/>
              <w:ind w:left="99" w:right="89"/>
              <w:jc w:val="center"/>
              <w:rPr>
                <w:rFonts w:hint="eastAsia"/>
                <w:b/>
                <w:sz w:val="22"/>
                <w:szCs w:val="22"/>
              </w:rPr>
            </w:pPr>
            <w:r>
              <w:rPr>
                <w:rFonts w:hint="eastAsia"/>
                <w:b/>
                <w:sz w:val="22"/>
                <w:szCs w:val="22"/>
              </w:rPr>
              <w:t>名称</w:t>
            </w:r>
          </w:p>
        </w:tc>
        <w:tc>
          <w:tcPr>
            <w:tcW w:w="6463" w:type="dxa"/>
            <w:noWrap w:val="0"/>
            <w:vAlign w:val="center"/>
          </w:tcPr>
          <w:p>
            <w:pPr>
              <w:pStyle w:val="117"/>
              <w:spacing w:before="47"/>
              <w:ind w:left="2299" w:right="2287"/>
              <w:jc w:val="center"/>
              <w:rPr>
                <w:rFonts w:hint="eastAsia"/>
                <w:b/>
                <w:sz w:val="22"/>
                <w:szCs w:val="22"/>
              </w:rPr>
            </w:pPr>
            <w:r>
              <w:rPr>
                <w:rFonts w:hint="eastAsia"/>
                <w:b/>
                <w:sz w:val="22"/>
                <w:szCs w:val="22"/>
              </w:rPr>
              <w:t>参数</w:t>
            </w:r>
          </w:p>
        </w:tc>
        <w:tc>
          <w:tcPr>
            <w:tcW w:w="700" w:type="dxa"/>
            <w:noWrap w:val="0"/>
            <w:vAlign w:val="center"/>
          </w:tcPr>
          <w:p>
            <w:pPr>
              <w:pStyle w:val="117"/>
              <w:spacing w:before="47"/>
              <w:ind w:left="111" w:right="95"/>
              <w:jc w:val="center"/>
              <w:rPr>
                <w:rFonts w:hint="eastAsia"/>
                <w:b/>
                <w:sz w:val="22"/>
                <w:szCs w:val="22"/>
              </w:rPr>
            </w:pPr>
            <w:r>
              <w:rPr>
                <w:rFonts w:hint="eastAsia"/>
                <w:b/>
                <w:sz w:val="22"/>
                <w:szCs w:val="22"/>
              </w:rPr>
              <w:t>单位</w:t>
            </w:r>
          </w:p>
        </w:tc>
        <w:tc>
          <w:tcPr>
            <w:tcW w:w="562" w:type="dxa"/>
            <w:noWrap w:val="0"/>
            <w:vAlign w:val="center"/>
          </w:tcPr>
          <w:p>
            <w:pPr>
              <w:pStyle w:val="117"/>
              <w:spacing w:before="47"/>
              <w:ind w:left="151" w:right="135"/>
              <w:jc w:val="center"/>
              <w:rPr>
                <w:rFonts w:hint="eastAsia"/>
                <w:b/>
                <w:sz w:val="22"/>
                <w:szCs w:val="22"/>
              </w:rPr>
            </w:pPr>
            <w:r>
              <w:rPr>
                <w:rFonts w:hint="eastAsia"/>
                <w:b/>
                <w:sz w:val="22"/>
                <w:szCs w:val="22"/>
              </w:rPr>
              <w:t>数量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844" w:type="dxa"/>
            <w:noWrap w:val="0"/>
            <w:vAlign w:val="center"/>
          </w:tcPr>
          <w:p>
            <w:pPr>
              <w:pStyle w:val="117"/>
              <w:ind w:left="6"/>
              <w:jc w:val="center"/>
              <w:rPr>
                <w:rFonts w:hint="eastAsia"/>
                <w:sz w:val="22"/>
                <w:szCs w:val="22"/>
              </w:rPr>
            </w:pPr>
            <w:r>
              <w:rPr>
                <w:rFonts w:hint="eastAsia"/>
                <w:w w:val="99"/>
                <w:sz w:val="22"/>
                <w:szCs w:val="22"/>
              </w:rPr>
              <w:t>1</w:t>
            </w:r>
          </w:p>
        </w:tc>
        <w:tc>
          <w:tcPr>
            <w:tcW w:w="1084" w:type="dxa"/>
            <w:noWrap w:val="0"/>
            <w:vAlign w:val="center"/>
          </w:tcPr>
          <w:p>
            <w:pPr>
              <w:pStyle w:val="117"/>
              <w:ind w:right="91"/>
              <w:jc w:val="center"/>
              <w:rPr>
                <w:rFonts w:hint="eastAsia"/>
                <w:sz w:val="22"/>
                <w:szCs w:val="22"/>
              </w:rPr>
            </w:pPr>
            <w:r>
              <w:rPr>
                <w:rFonts w:hint="eastAsia"/>
                <w:sz w:val="22"/>
                <w:szCs w:val="22"/>
              </w:rPr>
              <w:t>超融合服务器（含内网云盘系统）</w:t>
            </w:r>
          </w:p>
        </w:tc>
        <w:tc>
          <w:tcPr>
            <w:tcW w:w="6463" w:type="dxa"/>
            <w:noWrap w:val="0"/>
            <w:vAlign w:val="center"/>
          </w:tcPr>
          <w:p>
            <w:pPr>
              <w:pStyle w:val="117"/>
              <w:numPr>
                <w:ilvl w:val="0"/>
                <w:numId w:val="9"/>
              </w:numPr>
              <w:spacing w:before="3" w:line="304" w:lineRule="auto"/>
              <w:ind w:right="96"/>
              <w:rPr>
                <w:rFonts w:hint="eastAsia"/>
                <w:sz w:val="22"/>
                <w:szCs w:val="22"/>
              </w:rPr>
            </w:pPr>
            <w:r>
              <w:rPr>
                <w:rFonts w:hint="eastAsia"/>
                <w:sz w:val="22"/>
                <w:szCs w:val="22"/>
              </w:rPr>
              <w:t>超融合服务器要求：5*[ 配置 2 颗 14 核-2.0GHz-125W); 配置 4 条 DDR4Registered DIMM 32GB;可支持 24 个内存插槽；配置6*GE+2*10GE 网口以太网卡；配置 1 块双口 8G HBA 卡， 配置 SR130 Raid 卡；配置 2 块 480GB 10K 3.5 寸 SAS+4 块 8TB SATA HD 热插拔 ；配置 430-8i Raid 卡；</w:t>
            </w:r>
          </w:p>
          <w:p>
            <w:pPr>
              <w:pStyle w:val="117"/>
              <w:numPr>
                <w:ilvl w:val="0"/>
                <w:numId w:val="9"/>
              </w:numPr>
              <w:spacing w:before="3" w:line="304" w:lineRule="auto"/>
              <w:ind w:right="96"/>
              <w:rPr>
                <w:rFonts w:hint="eastAsia"/>
                <w:sz w:val="22"/>
                <w:szCs w:val="22"/>
              </w:rPr>
            </w:pPr>
            <w:r>
              <w:rPr>
                <w:rFonts w:hint="eastAsia"/>
                <w:sz w:val="22"/>
                <w:szCs w:val="22"/>
              </w:rPr>
              <w:t>可使用 PCIE raiser 卡扩展插槽；N+1 个冗余系统风扇；4 个USB（前面 2 个，后面 2 个）；</w:t>
            </w:r>
          </w:p>
          <w:p>
            <w:pPr>
              <w:pStyle w:val="117"/>
              <w:numPr>
                <w:ilvl w:val="0"/>
                <w:numId w:val="9"/>
              </w:numPr>
              <w:spacing w:before="3" w:line="304" w:lineRule="auto"/>
              <w:ind w:right="96"/>
              <w:rPr>
                <w:rFonts w:hint="eastAsia"/>
                <w:sz w:val="22"/>
                <w:szCs w:val="22"/>
              </w:rPr>
            </w:pPr>
            <w:r>
              <w:rPr>
                <w:rFonts w:hint="eastAsia"/>
                <w:sz w:val="22"/>
                <w:szCs w:val="22"/>
              </w:rPr>
              <w:t>对外提供 1 个 10/100Mbps RJ45 管理网口；支持 1+1 冗余电源，配置 2 个 750W 交流电源]服务器；配套超融合 5 节点授权软件；</w:t>
            </w:r>
          </w:p>
          <w:p>
            <w:pPr>
              <w:pStyle w:val="117"/>
              <w:spacing w:before="3" w:line="304" w:lineRule="auto"/>
              <w:ind w:right="96"/>
              <w:rPr>
                <w:rFonts w:hint="eastAsia"/>
                <w:sz w:val="22"/>
                <w:szCs w:val="22"/>
              </w:rPr>
            </w:pPr>
            <w:r>
              <w:rPr>
                <w:rFonts w:hint="eastAsia"/>
                <w:sz w:val="22"/>
                <w:szCs w:val="22"/>
                <w:lang w:val="en-US"/>
              </w:rPr>
              <w:t>4、</w:t>
            </w:r>
            <w:r>
              <w:rPr>
                <w:rFonts w:hint="eastAsia"/>
                <w:sz w:val="22"/>
                <w:szCs w:val="22"/>
              </w:rPr>
              <w:t>投标方所提供的软件产品、硬件产品必须为同一品牌，不能采用ODM硬件服务器，具备自主品牌的全系列硬件产品、软件产品以及同一原厂的服务能力；</w:t>
            </w:r>
          </w:p>
          <w:p>
            <w:pPr>
              <w:pStyle w:val="117"/>
              <w:spacing w:before="3" w:line="304" w:lineRule="auto"/>
              <w:ind w:right="96"/>
              <w:rPr>
                <w:rFonts w:hint="eastAsia"/>
                <w:sz w:val="22"/>
                <w:szCs w:val="22"/>
              </w:rPr>
            </w:pPr>
            <w:r>
              <w:rPr>
                <w:rFonts w:hint="eastAsia"/>
                <w:sz w:val="22"/>
                <w:szCs w:val="22"/>
                <w:lang w:val="en-US"/>
              </w:rPr>
              <w:t>5、</w:t>
            </w:r>
            <w:r>
              <w:rPr>
                <w:rFonts w:hint="eastAsia"/>
                <w:sz w:val="22"/>
                <w:szCs w:val="22"/>
              </w:rPr>
              <w:t>虚拟化平台和存储平台采用松耦合架构，可以单独进行版本升级，升级过程业务无影响，虚拟化平台需至少支持VMware vSphere、KVM两种及以上虚拟化平台；</w:t>
            </w:r>
          </w:p>
          <w:p>
            <w:pPr>
              <w:pStyle w:val="117"/>
              <w:spacing w:before="3" w:line="304" w:lineRule="auto"/>
              <w:ind w:right="96"/>
              <w:rPr>
                <w:rFonts w:hint="eastAsia"/>
                <w:sz w:val="22"/>
                <w:szCs w:val="22"/>
              </w:rPr>
            </w:pPr>
            <w:r>
              <w:rPr>
                <w:rFonts w:hint="eastAsia"/>
                <w:sz w:val="22"/>
                <w:szCs w:val="22"/>
                <w:lang w:val="en-US"/>
              </w:rPr>
              <w:t>6、</w:t>
            </w:r>
            <w:r>
              <w:rPr>
                <w:rFonts w:hint="eastAsia"/>
                <w:sz w:val="22"/>
                <w:szCs w:val="22"/>
              </w:rPr>
              <w:t>超融合产品支持一体机的交付方式或纯软件交付方式，超融合系统可以兼容市场主流X86服务器和国产服务器，保证更广泛的兼容性；</w:t>
            </w:r>
          </w:p>
          <w:p>
            <w:pPr>
              <w:pStyle w:val="117"/>
              <w:spacing w:before="3" w:line="304" w:lineRule="auto"/>
              <w:ind w:right="96"/>
              <w:rPr>
                <w:rFonts w:hint="eastAsia"/>
                <w:sz w:val="22"/>
                <w:szCs w:val="22"/>
              </w:rPr>
            </w:pPr>
            <w:r>
              <w:rPr>
                <w:rFonts w:hint="eastAsia"/>
                <w:sz w:val="22"/>
                <w:szCs w:val="22"/>
                <w:lang w:val="en-US"/>
              </w:rPr>
              <w:t>7、</w:t>
            </w:r>
            <w:r>
              <w:rPr>
                <w:rFonts w:hint="eastAsia"/>
                <w:sz w:val="22"/>
                <w:szCs w:val="22"/>
              </w:rPr>
              <w:t>采用裸金属架构，无需绑定操作系统即可搭建虚拟化平台，每个服务器节点都可以提供计算、存储和网络资源，无需额外部署管理节点；</w:t>
            </w:r>
          </w:p>
          <w:p>
            <w:pPr>
              <w:pStyle w:val="117"/>
              <w:spacing w:before="3" w:line="304" w:lineRule="auto"/>
              <w:ind w:right="96"/>
              <w:rPr>
                <w:rFonts w:hint="eastAsia"/>
                <w:sz w:val="22"/>
                <w:szCs w:val="22"/>
              </w:rPr>
            </w:pPr>
            <w:r>
              <w:rPr>
                <w:rFonts w:hint="eastAsia"/>
                <w:sz w:val="22"/>
                <w:szCs w:val="22"/>
                <w:lang w:val="en-US"/>
              </w:rPr>
              <w:t>8、</w:t>
            </w:r>
            <w:r>
              <w:rPr>
                <w:rFonts w:hint="eastAsia"/>
                <w:sz w:val="22"/>
                <w:szCs w:val="22"/>
              </w:rPr>
              <w:t>超融合系统更换服务器硬件无需更换软件，软件授权不锁定硬件，软件授权可转移，提供更高的灵活性和性价比；</w:t>
            </w:r>
          </w:p>
          <w:p>
            <w:pPr>
              <w:pStyle w:val="117"/>
              <w:spacing w:before="3" w:line="304" w:lineRule="auto"/>
              <w:ind w:right="96"/>
              <w:rPr>
                <w:rFonts w:hint="eastAsia"/>
                <w:sz w:val="22"/>
                <w:szCs w:val="22"/>
              </w:rPr>
            </w:pPr>
            <w:r>
              <w:rPr>
                <w:rFonts w:hint="eastAsia"/>
                <w:sz w:val="22"/>
                <w:szCs w:val="22"/>
                <w:lang w:val="en-US"/>
              </w:rPr>
              <w:t>9、</w:t>
            </w:r>
            <w:r>
              <w:rPr>
                <w:rFonts w:hint="eastAsia"/>
                <w:sz w:val="22"/>
                <w:szCs w:val="22"/>
              </w:rPr>
              <w:t>服务器虚拟化内核基于KVM定制开发，经过深度优化提供更高的性能，支持服务器虚拟化资源的全生命周期管理；</w:t>
            </w:r>
          </w:p>
          <w:p>
            <w:pPr>
              <w:pStyle w:val="117"/>
              <w:spacing w:before="3" w:line="304" w:lineRule="auto"/>
              <w:ind w:right="96"/>
              <w:rPr>
                <w:rFonts w:hint="eastAsia"/>
                <w:sz w:val="22"/>
                <w:szCs w:val="22"/>
              </w:rPr>
            </w:pPr>
            <w:r>
              <w:rPr>
                <w:rFonts w:hint="eastAsia"/>
                <w:sz w:val="22"/>
                <w:szCs w:val="22"/>
                <w:lang w:val="en-US"/>
              </w:rPr>
              <w:t>10、</w:t>
            </w:r>
            <w:r>
              <w:rPr>
                <w:rFonts w:hint="eastAsia"/>
                <w:sz w:val="22"/>
                <w:szCs w:val="22"/>
              </w:rPr>
              <w:t>应支持多种方式创建虚拟机，可以通过创建全新、LHV模板和OVA/OVF模板三种方式创建虚拟机，提升运维灵活性，提高工作效率；</w:t>
            </w:r>
          </w:p>
          <w:p>
            <w:pPr>
              <w:pStyle w:val="117"/>
              <w:spacing w:before="3" w:line="304" w:lineRule="auto"/>
              <w:ind w:right="96"/>
              <w:rPr>
                <w:rFonts w:hint="eastAsia"/>
                <w:sz w:val="22"/>
                <w:szCs w:val="22"/>
              </w:rPr>
            </w:pPr>
            <w:r>
              <w:rPr>
                <w:rFonts w:hint="eastAsia"/>
                <w:sz w:val="22"/>
                <w:szCs w:val="22"/>
                <w:lang w:val="en-US"/>
              </w:rPr>
              <w:t>11、</w:t>
            </w:r>
            <w:r>
              <w:rPr>
                <w:rFonts w:hint="eastAsia"/>
                <w:sz w:val="22"/>
                <w:szCs w:val="22"/>
              </w:rPr>
              <w:t>应支持虚拟机全生命周期管理，包括虚拟机创建、删除、启动、关闭、重启、快照、克隆、VNC登录等，支持虚拟机的搜索和过滤，虚拟机应可以安装独立的操作系统，支持Windows操作系统，包括Windows XP、Windows 7、Windows Server 2003、2008R2、2012R2、2016及以上版本服务器操作系统，支持Linux操作系统，包括Redhat、SUSE、CentOS、Ubuntu、Debian等多个发行版本，支持国产操作系统，包括统信UOS、中标麒麟、银河麒麟等计算、存储、网络资源能够在同一管理平台下实现集中式的管理和运维，无需在多个管理平台软件之间切换即可实现虚拟机、虚拟存储、虚拟网络等资源等监控，简化运维管理，应支持批量操作虚拟机，包括批量虚拟机开机和批量虚拟机关系，提升虚拟机维护的便捷性，应支持虚拟机CPU、内存资源的在线热添加功能，无需中断或停机即可实现虚拟资源的扩容生效，应支持在线的VM迁移，可以在不停机状态下，手工或自动地实现VM在资源池内不同物理机之间迁移，保障业务连续性，应支持虚拟机高可用性功能，当集群中出现物理服务器故障，其上运行的虚拟机可以在其他物理服务器实现重启，提供更高的可用性，应支持虚拟机对CPU颗粒化控制，可将虚拟机指定在某几个CPU上运行，指定占用CPU核的份额，指定CPU占用的优先级，应具有合理的内存调度机制，能够实现内存的超分使用，支持内存资源的份额设置，资源预留、以及资源限制，保证重要业务内存资源的优先使用，应支持内存级快照技术，当虚机运行时，通过快照技术可以将内存中和磁盘中的数据状态同时保留，同时支持定时的快照策略；</w:t>
            </w:r>
          </w:p>
          <w:p>
            <w:pPr>
              <w:pStyle w:val="117"/>
              <w:spacing w:before="3" w:line="304" w:lineRule="auto"/>
              <w:ind w:right="96"/>
              <w:rPr>
                <w:rFonts w:hint="eastAsia"/>
                <w:sz w:val="22"/>
                <w:szCs w:val="22"/>
              </w:rPr>
            </w:pPr>
            <w:r>
              <w:rPr>
                <w:rFonts w:hint="eastAsia"/>
                <w:sz w:val="22"/>
                <w:szCs w:val="22"/>
                <w:lang w:val="en-US"/>
              </w:rPr>
              <w:t>12、</w:t>
            </w:r>
            <w:r>
              <w:rPr>
                <w:rFonts w:hint="eastAsia"/>
                <w:sz w:val="22"/>
                <w:szCs w:val="22"/>
              </w:rPr>
              <w:t>应支持虚拟机的无代理备份，可以采用全量+增量方式备份，提供至少150个虚拟机的备份功能授权，支持至少80T的备份数据容量的许可，应支持虚拟机故障检测功能，Windows 虚拟机卡死及蓝屏的检测功能并实现自动重启，无需人工干预，减少运维工作量，</w:t>
            </w:r>
          </w:p>
          <w:p>
            <w:pPr>
              <w:pStyle w:val="117"/>
              <w:spacing w:before="3" w:line="304" w:lineRule="auto"/>
              <w:ind w:right="96"/>
              <w:rPr>
                <w:rFonts w:hint="eastAsia"/>
                <w:sz w:val="22"/>
                <w:szCs w:val="22"/>
              </w:rPr>
            </w:pPr>
            <w:r>
              <w:rPr>
                <w:rFonts w:hint="eastAsia"/>
                <w:sz w:val="22"/>
                <w:szCs w:val="22"/>
              </w:rPr>
              <w:t>应支持集群资源动态负载均衡策略，在物理机的负载达到一定程度后，自动将高负载物理服务器上运行的虚拟机迁移到其它比较空闲的物理服务器上，保证集群中服务器的计算资源利用率尽量保持一致，应支持无代理虚拟机USB映射，需要使用USB KEY时，无需再虚拟机上安装客户端插件，对于业务的自适应能力、使用便捷性更佳；</w:t>
            </w:r>
          </w:p>
          <w:p>
            <w:pPr>
              <w:pStyle w:val="117"/>
              <w:spacing w:before="3" w:line="304" w:lineRule="auto"/>
              <w:ind w:right="96"/>
              <w:rPr>
                <w:rFonts w:hint="eastAsia"/>
                <w:sz w:val="22"/>
                <w:szCs w:val="22"/>
              </w:rPr>
            </w:pPr>
            <w:r>
              <w:rPr>
                <w:rFonts w:hint="eastAsia"/>
                <w:sz w:val="22"/>
                <w:szCs w:val="22"/>
                <w:lang w:val="en-US"/>
              </w:rPr>
              <w:t>13、</w:t>
            </w:r>
            <w:r>
              <w:rPr>
                <w:rFonts w:hint="eastAsia"/>
                <w:sz w:val="22"/>
                <w:szCs w:val="22"/>
              </w:rPr>
              <w:t>采用分布式架构设计，由多台物理服务器组成分布式存储集群，通过新增物理服务器可以实现存储容量和性能的横向扩展（Scale-Out架构），扩容过程保证业务零中断分布式存储系统应完全自主研发，不能采用开源分布式存储技术（Glusterfs、Ceph、Lustre等）二次开发，掌握存储核心技术，提供更高的可靠性和性能；支持虚拟机存储本地化，虚拟机设置好本地化后会在服务器本地存储建立完整的副本，其他副本在其他服务器磁盘均匀放置，此时访问无需跨越网络，提升存储性能，当虚拟机迁移到其他服务器，会继续在本地建立完整副本，应支持存储盘QOS策略自定义设置，可以设置存储盘的读写速度，避免由于带宽占用过多影响其他业务系统；</w:t>
            </w:r>
          </w:p>
          <w:p>
            <w:pPr>
              <w:pStyle w:val="117"/>
              <w:spacing w:before="3" w:line="304" w:lineRule="auto"/>
              <w:ind w:right="96"/>
              <w:rPr>
                <w:rFonts w:hint="eastAsia"/>
                <w:sz w:val="22"/>
                <w:szCs w:val="22"/>
              </w:rPr>
            </w:pPr>
            <w:r>
              <w:rPr>
                <w:rFonts w:hint="eastAsia"/>
                <w:sz w:val="22"/>
                <w:szCs w:val="22"/>
                <w:lang w:val="en-US"/>
              </w:rPr>
              <w:t>14、</w:t>
            </w:r>
            <w:r>
              <w:rPr>
                <w:rFonts w:hint="eastAsia"/>
                <w:sz w:val="22"/>
                <w:szCs w:val="22"/>
              </w:rPr>
              <w:t>分布式存储应支持数据安全恢复机制，当主机或者磁盘故障后，自动利用集群内空闲磁盘空间，将故障数据重新恢复，并保证副本数量，确保用户数据的可靠性和安全性分布式存储应智能分析I/O负载情况，将数据在不同性能的磁盘（SSD、SATA）之间自动迁移，迁移过程对上层虚拟机和应用透明，无需停机，且数据迁移是实时、自动的应在管理平台上可以实现可视化网络拓扑的构建，支持虚拟设备的一键式拖拽与构建，快速的实现整个业务逻辑，支持对整个平台虚拟设备实现统一的管理，提升运维管理的工作效率；</w:t>
            </w:r>
          </w:p>
          <w:p>
            <w:pPr>
              <w:pStyle w:val="117"/>
              <w:spacing w:before="3" w:line="304" w:lineRule="auto"/>
              <w:ind w:right="96"/>
              <w:rPr>
                <w:rFonts w:hint="eastAsia"/>
                <w:sz w:val="22"/>
                <w:szCs w:val="22"/>
              </w:rPr>
            </w:pPr>
            <w:r>
              <w:rPr>
                <w:rFonts w:hint="eastAsia"/>
                <w:sz w:val="22"/>
                <w:szCs w:val="22"/>
                <w:lang w:val="en-US"/>
              </w:rPr>
              <w:t>15、</w:t>
            </w:r>
            <w:r>
              <w:rPr>
                <w:rFonts w:hint="eastAsia"/>
                <w:sz w:val="22"/>
                <w:szCs w:val="22"/>
              </w:rPr>
              <w:t>应提供虚拟机等设备的连通性探测功能，支持虚拟网卡和物理网卡的拓扑应对，方便在虚拟化环境中进行相应的故障排除和恢复，能够定位到出现故障的网络链路，方便快速排查问题保障业务的高连续性；</w:t>
            </w:r>
          </w:p>
          <w:p>
            <w:pPr>
              <w:pStyle w:val="117"/>
              <w:spacing w:before="3" w:line="304" w:lineRule="auto"/>
              <w:ind w:right="96"/>
              <w:rPr>
                <w:rFonts w:hint="eastAsia"/>
                <w:sz w:val="22"/>
                <w:szCs w:val="22"/>
              </w:rPr>
            </w:pPr>
            <w:r>
              <w:rPr>
                <w:rFonts w:hint="eastAsia"/>
                <w:sz w:val="22"/>
                <w:szCs w:val="22"/>
                <w:lang w:val="en-US"/>
              </w:rPr>
              <w:t>16、</w:t>
            </w:r>
            <w:r>
              <w:rPr>
                <w:rFonts w:hint="eastAsia"/>
                <w:sz w:val="22"/>
                <w:szCs w:val="22"/>
              </w:rPr>
              <w:t>应支持设置虚拟机网络QoS策略，包括限制平均上传/下载的带宽，避免由于单个虚拟机的网络流量过大影响其他业务虚拟机；</w:t>
            </w:r>
          </w:p>
          <w:p>
            <w:pPr>
              <w:pStyle w:val="117"/>
              <w:spacing w:before="3" w:line="304" w:lineRule="auto"/>
              <w:ind w:right="96"/>
              <w:rPr>
                <w:rFonts w:hint="eastAsia"/>
                <w:sz w:val="22"/>
                <w:szCs w:val="22"/>
              </w:rPr>
            </w:pPr>
            <w:r>
              <w:rPr>
                <w:rFonts w:hint="eastAsia"/>
                <w:sz w:val="22"/>
                <w:szCs w:val="22"/>
                <w:lang w:val="en-US"/>
              </w:rPr>
              <w:t>17、</w:t>
            </w:r>
            <w:r>
              <w:rPr>
                <w:rFonts w:hint="eastAsia"/>
                <w:sz w:val="22"/>
                <w:szCs w:val="22"/>
              </w:rPr>
              <w:t>应支持自定义虚拟机网络MAC地址，满足客户特殊应用场景绑定MAC地址需求，提供更高的灵活性；</w:t>
            </w:r>
          </w:p>
          <w:p>
            <w:pPr>
              <w:pStyle w:val="117"/>
              <w:spacing w:before="3" w:line="304" w:lineRule="auto"/>
              <w:ind w:right="96"/>
              <w:rPr>
                <w:rFonts w:hint="eastAsia"/>
                <w:sz w:val="22"/>
                <w:szCs w:val="22"/>
              </w:rPr>
            </w:pPr>
            <w:r>
              <w:rPr>
                <w:rFonts w:hint="eastAsia"/>
                <w:sz w:val="22"/>
                <w:szCs w:val="22"/>
                <w:lang w:val="en-US"/>
              </w:rPr>
              <w:t>18、</w:t>
            </w:r>
            <w:r>
              <w:rPr>
                <w:rFonts w:hint="eastAsia"/>
                <w:sz w:val="22"/>
                <w:szCs w:val="22"/>
              </w:rPr>
              <w:t>应支持在UI管理平台界面实现对网络配置的全部操作，包括物理网卡bond、虚拟交换机、虚拟端口组等设置，无需借助命令行操作，提高运维效率和简易性，产品应支持最小规模单节点起，满足成长型企业、分支机构或小型场景对超融合产品的需求，支持节点级在线扩容，节点添加数量最小1个节点起，同时增加计算和存储资源，数据自动均衡，性能线性扩展；</w:t>
            </w:r>
          </w:p>
          <w:p>
            <w:pPr>
              <w:pStyle w:val="117"/>
              <w:spacing w:before="3" w:line="304" w:lineRule="auto"/>
              <w:ind w:right="96"/>
              <w:rPr>
                <w:rFonts w:hint="eastAsia"/>
                <w:sz w:val="22"/>
                <w:szCs w:val="22"/>
              </w:rPr>
            </w:pPr>
            <w:r>
              <w:rPr>
                <w:rFonts w:hint="eastAsia"/>
                <w:sz w:val="22"/>
                <w:szCs w:val="22"/>
                <w:lang w:val="en-US"/>
              </w:rPr>
              <w:t>19、</w:t>
            </w:r>
            <w:r>
              <w:rPr>
                <w:rFonts w:hint="eastAsia"/>
                <w:sz w:val="22"/>
                <w:szCs w:val="22"/>
              </w:rPr>
              <w:t>应支持磁盘级在线扩容，可以纵向在线热添加扩容硬盘容量，最小1块硬盘扩容，数据自动均衡；</w:t>
            </w:r>
          </w:p>
          <w:p>
            <w:pPr>
              <w:pStyle w:val="117"/>
              <w:spacing w:before="3" w:line="304" w:lineRule="auto"/>
              <w:ind w:right="96"/>
              <w:rPr>
                <w:rFonts w:hint="eastAsia"/>
                <w:sz w:val="22"/>
                <w:szCs w:val="22"/>
              </w:rPr>
            </w:pPr>
            <w:r>
              <w:rPr>
                <w:rFonts w:hint="eastAsia"/>
                <w:sz w:val="22"/>
                <w:szCs w:val="22"/>
                <w:lang w:val="en-US"/>
              </w:rPr>
              <w:t>20、</w:t>
            </w:r>
            <w:r>
              <w:rPr>
                <w:rFonts w:hint="eastAsia"/>
                <w:sz w:val="22"/>
                <w:szCs w:val="22"/>
              </w:rPr>
              <w:t>应支持多副本功能，支持1、2、3个或以上副本，副本互斥地保存在集群的不同节点，当1个或多个主机或者磁盘故障，确保数据依旧正常访问；</w:t>
            </w:r>
          </w:p>
          <w:p>
            <w:pPr>
              <w:pStyle w:val="117"/>
              <w:spacing w:before="3" w:line="304" w:lineRule="auto"/>
              <w:ind w:right="96"/>
              <w:rPr>
                <w:rFonts w:hint="eastAsia"/>
                <w:sz w:val="22"/>
                <w:szCs w:val="22"/>
              </w:rPr>
            </w:pPr>
            <w:r>
              <w:rPr>
                <w:rFonts w:hint="eastAsia"/>
                <w:sz w:val="22"/>
                <w:szCs w:val="22"/>
                <w:lang w:val="en-US"/>
              </w:rPr>
              <w:t>21、</w:t>
            </w:r>
            <w:r>
              <w:rPr>
                <w:rFonts w:hint="eastAsia"/>
                <w:sz w:val="22"/>
                <w:szCs w:val="22"/>
              </w:rPr>
              <w:t>应支持磁盘级副本，可以将不同副本放置在1台服务器的不同硬盘中，满足小规模场景部署需求，提供更灵活的可靠性；</w:t>
            </w:r>
          </w:p>
          <w:p>
            <w:pPr>
              <w:pStyle w:val="117"/>
              <w:spacing w:before="3" w:line="304" w:lineRule="auto"/>
              <w:ind w:right="96"/>
              <w:rPr>
                <w:rFonts w:hint="eastAsia"/>
                <w:sz w:val="22"/>
                <w:szCs w:val="22"/>
              </w:rPr>
            </w:pPr>
            <w:r>
              <w:rPr>
                <w:rFonts w:hint="eastAsia"/>
                <w:sz w:val="22"/>
                <w:szCs w:val="22"/>
                <w:lang w:val="en-US"/>
              </w:rPr>
              <w:t>22、</w:t>
            </w:r>
            <w:r>
              <w:rPr>
                <w:rFonts w:hint="eastAsia"/>
                <w:sz w:val="22"/>
                <w:szCs w:val="22"/>
              </w:rPr>
              <w:t>应支持软、硬件故障会自动发现机制，立即触发数据自我恢复流程，数据块支持自我效验，防止数据无记录损坏，提供更高的可靠性；</w:t>
            </w:r>
          </w:p>
          <w:p>
            <w:pPr>
              <w:pStyle w:val="117"/>
              <w:spacing w:before="3" w:line="304" w:lineRule="auto"/>
              <w:ind w:right="96"/>
              <w:rPr>
                <w:rFonts w:hint="eastAsia"/>
                <w:sz w:val="22"/>
                <w:szCs w:val="22"/>
              </w:rPr>
            </w:pPr>
            <w:r>
              <w:rPr>
                <w:rFonts w:hint="eastAsia"/>
                <w:sz w:val="22"/>
                <w:szCs w:val="22"/>
                <w:lang w:val="en-US"/>
              </w:rPr>
              <w:t>23、</w:t>
            </w:r>
            <w:r>
              <w:rPr>
                <w:rFonts w:hint="eastAsia"/>
                <w:sz w:val="22"/>
                <w:szCs w:val="22"/>
              </w:rPr>
              <w:t>应支持多集群管理功能，可以在一个UI管理界；面对多个集群进行集中管理和展示，避免多个集群多次登录管理，提升平台运维便利性</w:t>
            </w:r>
          </w:p>
          <w:p>
            <w:pPr>
              <w:pStyle w:val="117"/>
              <w:spacing w:before="3" w:line="304" w:lineRule="auto"/>
              <w:ind w:right="96"/>
              <w:rPr>
                <w:rFonts w:hint="eastAsia"/>
                <w:sz w:val="22"/>
                <w:szCs w:val="22"/>
              </w:rPr>
            </w:pPr>
            <w:r>
              <w:rPr>
                <w:rFonts w:hint="eastAsia"/>
                <w:sz w:val="22"/>
                <w:szCs w:val="22"/>
                <w:lang w:val="en-US"/>
              </w:rPr>
              <w:t>24、</w:t>
            </w:r>
            <w:r>
              <w:rPr>
                <w:rFonts w:hint="eastAsia"/>
                <w:sz w:val="22"/>
                <w:szCs w:val="22"/>
              </w:rPr>
              <w:t>应支持平台管理UI界面风格的自定义功能，管理菜单可以按照习惯提供横向和纵向展示设置，可以个性化自定义界面、字体的色彩等；</w:t>
            </w:r>
          </w:p>
          <w:p>
            <w:pPr>
              <w:pStyle w:val="117"/>
              <w:spacing w:before="3" w:line="304" w:lineRule="auto"/>
              <w:ind w:right="96"/>
              <w:rPr>
                <w:rFonts w:hint="eastAsia"/>
                <w:sz w:val="22"/>
                <w:szCs w:val="22"/>
              </w:rPr>
            </w:pPr>
            <w:r>
              <w:rPr>
                <w:rFonts w:hint="eastAsia"/>
                <w:sz w:val="22"/>
                <w:szCs w:val="22"/>
                <w:lang w:val="en-US"/>
              </w:rPr>
              <w:t>25、</w:t>
            </w:r>
            <w:r>
              <w:rPr>
                <w:rFonts w:hint="eastAsia"/>
                <w:sz w:val="22"/>
                <w:szCs w:val="22"/>
              </w:rPr>
              <w:t>应提供资源拓扑功能，直观展示虚拟机、虚拟交换机、集群、数据中心对应关系，提升资源可管理性；</w:t>
            </w:r>
          </w:p>
          <w:p>
            <w:pPr>
              <w:pStyle w:val="117"/>
              <w:spacing w:before="3" w:line="304" w:lineRule="auto"/>
              <w:ind w:right="96"/>
              <w:rPr>
                <w:rFonts w:hint="eastAsia"/>
                <w:sz w:val="22"/>
                <w:szCs w:val="22"/>
              </w:rPr>
            </w:pPr>
            <w:r>
              <w:rPr>
                <w:rFonts w:hint="eastAsia"/>
                <w:sz w:val="22"/>
                <w:szCs w:val="22"/>
                <w:lang w:val="en-US"/>
              </w:rPr>
              <w:t>26、</w:t>
            </w:r>
            <w:r>
              <w:rPr>
                <w:rFonts w:hint="eastAsia"/>
                <w:sz w:val="22"/>
                <w:szCs w:val="22"/>
              </w:rPr>
              <w:t>应支持伸缩组功能，可根据实时监控CPU利用率实现虚拟机数量的在线自动增加和减少，满足业务系统在线扩容和缩容平台应能够提供虚拟化架构平台整体性能监控功能，对集群资源、服务器、虚拟机的性能监控图，可以自定义监控周期，支持对监控数据进行报表导出；</w:t>
            </w:r>
          </w:p>
          <w:p>
            <w:pPr>
              <w:pStyle w:val="117"/>
              <w:spacing w:before="3" w:line="304" w:lineRule="auto"/>
              <w:ind w:right="96"/>
              <w:rPr>
                <w:rFonts w:hint="eastAsia"/>
                <w:sz w:val="22"/>
                <w:szCs w:val="22"/>
              </w:rPr>
            </w:pPr>
            <w:r>
              <w:rPr>
                <w:rFonts w:hint="eastAsia"/>
                <w:sz w:val="22"/>
                <w:szCs w:val="22"/>
                <w:lang w:val="en-US"/>
              </w:rPr>
              <w:t>27、</w:t>
            </w:r>
            <w:r>
              <w:rPr>
                <w:rFonts w:hint="eastAsia"/>
                <w:sz w:val="22"/>
                <w:szCs w:val="22"/>
              </w:rPr>
              <w:t>应支持实时查看服务器节点运行状态，支持集群实时监控，实时显示CPU、内存、磁盘的使用情况应可自定义通知告警阈值，当资源池资源使用超过该阈值时，指定用户可以接到警报，避免在即将超容的资源池上分配更多资源；</w:t>
            </w:r>
          </w:p>
          <w:p>
            <w:pPr>
              <w:pStyle w:val="117"/>
              <w:spacing w:before="3" w:line="304" w:lineRule="auto"/>
              <w:ind w:right="96"/>
              <w:rPr>
                <w:rFonts w:hint="eastAsia"/>
                <w:sz w:val="22"/>
                <w:szCs w:val="22"/>
              </w:rPr>
            </w:pPr>
            <w:r>
              <w:rPr>
                <w:rFonts w:hint="eastAsia"/>
                <w:sz w:val="22"/>
                <w:szCs w:val="22"/>
                <w:lang w:val="en-US"/>
              </w:rPr>
              <w:t>28、</w:t>
            </w:r>
            <w:r>
              <w:rPr>
                <w:rFonts w:hint="eastAsia"/>
                <w:sz w:val="22"/>
                <w:szCs w:val="22"/>
              </w:rPr>
              <w:t>应支持按告警项或按对象的方式对已知的告警进行屏蔽，避免已知告警信息频繁触发，提升运维灵活性；</w:t>
            </w:r>
          </w:p>
          <w:p>
            <w:pPr>
              <w:pStyle w:val="117"/>
              <w:spacing w:before="3" w:line="304" w:lineRule="auto"/>
              <w:ind w:right="96"/>
              <w:rPr>
                <w:rFonts w:hint="eastAsia"/>
                <w:sz w:val="22"/>
                <w:szCs w:val="22"/>
              </w:rPr>
            </w:pPr>
            <w:r>
              <w:rPr>
                <w:rFonts w:hint="eastAsia"/>
                <w:sz w:val="22"/>
                <w:szCs w:val="22"/>
                <w:lang w:val="en-US"/>
              </w:rPr>
              <w:t>29、</w:t>
            </w:r>
            <w:r>
              <w:rPr>
                <w:rFonts w:hint="eastAsia"/>
                <w:sz w:val="22"/>
                <w:szCs w:val="22"/>
              </w:rPr>
              <w:t>应支持系统告警信息可以通过邮件和微信方式发送，并可以在管理平台记录发送历史，为后期审计提供依据；</w:t>
            </w:r>
          </w:p>
          <w:p>
            <w:pPr>
              <w:pStyle w:val="117"/>
              <w:spacing w:before="3" w:line="304" w:lineRule="auto"/>
              <w:ind w:right="96"/>
              <w:rPr>
                <w:rFonts w:hint="eastAsia"/>
                <w:sz w:val="22"/>
                <w:szCs w:val="22"/>
              </w:rPr>
            </w:pPr>
            <w:r>
              <w:rPr>
                <w:rFonts w:hint="eastAsia"/>
                <w:sz w:val="22"/>
                <w:szCs w:val="22"/>
                <w:lang w:val="en-US"/>
              </w:rPr>
              <w:t>30、</w:t>
            </w:r>
            <w:r>
              <w:rPr>
                <w:rFonts w:hint="eastAsia"/>
                <w:sz w:val="22"/>
                <w:szCs w:val="22"/>
              </w:rPr>
              <w:t>应支持设置第三方平台地址接入，实现在同一的管理界面快速管理多个平台，增加运维效率"系统应支持“三员分立”的安全管理运维模式，支持系统管理员、安全管理员、安全审计员的三员角色。其中：</w:t>
            </w:r>
          </w:p>
          <w:p>
            <w:pPr>
              <w:pStyle w:val="117"/>
              <w:spacing w:before="3" w:line="304" w:lineRule="auto"/>
              <w:ind w:left="108" w:right="96"/>
              <w:rPr>
                <w:rFonts w:hint="eastAsia"/>
                <w:sz w:val="22"/>
                <w:szCs w:val="22"/>
              </w:rPr>
            </w:pPr>
            <w:r>
              <w:rPr>
                <w:rFonts w:hint="eastAsia"/>
                <w:sz w:val="22"/>
                <w:szCs w:val="22"/>
              </w:rPr>
              <w:t>1) 系统管理员：可以授予系统管理、业务管理类的角色，进行资源和业务的维护工作。</w:t>
            </w:r>
          </w:p>
          <w:p>
            <w:pPr>
              <w:pStyle w:val="117"/>
              <w:spacing w:before="3" w:line="304" w:lineRule="auto"/>
              <w:ind w:left="108" w:right="96"/>
              <w:rPr>
                <w:rFonts w:hint="eastAsia"/>
                <w:sz w:val="22"/>
                <w:szCs w:val="22"/>
              </w:rPr>
            </w:pPr>
            <w:r>
              <w:rPr>
                <w:rFonts w:hint="eastAsia"/>
                <w:sz w:val="22"/>
                <w:szCs w:val="22"/>
              </w:rPr>
              <w:t>2) 安全管理员：只能授予安全管理员的角色，可以管理用户及授权，不能进行资源和业务的维护工作。</w:t>
            </w:r>
          </w:p>
          <w:p>
            <w:pPr>
              <w:pStyle w:val="117"/>
              <w:spacing w:before="3" w:line="304" w:lineRule="auto"/>
              <w:ind w:left="108" w:right="96"/>
              <w:rPr>
                <w:rFonts w:hint="eastAsia"/>
                <w:sz w:val="22"/>
                <w:szCs w:val="22"/>
              </w:rPr>
            </w:pPr>
            <w:r>
              <w:rPr>
                <w:rFonts w:hint="eastAsia"/>
                <w:sz w:val="22"/>
                <w:szCs w:val="22"/>
              </w:rPr>
              <w:t>3) 安全审计员：只能开展审计类业务，无权维护其他业务。</w:t>
            </w:r>
          </w:p>
          <w:p>
            <w:pPr>
              <w:pStyle w:val="117"/>
              <w:spacing w:before="3" w:line="304" w:lineRule="auto"/>
              <w:ind w:right="96"/>
              <w:rPr>
                <w:rFonts w:hint="eastAsia"/>
                <w:sz w:val="22"/>
                <w:szCs w:val="22"/>
              </w:rPr>
            </w:pPr>
            <w:r>
              <w:rPr>
                <w:rFonts w:hint="eastAsia"/>
                <w:sz w:val="22"/>
                <w:szCs w:val="22"/>
                <w:lang w:val="en-US"/>
              </w:rPr>
              <w:t>31、</w:t>
            </w:r>
            <w:r>
              <w:rPr>
                <w:rFonts w:hint="eastAsia"/>
                <w:sz w:val="22"/>
                <w:szCs w:val="22"/>
              </w:rPr>
              <w:t>应支持登录策略、会话策略、密码策略等多种安全策略，支持OTP登录方式，提升账户安全性管理；</w:t>
            </w:r>
          </w:p>
          <w:p>
            <w:pPr>
              <w:pStyle w:val="117"/>
              <w:spacing w:before="3" w:line="304" w:lineRule="auto"/>
              <w:ind w:right="96"/>
              <w:rPr>
                <w:rFonts w:hint="eastAsia"/>
                <w:sz w:val="22"/>
                <w:szCs w:val="22"/>
              </w:rPr>
            </w:pPr>
            <w:r>
              <w:rPr>
                <w:rFonts w:hint="eastAsia"/>
                <w:sz w:val="22"/>
                <w:szCs w:val="22"/>
                <w:lang w:val="en-US"/>
              </w:rPr>
              <w:t>32、</w:t>
            </w:r>
            <w:r>
              <w:rPr>
                <w:rFonts w:hint="eastAsia"/>
                <w:sz w:val="22"/>
                <w:szCs w:val="22"/>
              </w:rPr>
              <w:t>应支持屏幕水印，保证数据安全，支持定时注销桌面，虚机消息通知，支持收集虚机桌面日志虚拟化平台在部署Hypervisor后无需额外安装管理中心组件，即可实现基于Web管理平台访问和精细化管理功能，提升运维管理效率，应提供虚拟机回收站功能，防止因虚拟机误删除导致数据丢失，支持设置回收站文件保存周期，超期的文件将被自动删除；</w:t>
            </w:r>
          </w:p>
          <w:p>
            <w:pPr>
              <w:pStyle w:val="117"/>
              <w:spacing w:before="3" w:line="304" w:lineRule="auto"/>
              <w:ind w:right="96"/>
              <w:rPr>
                <w:rFonts w:hint="eastAsia"/>
                <w:sz w:val="22"/>
                <w:szCs w:val="22"/>
              </w:rPr>
            </w:pPr>
            <w:r>
              <w:rPr>
                <w:rFonts w:hint="eastAsia"/>
                <w:sz w:val="22"/>
                <w:szCs w:val="22"/>
                <w:lang w:val="en-US"/>
              </w:rPr>
              <w:t>33、</w:t>
            </w:r>
            <w:r>
              <w:rPr>
                <w:rFonts w:hint="eastAsia"/>
                <w:sz w:val="22"/>
                <w:szCs w:val="22"/>
              </w:rPr>
              <w:t>应支持基于角色的访问控制，基于角色的访问权限设置和分配，可以对不同的用户权限根据需要进行编辑，动态地增加或者减少各种操作管理权；</w:t>
            </w:r>
          </w:p>
          <w:p>
            <w:pPr>
              <w:pStyle w:val="117"/>
              <w:spacing w:before="3" w:line="304" w:lineRule="auto"/>
              <w:ind w:right="96"/>
              <w:rPr>
                <w:rFonts w:hint="eastAsia"/>
                <w:sz w:val="22"/>
                <w:szCs w:val="22"/>
              </w:rPr>
            </w:pPr>
            <w:r>
              <w:rPr>
                <w:rFonts w:hint="eastAsia"/>
                <w:sz w:val="22"/>
                <w:szCs w:val="22"/>
                <w:lang w:val="en-US"/>
              </w:rPr>
              <w:t>34、</w:t>
            </w:r>
            <w:r>
              <w:rPr>
                <w:rFonts w:hint="eastAsia"/>
                <w:sz w:val="22"/>
                <w:szCs w:val="22"/>
              </w:rPr>
              <w:t>应支持设置虚拟机BIOS停滞时间，提升虚拟机的管理特性；</w:t>
            </w:r>
          </w:p>
          <w:p>
            <w:pPr>
              <w:pStyle w:val="117"/>
              <w:spacing w:before="3" w:line="304" w:lineRule="auto"/>
              <w:ind w:right="96"/>
              <w:rPr>
                <w:rFonts w:hint="eastAsia"/>
                <w:sz w:val="22"/>
                <w:szCs w:val="22"/>
              </w:rPr>
            </w:pPr>
            <w:r>
              <w:rPr>
                <w:rFonts w:hint="eastAsia"/>
                <w:sz w:val="22"/>
                <w:szCs w:val="22"/>
                <w:lang w:val="en-US"/>
              </w:rPr>
              <w:t>35、</w:t>
            </w:r>
            <w:r>
              <w:rPr>
                <w:rFonts w:hint="eastAsia"/>
                <w:sz w:val="22"/>
                <w:szCs w:val="22"/>
              </w:rPr>
              <w:t>应支持自定义虚拟机UUID，可以根据自身要求编辑UUID，提供更高的灵活性，支持多租户管理，租户管理员可以根据租户内部架构，划分子租户和相应的资源管理，提升资源的可管理性；</w:t>
            </w:r>
          </w:p>
          <w:p>
            <w:pPr>
              <w:pStyle w:val="117"/>
              <w:spacing w:before="3" w:line="304" w:lineRule="auto"/>
              <w:ind w:right="96"/>
              <w:rPr>
                <w:rFonts w:hint="eastAsia"/>
                <w:sz w:val="22"/>
                <w:szCs w:val="22"/>
              </w:rPr>
            </w:pPr>
            <w:r>
              <w:rPr>
                <w:rFonts w:hint="eastAsia"/>
                <w:sz w:val="22"/>
                <w:szCs w:val="22"/>
                <w:lang w:val="en-US"/>
              </w:rPr>
              <w:t>36、</w:t>
            </w:r>
            <w:r>
              <w:rPr>
                <w:rFonts w:hint="eastAsia"/>
                <w:sz w:val="22"/>
                <w:szCs w:val="22"/>
              </w:rPr>
              <w:t>内网云盘系统要求：</w:t>
            </w:r>
          </w:p>
          <w:p>
            <w:pPr>
              <w:pStyle w:val="117"/>
              <w:spacing w:before="3" w:line="304" w:lineRule="auto"/>
              <w:ind w:right="96"/>
              <w:rPr>
                <w:rFonts w:hint="eastAsia"/>
                <w:sz w:val="22"/>
                <w:szCs w:val="22"/>
              </w:rPr>
            </w:pPr>
            <w:r>
              <w:rPr>
                <w:rFonts w:hint="eastAsia"/>
                <w:sz w:val="22"/>
                <w:szCs w:val="22"/>
              </w:rPr>
              <w:t>1）网盘产品获得国家权威机关的可信云服务认证证书，以证明所投产品具备安全、可信的特性。</w:t>
            </w:r>
          </w:p>
          <w:p>
            <w:pPr>
              <w:pStyle w:val="117"/>
              <w:spacing w:before="3" w:line="304" w:lineRule="auto"/>
              <w:ind w:right="96"/>
              <w:rPr>
                <w:rFonts w:hint="eastAsia"/>
                <w:sz w:val="22"/>
                <w:szCs w:val="22"/>
              </w:rPr>
            </w:pPr>
            <w:r>
              <w:rPr>
                <w:rFonts w:hint="eastAsia"/>
                <w:sz w:val="22"/>
                <w:szCs w:val="22"/>
              </w:rPr>
              <w:t>2）网盘产品获得云盘（或网盘）系统、电子数据管理平台、网络分布式存储、文件安全管理系统、企业云存储、（含软件产品登记或软件著作权）。产品获得公安部等保三级证明。</w:t>
            </w:r>
          </w:p>
          <w:p>
            <w:pPr>
              <w:pStyle w:val="117"/>
              <w:spacing w:before="3" w:line="304" w:lineRule="auto"/>
              <w:ind w:right="96"/>
              <w:rPr>
                <w:rFonts w:hint="eastAsia"/>
                <w:sz w:val="22"/>
                <w:szCs w:val="22"/>
              </w:rPr>
            </w:pPr>
            <w:r>
              <w:rPr>
                <w:rFonts w:hint="eastAsia"/>
                <w:sz w:val="22"/>
                <w:szCs w:val="22"/>
              </w:rPr>
              <w:t>3）产品支持微服务及容器化部署方式，支持Scale-Out方式扩展，采用分布式数据处理机制。</w:t>
            </w:r>
          </w:p>
          <w:p>
            <w:pPr>
              <w:pStyle w:val="117"/>
              <w:spacing w:before="3" w:line="304" w:lineRule="auto"/>
              <w:ind w:right="96"/>
              <w:rPr>
                <w:rFonts w:hint="eastAsia"/>
                <w:sz w:val="22"/>
                <w:szCs w:val="22"/>
              </w:rPr>
            </w:pPr>
            <w:r>
              <w:rPr>
                <w:rFonts w:hint="eastAsia"/>
                <w:sz w:val="22"/>
                <w:szCs w:val="22"/>
              </w:rPr>
              <w:t>4）产品与所投超融合、服务器同一品牌，提供统一运维服务。</w:t>
            </w:r>
          </w:p>
          <w:p>
            <w:pPr>
              <w:pStyle w:val="117"/>
              <w:spacing w:before="3" w:line="304" w:lineRule="auto"/>
              <w:ind w:right="96"/>
              <w:rPr>
                <w:rFonts w:hint="eastAsia"/>
                <w:color w:val="000000"/>
                <w:sz w:val="22"/>
                <w:szCs w:val="22"/>
              </w:rPr>
            </w:pPr>
            <w:r>
              <w:rPr>
                <w:rFonts w:hint="eastAsia"/>
                <w:color w:val="000000"/>
                <w:sz w:val="22"/>
                <w:szCs w:val="22"/>
              </w:rPr>
              <w:t>★5）可用架构 3CPU 设计，1000 个用户全终端授权许可。采用多副本冗余存储技术，支持副本数≥2，并且可根据需要进行调整。保证每个数据都会通过读写一致性冗余技术确保存放在不同的节点、不同的硬盘上面。任何一个硬盘和节点损坏都不会影响数据完整性。</w:t>
            </w:r>
          </w:p>
          <w:p>
            <w:pPr>
              <w:pStyle w:val="117"/>
              <w:spacing w:before="3" w:line="304" w:lineRule="auto"/>
              <w:ind w:right="96"/>
              <w:rPr>
                <w:rFonts w:hint="eastAsia"/>
                <w:color w:val="000000"/>
                <w:sz w:val="22"/>
                <w:szCs w:val="22"/>
              </w:rPr>
            </w:pPr>
            <w:r>
              <w:rPr>
                <w:rFonts w:hint="eastAsia"/>
                <w:color w:val="000000"/>
                <w:sz w:val="22"/>
                <w:szCs w:val="22"/>
              </w:rPr>
              <w:t>★6）提供在线杀毒功能，保证数据安全。</w:t>
            </w:r>
          </w:p>
          <w:p>
            <w:pPr>
              <w:pStyle w:val="117"/>
              <w:spacing w:before="37"/>
              <w:rPr>
                <w:rFonts w:hint="eastAsia" w:eastAsia="宋体"/>
                <w:sz w:val="22"/>
                <w:szCs w:val="22"/>
                <w:lang w:eastAsia="zh-CN"/>
              </w:rPr>
            </w:pPr>
            <w:r>
              <w:rPr>
                <w:rFonts w:hint="eastAsia"/>
                <w:sz w:val="22"/>
                <w:szCs w:val="22"/>
              </w:rPr>
              <w:t>7）产品客户端支持加密上传，打开查看加密文件时，需要填写对应密码，保证文件安全</w:t>
            </w:r>
            <w:r>
              <w:rPr>
                <w:rFonts w:hint="eastAsia"/>
                <w:sz w:val="22"/>
                <w:szCs w:val="22"/>
                <w:lang w:eastAsia="zh-CN"/>
              </w:rPr>
              <w:t>。</w:t>
            </w:r>
          </w:p>
          <w:p>
            <w:pPr>
              <w:pStyle w:val="117"/>
              <w:spacing w:before="3" w:line="304" w:lineRule="auto"/>
              <w:ind w:right="96"/>
              <w:rPr>
                <w:rFonts w:hint="eastAsia"/>
                <w:sz w:val="22"/>
                <w:szCs w:val="22"/>
              </w:rPr>
            </w:pPr>
            <w:r>
              <w:rPr>
                <w:rFonts w:hint="eastAsia"/>
                <w:sz w:val="22"/>
                <w:szCs w:val="22"/>
              </w:rPr>
              <w:t>8）文件支持定期清理功能；可以设置自动清理保存10天、30天、90天以上的文件、可以设置固定周期(每天、每周、每月)的文件清理，支持仅清理文件夹以及其子文件夹内的文件，保留文件夹结构。</w:t>
            </w:r>
          </w:p>
          <w:p>
            <w:pPr>
              <w:pStyle w:val="117"/>
              <w:spacing w:before="3" w:line="304" w:lineRule="auto"/>
              <w:ind w:right="96"/>
              <w:rPr>
                <w:rFonts w:hint="eastAsia"/>
                <w:sz w:val="22"/>
                <w:szCs w:val="22"/>
              </w:rPr>
            </w:pPr>
            <w:r>
              <w:rPr>
                <w:rFonts w:hint="eastAsia"/>
                <w:sz w:val="22"/>
                <w:szCs w:val="22"/>
              </w:rPr>
              <w:t>9）支持同时设置多个同步盘目录，支持增量的数据同步技术，支持多种同步方式（单向上传、单向下载、双向同步），并可过滤同步文件种类，过滤文件大小。</w:t>
            </w:r>
          </w:p>
        </w:tc>
        <w:tc>
          <w:tcPr>
            <w:tcW w:w="700" w:type="dxa"/>
            <w:noWrap w:val="0"/>
            <w:vAlign w:val="center"/>
          </w:tcPr>
          <w:p>
            <w:pPr>
              <w:pStyle w:val="117"/>
              <w:jc w:val="center"/>
              <w:rPr>
                <w:rFonts w:hint="eastAsia"/>
                <w:b/>
                <w:sz w:val="22"/>
                <w:szCs w:val="22"/>
              </w:rPr>
            </w:pPr>
          </w:p>
          <w:p>
            <w:pPr>
              <w:pStyle w:val="117"/>
              <w:jc w:val="center"/>
              <w:rPr>
                <w:rFonts w:hint="eastAsia"/>
                <w:b/>
                <w:sz w:val="22"/>
                <w:szCs w:val="22"/>
              </w:rPr>
            </w:pPr>
          </w:p>
          <w:p>
            <w:pPr>
              <w:pStyle w:val="117"/>
              <w:jc w:val="center"/>
              <w:rPr>
                <w:rFonts w:hint="eastAsia"/>
                <w:b/>
                <w:sz w:val="22"/>
                <w:szCs w:val="22"/>
              </w:rPr>
            </w:pPr>
          </w:p>
          <w:p>
            <w:pPr>
              <w:pStyle w:val="117"/>
              <w:jc w:val="center"/>
              <w:rPr>
                <w:rFonts w:hint="eastAsia"/>
                <w:b/>
                <w:sz w:val="22"/>
                <w:szCs w:val="22"/>
              </w:rPr>
            </w:pPr>
          </w:p>
          <w:p>
            <w:pPr>
              <w:pStyle w:val="117"/>
              <w:jc w:val="center"/>
              <w:rPr>
                <w:rFonts w:hint="eastAsia"/>
                <w:b/>
                <w:sz w:val="22"/>
                <w:szCs w:val="22"/>
              </w:rPr>
            </w:pPr>
          </w:p>
          <w:p>
            <w:pPr>
              <w:pStyle w:val="117"/>
              <w:jc w:val="center"/>
              <w:rPr>
                <w:rFonts w:hint="eastAsia"/>
                <w:b/>
                <w:sz w:val="22"/>
                <w:szCs w:val="22"/>
              </w:rPr>
            </w:pPr>
          </w:p>
          <w:p>
            <w:pPr>
              <w:pStyle w:val="117"/>
              <w:jc w:val="center"/>
              <w:rPr>
                <w:rFonts w:hint="eastAsia"/>
                <w:b/>
                <w:sz w:val="22"/>
                <w:szCs w:val="22"/>
              </w:rPr>
            </w:pPr>
          </w:p>
          <w:p>
            <w:pPr>
              <w:pStyle w:val="117"/>
              <w:jc w:val="center"/>
              <w:rPr>
                <w:rFonts w:hint="eastAsia"/>
                <w:b/>
                <w:sz w:val="22"/>
                <w:szCs w:val="22"/>
              </w:rPr>
            </w:pPr>
          </w:p>
          <w:p>
            <w:pPr>
              <w:pStyle w:val="117"/>
              <w:jc w:val="center"/>
              <w:rPr>
                <w:rFonts w:hint="eastAsia"/>
                <w:b/>
                <w:sz w:val="22"/>
                <w:szCs w:val="22"/>
              </w:rPr>
            </w:pPr>
          </w:p>
          <w:p>
            <w:pPr>
              <w:pStyle w:val="117"/>
              <w:jc w:val="center"/>
              <w:rPr>
                <w:rFonts w:hint="eastAsia"/>
                <w:b/>
                <w:sz w:val="22"/>
                <w:szCs w:val="22"/>
              </w:rPr>
            </w:pPr>
          </w:p>
          <w:p>
            <w:pPr>
              <w:pStyle w:val="117"/>
              <w:spacing w:before="193"/>
              <w:ind w:left="11"/>
              <w:jc w:val="center"/>
              <w:rPr>
                <w:rFonts w:hint="eastAsia"/>
                <w:sz w:val="22"/>
                <w:szCs w:val="22"/>
              </w:rPr>
            </w:pPr>
            <w:r>
              <w:rPr>
                <w:rFonts w:hint="eastAsia"/>
                <w:sz w:val="22"/>
                <w:szCs w:val="22"/>
              </w:rPr>
              <w:t>套</w:t>
            </w:r>
          </w:p>
        </w:tc>
        <w:tc>
          <w:tcPr>
            <w:tcW w:w="562" w:type="dxa"/>
            <w:noWrap w:val="0"/>
            <w:vAlign w:val="center"/>
          </w:tcPr>
          <w:p>
            <w:pPr>
              <w:pStyle w:val="117"/>
              <w:jc w:val="center"/>
              <w:rPr>
                <w:rFonts w:hint="eastAsia"/>
                <w:b/>
                <w:sz w:val="22"/>
                <w:szCs w:val="22"/>
              </w:rPr>
            </w:pPr>
          </w:p>
          <w:p>
            <w:pPr>
              <w:pStyle w:val="117"/>
              <w:jc w:val="center"/>
              <w:rPr>
                <w:rFonts w:hint="eastAsia"/>
                <w:b/>
                <w:sz w:val="22"/>
                <w:szCs w:val="22"/>
              </w:rPr>
            </w:pPr>
          </w:p>
          <w:p>
            <w:pPr>
              <w:pStyle w:val="117"/>
              <w:jc w:val="center"/>
              <w:rPr>
                <w:rFonts w:hint="eastAsia"/>
                <w:b/>
                <w:sz w:val="22"/>
                <w:szCs w:val="22"/>
              </w:rPr>
            </w:pPr>
          </w:p>
          <w:p>
            <w:pPr>
              <w:pStyle w:val="117"/>
              <w:jc w:val="center"/>
              <w:rPr>
                <w:rFonts w:hint="eastAsia"/>
                <w:b/>
                <w:sz w:val="22"/>
                <w:szCs w:val="22"/>
              </w:rPr>
            </w:pPr>
          </w:p>
          <w:p>
            <w:pPr>
              <w:pStyle w:val="117"/>
              <w:jc w:val="center"/>
              <w:rPr>
                <w:rFonts w:hint="eastAsia"/>
                <w:b/>
                <w:sz w:val="22"/>
                <w:szCs w:val="22"/>
              </w:rPr>
            </w:pPr>
          </w:p>
          <w:p>
            <w:pPr>
              <w:pStyle w:val="117"/>
              <w:jc w:val="center"/>
              <w:rPr>
                <w:rFonts w:hint="eastAsia"/>
                <w:b/>
                <w:sz w:val="22"/>
                <w:szCs w:val="22"/>
              </w:rPr>
            </w:pPr>
          </w:p>
          <w:p>
            <w:pPr>
              <w:pStyle w:val="117"/>
              <w:jc w:val="center"/>
              <w:rPr>
                <w:rFonts w:hint="eastAsia"/>
                <w:b/>
                <w:sz w:val="22"/>
                <w:szCs w:val="22"/>
              </w:rPr>
            </w:pPr>
          </w:p>
          <w:p>
            <w:pPr>
              <w:pStyle w:val="117"/>
              <w:jc w:val="center"/>
              <w:rPr>
                <w:rFonts w:hint="eastAsia"/>
                <w:b/>
                <w:sz w:val="22"/>
                <w:szCs w:val="22"/>
              </w:rPr>
            </w:pPr>
          </w:p>
          <w:p>
            <w:pPr>
              <w:pStyle w:val="117"/>
              <w:jc w:val="center"/>
              <w:rPr>
                <w:rFonts w:hint="eastAsia"/>
                <w:b/>
                <w:sz w:val="22"/>
                <w:szCs w:val="22"/>
              </w:rPr>
            </w:pPr>
          </w:p>
          <w:p>
            <w:pPr>
              <w:pStyle w:val="117"/>
              <w:jc w:val="center"/>
              <w:rPr>
                <w:rFonts w:hint="eastAsia"/>
                <w:b/>
                <w:sz w:val="22"/>
                <w:szCs w:val="22"/>
              </w:rPr>
            </w:pPr>
          </w:p>
          <w:p>
            <w:pPr>
              <w:pStyle w:val="117"/>
              <w:spacing w:before="193"/>
              <w:ind w:left="16"/>
              <w:jc w:val="center"/>
              <w:rPr>
                <w:rFonts w:hint="eastAsia"/>
                <w:sz w:val="22"/>
                <w:szCs w:val="22"/>
              </w:rPr>
            </w:pPr>
            <w:r>
              <w:rPr>
                <w:rFonts w:hint="eastAsia"/>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wAfter w:w="0" w:type="auto"/>
          <w:trHeight w:val="23" w:hRule="atLeast"/>
          <w:jc w:val="center"/>
        </w:trPr>
        <w:tc>
          <w:tcPr>
            <w:tcW w:w="844" w:type="dxa"/>
            <w:tcBorders>
              <w:top w:val="single" w:color="auto" w:sz="4" w:space="0"/>
            </w:tcBorders>
            <w:noWrap w:val="0"/>
            <w:vAlign w:val="center"/>
          </w:tcPr>
          <w:p>
            <w:pPr>
              <w:pStyle w:val="117"/>
              <w:spacing w:before="37"/>
              <w:jc w:val="center"/>
              <w:rPr>
                <w:rFonts w:hint="eastAsia"/>
                <w:sz w:val="22"/>
                <w:szCs w:val="22"/>
              </w:rPr>
            </w:pPr>
            <w:r>
              <w:rPr>
                <w:rFonts w:hint="eastAsia"/>
                <w:sz w:val="22"/>
                <w:szCs w:val="22"/>
              </w:rPr>
              <w:t>2</w:t>
            </w:r>
          </w:p>
        </w:tc>
        <w:tc>
          <w:tcPr>
            <w:tcW w:w="1082" w:type="dxa"/>
            <w:tcBorders>
              <w:top w:val="single" w:color="auto" w:sz="4" w:space="0"/>
            </w:tcBorders>
            <w:noWrap w:val="0"/>
            <w:vAlign w:val="center"/>
          </w:tcPr>
          <w:p>
            <w:pPr>
              <w:pStyle w:val="117"/>
              <w:spacing w:before="37"/>
              <w:ind w:left="109"/>
              <w:jc w:val="center"/>
              <w:rPr>
                <w:rFonts w:hint="eastAsia"/>
                <w:sz w:val="22"/>
                <w:szCs w:val="22"/>
              </w:rPr>
            </w:pPr>
          </w:p>
          <w:p>
            <w:pPr>
              <w:pStyle w:val="117"/>
              <w:spacing w:before="37"/>
              <w:jc w:val="center"/>
              <w:rPr>
                <w:rFonts w:hint="eastAsia"/>
                <w:sz w:val="22"/>
                <w:szCs w:val="22"/>
              </w:rPr>
            </w:pPr>
            <w:r>
              <w:rPr>
                <w:rFonts w:hint="eastAsia"/>
                <w:sz w:val="22"/>
                <w:szCs w:val="22"/>
              </w:rPr>
              <w:t>公安信息网边界感知系统</w:t>
            </w:r>
          </w:p>
        </w:tc>
        <w:tc>
          <w:tcPr>
            <w:tcW w:w="6465" w:type="dxa"/>
            <w:noWrap w:val="0"/>
            <w:vAlign w:val="center"/>
          </w:tcPr>
          <w:p>
            <w:pPr>
              <w:pStyle w:val="117"/>
              <w:spacing w:before="37"/>
              <w:rPr>
                <w:rFonts w:hint="eastAsia"/>
                <w:sz w:val="22"/>
                <w:szCs w:val="22"/>
              </w:rPr>
            </w:pPr>
            <w:r>
              <w:rPr>
                <w:rFonts w:hint="eastAsia"/>
                <w:sz w:val="22"/>
                <w:szCs w:val="22"/>
                <w:lang w:val="en-US"/>
              </w:rPr>
              <w:t>1、</w:t>
            </w:r>
            <w:r>
              <w:rPr>
                <w:rFonts w:hint="eastAsia"/>
                <w:sz w:val="22"/>
                <w:szCs w:val="22"/>
              </w:rPr>
              <w:t>无需安装客户端，能自动发现管理域内同时连接内网和互联网及非授权外联的设备，上报设备内网 IP 地址、互联网出口 IP 地址、外联时间等，并能在外联服务器上取证；</w:t>
            </w:r>
          </w:p>
          <w:p>
            <w:pPr>
              <w:pStyle w:val="117"/>
              <w:spacing w:before="37"/>
              <w:rPr>
                <w:rFonts w:hint="eastAsia"/>
                <w:sz w:val="22"/>
                <w:szCs w:val="22"/>
              </w:rPr>
            </w:pPr>
            <w:r>
              <w:rPr>
                <w:rFonts w:hint="eastAsia"/>
                <w:sz w:val="22"/>
                <w:szCs w:val="22"/>
                <w:lang w:val="en-US"/>
              </w:rPr>
              <w:t>2、</w:t>
            </w:r>
            <w:r>
              <w:rPr>
                <w:rFonts w:hint="eastAsia"/>
                <w:sz w:val="22"/>
                <w:szCs w:val="22"/>
              </w:rPr>
              <w:t>自动发现管理域内的 NAT 子网，上报其边界点 IP；</w:t>
            </w:r>
          </w:p>
          <w:p>
            <w:pPr>
              <w:pStyle w:val="117"/>
              <w:spacing w:before="37"/>
              <w:rPr>
                <w:rFonts w:hint="eastAsia"/>
                <w:sz w:val="22"/>
                <w:szCs w:val="22"/>
              </w:rPr>
            </w:pPr>
            <w:r>
              <w:rPr>
                <w:rFonts w:hint="eastAsia"/>
                <w:sz w:val="22"/>
                <w:szCs w:val="22"/>
              </w:rPr>
              <w:t>3、能对所有 linux、unix 操作系统版本的服务器进行内外网互联、非授权外联等违规行为发现；</w:t>
            </w:r>
          </w:p>
          <w:p>
            <w:pPr>
              <w:pStyle w:val="117"/>
              <w:spacing w:before="37"/>
              <w:rPr>
                <w:rFonts w:hint="eastAsia"/>
                <w:sz w:val="22"/>
                <w:szCs w:val="22"/>
              </w:rPr>
            </w:pPr>
            <w:r>
              <w:rPr>
                <w:rFonts w:hint="eastAsia"/>
                <w:sz w:val="22"/>
                <w:szCs w:val="22"/>
              </w:rPr>
              <w:t>4、1U 机架式；QPS（TPS）：≥ 400；并发处理数：≥3200 个/秒；包处理量：100 万个/秒；网络接口： ≥6 个千兆电口，≥2 个万兆光口；USB 口：≥2 个；</w:t>
            </w:r>
          </w:p>
          <w:p>
            <w:pPr>
              <w:pStyle w:val="117"/>
              <w:spacing w:before="37"/>
              <w:rPr>
                <w:rFonts w:hint="eastAsia"/>
                <w:sz w:val="22"/>
                <w:szCs w:val="22"/>
              </w:rPr>
            </w:pPr>
            <w:r>
              <w:rPr>
                <w:rFonts w:hint="eastAsia"/>
                <w:sz w:val="22"/>
                <w:szCs w:val="22"/>
                <w:lang w:val="en-US"/>
              </w:rPr>
              <w:t>5、</w:t>
            </w:r>
            <w:r>
              <w:rPr>
                <w:rFonts w:hint="eastAsia"/>
                <w:sz w:val="22"/>
                <w:szCs w:val="22"/>
              </w:rPr>
              <w:t>须提供软件著作权、计算机信息系统安全专项产品销售许可证、检测报告。</w:t>
            </w:r>
          </w:p>
          <w:p>
            <w:pPr>
              <w:pStyle w:val="117"/>
              <w:spacing w:before="37"/>
              <w:rPr>
                <w:rFonts w:hint="eastAsia"/>
                <w:sz w:val="22"/>
                <w:szCs w:val="22"/>
              </w:rPr>
            </w:pPr>
            <w:r>
              <w:rPr>
                <w:rFonts w:hint="eastAsia"/>
                <w:sz w:val="22"/>
                <w:szCs w:val="22"/>
              </w:rPr>
              <w:t>含 5 年运维费用</w:t>
            </w:r>
          </w:p>
        </w:tc>
        <w:tc>
          <w:tcPr>
            <w:tcW w:w="700" w:type="dxa"/>
            <w:noWrap w:val="0"/>
            <w:vAlign w:val="center"/>
          </w:tcPr>
          <w:p>
            <w:pPr>
              <w:pStyle w:val="117"/>
              <w:spacing w:before="37"/>
              <w:ind w:left="109"/>
              <w:jc w:val="center"/>
              <w:rPr>
                <w:rFonts w:hint="eastAsia"/>
                <w:sz w:val="22"/>
                <w:szCs w:val="22"/>
              </w:rPr>
            </w:pPr>
          </w:p>
          <w:p>
            <w:pPr>
              <w:pStyle w:val="117"/>
              <w:spacing w:before="37"/>
              <w:jc w:val="center"/>
              <w:rPr>
                <w:rFonts w:hint="eastAsia"/>
                <w:sz w:val="22"/>
                <w:szCs w:val="22"/>
              </w:rPr>
            </w:pPr>
            <w:r>
              <w:rPr>
                <w:rFonts w:hint="eastAsia"/>
                <w:sz w:val="22"/>
                <w:szCs w:val="22"/>
              </w:rPr>
              <w:t>套</w:t>
            </w:r>
          </w:p>
        </w:tc>
        <w:tc>
          <w:tcPr>
            <w:tcW w:w="562" w:type="dxa"/>
            <w:noWrap w:val="0"/>
            <w:vAlign w:val="center"/>
          </w:tcPr>
          <w:p>
            <w:pPr>
              <w:pStyle w:val="117"/>
              <w:spacing w:before="37"/>
              <w:ind w:left="109"/>
              <w:jc w:val="center"/>
              <w:rPr>
                <w:rFonts w:hint="eastAsia"/>
                <w:sz w:val="22"/>
                <w:szCs w:val="22"/>
              </w:rPr>
            </w:pPr>
          </w:p>
          <w:p>
            <w:pPr>
              <w:pStyle w:val="117"/>
              <w:spacing w:before="37"/>
              <w:jc w:val="center"/>
              <w:rPr>
                <w:rFonts w:hint="eastAsia"/>
                <w:sz w:val="22"/>
                <w:szCs w:val="22"/>
              </w:rPr>
            </w:pPr>
            <w:r>
              <w:rPr>
                <w:rFonts w:hint="eastAsia"/>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wAfter w:w="0" w:type="auto"/>
          <w:trHeight w:val="23" w:hRule="atLeast"/>
          <w:jc w:val="center"/>
        </w:trPr>
        <w:tc>
          <w:tcPr>
            <w:tcW w:w="844" w:type="dxa"/>
            <w:noWrap w:val="0"/>
            <w:vAlign w:val="center"/>
          </w:tcPr>
          <w:p>
            <w:pPr>
              <w:pStyle w:val="117"/>
              <w:spacing w:before="37"/>
              <w:ind w:left="109"/>
              <w:jc w:val="center"/>
              <w:rPr>
                <w:rFonts w:hint="eastAsia"/>
                <w:sz w:val="22"/>
                <w:szCs w:val="22"/>
              </w:rPr>
            </w:pPr>
            <w:r>
              <w:rPr>
                <w:rFonts w:hint="eastAsia"/>
                <w:sz w:val="22"/>
                <w:szCs w:val="22"/>
              </w:rPr>
              <w:t>3</w:t>
            </w:r>
          </w:p>
        </w:tc>
        <w:tc>
          <w:tcPr>
            <w:tcW w:w="1082" w:type="dxa"/>
            <w:noWrap w:val="0"/>
            <w:vAlign w:val="center"/>
          </w:tcPr>
          <w:p>
            <w:pPr>
              <w:pStyle w:val="117"/>
              <w:spacing w:before="37"/>
              <w:ind w:left="109"/>
              <w:jc w:val="center"/>
              <w:rPr>
                <w:rFonts w:hint="eastAsia"/>
                <w:sz w:val="22"/>
                <w:szCs w:val="22"/>
              </w:rPr>
            </w:pPr>
            <w:r>
              <w:rPr>
                <w:rFonts w:hint="eastAsia"/>
                <w:sz w:val="22"/>
                <w:szCs w:val="22"/>
              </w:rPr>
              <w:t>公安信息网防火墙</w:t>
            </w:r>
          </w:p>
        </w:tc>
        <w:tc>
          <w:tcPr>
            <w:tcW w:w="6465" w:type="dxa"/>
            <w:noWrap w:val="0"/>
            <w:vAlign w:val="center"/>
          </w:tcPr>
          <w:p>
            <w:pPr>
              <w:pStyle w:val="117"/>
              <w:numPr>
                <w:ilvl w:val="0"/>
                <w:numId w:val="10"/>
              </w:numPr>
              <w:spacing w:before="37"/>
              <w:ind w:left="109"/>
              <w:rPr>
                <w:rFonts w:hint="eastAsia"/>
                <w:sz w:val="22"/>
                <w:szCs w:val="22"/>
              </w:rPr>
            </w:pPr>
            <w:r>
              <w:rPr>
                <w:rFonts w:hint="eastAsia"/>
                <w:sz w:val="22"/>
                <w:szCs w:val="22"/>
              </w:rPr>
              <w:t>产品架构：采用非X86 64位多核高性能处理器和高速存储器；主控模块内存≥8G；≥2U机架式设备；</w:t>
            </w:r>
          </w:p>
          <w:p>
            <w:pPr>
              <w:pStyle w:val="117"/>
              <w:numPr>
                <w:ilvl w:val="0"/>
                <w:numId w:val="10"/>
              </w:numPr>
              <w:spacing w:before="37"/>
              <w:ind w:left="109"/>
              <w:rPr>
                <w:rFonts w:hint="eastAsia"/>
                <w:sz w:val="22"/>
                <w:szCs w:val="22"/>
              </w:rPr>
            </w:pPr>
            <w:r>
              <w:rPr>
                <w:rFonts w:hint="eastAsia"/>
                <w:sz w:val="22"/>
                <w:szCs w:val="22"/>
              </w:rPr>
              <w:t>性能要求：所投产品防火墙吞吐量≥12Gbps，每秒新建连接数≥22万，并发连接数≥800万；</w:t>
            </w:r>
          </w:p>
          <w:p>
            <w:pPr>
              <w:pStyle w:val="117"/>
              <w:spacing w:before="37"/>
              <w:ind w:left="109"/>
              <w:rPr>
                <w:rFonts w:hint="eastAsia"/>
                <w:sz w:val="22"/>
                <w:szCs w:val="22"/>
              </w:rPr>
            </w:pPr>
            <w:r>
              <w:rPr>
                <w:rFonts w:hint="eastAsia"/>
                <w:sz w:val="22"/>
                <w:szCs w:val="22"/>
              </w:rPr>
              <w:t>3、硬件要求：单台配置千兆以太网电接口≥16个，千兆光口≥8个，万兆光口≥2个，接口卡扩展槽个数≥2个（提供产品照片），硬盘槽位≥1个，可支持扩展500G和1T 的HDD硬盘，480G SSD硬盘；</w:t>
            </w:r>
          </w:p>
          <w:p>
            <w:pPr>
              <w:pStyle w:val="117"/>
              <w:spacing w:before="37"/>
              <w:ind w:left="109"/>
              <w:rPr>
                <w:rFonts w:hint="eastAsia"/>
                <w:sz w:val="22"/>
                <w:szCs w:val="22"/>
              </w:rPr>
            </w:pPr>
            <w:r>
              <w:rPr>
                <w:rFonts w:hint="eastAsia"/>
                <w:sz w:val="22"/>
                <w:szCs w:val="22"/>
              </w:rPr>
              <w:t>4、配置要求：要求单台配置硬盘≥500G，配置3年入侵防御、防病毒特征库升级服务，配置15个SSL VPN接入授权，实配内置固化双交流电源</w:t>
            </w:r>
          </w:p>
          <w:p>
            <w:pPr>
              <w:pStyle w:val="117"/>
              <w:spacing w:before="37"/>
              <w:ind w:left="109"/>
              <w:rPr>
                <w:rFonts w:hint="eastAsia"/>
                <w:sz w:val="22"/>
                <w:szCs w:val="22"/>
              </w:rPr>
            </w:pPr>
            <w:r>
              <w:rPr>
                <w:rFonts w:hint="eastAsia"/>
                <w:sz w:val="22"/>
                <w:szCs w:val="22"/>
              </w:rPr>
              <w:t>5、安全策略：支持一体化安全策略：可基于地址、端口、服务、应用、用户、时间、VRF等属性，配置入侵防御、数据过滤、文件过滤、防病毒、URL过滤、日志记录、会话老化时间等高级访问控制功能；</w:t>
            </w:r>
          </w:p>
          <w:p>
            <w:pPr>
              <w:pStyle w:val="117"/>
              <w:spacing w:before="37"/>
              <w:ind w:left="109"/>
              <w:rPr>
                <w:rFonts w:hint="eastAsia"/>
                <w:sz w:val="22"/>
                <w:szCs w:val="22"/>
              </w:rPr>
            </w:pPr>
            <w:r>
              <w:rPr>
                <w:rFonts w:hint="eastAsia"/>
                <w:sz w:val="22"/>
                <w:szCs w:val="22"/>
              </w:rPr>
              <w:t>6、虚拟化能力：所投设备须支持虚拟防火墙功能：支持虚拟防火墙的创建、启动、关闭、删除功能，可独立分配CPU/内存等计算资源，虚拟防火墙可独立管理，独立保存配置）；虚拟防火墙具备独立会话管理、NAT、路由等功能。在虚墙之内可配置VRF，支持二级虚拟化技术。N:1虚拟化技术，利用双机集群式高可靠性技术，融合后可统一管理配置，对外单一节点，实现主备/主主方式转发。</w:t>
            </w:r>
          </w:p>
          <w:p>
            <w:pPr>
              <w:pStyle w:val="117"/>
              <w:spacing w:before="37"/>
              <w:ind w:left="109"/>
              <w:rPr>
                <w:rFonts w:hint="eastAsia"/>
                <w:sz w:val="22"/>
                <w:szCs w:val="22"/>
              </w:rPr>
            </w:pPr>
            <w:r>
              <w:rPr>
                <w:rFonts w:hint="eastAsia"/>
                <w:sz w:val="22"/>
                <w:szCs w:val="22"/>
              </w:rPr>
              <w:t>7、攻击防护：支持DDoS流量阈值学习。启用学习功能后，系统将自动分析当前流量并计算出各种攻击类型的防范阈值，管理员可参考学习结果设置阈值。学习功能支持学习时长、学习模式、周期学习及自动应用等功能。</w:t>
            </w:r>
          </w:p>
          <w:p>
            <w:pPr>
              <w:pStyle w:val="117"/>
              <w:spacing w:before="37"/>
              <w:ind w:left="109"/>
              <w:rPr>
                <w:rFonts w:hint="eastAsia"/>
                <w:sz w:val="22"/>
                <w:szCs w:val="22"/>
              </w:rPr>
            </w:pPr>
            <w:r>
              <w:rPr>
                <w:rFonts w:hint="eastAsia"/>
                <w:sz w:val="22"/>
                <w:szCs w:val="22"/>
              </w:rPr>
              <w:t>8、负载均衡：支持链路负载均衡功能，支持加权轮转、随机、加权最小连接、源IP地址hash、源IP地址和端口hash、目的地址hash、带宽算法、最大带宽算法、动态就近性、基于优先级的调度算法等10种调度算法。</w:t>
            </w:r>
          </w:p>
          <w:p>
            <w:pPr>
              <w:pStyle w:val="117"/>
              <w:spacing w:before="37"/>
              <w:ind w:left="109"/>
              <w:rPr>
                <w:rFonts w:hint="eastAsia"/>
                <w:sz w:val="22"/>
                <w:szCs w:val="22"/>
              </w:rPr>
            </w:pPr>
            <w:r>
              <w:rPr>
                <w:rFonts w:hint="eastAsia"/>
                <w:sz w:val="22"/>
                <w:szCs w:val="22"/>
                <w:lang w:val="en-US"/>
              </w:rPr>
              <w:t>9</w:t>
            </w:r>
            <w:r>
              <w:rPr>
                <w:rFonts w:hint="eastAsia"/>
                <w:sz w:val="22"/>
                <w:szCs w:val="22"/>
              </w:rPr>
              <w:t>、售后服务：售后服务体系完善程度认证7星级或以上，提供说明材料</w:t>
            </w:r>
          </w:p>
        </w:tc>
        <w:tc>
          <w:tcPr>
            <w:tcW w:w="700" w:type="dxa"/>
            <w:noWrap w:val="0"/>
            <w:vAlign w:val="center"/>
          </w:tcPr>
          <w:p>
            <w:pPr>
              <w:pStyle w:val="117"/>
              <w:spacing w:before="37"/>
              <w:ind w:left="109"/>
              <w:jc w:val="center"/>
              <w:rPr>
                <w:rFonts w:hint="eastAsia"/>
                <w:sz w:val="22"/>
                <w:szCs w:val="22"/>
              </w:rPr>
            </w:pPr>
          </w:p>
          <w:p>
            <w:pPr>
              <w:pStyle w:val="117"/>
              <w:spacing w:before="37"/>
              <w:ind w:left="109"/>
              <w:jc w:val="center"/>
              <w:rPr>
                <w:rFonts w:hint="eastAsia"/>
                <w:sz w:val="22"/>
                <w:szCs w:val="22"/>
              </w:rPr>
            </w:pPr>
            <w:r>
              <w:rPr>
                <w:rFonts w:hint="eastAsia"/>
                <w:sz w:val="22"/>
                <w:szCs w:val="22"/>
              </w:rPr>
              <w:t>套</w:t>
            </w:r>
          </w:p>
        </w:tc>
        <w:tc>
          <w:tcPr>
            <w:tcW w:w="562" w:type="dxa"/>
            <w:noWrap w:val="0"/>
            <w:vAlign w:val="center"/>
          </w:tcPr>
          <w:p>
            <w:pPr>
              <w:pStyle w:val="117"/>
              <w:spacing w:before="37"/>
              <w:ind w:left="109"/>
              <w:jc w:val="center"/>
              <w:rPr>
                <w:rFonts w:hint="eastAsia"/>
                <w:sz w:val="22"/>
                <w:szCs w:val="22"/>
              </w:rPr>
            </w:pPr>
          </w:p>
          <w:p>
            <w:pPr>
              <w:pStyle w:val="117"/>
              <w:spacing w:before="37"/>
              <w:ind w:left="109"/>
              <w:jc w:val="center"/>
              <w:rPr>
                <w:rFonts w:hint="eastAsia"/>
                <w:sz w:val="22"/>
                <w:szCs w:val="22"/>
              </w:rPr>
            </w:pPr>
            <w:r>
              <w:rPr>
                <w:rFonts w:hint="eastAsia"/>
                <w:sz w:val="22"/>
                <w:szCs w:val="22"/>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wAfter w:w="0" w:type="auto"/>
          <w:trHeight w:val="23" w:hRule="atLeast"/>
          <w:jc w:val="center"/>
        </w:trPr>
        <w:tc>
          <w:tcPr>
            <w:tcW w:w="844" w:type="dxa"/>
            <w:noWrap w:val="0"/>
            <w:vAlign w:val="center"/>
          </w:tcPr>
          <w:p>
            <w:pPr>
              <w:pStyle w:val="117"/>
              <w:ind w:left="6"/>
              <w:jc w:val="center"/>
              <w:rPr>
                <w:rFonts w:hint="eastAsia"/>
                <w:sz w:val="22"/>
                <w:szCs w:val="22"/>
              </w:rPr>
            </w:pPr>
            <w:r>
              <w:rPr>
                <w:rFonts w:hint="eastAsia"/>
                <w:w w:val="99"/>
                <w:sz w:val="22"/>
                <w:szCs w:val="22"/>
              </w:rPr>
              <w:t>4</w:t>
            </w:r>
          </w:p>
        </w:tc>
        <w:tc>
          <w:tcPr>
            <w:tcW w:w="1082" w:type="dxa"/>
            <w:noWrap w:val="0"/>
            <w:vAlign w:val="center"/>
          </w:tcPr>
          <w:p>
            <w:pPr>
              <w:pStyle w:val="117"/>
              <w:spacing w:before="1" w:line="302" w:lineRule="auto"/>
              <w:ind w:right="91"/>
              <w:jc w:val="center"/>
              <w:rPr>
                <w:rFonts w:hint="eastAsia"/>
                <w:color w:val="000000"/>
                <w:sz w:val="22"/>
                <w:szCs w:val="22"/>
              </w:rPr>
            </w:pPr>
            <w:r>
              <w:rPr>
                <w:rFonts w:hint="eastAsia"/>
                <w:color w:val="000000"/>
                <w:sz w:val="22"/>
                <w:szCs w:val="22"/>
              </w:rPr>
              <w:t>运维审计与风险控制系统（堡垒机）</w:t>
            </w:r>
          </w:p>
        </w:tc>
        <w:tc>
          <w:tcPr>
            <w:tcW w:w="6465" w:type="dxa"/>
            <w:noWrap w:val="0"/>
            <w:vAlign w:val="center"/>
          </w:tcPr>
          <w:p>
            <w:pPr>
              <w:pStyle w:val="117"/>
              <w:spacing w:before="35" w:line="304" w:lineRule="auto"/>
              <w:ind w:right="171"/>
              <w:rPr>
                <w:rFonts w:hint="eastAsia"/>
                <w:color w:val="000000"/>
                <w:sz w:val="22"/>
                <w:szCs w:val="22"/>
              </w:rPr>
            </w:pPr>
            <w:r>
              <w:rPr>
                <w:rFonts w:hint="eastAsia"/>
                <w:color w:val="000000"/>
                <w:spacing w:val="-17"/>
                <w:sz w:val="22"/>
                <w:szCs w:val="22"/>
              </w:rPr>
              <w:t xml:space="preserve">1、标准 </w:t>
            </w:r>
            <w:r>
              <w:rPr>
                <w:rFonts w:hint="eastAsia"/>
                <w:color w:val="000000"/>
                <w:sz w:val="22"/>
                <w:szCs w:val="22"/>
              </w:rPr>
              <w:t>1U</w:t>
            </w:r>
            <w:r>
              <w:rPr>
                <w:rFonts w:hint="eastAsia"/>
                <w:color w:val="000000"/>
                <w:spacing w:val="-18"/>
                <w:sz w:val="22"/>
                <w:szCs w:val="22"/>
              </w:rPr>
              <w:t xml:space="preserve"> 硬件</w:t>
            </w:r>
            <w:r>
              <w:rPr>
                <w:rFonts w:hint="eastAsia"/>
                <w:color w:val="000000"/>
                <w:sz w:val="22"/>
                <w:szCs w:val="22"/>
              </w:rPr>
              <w:t>，内置交流单电源。</w:t>
            </w:r>
          </w:p>
          <w:p>
            <w:pPr>
              <w:pStyle w:val="117"/>
              <w:spacing w:before="1"/>
              <w:rPr>
                <w:rFonts w:hint="eastAsia"/>
                <w:color w:val="000000"/>
                <w:sz w:val="22"/>
                <w:szCs w:val="22"/>
              </w:rPr>
            </w:pPr>
            <w:r>
              <w:rPr>
                <w:rFonts w:hint="eastAsia"/>
                <w:color w:val="000000"/>
                <w:sz w:val="22"/>
                <w:szCs w:val="22"/>
              </w:rPr>
              <w:t>2、管理网口：千兆电口*2（管理口*1，HA口*1），RJ45串口*1。</w:t>
            </w:r>
          </w:p>
          <w:p>
            <w:pPr>
              <w:pStyle w:val="117"/>
              <w:spacing w:before="1"/>
              <w:rPr>
                <w:rFonts w:hint="eastAsia"/>
                <w:color w:val="000000"/>
                <w:sz w:val="22"/>
                <w:szCs w:val="22"/>
              </w:rPr>
            </w:pPr>
            <w:r>
              <w:rPr>
                <w:rFonts w:hint="eastAsia"/>
                <w:color w:val="000000"/>
                <w:sz w:val="22"/>
                <w:szCs w:val="22"/>
                <w:lang w:val="en-US"/>
              </w:rPr>
              <w:t>3、</w:t>
            </w:r>
            <w:r>
              <w:rPr>
                <w:rFonts w:hint="eastAsia"/>
                <w:color w:val="000000"/>
                <w:sz w:val="22"/>
                <w:szCs w:val="22"/>
              </w:rPr>
              <w:t>工作网口：千兆电口*4，千兆光口*4（不含硬件bypass模块）。</w:t>
            </w:r>
          </w:p>
          <w:p>
            <w:pPr>
              <w:pStyle w:val="117"/>
              <w:spacing w:before="1"/>
              <w:rPr>
                <w:rFonts w:hint="eastAsia"/>
                <w:color w:val="000000"/>
                <w:sz w:val="22"/>
                <w:szCs w:val="22"/>
              </w:rPr>
            </w:pPr>
            <w:r>
              <w:rPr>
                <w:rFonts w:hint="eastAsia"/>
                <w:color w:val="000000"/>
                <w:sz w:val="22"/>
                <w:szCs w:val="22"/>
                <w:lang w:val="en-US"/>
              </w:rPr>
              <w:t>4、</w:t>
            </w:r>
            <w:r>
              <w:rPr>
                <w:rFonts w:hint="eastAsia"/>
                <w:color w:val="000000"/>
                <w:sz w:val="22"/>
                <w:szCs w:val="22"/>
              </w:rPr>
              <w:t>最大资产数100，最大字符连数100，最大图形连接20。</w:t>
            </w:r>
          </w:p>
          <w:p>
            <w:pPr>
              <w:pStyle w:val="117"/>
              <w:spacing w:before="1"/>
              <w:rPr>
                <w:rFonts w:hint="eastAsia"/>
                <w:color w:val="000000"/>
                <w:sz w:val="22"/>
                <w:szCs w:val="22"/>
                <w:lang w:val="en-US"/>
              </w:rPr>
            </w:pPr>
            <w:r>
              <w:rPr>
                <w:rFonts w:hint="eastAsia"/>
                <w:color w:val="000000"/>
                <w:sz w:val="22"/>
                <w:szCs w:val="22"/>
                <w:lang w:val="en-US"/>
              </w:rPr>
              <w:t>5、硬盘1T，硬盘不可拓展。</w:t>
            </w:r>
          </w:p>
          <w:p>
            <w:pPr>
              <w:pStyle w:val="117"/>
              <w:spacing w:before="1"/>
              <w:rPr>
                <w:rFonts w:hint="eastAsia"/>
                <w:color w:val="000000"/>
                <w:sz w:val="22"/>
                <w:szCs w:val="22"/>
              </w:rPr>
            </w:pPr>
            <w:r>
              <w:rPr>
                <w:rFonts w:hint="eastAsia"/>
                <w:color w:val="000000"/>
                <w:sz w:val="22"/>
                <w:szCs w:val="22"/>
                <w:lang w:val="en-US"/>
              </w:rPr>
              <w:t>6、</w:t>
            </w:r>
            <w:r>
              <w:rPr>
                <w:rFonts w:hint="eastAsia"/>
                <w:color w:val="000000"/>
                <w:sz w:val="22"/>
                <w:szCs w:val="22"/>
              </w:rPr>
              <w:t>产品内置SSL VPN模块，无需与其他VPN设备联动，实现运维入口安全接入。支持手机APP动态口令认证方式登录堡垒机，且新用户首次登录后需强制绑定APP动态口令。基于不同的用户设置不同的双因子认证模式，如用户1使用动态令牌、用户2使用USBkey、用户3使用手机APP动态口令认证。</w:t>
            </w:r>
          </w:p>
          <w:p>
            <w:pPr>
              <w:pStyle w:val="117"/>
              <w:spacing w:before="1"/>
              <w:rPr>
                <w:rFonts w:hint="eastAsia"/>
                <w:color w:val="000000"/>
                <w:sz w:val="22"/>
                <w:szCs w:val="22"/>
              </w:rPr>
            </w:pPr>
            <w:r>
              <w:rPr>
                <w:rFonts w:hint="eastAsia"/>
                <w:color w:val="000000"/>
                <w:sz w:val="22"/>
                <w:szCs w:val="22"/>
                <w:lang w:val="en-US"/>
              </w:rPr>
              <w:t>7、</w:t>
            </w:r>
            <w:r>
              <w:rPr>
                <w:rFonts w:hint="eastAsia"/>
                <w:color w:val="000000"/>
                <w:sz w:val="22"/>
                <w:szCs w:val="22"/>
              </w:rPr>
              <w:t>运维人员可以向管理员申请需要访问的设备，申请时可以选择：设备IP、设备账户、运维有效期、备注事由等，并且运维工单以邮件方式通知管理员。</w:t>
            </w:r>
          </w:p>
          <w:p>
            <w:pPr>
              <w:pStyle w:val="117"/>
              <w:spacing w:before="1"/>
              <w:rPr>
                <w:rFonts w:hint="eastAsia"/>
                <w:color w:val="000000"/>
                <w:sz w:val="22"/>
                <w:szCs w:val="22"/>
              </w:rPr>
            </w:pPr>
            <w:r>
              <w:rPr>
                <w:rFonts w:hint="eastAsia"/>
                <w:color w:val="000000"/>
                <w:sz w:val="22"/>
                <w:szCs w:val="22"/>
                <w:lang w:val="en-US"/>
              </w:rPr>
              <w:t>8、</w:t>
            </w:r>
            <w:r>
              <w:rPr>
                <w:rFonts w:hint="eastAsia"/>
                <w:color w:val="000000"/>
                <w:sz w:val="22"/>
                <w:szCs w:val="22"/>
              </w:rPr>
              <w:t>管理员对运维工单进行审核之后以邮件方式通知给运维人员；如果允许，则运维人员才可访问，否则无法访问。</w:t>
            </w:r>
          </w:p>
          <w:p>
            <w:pPr>
              <w:pStyle w:val="117"/>
              <w:spacing w:before="1"/>
              <w:rPr>
                <w:rFonts w:hint="eastAsia"/>
                <w:color w:val="000000"/>
                <w:sz w:val="22"/>
                <w:szCs w:val="22"/>
              </w:rPr>
            </w:pPr>
            <w:r>
              <w:rPr>
                <w:rFonts w:hint="eastAsia"/>
                <w:color w:val="000000"/>
                <w:sz w:val="22"/>
                <w:szCs w:val="22"/>
                <w:lang w:val="en-US"/>
              </w:rPr>
              <w:t>9、</w:t>
            </w:r>
            <w:r>
              <w:rPr>
                <w:rFonts w:hint="eastAsia"/>
                <w:color w:val="000000"/>
                <w:sz w:val="22"/>
                <w:szCs w:val="22"/>
              </w:rPr>
              <w:t>支持定期自动修改Windows服务器、网络设备、Linux/Unix等目标设备密码功能。</w:t>
            </w:r>
          </w:p>
          <w:p>
            <w:pPr>
              <w:pStyle w:val="117"/>
              <w:spacing w:before="1"/>
              <w:rPr>
                <w:rFonts w:hint="eastAsia"/>
                <w:color w:val="000000"/>
                <w:sz w:val="22"/>
                <w:szCs w:val="22"/>
                <w:lang w:val="en-US"/>
              </w:rPr>
            </w:pPr>
            <w:r>
              <w:rPr>
                <w:rFonts w:hint="eastAsia"/>
                <w:color w:val="000000"/>
                <w:sz w:val="22"/>
                <w:szCs w:val="22"/>
                <w:lang w:val="en-US"/>
              </w:rPr>
              <w:t>10、</w:t>
            </w:r>
            <w:r>
              <w:rPr>
                <w:rFonts w:hint="eastAsia"/>
                <w:color w:val="000000"/>
                <w:sz w:val="22"/>
                <w:szCs w:val="22"/>
              </w:rPr>
              <w:t>支持完善的自动改密安全保护机制，包括：改密前备份、备份失败不改密、改密后备份、密码文件加密；支持发送方式，包括邮件、FTP、SFTP等。</w:t>
            </w:r>
          </w:p>
          <w:p>
            <w:pPr>
              <w:pStyle w:val="117"/>
              <w:spacing w:before="1"/>
              <w:rPr>
                <w:rFonts w:hint="eastAsia"/>
                <w:color w:val="000000"/>
                <w:sz w:val="22"/>
                <w:szCs w:val="22"/>
              </w:rPr>
            </w:pPr>
            <w:r>
              <w:rPr>
                <w:rFonts w:hint="eastAsia"/>
                <w:color w:val="000000"/>
                <w:sz w:val="22"/>
                <w:szCs w:val="22"/>
                <w:lang w:val="en-US"/>
              </w:rPr>
              <w:t>11、</w:t>
            </w:r>
            <w:r>
              <w:rPr>
                <w:rFonts w:hint="eastAsia"/>
                <w:color w:val="000000"/>
                <w:sz w:val="22"/>
                <w:szCs w:val="22"/>
              </w:rPr>
              <w:t>支持自动密码恢复、手工验证密码、密码强度控制等。</w:t>
            </w:r>
          </w:p>
          <w:p>
            <w:pPr>
              <w:pStyle w:val="117"/>
              <w:spacing w:before="1"/>
              <w:rPr>
                <w:rFonts w:hint="eastAsia"/>
                <w:color w:val="000000"/>
                <w:sz w:val="22"/>
                <w:szCs w:val="22"/>
              </w:rPr>
            </w:pPr>
            <w:r>
              <w:rPr>
                <w:rFonts w:hint="eastAsia"/>
                <w:color w:val="000000"/>
                <w:sz w:val="22"/>
                <w:szCs w:val="22"/>
                <w:lang w:val="en-US"/>
              </w:rPr>
              <w:t>12、</w:t>
            </w:r>
            <w:r>
              <w:rPr>
                <w:rFonts w:hint="eastAsia"/>
                <w:color w:val="000000"/>
                <w:sz w:val="22"/>
                <w:szCs w:val="22"/>
              </w:rPr>
              <w:t>至少支持使用IE、谷歌、火狐三种浏览器打开堡垒机的Web页面直接调用MSTSC、VNC、Xshell、SecureCRT、Putty、WINSCP、FlashFXP、FileZilla、SecureFX等运维客户端工具。</w:t>
            </w:r>
          </w:p>
          <w:p>
            <w:pPr>
              <w:pStyle w:val="117"/>
              <w:spacing w:before="1"/>
              <w:rPr>
                <w:rFonts w:hint="eastAsia"/>
                <w:color w:val="000000"/>
                <w:sz w:val="22"/>
                <w:szCs w:val="22"/>
              </w:rPr>
            </w:pPr>
            <w:r>
              <w:rPr>
                <w:rFonts w:hint="eastAsia"/>
                <w:color w:val="000000"/>
                <w:sz w:val="22"/>
                <w:szCs w:val="22"/>
                <w:lang w:val="en-US"/>
              </w:rPr>
              <w:t>13、</w:t>
            </w:r>
            <w:r>
              <w:rPr>
                <w:rFonts w:hint="eastAsia"/>
                <w:color w:val="000000"/>
                <w:sz w:val="22"/>
                <w:szCs w:val="22"/>
              </w:rPr>
              <w:t>支持SSH、Telnet、Rlogin、RDP、VNC协议的H5运维，无需本地运维客户端工具。</w:t>
            </w:r>
          </w:p>
          <w:p>
            <w:pPr>
              <w:pStyle w:val="117"/>
              <w:spacing w:before="1"/>
              <w:rPr>
                <w:rFonts w:hint="eastAsia"/>
                <w:color w:val="000000"/>
                <w:sz w:val="22"/>
                <w:szCs w:val="22"/>
              </w:rPr>
            </w:pPr>
            <w:r>
              <w:rPr>
                <w:rFonts w:hint="eastAsia"/>
                <w:color w:val="000000"/>
                <w:sz w:val="22"/>
                <w:szCs w:val="22"/>
                <w:lang w:val="en-US"/>
              </w:rPr>
              <w:t>14、</w:t>
            </w:r>
            <w:r>
              <w:rPr>
                <w:rFonts w:hint="eastAsia"/>
                <w:color w:val="000000"/>
                <w:sz w:val="22"/>
                <w:szCs w:val="22"/>
              </w:rPr>
              <w:t>支持使用本地的SecurCRT/XShell/OpenSSH工具通过SSH网关代理方式直接登录字符设备。</w:t>
            </w:r>
          </w:p>
          <w:p>
            <w:pPr>
              <w:pStyle w:val="117"/>
              <w:spacing w:before="1"/>
              <w:rPr>
                <w:rFonts w:hint="eastAsia"/>
                <w:color w:val="000000"/>
                <w:sz w:val="22"/>
                <w:szCs w:val="22"/>
              </w:rPr>
            </w:pPr>
            <w:r>
              <w:rPr>
                <w:rFonts w:hint="eastAsia"/>
                <w:color w:val="000000"/>
                <w:sz w:val="22"/>
                <w:szCs w:val="22"/>
                <w:lang w:val="en-US"/>
              </w:rPr>
              <w:t>15、</w:t>
            </w:r>
            <w:r>
              <w:rPr>
                <w:rFonts w:hint="eastAsia"/>
                <w:color w:val="000000"/>
                <w:sz w:val="22"/>
                <w:szCs w:val="22"/>
              </w:rPr>
              <w:t>支持在Mac电脑里使用navicat工具通过堡垒机登录MySQL、Oracle等数据库服务器。</w:t>
            </w:r>
          </w:p>
          <w:p>
            <w:pPr>
              <w:pStyle w:val="117"/>
              <w:spacing w:before="1"/>
              <w:rPr>
                <w:rFonts w:hint="eastAsia"/>
                <w:color w:val="000000"/>
                <w:sz w:val="22"/>
                <w:szCs w:val="22"/>
              </w:rPr>
            </w:pPr>
            <w:r>
              <w:rPr>
                <w:rFonts w:hint="eastAsia"/>
                <w:color w:val="000000"/>
                <w:sz w:val="22"/>
                <w:szCs w:val="22"/>
                <w:lang w:val="en-US"/>
              </w:rPr>
              <w:t>16、</w:t>
            </w:r>
            <w:r>
              <w:rPr>
                <w:rFonts w:hint="eastAsia"/>
                <w:color w:val="000000"/>
                <w:sz w:val="22"/>
                <w:szCs w:val="22"/>
              </w:rPr>
              <w:t>支持保存RDP粘贴板（桌面之间复制-粘贴）传输的原始文件。</w:t>
            </w:r>
          </w:p>
          <w:p>
            <w:pPr>
              <w:pStyle w:val="117"/>
              <w:spacing w:before="1"/>
              <w:rPr>
                <w:rFonts w:hint="eastAsia"/>
                <w:color w:val="000000"/>
                <w:sz w:val="22"/>
                <w:szCs w:val="22"/>
              </w:rPr>
            </w:pPr>
            <w:r>
              <w:rPr>
                <w:rFonts w:hint="eastAsia"/>
                <w:color w:val="000000"/>
                <w:sz w:val="22"/>
                <w:szCs w:val="22"/>
                <w:lang w:val="en-US"/>
              </w:rPr>
              <w:t>17、</w:t>
            </w:r>
            <w:r>
              <w:rPr>
                <w:rFonts w:hint="eastAsia"/>
                <w:color w:val="000000"/>
                <w:sz w:val="22"/>
                <w:szCs w:val="22"/>
              </w:rPr>
              <w:t>支持全局搜索审计日志，无需区分图形/字符/文件/应用类型，只需通过关键信息直接搜索定位。</w:t>
            </w:r>
          </w:p>
          <w:p>
            <w:pPr>
              <w:pStyle w:val="117"/>
              <w:spacing w:before="1"/>
              <w:rPr>
                <w:rFonts w:hint="eastAsia"/>
                <w:color w:val="000000"/>
                <w:sz w:val="22"/>
                <w:szCs w:val="22"/>
              </w:rPr>
            </w:pPr>
            <w:r>
              <w:rPr>
                <w:rFonts w:hint="eastAsia"/>
                <w:color w:val="000000"/>
                <w:sz w:val="22"/>
                <w:szCs w:val="22"/>
                <w:lang w:val="en-US"/>
              </w:rPr>
              <w:t>18、</w:t>
            </w:r>
            <w:r>
              <w:rPr>
                <w:rFonts w:hint="eastAsia"/>
                <w:color w:val="000000"/>
                <w:sz w:val="22"/>
                <w:szCs w:val="22"/>
              </w:rPr>
              <w:t>审计数据支持通过SFTP/FTP方式自动归档，并在页面中可以查询数据是否归档，可以设置归档成功之后自动删除数据，归档后的数据可以用专用播放器离线查看。</w:t>
            </w:r>
          </w:p>
          <w:p>
            <w:pPr>
              <w:pStyle w:val="117"/>
              <w:spacing w:before="1"/>
              <w:rPr>
                <w:rFonts w:hint="eastAsia"/>
                <w:color w:val="000000"/>
                <w:sz w:val="22"/>
                <w:szCs w:val="22"/>
                <w:lang w:val="en-US"/>
              </w:rPr>
            </w:pPr>
            <w:r>
              <w:rPr>
                <w:rFonts w:hint="eastAsia"/>
                <w:color w:val="000000"/>
                <w:sz w:val="22"/>
                <w:szCs w:val="22"/>
                <w:lang w:val="en-US"/>
              </w:rPr>
              <w:t>19</w:t>
            </w:r>
            <w:r>
              <w:rPr>
                <w:rFonts w:hint="eastAsia"/>
                <w:color w:val="000000"/>
                <w:sz w:val="22"/>
                <w:szCs w:val="22"/>
              </w:rPr>
              <w:t>提供不少于五年产品质保服务，须包含硬件保修、故障排查等服务内容。</w:t>
            </w:r>
          </w:p>
          <w:p>
            <w:pPr>
              <w:pStyle w:val="117"/>
              <w:spacing w:before="1"/>
              <w:rPr>
                <w:rFonts w:hint="eastAsia"/>
                <w:color w:val="000000"/>
                <w:sz w:val="22"/>
                <w:szCs w:val="22"/>
              </w:rPr>
            </w:pPr>
            <w:r>
              <w:rPr>
                <w:rFonts w:hint="eastAsia"/>
                <w:color w:val="000000"/>
                <w:sz w:val="22"/>
                <w:szCs w:val="22"/>
                <w:lang w:val="en-US"/>
              </w:rPr>
              <w:t>20、</w:t>
            </w:r>
            <w:r>
              <w:rPr>
                <w:rFonts w:hint="eastAsia"/>
                <w:color w:val="000000"/>
                <w:sz w:val="22"/>
                <w:szCs w:val="22"/>
              </w:rPr>
              <w:t>具备公安部颁发的身份鉴别《计算机信息系统安全专用产品销售许可证》。</w:t>
            </w:r>
          </w:p>
        </w:tc>
        <w:tc>
          <w:tcPr>
            <w:tcW w:w="700" w:type="dxa"/>
            <w:noWrap w:val="0"/>
            <w:vAlign w:val="center"/>
          </w:tcPr>
          <w:p>
            <w:pPr>
              <w:pStyle w:val="117"/>
              <w:jc w:val="center"/>
              <w:rPr>
                <w:rFonts w:hint="eastAsia"/>
                <w:w w:val="99"/>
                <w:sz w:val="22"/>
                <w:szCs w:val="22"/>
              </w:rPr>
            </w:pPr>
          </w:p>
          <w:p>
            <w:pPr>
              <w:pStyle w:val="117"/>
              <w:jc w:val="center"/>
              <w:rPr>
                <w:rFonts w:hint="eastAsia"/>
                <w:sz w:val="22"/>
                <w:szCs w:val="22"/>
              </w:rPr>
            </w:pPr>
            <w:r>
              <w:rPr>
                <w:rFonts w:hint="eastAsia"/>
                <w:w w:val="99"/>
                <w:sz w:val="22"/>
                <w:szCs w:val="22"/>
              </w:rPr>
              <w:t>套</w:t>
            </w:r>
          </w:p>
        </w:tc>
        <w:tc>
          <w:tcPr>
            <w:tcW w:w="562" w:type="dxa"/>
            <w:noWrap w:val="0"/>
            <w:vAlign w:val="center"/>
          </w:tcPr>
          <w:p>
            <w:pPr>
              <w:pStyle w:val="117"/>
              <w:jc w:val="center"/>
              <w:rPr>
                <w:rFonts w:hint="eastAsia"/>
                <w:sz w:val="22"/>
                <w:szCs w:val="22"/>
                <w:lang w:val="en-US"/>
              </w:rPr>
            </w:pPr>
            <w:r>
              <w:rPr>
                <w:rFonts w:hint="eastAsia"/>
                <w:sz w:val="22"/>
                <w:szCs w:val="22"/>
                <w:lang w:val="en-US"/>
              </w:rPr>
              <w:t>1</w:t>
            </w:r>
          </w:p>
        </w:tc>
      </w:tr>
    </w:tbl>
    <w:p>
      <w:pPr>
        <w:spacing w:line="360" w:lineRule="auto"/>
        <w:ind w:right="-45"/>
        <w:rPr>
          <w:rFonts w:hint="eastAsia" w:ascii="宋体" w:hAnsi="宋体" w:cs="宋体"/>
          <w:color w:val="000000"/>
          <w:sz w:val="22"/>
          <w:szCs w:val="22"/>
        </w:rPr>
      </w:pPr>
      <w:r>
        <w:rPr>
          <w:rFonts w:hint="eastAsia" w:ascii="宋体" w:hAnsi="宋体" w:cs="宋体"/>
          <w:color w:val="000000"/>
          <w:sz w:val="22"/>
          <w:szCs w:val="22"/>
        </w:rPr>
        <w:t>本次采购项目的相关说明</w:t>
      </w:r>
    </w:p>
    <w:p>
      <w:pPr>
        <w:numPr>
          <w:ilvl w:val="0"/>
          <w:numId w:val="11"/>
        </w:numPr>
        <w:spacing w:line="360" w:lineRule="auto"/>
        <w:ind w:right="-45"/>
        <w:rPr>
          <w:rFonts w:hint="eastAsia" w:ascii="宋体" w:hAnsi="宋体" w:cs="宋体"/>
          <w:sz w:val="22"/>
          <w:szCs w:val="22"/>
        </w:rPr>
      </w:pPr>
      <w:r>
        <w:rPr>
          <w:rFonts w:hint="eastAsia" w:ascii="宋体" w:hAnsi="宋体" w:cs="宋体"/>
          <w:sz w:val="22"/>
          <w:szCs w:val="22"/>
        </w:rPr>
        <w:t xml:space="preserve">★本项目为交钥匙工程（包括供货、安装调试及维护等），无论实际施工、安装的配件材料数量是否增加，招标人均视为已包含在本次投标报价中，投标供应商不得要求增加任何费用，采购人有权力根据实际情况进行调整，如上浮在中标金额2%（四舍五入）内的，合同总价不作调整，如上浮超过2%，经工程造价结算超过2%以上的部分（需剔除上浮2%的），可以纳入最终合同总价并支付。供应商须自行现场勘察，以求得准确的报价依据。供应商须自行考虑投标报价的风险。 </w:t>
      </w:r>
    </w:p>
    <w:p>
      <w:pPr>
        <w:numPr>
          <w:ilvl w:val="0"/>
          <w:numId w:val="11"/>
        </w:numPr>
        <w:spacing w:line="360" w:lineRule="auto"/>
        <w:ind w:right="-45"/>
        <w:rPr>
          <w:rFonts w:hint="eastAsia" w:ascii="宋体" w:hAnsi="宋体" w:cs="宋体"/>
          <w:sz w:val="22"/>
          <w:szCs w:val="22"/>
        </w:rPr>
      </w:pPr>
      <w:r>
        <w:rPr>
          <w:rFonts w:hint="eastAsia" w:ascii="宋体" w:hAnsi="宋体" w:cs="宋体"/>
          <w:sz w:val="22"/>
          <w:szCs w:val="22"/>
        </w:rPr>
        <w:t xml:space="preserve">制造商、质保期等应在投标文件的相应部分明确，对招标文件的技术条款及其它要求应予以实质性响应，如有偏离须在偏离表中注明，否则可能造成对投标供应商的不利评定。 </w:t>
      </w:r>
    </w:p>
    <w:p>
      <w:pPr>
        <w:numPr>
          <w:ilvl w:val="0"/>
          <w:numId w:val="11"/>
        </w:numPr>
        <w:spacing w:line="360" w:lineRule="auto"/>
        <w:ind w:right="-45"/>
        <w:rPr>
          <w:rFonts w:hint="eastAsia" w:ascii="宋体" w:hAnsi="宋体" w:cs="宋体"/>
          <w:sz w:val="22"/>
          <w:szCs w:val="22"/>
        </w:rPr>
      </w:pPr>
      <w:r>
        <w:rPr>
          <w:rFonts w:hint="eastAsia" w:ascii="宋体" w:hAnsi="宋体" w:cs="宋体"/>
          <w:sz w:val="22"/>
          <w:szCs w:val="22"/>
        </w:rPr>
        <w:t>★投标供应商须提供《招标内容及要求》中未提及，但设备正常运行所必须的配件，并在投标文件中注明。</w:t>
      </w:r>
    </w:p>
    <w:p>
      <w:pPr>
        <w:numPr>
          <w:ilvl w:val="0"/>
          <w:numId w:val="11"/>
        </w:numPr>
        <w:spacing w:line="360" w:lineRule="auto"/>
        <w:ind w:right="-45"/>
        <w:rPr>
          <w:rFonts w:hint="eastAsia" w:ascii="宋体" w:hAnsi="宋体" w:cs="宋体"/>
          <w:sz w:val="22"/>
          <w:szCs w:val="22"/>
        </w:rPr>
      </w:pPr>
      <w:r>
        <w:rPr>
          <w:rFonts w:hint="eastAsia" w:ascii="宋体" w:hAnsi="宋体" w:cs="宋体"/>
          <w:sz w:val="22"/>
          <w:szCs w:val="22"/>
        </w:rPr>
        <w:t>本标书中的技术要求不得被认为是详尽无遗的，无论规定与否，投标供应商应提供所有招标文件没有规定但投标供应商认为完成本项目必要或必须的设备和材料、辅件，并应在投标分项报价表中一一列明。凡为设备配置的软件服务需要按年或其他任何方式额外收取服务费用的，投标商必须在投标文件中列出相应价格费用，否则视为免费提供。</w:t>
      </w:r>
    </w:p>
    <w:p>
      <w:pPr>
        <w:numPr>
          <w:ilvl w:val="0"/>
          <w:numId w:val="11"/>
        </w:numPr>
        <w:spacing w:line="360" w:lineRule="auto"/>
        <w:ind w:right="-45"/>
        <w:rPr>
          <w:rFonts w:hint="eastAsia" w:ascii="宋体" w:hAnsi="宋体" w:cs="宋体"/>
          <w:sz w:val="22"/>
          <w:szCs w:val="22"/>
        </w:rPr>
      </w:pPr>
      <w:r>
        <w:rPr>
          <w:rFonts w:hint="eastAsia" w:ascii="宋体" w:hAnsi="宋体" w:cs="宋体"/>
          <w:sz w:val="22"/>
          <w:szCs w:val="22"/>
        </w:rPr>
        <w:t>本标书中所列设备的技术性能及配置均为最低要求，投标供应商选用的设备配置、技术性能应相当于或高于招标文件要求，并完全满足采购需要，否则将可能作出对投标供应商不利的评定。本招标文件中给出的设备如出现具体品牌型号，仅作为参考，欢迎选用更优的品牌产品参与投标；除招标文件明确的推荐品牌外，欢迎其他符合或优于招标文件要求的品牌参与投标。</w:t>
      </w:r>
    </w:p>
    <w:p>
      <w:pPr>
        <w:numPr>
          <w:ilvl w:val="0"/>
          <w:numId w:val="11"/>
        </w:numPr>
        <w:spacing w:line="360" w:lineRule="auto"/>
        <w:ind w:right="-45"/>
        <w:rPr>
          <w:rFonts w:hint="eastAsia" w:ascii="宋体" w:hAnsi="宋体" w:cs="宋体"/>
          <w:sz w:val="22"/>
          <w:szCs w:val="22"/>
        </w:rPr>
      </w:pPr>
      <w:r>
        <w:rPr>
          <w:rFonts w:hint="eastAsia" w:ascii="宋体" w:hAnsi="宋体" w:cs="宋体"/>
          <w:sz w:val="22"/>
          <w:szCs w:val="22"/>
        </w:rPr>
        <w:t>★投标商提供的所有货物必须为原包装、未拆封的正规行货（包括在标配基础上增加的配置也必须为原厂原配），必须具备原制造厂商的铭牌、标志，符合制造商公布的质量标准，所有的货物必须通过合法渠道，不得串货。本项目中出现的任何涉及非法货物的纠纷，均由乙方承担全部法律责任，同时如发现为串货设备，投标商除无偿更换设备外还须按照违约条例进行处罚。</w:t>
      </w:r>
    </w:p>
    <w:p>
      <w:pPr>
        <w:numPr>
          <w:ilvl w:val="0"/>
          <w:numId w:val="11"/>
        </w:numPr>
        <w:spacing w:line="360" w:lineRule="auto"/>
        <w:ind w:right="-45"/>
        <w:rPr>
          <w:rFonts w:ascii="宋体" w:hAnsi="宋体"/>
          <w:sz w:val="22"/>
          <w:szCs w:val="22"/>
        </w:rPr>
      </w:pPr>
      <w:r>
        <w:rPr>
          <w:rFonts w:hint="eastAsia" w:ascii="宋体" w:hAnsi="宋体" w:cs="宋体"/>
          <w:sz w:val="22"/>
          <w:szCs w:val="22"/>
        </w:rPr>
        <w:t>投标商应保证招标人在中华人民共和国合法使用投标商提供的设备或软件的任何一部分时，免受第三方提出的侵犯其专利权、商标权、工业设计权或其他知识产权的起诉。如发生此类纠纷，由投标商承担一切责任。</w:t>
      </w:r>
    </w:p>
    <w:p>
      <w:pPr>
        <w:numPr>
          <w:ilvl w:val="0"/>
          <w:numId w:val="11"/>
        </w:numPr>
        <w:spacing w:line="360" w:lineRule="auto"/>
        <w:ind w:right="-45"/>
        <w:rPr>
          <w:rFonts w:hint="eastAsia" w:ascii="宋体" w:hAnsi="宋体" w:cs="宋体"/>
          <w:sz w:val="22"/>
          <w:szCs w:val="22"/>
        </w:rPr>
      </w:pPr>
      <w:r>
        <w:rPr>
          <w:rFonts w:hint="eastAsia" w:ascii="宋体" w:hAnsi="宋体"/>
          <w:sz w:val="22"/>
          <w:szCs w:val="22"/>
        </w:rPr>
        <w:t>中</w:t>
      </w:r>
      <w:r>
        <w:rPr>
          <w:rFonts w:hint="eastAsia" w:ascii="宋体" w:hAnsi="宋体" w:cs="宋体"/>
          <w:sz w:val="22"/>
          <w:szCs w:val="22"/>
        </w:rPr>
        <w:t>标供应商不具备相应资质的，经采购人同意，可将装饰或加固部分委托有相应资质（建筑装修装饰工程专业承包资质、特种工程专业承包（结构补强）资质）的单位负责项目施工，投标人需提供完整的项目施工方案及施工团队资料。施工队伍中所涉及的专业施工人员必须具备相应技术资格（项目班子成员要求：</w:t>
      </w:r>
      <w:bookmarkStart w:id="31" w:name="EBd916966e95d946229af432976da2b4d4"/>
      <w:r>
        <w:rPr>
          <w:rFonts w:hint="eastAsia" w:ascii="宋体" w:hAnsi="宋体" w:cs="宋体"/>
          <w:sz w:val="22"/>
          <w:szCs w:val="22"/>
        </w:rPr>
        <w:t>项目负责人1人，项目技术负责人1名，施工员 1 人，质检员 1 人,安全员1人。</w:t>
      </w:r>
      <w:bookmarkEnd w:id="31"/>
      <w:r>
        <w:rPr>
          <w:rFonts w:hint="eastAsia" w:ascii="宋体" w:hAnsi="宋体" w:cs="宋体"/>
          <w:sz w:val="22"/>
          <w:szCs w:val="22"/>
        </w:rPr>
        <w:t>装修项目负责人：建筑工程专业注册建造师贰级及以上，同时具有“三类人员”安全生产考核B类合格证。）及丰富的工程施工经验，签署合同前提供分包合同。</w:t>
      </w:r>
    </w:p>
    <w:p>
      <w:pPr>
        <w:spacing w:line="360" w:lineRule="auto"/>
        <w:ind w:right="-45"/>
        <w:rPr>
          <w:rFonts w:hint="eastAsia" w:ascii="宋体" w:hAnsi="宋体" w:cs="宋体"/>
          <w:color w:val="000000"/>
          <w:sz w:val="22"/>
          <w:szCs w:val="22"/>
        </w:rPr>
      </w:pPr>
      <w:r>
        <w:rPr>
          <w:rFonts w:hint="eastAsia" w:ascii="宋体" w:hAnsi="宋体" w:cs="宋体"/>
          <w:color w:val="000000"/>
          <w:sz w:val="22"/>
          <w:szCs w:val="22"/>
        </w:rPr>
        <w:t>三、商务条款</w:t>
      </w:r>
    </w:p>
    <w:p>
      <w:pPr>
        <w:pStyle w:val="24"/>
        <w:adjustRightInd w:val="0"/>
        <w:snapToGrid w:val="0"/>
        <w:spacing w:line="520" w:lineRule="exact"/>
        <w:ind w:firstLine="480"/>
        <w:rPr>
          <w:rFonts w:hint="eastAsia" w:hAnsi="宋体" w:cs="宋体"/>
          <w:color w:val="000000"/>
          <w:sz w:val="22"/>
          <w:szCs w:val="22"/>
        </w:rPr>
      </w:pPr>
      <w:r>
        <w:rPr>
          <w:rFonts w:hint="eastAsia" w:hAnsi="宋体" w:cs="宋体"/>
          <w:color w:val="000000"/>
          <w:sz w:val="22"/>
          <w:szCs w:val="22"/>
        </w:rPr>
        <w:t>1.1本项目所有货物质保期为3年（标书另行规定的除外），质保期从验收合格交付使用之日起算，软件系统提供终身免费升级及维护。</w:t>
      </w:r>
    </w:p>
    <w:p>
      <w:pPr>
        <w:pStyle w:val="24"/>
        <w:adjustRightInd w:val="0"/>
        <w:snapToGrid w:val="0"/>
        <w:spacing w:line="520" w:lineRule="exact"/>
        <w:ind w:firstLine="480"/>
        <w:rPr>
          <w:rFonts w:hint="eastAsia" w:hAnsi="宋体" w:cs="宋体"/>
          <w:color w:val="000000"/>
          <w:sz w:val="22"/>
          <w:szCs w:val="22"/>
        </w:rPr>
      </w:pPr>
      <w:r>
        <w:rPr>
          <w:rFonts w:hint="eastAsia" w:hAnsi="宋体" w:cs="宋体"/>
          <w:color w:val="000000"/>
          <w:sz w:val="22"/>
          <w:szCs w:val="22"/>
        </w:rPr>
        <w:t>1.2.在质保期内，成交供应商应负责对其提供的货物包修包换，不收取额外费用，响应时间必须满足系统正常运行的要求。</w:t>
      </w:r>
    </w:p>
    <w:p>
      <w:pPr>
        <w:snapToGrid w:val="0"/>
        <w:spacing w:line="520" w:lineRule="exact"/>
        <w:ind w:firstLine="440" w:firstLineChars="200"/>
        <w:rPr>
          <w:rFonts w:hint="eastAsia" w:ascii="宋体" w:hAnsi="宋体" w:cs="宋体"/>
          <w:color w:val="000000"/>
          <w:sz w:val="22"/>
          <w:szCs w:val="22"/>
        </w:rPr>
      </w:pPr>
      <w:r>
        <w:rPr>
          <w:rFonts w:hint="eastAsia" w:ascii="宋体" w:hAnsi="宋体" w:cs="宋体"/>
          <w:color w:val="000000"/>
          <w:sz w:val="22"/>
          <w:szCs w:val="22"/>
        </w:rPr>
        <w:t>1.3.质量保修期内，要求供应商7×24小时电话响应技术咨询；除非竞争性磋商采购文件另有规定，供应商须在接到采购人维修要求电话后，5小时内派技术人员到现场维修，维修过程中所需材料成交供应商在接到通知后应及时提供，最长不超过24小时必须送达采购人。若短期无法修复的，应及时提供相应备用设备供采购人使用。</w:t>
      </w:r>
    </w:p>
    <w:p>
      <w:pPr>
        <w:snapToGrid w:val="0"/>
        <w:spacing w:line="520" w:lineRule="exact"/>
        <w:ind w:firstLine="440" w:firstLineChars="200"/>
        <w:rPr>
          <w:rFonts w:hint="eastAsia" w:ascii="宋体" w:hAnsi="宋体" w:cs="宋体"/>
          <w:color w:val="000000"/>
          <w:sz w:val="22"/>
          <w:szCs w:val="22"/>
        </w:rPr>
      </w:pPr>
      <w:r>
        <w:rPr>
          <w:rFonts w:hint="eastAsia" w:ascii="宋体" w:hAnsi="宋体" w:cs="宋体"/>
          <w:color w:val="000000"/>
          <w:sz w:val="22"/>
          <w:szCs w:val="22"/>
        </w:rPr>
        <w:t>1.4.供应商在报价文件中须说明保修期内提供的服务计划。</w:t>
      </w:r>
    </w:p>
    <w:p>
      <w:pPr>
        <w:snapToGrid w:val="0"/>
        <w:spacing w:line="520" w:lineRule="exact"/>
        <w:ind w:firstLine="440" w:firstLineChars="200"/>
        <w:rPr>
          <w:rFonts w:hint="eastAsia" w:ascii="宋体" w:hAnsi="宋体" w:cs="宋体"/>
          <w:color w:val="000000"/>
          <w:sz w:val="22"/>
          <w:szCs w:val="22"/>
        </w:rPr>
      </w:pPr>
      <w:r>
        <w:rPr>
          <w:rFonts w:hint="eastAsia" w:ascii="宋体" w:hAnsi="宋体" w:cs="宋体"/>
          <w:color w:val="000000"/>
          <w:sz w:val="22"/>
          <w:szCs w:val="22"/>
        </w:rPr>
        <w:t>1.5．售后服务</w:t>
      </w:r>
    </w:p>
    <w:p>
      <w:pPr>
        <w:snapToGrid w:val="0"/>
        <w:spacing w:line="520" w:lineRule="exact"/>
        <w:ind w:firstLine="482"/>
        <w:rPr>
          <w:rFonts w:hint="eastAsia" w:ascii="宋体" w:hAnsi="宋体" w:cs="宋体"/>
          <w:color w:val="000000"/>
          <w:sz w:val="22"/>
          <w:szCs w:val="22"/>
        </w:rPr>
      </w:pPr>
      <w:r>
        <w:rPr>
          <w:rFonts w:hint="eastAsia" w:ascii="宋体" w:hAnsi="宋体" w:cs="宋体"/>
          <w:color w:val="000000"/>
          <w:sz w:val="22"/>
          <w:szCs w:val="22"/>
        </w:rPr>
        <w:t>1.5.1成交供应商须提供符合规格和质量标准的全新合格产品。如发生所供商品与合同不符，采购人（使用方）有权拒收或者更换。</w:t>
      </w:r>
    </w:p>
    <w:p>
      <w:pPr>
        <w:pStyle w:val="2"/>
        <w:spacing w:line="520" w:lineRule="exact"/>
        <w:ind w:firstLine="420"/>
        <w:rPr>
          <w:rFonts w:hint="eastAsia" w:ascii="宋体" w:hAnsi="宋体" w:cs="宋体"/>
          <w:color w:val="000000"/>
          <w:sz w:val="22"/>
          <w:szCs w:val="22"/>
        </w:rPr>
      </w:pPr>
      <w:r>
        <w:rPr>
          <w:rFonts w:hint="eastAsia" w:ascii="宋体" w:hAnsi="宋体" w:cs="宋体"/>
          <w:color w:val="000000"/>
          <w:sz w:val="22"/>
          <w:szCs w:val="22"/>
        </w:rPr>
        <w:t>1.5.2成交供应商须提供系统软件免费升级服务，并根据采购人的实战需求，对平台功能进行完善，并为采购人不同平台系统平台建设免费提供接口技术服务。</w:t>
      </w:r>
    </w:p>
    <w:p>
      <w:pPr>
        <w:pStyle w:val="2"/>
        <w:spacing w:line="520" w:lineRule="exact"/>
        <w:ind w:firstLine="420"/>
        <w:rPr>
          <w:rFonts w:hint="eastAsia" w:ascii="宋体" w:hAnsi="宋体" w:cs="宋体"/>
          <w:color w:val="000000"/>
          <w:sz w:val="22"/>
          <w:szCs w:val="22"/>
        </w:rPr>
      </w:pPr>
      <w:r>
        <w:rPr>
          <w:rFonts w:hint="eastAsia" w:ascii="宋体" w:hAnsi="宋体" w:cs="宋体"/>
          <w:color w:val="000000"/>
          <w:sz w:val="22"/>
          <w:szCs w:val="22"/>
        </w:rPr>
        <w:t>1.5.3 成交供应商定期派驻技术到采购方上门维保服务，每年不少于2次以上。</w:t>
      </w:r>
    </w:p>
    <w:p>
      <w:pPr>
        <w:pStyle w:val="2"/>
        <w:spacing w:line="520" w:lineRule="exact"/>
        <w:ind w:firstLine="420"/>
        <w:rPr>
          <w:rFonts w:hint="eastAsia" w:ascii="宋体" w:hAnsi="宋体" w:cs="宋体"/>
          <w:color w:val="000000"/>
          <w:sz w:val="22"/>
          <w:szCs w:val="22"/>
        </w:rPr>
      </w:pPr>
      <w:r>
        <w:rPr>
          <w:rFonts w:hint="eastAsia" w:ascii="宋体" w:hAnsi="宋体" w:cs="宋体"/>
          <w:color w:val="000000"/>
          <w:sz w:val="22"/>
          <w:szCs w:val="22"/>
        </w:rPr>
        <w:t>1.5.4成交供应商承诺售后服务及运维服务内容</w:t>
      </w:r>
    </w:p>
    <w:p>
      <w:pPr>
        <w:pStyle w:val="2"/>
        <w:spacing w:line="520" w:lineRule="exact"/>
        <w:ind w:firstLine="420"/>
        <w:rPr>
          <w:rFonts w:hint="eastAsia" w:ascii="宋体" w:hAnsi="宋体" w:cs="宋体"/>
          <w:color w:val="000000"/>
          <w:sz w:val="22"/>
          <w:szCs w:val="22"/>
        </w:rPr>
      </w:pPr>
      <w:r>
        <w:rPr>
          <w:rFonts w:hint="eastAsia" w:ascii="宋体" w:hAnsi="宋体" w:cs="宋体"/>
          <w:color w:val="000000"/>
          <w:sz w:val="22"/>
          <w:szCs w:val="22"/>
        </w:rPr>
        <w:t xml:space="preserve">2、付款方式： </w:t>
      </w:r>
    </w:p>
    <w:p>
      <w:pPr>
        <w:pStyle w:val="2"/>
        <w:spacing w:line="520" w:lineRule="exact"/>
        <w:ind w:firstLine="420"/>
        <w:rPr>
          <w:rFonts w:hint="eastAsia" w:ascii="宋体" w:hAnsi="宋体" w:cs="宋体"/>
          <w:color w:val="000000"/>
          <w:sz w:val="22"/>
          <w:szCs w:val="22"/>
        </w:rPr>
      </w:pPr>
      <w:r>
        <w:rPr>
          <w:rFonts w:hint="eastAsia" w:ascii="宋体" w:hAnsi="宋体" w:cs="宋体"/>
          <w:color w:val="000000"/>
          <w:sz w:val="22"/>
          <w:szCs w:val="22"/>
          <w:lang w:val="zh-TW"/>
        </w:rPr>
        <w:t>2.1</w:t>
      </w:r>
      <w:r>
        <w:rPr>
          <w:rFonts w:hint="eastAsia" w:ascii="宋体" w:hAnsi="宋体" w:cs="宋体"/>
          <w:color w:val="000000"/>
          <w:sz w:val="22"/>
          <w:szCs w:val="22"/>
        </w:rPr>
        <w:t>付款方式：递交5%履约保证金（可提供保函），成交供应商签订合同并人员进场后5个工作日内支付合同总价30%，验收合格后支付合同总价50%，运维使用1年后，无发现质保及运维问题的，支付支付合同总价剩余的20%。质保期限结束后，无息退还履约保证金。</w:t>
      </w:r>
    </w:p>
    <w:p>
      <w:pPr>
        <w:widowControl/>
        <w:autoSpaceDE w:val="0"/>
        <w:autoSpaceDN w:val="0"/>
        <w:adjustRightInd w:val="0"/>
        <w:spacing w:line="520" w:lineRule="exact"/>
        <w:ind w:firstLine="440" w:firstLineChars="200"/>
        <w:textAlignment w:val="bottom"/>
        <w:rPr>
          <w:rFonts w:hint="eastAsia" w:ascii="宋体" w:hAnsi="宋体" w:cs="宋体"/>
          <w:color w:val="000000"/>
          <w:sz w:val="22"/>
          <w:szCs w:val="22"/>
        </w:rPr>
      </w:pPr>
      <w:r>
        <w:rPr>
          <w:rFonts w:hint="eastAsia" w:ascii="宋体" w:hAnsi="宋体" w:cs="宋体"/>
          <w:color w:val="000000"/>
          <w:sz w:val="22"/>
          <w:szCs w:val="22"/>
        </w:rPr>
        <w:t>3、培训：</w:t>
      </w:r>
    </w:p>
    <w:p>
      <w:pPr>
        <w:widowControl/>
        <w:autoSpaceDE w:val="0"/>
        <w:autoSpaceDN w:val="0"/>
        <w:adjustRightInd w:val="0"/>
        <w:spacing w:line="520" w:lineRule="exact"/>
        <w:ind w:firstLine="440" w:firstLineChars="200"/>
        <w:textAlignment w:val="bottom"/>
        <w:rPr>
          <w:rFonts w:hint="eastAsia" w:ascii="宋体" w:hAnsi="宋体" w:cs="宋体"/>
          <w:color w:val="000000"/>
          <w:sz w:val="22"/>
          <w:szCs w:val="22"/>
        </w:rPr>
      </w:pPr>
      <w:r>
        <w:rPr>
          <w:rFonts w:hint="eastAsia" w:ascii="宋体" w:hAnsi="宋体" w:cs="宋体"/>
          <w:color w:val="000000"/>
          <w:sz w:val="22"/>
          <w:szCs w:val="22"/>
        </w:rPr>
        <w:t>3.1成交供应商应对采购人的使用人及维修人员提供软件、硬件使用运维培训，使其能对货物进行日常的维护保养及能对一般故障进行维修。</w:t>
      </w:r>
    </w:p>
    <w:p>
      <w:pPr>
        <w:adjustRightInd w:val="0"/>
        <w:snapToGrid w:val="0"/>
        <w:spacing w:line="460" w:lineRule="atLeast"/>
        <w:ind w:firstLine="440" w:firstLineChars="200"/>
        <w:rPr>
          <w:rFonts w:hint="eastAsia" w:ascii="宋体" w:hAnsi="宋体" w:cs="宋体"/>
          <w:sz w:val="22"/>
          <w:szCs w:val="22"/>
        </w:rPr>
      </w:pPr>
      <w:r>
        <w:rPr>
          <w:rFonts w:hint="eastAsia" w:ascii="宋体" w:hAnsi="宋体" w:cs="宋体"/>
          <w:color w:val="000000"/>
          <w:sz w:val="22"/>
          <w:szCs w:val="22"/>
        </w:rPr>
        <w:t>3.2</w:t>
      </w:r>
      <w:r>
        <w:rPr>
          <w:rFonts w:hint="eastAsia" w:ascii="宋体" w:hAnsi="宋体" w:cs="宋体"/>
          <w:sz w:val="22"/>
          <w:szCs w:val="22"/>
        </w:rPr>
        <w:t xml:space="preserve"> 培训的内容包括主要设备和软件的安装、使用、配置管理、性能优化以及硬件基本维护知识。</w:t>
      </w:r>
    </w:p>
    <w:p>
      <w:pPr>
        <w:widowControl/>
        <w:autoSpaceDE w:val="0"/>
        <w:autoSpaceDN w:val="0"/>
        <w:adjustRightInd w:val="0"/>
        <w:spacing w:line="520" w:lineRule="exact"/>
        <w:ind w:firstLine="440" w:firstLineChars="200"/>
        <w:textAlignment w:val="bottom"/>
        <w:rPr>
          <w:rFonts w:hint="eastAsia" w:ascii="宋体" w:hAnsi="宋体" w:cs="宋体"/>
          <w:color w:val="000000"/>
          <w:sz w:val="22"/>
          <w:szCs w:val="22"/>
        </w:rPr>
      </w:pPr>
      <w:r>
        <w:rPr>
          <w:rFonts w:hint="eastAsia" w:ascii="宋体" w:hAnsi="宋体" w:cs="宋体"/>
          <w:color w:val="000000"/>
          <w:sz w:val="22"/>
          <w:szCs w:val="22"/>
        </w:rPr>
        <w:t>3.3旨在提供更好的其他方式培训。</w:t>
      </w:r>
    </w:p>
    <w:p>
      <w:pPr>
        <w:widowControl/>
        <w:autoSpaceDE w:val="0"/>
        <w:autoSpaceDN w:val="0"/>
        <w:adjustRightInd w:val="0"/>
        <w:spacing w:line="520" w:lineRule="exact"/>
        <w:ind w:firstLine="440" w:firstLineChars="200"/>
        <w:textAlignment w:val="bottom"/>
        <w:rPr>
          <w:rFonts w:hint="eastAsia" w:ascii="宋体" w:hAnsi="宋体" w:cs="宋体"/>
          <w:color w:val="000000"/>
          <w:sz w:val="22"/>
          <w:szCs w:val="22"/>
        </w:rPr>
      </w:pPr>
      <w:r>
        <w:rPr>
          <w:rFonts w:hint="eastAsia" w:ascii="宋体" w:hAnsi="宋体" w:cs="宋体"/>
          <w:color w:val="000000"/>
          <w:sz w:val="22"/>
          <w:szCs w:val="22"/>
        </w:rPr>
        <w:t>4、交货：</w:t>
      </w:r>
    </w:p>
    <w:p>
      <w:pPr>
        <w:adjustRightInd w:val="0"/>
        <w:snapToGrid w:val="0"/>
        <w:spacing w:line="460" w:lineRule="atLeast"/>
        <w:ind w:firstLine="440" w:firstLineChars="200"/>
        <w:rPr>
          <w:rFonts w:hint="eastAsia" w:ascii="宋体" w:hAnsi="宋体" w:cs="宋体"/>
          <w:sz w:val="22"/>
          <w:szCs w:val="22"/>
        </w:rPr>
      </w:pPr>
      <w:r>
        <w:rPr>
          <w:rFonts w:hint="eastAsia" w:ascii="宋体" w:hAnsi="宋体" w:cs="宋体"/>
          <w:color w:val="000000"/>
          <w:sz w:val="22"/>
          <w:szCs w:val="22"/>
        </w:rPr>
        <w:t>4.1交货后</w:t>
      </w:r>
      <w:r>
        <w:rPr>
          <w:rFonts w:hint="eastAsia" w:ascii="宋体" w:hAnsi="宋体" w:cs="宋体"/>
          <w:sz w:val="22"/>
          <w:szCs w:val="22"/>
        </w:rPr>
        <w:t>采购人拥有整个项目涉及设备的永久使用权，采购人有权在其他项目中使用该项目各类资源；供应商应提供系统软件源代码及开发过程中的所有相关软件技术资料。　　</w:t>
      </w:r>
    </w:p>
    <w:p>
      <w:pPr>
        <w:adjustRightInd w:val="0"/>
        <w:snapToGrid w:val="0"/>
        <w:spacing w:line="460" w:lineRule="atLeast"/>
        <w:ind w:firstLine="440" w:firstLineChars="200"/>
        <w:rPr>
          <w:rFonts w:hint="eastAsia" w:ascii="宋体" w:hAnsi="宋体" w:cs="宋体"/>
          <w:sz w:val="22"/>
          <w:szCs w:val="22"/>
        </w:rPr>
      </w:pPr>
      <w:r>
        <w:rPr>
          <w:rFonts w:hint="eastAsia" w:ascii="宋体" w:hAnsi="宋体" w:cs="宋体"/>
          <w:color w:val="000000"/>
          <w:sz w:val="22"/>
          <w:szCs w:val="22"/>
        </w:rPr>
        <w:t>4.2</w:t>
      </w:r>
      <w:r>
        <w:rPr>
          <w:rFonts w:hint="eastAsia" w:ascii="宋体" w:hAnsi="宋体" w:cs="宋体"/>
          <w:sz w:val="22"/>
          <w:szCs w:val="22"/>
        </w:rPr>
        <w:t>成交供应商在收到采购人支付的所有项目合同规定的支付款项后，须将项目涉及的设备（以合同附件上注明的设备清单为准）所有权由中标供应商一次性全部移交给采购人。</w:t>
      </w:r>
    </w:p>
    <w:p>
      <w:pPr>
        <w:pStyle w:val="24"/>
        <w:adjustRightInd w:val="0"/>
        <w:snapToGrid w:val="0"/>
        <w:spacing w:line="520" w:lineRule="exact"/>
        <w:ind w:firstLine="480"/>
        <w:rPr>
          <w:rFonts w:hint="eastAsia" w:hAnsi="宋体" w:cs="宋体"/>
          <w:color w:val="000000"/>
          <w:sz w:val="22"/>
          <w:szCs w:val="22"/>
        </w:rPr>
      </w:pPr>
      <w:r>
        <w:rPr>
          <w:rFonts w:hint="eastAsia" w:hAnsi="宋体" w:cs="宋体"/>
          <w:color w:val="000000"/>
          <w:sz w:val="22"/>
          <w:szCs w:val="22"/>
        </w:rPr>
        <w:t>4.3供应商必须在规定的时间内将货物送到采购人指定地点。</w:t>
      </w:r>
    </w:p>
    <w:p>
      <w:pPr>
        <w:widowControl/>
        <w:autoSpaceDE w:val="0"/>
        <w:autoSpaceDN w:val="0"/>
        <w:adjustRightInd w:val="0"/>
        <w:spacing w:line="520" w:lineRule="exact"/>
        <w:ind w:firstLine="440" w:firstLineChars="200"/>
        <w:textAlignment w:val="bottom"/>
        <w:rPr>
          <w:rFonts w:hint="eastAsia" w:ascii="宋体" w:hAnsi="宋体" w:cs="宋体"/>
          <w:color w:val="000000"/>
          <w:sz w:val="22"/>
          <w:szCs w:val="22"/>
        </w:rPr>
      </w:pPr>
      <w:r>
        <w:rPr>
          <w:rFonts w:hint="eastAsia" w:ascii="宋体" w:hAnsi="宋体" w:cs="宋体"/>
          <w:color w:val="000000"/>
          <w:sz w:val="22"/>
          <w:szCs w:val="22"/>
        </w:rPr>
        <w:t>5、安装调试：</w:t>
      </w:r>
    </w:p>
    <w:p>
      <w:pPr>
        <w:widowControl/>
        <w:autoSpaceDE w:val="0"/>
        <w:autoSpaceDN w:val="0"/>
        <w:adjustRightInd w:val="0"/>
        <w:spacing w:line="520" w:lineRule="exact"/>
        <w:ind w:firstLine="440" w:firstLineChars="200"/>
        <w:textAlignment w:val="bottom"/>
        <w:rPr>
          <w:rFonts w:hint="eastAsia" w:ascii="宋体" w:hAnsi="宋体" w:cs="宋体"/>
          <w:color w:val="000000"/>
          <w:sz w:val="22"/>
          <w:szCs w:val="22"/>
          <w:u w:val="single"/>
        </w:rPr>
      </w:pPr>
      <w:r>
        <w:rPr>
          <w:rFonts w:hint="eastAsia" w:ascii="宋体" w:hAnsi="宋体" w:cs="宋体"/>
          <w:color w:val="000000"/>
          <w:sz w:val="22"/>
          <w:szCs w:val="22"/>
        </w:rPr>
        <w:t>5.1.送货安装地点：</w:t>
      </w:r>
      <w:r>
        <w:rPr>
          <w:rFonts w:hint="eastAsia" w:ascii="宋体" w:hAnsi="宋体" w:cs="宋体"/>
          <w:color w:val="000000"/>
          <w:sz w:val="22"/>
          <w:szCs w:val="22"/>
          <w:u w:val="single"/>
        </w:rPr>
        <w:t>要求供应商送货并安装调试。供应商报价应充分考虑送货与安装风险。</w:t>
      </w:r>
    </w:p>
    <w:p>
      <w:pPr>
        <w:widowControl/>
        <w:autoSpaceDE w:val="0"/>
        <w:autoSpaceDN w:val="0"/>
        <w:adjustRightInd w:val="0"/>
        <w:spacing w:line="520" w:lineRule="exact"/>
        <w:ind w:firstLine="440" w:firstLineChars="200"/>
        <w:textAlignment w:val="bottom"/>
        <w:rPr>
          <w:rFonts w:hint="eastAsia" w:ascii="宋体" w:hAnsi="宋体" w:cs="宋体"/>
          <w:color w:val="000000"/>
          <w:sz w:val="22"/>
          <w:szCs w:val="22"/>
        </w:rPr>
      </w:pPr>
      <w:r>
        <w:rPr>
          <w:rFonts w:hint="eastAsia" w:ascii="宋体" w:hAnsi="宋体" w:cs="宋体"/>
          <w:color w:val="000000"/>
          <w:sz w:val="22"/>
          <w:szCs w:val="22"/>
        </w:rPr>
        <w:t>5.2.安装调试与安装标准：提供现场的安装调试直至合格。提供的货物与安装应符合招标采购文件与我国国家有关技术规范要求和技术标准。</w:t>
      </w:r>
    </w:p>
    <w:p>
      <w:pPr>
        <w:pStyle w:val="24"/>
        <w:adjustRightInd w:val="0"/>
        <w:snapToGrid w:val="0"/>
        <w:spacing w:line="520" w:lineRule="exact"/>
        <w:ind w:firstLine="480"/>
        <w:rPr>
          <w:rFonts w:hint="eastAsia" w:hAnsi="宋体" w:cs="宋体"/>
          <w:color w:val="000000"/>
          <w:sz w:val="22"/>
          <w:szCs w:val="22"/>
        </w:rPr>
      </w:pPr>
      <w:r>
        <w:rPr>
          <w:rFonts w:hint="eastAsia" w:hAnsi="宋体" w:cs="宋体"/>
          <w:color w:val="000000"/>
          <w:sz w:val="22"/>
          <w:szCs w:val="22"/>
        </w:rPr>
        <w:t>5.3.送货、安装过程中发生的费用由成交供应商负责。</w:t>
      </w:r>
    </w:p>
    <w:p>
      <w:pPr>
        <w:pStyle w:val="24"/>
        <w:adjustRightInd w:val="0"/>
        <w:snapToGrid w:val="0"/>
        <w:spacing w:line="520" w:lineRule="exact"/>
        <w:ind w:firstLine="480"/>
        <w:rPr>
          <w:rFonts w:hint="eastAsia" w:hAnsi="宋体" w:cs="宋体"/>
          <w:color w:val="000000"/>
          <w:sz w:val="22"/>
          <w:szCs w:val="22"/>
        </w:rPr>
      </w:pPr>
      <w:r>
        <w:rPr>
          <w:rFonts w:hint="eastAsia" w:hAnsi="宋体" w:cs="宋体"/>
          <w:color w:val="000000"/>
          <w:sz w:val="22"/>
          <w:szCs w:val="22"/>
        </w:rPr>
        <w:t>5.4.供应商应在报价文件中提出其安装调试过程中使用单位需配合的内容。</w:t>
      </w:r>
    </w:p>
    <w:p>
      <w:pPr>
        <w:pStyle w:val="24"/>
        <w:adjustRightInd w:val="0"/>
        <w:snapToGrid w:val="0"/>
        <w:spacing w:line="520" w:lineRule="exact"/>
        <w:ind w:firstLine="480"/>
        <w:rPr>
          <w:rFonts w:hint="eastAsia" w:hAnsi="宋体" w:cs="宋体"/>
          <w:color w:val="000000"/>
          <w:sz w:val="22"/>
          <w:szCs w:val="22"/>
        </w:rPr>
      </w:pPr>
      <w:r>
        <w:rPr>
          <w:rFonts w:hint="eastAsia" w:hAnsi="宋体" w:cs="宋体"/>
          <w:color w:val="000000"/>
          <w:sz w:val="22"/>
          <w:szCs w:val="22"/>
        </w:rPr>
        <w:t>6、</w:t>
      </w:r>
      <w:r>
        <w:rPr>
          <w:rFonts w:hint="eastAsia" w:hAnsi="宋体" w:cs="宋体"/>
          <w:color w:val="000000"/>
          <w:sz w:val="22"/>
          <w:szCs w:val="22"/>
          <w:lang w:val="en-US" w:eastAsia="zh-CN"/>
        </w:rPr>
        <w:t>完工</w:t>
      </w:r>
      <w:r>
        <w:rPr>
          <w:rFonts w:hint="eastAsia" w:hAnsi="宋体" w:cs="宋体"/>
          <w:color w:val="000000"/>
          <w:sz w:val="22"/>
          <w:szCs w:val="22"/>
        </w:rPr>
        <w:t>期：</w:t>
      </w:r>
      <w:r>
        <w:rPr>
          <w:rFonts w:hint="eastAsia" w:hAnsi="宋体" w:cs="宋体"/>
          <w:color w:val="000000"/>
          <w:sz w:val="22"/>
          <w:szCs w:val="22"/>
          <w:lang w:val="zh-TW"/>
        </w:rPr>
        <w:t>▲成交供应商在合同签订后240日历天（包含3个月试运行）。</w:t>
      </w:r>
    </w:p>
    <w:p>
      <w:pPr>
        <w:pStyle w:val="24"/>
        <w:adjustRightInd w:val="0"/>
        <w:snapToGrid w:val="0"/>
        <w:spacing w:line="520" w:lineRule="exact"/>
        <w:ind w:firstLine="480"/>
        <w:rPr>
          <w:rFonts w:hint="eastAsia" w:hAnsi="宋体" w:cs="宋体"/>
          <w:color w:val="000000"/>
          <w:sz w:val="22"/>
          <w:szCs w:val="22"/>
        </w:rPr>
      </w:pPr>
      <w:r>
        <w:rPr>
          <w:rFonts w:hint="eastAsia" w:hAnsi="宋体" w:cs="宋体"/>
          <w:color w:val="000000"/>
          <w:sz w:val="22"/>
          <w:szCs w:val="22"/>
        </w:rPr>
        <w:t>7、验收标准：按《苍南县公安局科技建设项目管理办法（试行）》要求进行验收，包括初验、试运行（至少3个月）和终验等程序。</w:t>
      </w:r>
    </w:p>
    <w:p>
      <w:pPr>
        <w:pStyle w:val="24"/>
        <w:adjustRightInd w:val="0"/>
        <w:snapToGrid w:val="0"/>
        <w:spacing w:line="460" w:lineRule="atLeast"/>
        <w:ind w:firstLine="440" w:firstLineChars="200"/>
        <w:rPr>
          <w:rFonts w:hint="eastAsia" w:hAnsi="宋体" w:cs="宋体"/>
          <w:sz w:val="22"/>
          <w:szCs w:val="22"/>
        </w:rPr>
      </w:pPr>
      <w:r>
        <w:rPr>
          <w:rFonts w:hint="eastAsia" w:hAnsi="宋体" w:cs="宋体"/>
          <w:sz w:val="22"/>
          <w:szCs w:val="22"/>
        </w:rPr>
        <w:t>7.1、成交供应商须提供符合招标文件和国家相关质量标准的全新合格货物。如发生所供货物与现行国家政策法规、合同约定不符，采购人有权拒收、退货、解除合同，或者中标供应商予以免费更换。</w:t>
      </w:r>
    </w:p>
    <w:p>
      <w:pPr>
        <w:adjustRightInd w:val="0"/>
        <w:spacing w:line="440" w:lineRule="atLeast"/>
        <w:ind w:firstLine="440" w:firstLineChars="200"/>
        <w:rPr>
          <w:rFonts w:hint="eastAsia" w:ascii="宋体" w:hAnsi="宋体" w:cs="宋体"/>
          <w:sz w:val="22"/>
          <w:szCs w:val="22"/>
        </w:rPr>
      </w:pPr>
      <w:r>
        <w:rPr>
          <w:rFonts w:hint="eastAsia" w:ascii="宋体" w:hAnsi="宋体" w:cs="宋体"/>
          <w:sz w:val="22"/>
          <w:szCs w:val="22"/>
        </w:rPr>
        <w:t>7.2、本次招标的货物如涉及国家规定强制认证的，供应商未在投标文件偏离表中用明显字体予以声明的，均视为供应商投标产品符合了强制认证规定（如工业产品生产许可证，3C认证，等等），成交供应商须在采购人对上述货物验收时提供相关证书证明资料（上述产品相关强制认证的证明文件投标时不需提供，招标文件另有要求的除外），否则按验收不能通过，采购人给予退货、解除合同或经采购人同意换货处理，中标供应商自行承担由此造成的损失。</w:t>
      </w:r>
    </w:p>
    <w:p>
      <w:pPr>
        <w:widowControl/>
        <w:autoSpaceDE w:val="0"/>
        <w:autoSpaceDN w:val="0"/>
        <w:adjustRightInd w:val="0"/>
        <w:snapToGrid w:val="0"/>
        <w:spacing w:line="440" w:lineRule="atLeast"/>
        <w:ind w:firstLine="440" w:firstLineChars="200"/>
        <w:textAlignment w:val="bottom"/>
        <w:rPr>
          <w:rFonts w:hint="eastAsia" w:ascii="宋体" w:hAnsi="宋体" w:cs="宋体"/>
          <w:sz w:val="22"/>
          <w:szCs w:val="22"/>
        </w:rPr>
      </w:pPr>
      <w:r>
        <w:rPr>
          <w:rFonts w:hint="eastAsia" w:ascii="宋体" w:hAnsi="宋体" w:cs="宋体"/>
          <w:sz w:val="22"/>
          <w:szCs w:val="22"/>
        </w:rPr>
        <w:t>7.3、因以上两条款因素导致工期延误的，采购人有权在支付合同款时进行扣款，采购人有权向供应商依法索赔。</w:t>
      </w:r>
    </w:p>
    <w:p>
      <w:pPr>
        <w:pStyle w:val="24"/>
        <w:adjustRightInd w:val="0"/>
        <w:snapToGrid w:val="0"/>
        <w:spacing w:line="520" w:lineRule="exact"/>
        <w:rPr>
          <w:rFonts w:hint="eastAsia" w:hAnsi="宋体" w:cs="宋体"/>
          <w:sz w:val="22"/>
          <w:szCs w:val="22"/>
        </w:rPr>
      </w:pPr>
      <w:r>
        <w:rPr>
          <w:rFonts w:hint="eastAsia" w:hAnsi="宋体" w:cs="宋体"/>
          <w:color w:val="000000"/>
          <w:sz w:val="22"/>
          <w:szCs w:val="22"/>
        </w:rPr>
        <w:t>四、工作范围：</w:t>
      </w:r>
      <w:r>
        <w:rPr>
          <w:rFonts w:hint="eastAsia" w:hAnsi="宋体" w:cs="宋体"/>
          <w:sz w:val="22"/>
          <w:szCs w:val="22"/>
        </w:rPr>
        <w:t>根据招标文件，各供应商须按国家有关标准及规范完成下列工作：</w:t>
      </w:r>
    </w:p>
    <w:p>
      <w:pPr>
        <w:tabs>
          <w:tab w:val="left" w:pos="422"/>
          <w:tab w:val="left" w:pos="1740"/>
        </w:tabs>
        <w:adjustRightInd w:val="0"/>
        <w:snapToGrid w:val="0"/>
        <w:spacing w:line="460" w:lineRule="atLeast"/>
        <w:ind w:firstLine="431" w:firstLineChars="196"/>
        <w:rPr>
          <w:rFonts w:hint="eastAsia" w:ascii="宋体" w:hAnsi="宋体" w:cs="宋体"/>
          <w:sz w:val="22"/>
          <w:szCs w:val="22"/>
        </w:rPr>
      </w:pPr>
      <w:r>
        <w:rPr>
          <w:rFonts w:hint="eastAsia" w:ascii="宋体" w:hAnsi="宋体" w:cs="宋体"/>
          <w:sz w:val="22"/>
          <w:szCs w:val="22"/>
        </w:rPr>
        <w:t>1、提供完整成套的设备；</w:t>
      </w:r>
    </w:p>
    <w:p>
      <w:pPr>
        <w:adjustRightInd w:val="0"/>
        <w:snapToGrid w:val="0"/>
        <w:spacing w:line="460" w:lineRule="atLeast"/>
        <w:ind w:firstLine="431" w:firstLineChars="196"/>
        <w:rPr>
          <w:rFonts w:hint="eastAsia" w:ascii="宋体" w:hAnsi="宋体" w:cs="宋体"/>
          <w:sz w:val="22"/>
          <w:szCs w:val="22"/>
        </w:rPr>
      </w:pPr>
      <w:r>
        <w:rPr>
          <w:rFonts w:hint="eastAsia" w:ascii="宋体" w:hAnsi="宋体" w:cs="宋体"/>
          <w:sz w:val="22"/>
          <w:szCs w:val="22"/>
        </w:rPr>
        <w:t>2、产品及相关附件的提供、运输、装卸、就位、安装、调试、检验、通过验收；</w:t>
      </w:r>
    </w:p>
    <w:p>
      <w:pPr>
        <w:tabs>
          <w:tab w:val="left" w:pos="422"/>
        </w:tabs>
        <w:adjustRightInd w:val="0"/>
        <w:snapToGrid w:val="0"/>
        <w:spacing w:line="460" w:lineRule="atLeast"/>
        <w:ind w:firstLine="431" w:firstLineChars="196"/>
        <w:rPr>
          <w:rFonts w:hint="eastAsia" w:ascii="宋体" w:hAnsi="宋体" w:cs="宋体"/>
          <w:sz w:val="22"/>
          <w:szCs w:val="22"/>
        </w:rPr>
      </w:pPr>
      <w:r>
        <w:rPr>
          <w:rFonts w:hint="eastAsia" w:ascii="宋体" w:hAnsi="宋体" w:cs="宋体"/>
          <w:sz w:val="22"/>
          <w:szCs w:val="22"/>
        </w:rPr>
        <w:t>3、完成各项安装调试、检验、测试工作，并在采购人的配合下通过的验收；提供各种数据资料；直至通过验收；</w:t>
      </w:r>
    </w:p>
    <w:p>
      <w:pPr>
        <w:adjustRightInd w:val="0"/>
        <w:snapToGrid w:val="0"/>
        <w:spacing w:line="460" w:lineRule="atLeast"/>
        <w:ind w:firstLine="431" w:firstLineChars="196"/>
        <w:rPr>
          <w:rFonts w:hint="eastAsia" w:ascii="宋体" w:hAnsi="宋体" w:cs="宋体"/>
          <w:sz w:val="22"/>
          <w:szCs w:val="22"/>
        </w:rPr>
      </w:pPr>
      <w:r>
        <w:rPr>
          <w:rFonts w:hint="eastAsia" w:ascii="宋体" w:hAnsi="宋体" w:cs="宋体"/>
          <w:sz w:val="22"/>
          <w:szCs w:val="22"/>
        </w:rPr>
        <w:t>4、对最终使用单位的操作人员及维修人员进行技术培训；</w:t>
      </w:r>
    </w:p>
    <w:p>
      <w:pPr>
        <w:adjustRightInd w:val="0"/>
        <w:snapToGrid w:val="0"/>
        <w:spacing w:line="460" w:lineRule="atLeast"/>
        <w:ind w:firstLine="431" w:firstLineChars="196"/>
        <w:rPr>
          <w:rFonts w:hint="eastAsia" w:ascii="宋体" w:hAnsi="宋体" w:cs="宋体"/>
          <w:sz w:val="22"/>
          <w:szCs w:val="22"/>
        </w:rPr>
      </w:pPr>
      <w:r>
        <w:rPr>
          <w:rFonts w:hint="eastAsia" w:ascii="宋体" w:hAnsi="宋体" w:cs="宋体"/>
          <w:sz w:val="22"/>
          <w:szCs w:val="22"/>
        </w:rPr>
        <w:t>5、质保期内的维保及维修；</w:t>
      </w:r>
    </w:p>
    <w:p>
      <w:pPr>
        <w:adjustRightInd w:val="0"/>
        <w:snapToGrid w:val="0"/>
        <w:spacing w:line="460" w:lineRule="atLeast"/>
        <w:ind w:firstLine="431" w:firstLineChars="196"/>
        <w:rPr>
          <w:rFonts w:hint="eastAsia" w:ascii="宋体" w:hAnsi="宋体" w:cs="宋体"/>
          <w:sz w:val="22"/>
          <w:szCs w:val="22"/>
        </w:rPr>
      </w:pPr>
      <w:r>
        <w:rPr>
          <w:rFonts w:hint="eastAsia" w:ascii="宋体" w:hAnsi="宋体" w:cs="宋体"/>
          <w:sz w:val="22"/>
          <w:szCs w:val="22"/>
        </w:rPr>
        <w:t>6、售后服务的措施及承诺。</w:t>
      </w:r>
    </w:p>
    <w:p>
      <w:pPr>
        <w:snapToGrid w:val="0"/>
        <w:spacing w:line="460" w:lineRule="atLeast"/>
        <w:ind w:firstLine="440" w:firstLineChars="200"/>
        <w:rPr>
          <w:rFonts w:hint="eastAsia" w:ascii="宋体" w:hAnsi="宋体" w:cs="宋体"/>
          <w:sz w:val="22"/>
          <w:szCs w:val="22"/>
          <w:u w:val="single"/>
        </w:rPr>
      </w:pPr>
      <w:r>
        <w:rPr>
          <w:rFonts w:hint="eastAsia" w:ascii="宋体" w:hAnsi="宋体" w:cs="宋体"/>
          <w:sz w:val="22"/>
          <w:szCs w:val="22"/>
          <w:u w:val="single"/>
        </w:rPr>
        <w:t>以上工作内容的费用均包含在投标总价中。</w:t>
      </w:r>
    </w:p>
    <w:p>
      <w:pPr>
        <w:adjustRightInd w:val="0"/>
        <w:spacing w:line="360" w:lineRule="auto"/>
        <w:jc w:val="center"/>
        <w:outlineLvl w:val="0"/>
        <w:rPr>
          <w:rFonts w:hint="eastAsia" w:ascii="宋体" w:hAnsi="宋体" w:cs="宋体"/>
          <w:b/>
          <w:sz w:val="22"/>
          <w:szCs w:val="22"/>
        </w:rPr>
      </w:pPr>
      <w:bookmarkStart w:id="32" w:name="_Toc20158"/>
      <w:bookmarkStart w:id="33" w:name="_Toc20263"/>
      <w:r>
        <w:rPr>
          <w:rFonts w:hint="eastAsia" w:ascii="宋体" w:hAnsi="宋体" w:cs="宋体"/>
          <w:b/>
          <w:sz w:val="22"/>
          <w:szCs w:val="22"/>
        </w:rPr>
        <w:br w:type="page"/>
      </w:r>
      <w:bookmarkStart w:id="34" w:name="_Toc23201"/>
      <w:r>
        <w:rPr>
          <w:rFonts w:hint="eastAsia" w:ascii="宋体" w:hAnsi="宋体" w:cs="宋体"/>
          <w:b/>
          <w:sz w:val="28"/>
          <w:szCs w:val="28"/>
        </w:rPr>
        <w:t>第三部分   供应商须知</w:t>
      </w:r>
      <w:bookmarkEnd w:id="32"/>
      <w:bookmarkEnd w:id="33"/>
      <w:bookmarkEnd w:id="34"/>
    </w:p>
    <w:p>
      <w:pPr>
        <w:pStyle w:val="6"/>
        <w:spacing w:before="0" w:after="0"/>
        <w:rPr>
          <w:rFonts w:hint="eastAsia" w:ascii="宋体" w:hAnsi="宋体" w:eastAsia="宋体" w:cs="宋体"/>
          <w:b/>
          <w:bCs/>
          <w:sz w:val="22"/>
          <w:szCs w:val="22"/>
        </w:rPr>
      </w:pPr>
      <w:bookmarkStart w:id="35" w:name="_Toc20261"/>
      <w:bookmarkStart w:id="36" w:name="_Toc157410882"/>
      <w:r>
        <w:rPr>
          <w:rFonts w:hint="eastAsia" w:ascii="宋体" w:hAnsi="宋体" w:eastAsia="宋体" w:cs="宋体"/>
          <w:b/>
          <w:bCs/>
          <w:sz w:val="22"/>
          <w:szCs w:val="22"/>
        </w:rPr>
        <w:t>一、说明</w:t>
      </w:r>
      <w:bookmarkEnd w:id="35"/>
    </w:p>
    <w:p>
      <w:pPr>
        <w:autoSpaceDE w:val="0"/>
        <w:autoSpaceDN w:val="0"/>
        <w:adjustRightInd w:val="0"/>
        <w:snapToGrid w:val="0"/>
        <w:spacing w:line="360" w:lineRule="auto"/>
        <w:ind w:firstLine="433" w:firstLineChars="196"/>
        <w:textAlignment w:val="bottom"/>
        <w:rPr>
          <w:rFonts w:hint="eastAsia" w:ascii="宋体" w:hAnsi="宋体" w:cs="宋体"/>
          <w:b/>
          <w:bCs/>
          <w:sz w:val="22"/>
          <w:szCs w:val="22"/>
        </w:rPr>
      </w:pPr>
      <w:r>
        <w:rPr>
          <w:rFonts w:hint="eastAsia" w:ascii="宋体" w:hAnsi="宋体" w:cs="宋体"/>
          <w:b/>
          <w:bCs/>
          <w:sz w:val="22"/>
          <w:szCs w:val="22"/>
        </w:rPr>
        <w:t>1、本次采购工作是按照《中华人民共和国政府采购法》、《政府采购货物和服务招标投标管理办法》、《浙江省政府采购项目电子交易管理暂行办法》和《关于进一步规范政府采购活动的若干意见》及相关法律规章组织和实施。</w:t>
      </w:r>
    </w:p>
    <w:p>
      <w:pPr>
        <w:adjustRightInd w:val="0"/>
        <w:spacing w:line="360" w:lineRule="auto"/>
        <w:ind w:firstLine="433" w:firstLineChars="196"/>
        <w:rPr>
          <w:rFonts w:hint="eastAsia" w:ascii="宋体" w:hAnsi="宋体" w:cs="宋体"/>
          <w:b/>
          <w:bCs/>
          <w:sz w:val="22"/>
          <w:szCs w:val="22"/>
          <w:u w:val="single"/>
        </w:rPr>
      </w:pPr>
      <w:r>
        <w:rPr>
          <w:rFonts w:hint="eastAsia" w:ascii="宋体" w:hAnsi="宋体" w:cs="宋体"/>
          <w:b/>
          <w:bCs/>
          <w:sz w:val="22"/>
          <w:szCs w:val="22"/>
        </w:rPr>
        <w:t>2、本采购项目为</w:t>
      </w:r>
      <w:r>
        <w:rPr>
          <w:rFonts w:hint="eastAsia" w:ascii="宋体" w:hAnsi="宋体" w:cs="宋体"/>
          <w:b/>
          <w:bCs/>
          <w:sz w:val="22"/>
          <w:szCs w:val="22"/>
          <w:u w:val="single"/>
        </w:rPr>
        <w:t>苍南县公安局**数据中心机房</w:t>
      </w:r>
      <w:r>
        <w:rPr>
          <w:rFonts w:hint="eastAsia" w:ascii="宋体" w:hAnsi="宋体" w:cs="宋体"/>
          <w:b/>
          <w:bCs/>
          <w:sz w:val="22"/>
          <w:szCs w:val="22"/>
        </w:rPr>
        <w:t>，供应商必须根据自己的技术和商务优势对此项目的各标段全部内容进行投标，不得只投其中一部分内容，只对部分内容进行报价的供应商将按无效投标处理。</w:t>
      </w:r>
    </w:p>
    <w:p>
      <w:pPr>
        <w:adjustRightInd w:val="0"/>
        <w:spacing w:line="360" w:lineRule="auto"/>
        <w:ind w:firstLine="433" w:firstLineChars="196"/>
        <w:rPr>
          <w:rFonts w:hint="eastAsia" w:ascii="宋体" w:hAnsi="宋体" w:cs="宋体"/>
          <w:b/>
          <w:bCs/>
          <w:sz w:val="22"/>
          <w:szCs w:val="22"/>
        </w:rPr>
      </w:pPr>
      <w:r>
        <w:rPr>
          <w:rFonts w:hint="eastAsia" w:ascii="宋体" w:hAnsi="宋体" w:cs="宋体"/>
          <w:b/>
          <w:bCs/>
          <w:sz w:val="22"/>
          <w:szCs w:val="22"/>
        </w:rPr>
        <w:t>3、无论投标过程中的作法和结果如何，供应商自行承担投标活动中所发生的全部费用，采购人有权选择中标供应商的供货及服务范围。</w:t>
      </w:r>
    </w:p>
    <w:p>
      <w:pPr>
        <w:adjustRightInd w:val="0"/>
        <w:spacing w:line="360" w:lineRule="auto"/>
        <w:ind w:firstLine="433" w:firstLineChars="196"/>
        <w:rPr>
          <w:rFonts w:hint="eastAsia" w:ascii="宋体" w:hAnsi="宋体" w:cs="宋体"/>
          <w:b/>
          <w:bCs/>
          <w:sz w:val="22"/>
          <w:szCs w:val="22"/>
        </w:rPr>
      </w:pPr>
      <w:r>
        <w:rPr>
          <w:rFonts w:hint="eastAsia" w:ascii="宋体" w:hAnsi="宋体" w:cs="宋体"/>
          <w:b/>
          <w:bCs/>
          <w:sz w:val="22"/>
          <w:szCs w:val="22"/>
        </w:rPr>
        <w:t>4、▲本次采购采用商务报价文件与技术资信文件分别评审，评标委员会首先评审供应商技术资信部分，技术资信部分无效的供应商不进入商务报价评审。</w:t>
      </w:r>
      <w:r>
        <w:rPr>
          <w:rFonts w:hint="eastAsia" w:ascii="宋体" w:hAnsi="宋体" w:cs="宋体"/>
          <w:b/>
          <w:bCs/>
          <w:sz w:val="22"/>
          <w:szCs w:val="22"/>
          <w:u w:val="single"/>
        </w:rPr>
        <w:t>要求供应商技术资信部分的投标文件（含资信与服务）中不得含产品报价，否则做无效投标处理。</w:t>
      </w:r>
    </w:p>
    <w:p>
      <w:pPr>
        <w:adjustRightInd w:val="0"/>
        <w:spacing w:line="360" w:lineRule="auto"/>
        <w:ind w:firstLine="433" w:firstLineChars="196"/>
        <w:rPr>
          <w:rFonts w:hint="eastAsia" w:ascii="宋体" w:hAnsi="宋体" w:cs="宋体"/>
          <w:b/>
          <w:sz w:val="22"/>
          <w:szCs w:val="22"/>
        </w:rPr>
      </w:pPr>
      <w:r>
        <w:rPr>
          <w:rFonts w:hint="eastAsia" w:ascii="宋体" w:hAnsi="宋体" w:cs="宋体"/>
          <w:b/>
          <w:sz w:val="22"/>
          <w:szCs w:val="22"/>
        </w:rPr>
        <w:t>5、</w:t>
      </w:r>
      <w:r>
        <w:rPr>
          <w:rFonts w:hint="eastAsia" w:ascii="宋体" w:hAnsi="宋体" w:cs="宋体"/>
          <w:b/>
          <w:color w:val="000000"/>
          <w:sz w:val="22"/>
          <w:szCs w:val="22"/>
          <w:u w:val="single"/>
        </w:rPr>
        <w:t>招标文件中所列的品牌型号仅为参考，是为了对拟投标的设备、材料的技术指标和功能要求更好的说明，欢迎其他能满足本项目技术需求且性能与所明确品牌相当的产品参加。</w:t>
      </w:r>
    </w:p>
    <w:p>
      <w:pPr>
        <w:adjustRightInd w:val="0"/>
        <w:spacing w:line="360" w:lineRule="auto"/>
        <w:ind w:firstLine="431" w:firstLineChars="196"/>
        <w:rPr>
          <w:rFonts w:hint="eastAsia" w:ascii="宋体" w:hAnsi="宋体" w:cs="宋体"/>
          <w:b/>
          <w:sz w:val="22"/>
          <w:szCs w:val="22"/>
        </w:rPr>
      </w:pPr>
      <w:r>
        <w:rPr>
          <w:rFonts w:hint="eastAsia" w:ascii="宋体" w:hAnsi="宋体" w:cs="宋体"/>
          <w:sz w:val="22"/>
          <w:szCs w:val="22"/>
        </w:rPr>
        <w:t>6、</w:t>
      </w:r>
      <w:r>
        <w:rPr>
          <w:rFonts w:hint="eastAsia" w:ascii="宋体" w:hAnsi="宋体" w:cs="宋体"/>
          <w:b/>
          <w:bCs/>
          <w:sz w:val="22"/>
          <w:szCs w:val="22"/>
          <w:u w:val="single"/>
        </w:rPr>
        <w:t>▲本项目投标报价为总承包费用报价，并采用固定总价承包。承包总价必须包含但不仅限于包括货款、标准附件、备品备件、专用工具、包装、运输、装卸、保险、税金、货到就位以及安装、调试、保修、采购文件规定的其他应计入投标总价（或由中标供应商承担的其他费用）等全部工作所需的一切费用，以及中标后中标单位因本项目合同履行产生的税金、人工、管理、合理利润、总包施工管理配合费、采购代理费等一切成本及费用。报价如有遗漏，采购人不再另行支付。</w:t>
      </w:r>
      <w:r>
        <w:rPr>
          <w:rFonts w:hint="eastAsia" w:ascii="宋体" w:hAnsi="宋体" w:cs="宋体"/>
          <w:b/>
          <w:sz w:val="22"/>
          <w:szCs w:val="22"/>
        </w:rPr>
        <w:t>供应商须自行现场勘察，以求得准确的报价依据。供应商须自行考虑投标报价的风险。</w:t>
      </w:r>
    </w:p>
    <w:p>
      <w:pPr>
        <w:adjustRightInd w:val="0"/>
        <w:spacing w:line="360" w:lineRule="auto"/>
        <w:ind w:firstLine="433" w:firstLineChars="196"/>
        <w:rPr>
          <w:rFonts w:hint="eastAsia" w:ascii="宋体" w:hAnsi="宋体" w:cs="宋体"/>
          <w:b/>
          <w:bCs/>
          <w:color w:val="000000"/>
          <w:sz w:val="22"/>
          <w:szCs w:val="22"/>
          <w:lang w:val="zh-CN"/>
        </w:rPr>
      </w:pPr>
      <w:r>
        <w:rPr>
          <w:rFonts w:hint="eastAsia" w:ascii="宋体" w:hAnsi="宋体" w:cs="宋体"/>
          <w:b/>
          <w:bCs/>
          <w:sz w:val="22"/>
          <w:szCs w:val="22"/>
        </w:rPr>
        <w:t>7、</w:t>
      </w:r>
      <w:r>
        <w:rPr>
          <w:rFonts w:hint="eastAsia" w:ascii="宋体" w:hAnsi="宋体" w:cs="宋体"/>
          <w:b/>
          <w:bCs/>
          <w:color w:val="000000"/>
          <w:sz w:val="22"/>
          <w:szCs w:val="22"/>
          <w:lang w:val="zh-CN"/>
        </w:rPr>
        <w:t>本项目如涉及国家规定强制认证的，供应商所投标设备均应符合工业品生产许可证，3C认证，节能环保设备认证等强制认证规定。且中标供应商须在采购人对本项目验收时提供相关证书证明资料，否则做验收不能通过处理，并对中标供应商处以合同总金额10%的违约金罚款。</w:t>
      </w:r>
    </w:p>
    <w:p>
      <w:pPr>
        <w:adjustRightInd w:val="0"/>
        <w:spacing w:line="360" w:lineRule="auto"/>
        <w:ind w:firstLine="433" w:firstLineChars="196"/>
        <w:rPr>
          <w:rFonts w:hint="eastAsia" w:ascii="宋体" w:hAnsi="宋体" w:cs="宋体"/>
          <w:b/>
          <w:bCs/>
          <w:color w:val="000000"/>
          <w:sz w:val="22"/>
          <w:szCs w:val="22"/>
          <w:lang w:val="zh-CN"/>
        </w:rPr>
      </w:pPr>
      <w:r>
        <w:rPr>
          <w:rFonts w:hint="eastAsia" w:ascii="宋体" w:hAnsi="宋体" w:cs="宋体"/>
          <w:b/>
          <w:bCs/>
          <w:color w:val="000000"/>
          <w:sz w:val="22"/>
          <w:szCs w:val="22"/>
        </w:rPr>
        <w:t>8、</w:t>
      </w:r>
      <w:r>
        <w:rPr>
          <w:rFonts w:hint="eastAsia" w:ascii="宋体" w:hAnsi="宋体" w:cs="宋体"/>
          <w:b/>
          <w:bCs/>
          <w:color w:val="000000"/>
          <w:sz w:val="22"/>
          <w:szCs w:val="22"/>
          <w:lang w:val="zh-CN"/>
        </w:rPr>
        <w:t>供应商资格的审查和认定</w:t>
      </w:r>
    </w:p>
    <w:p>
      <w:pPr>
        <w:adjustRightInd w:val="0"/>
        <w:spacing w:line="360" w:lineRule="auto"/>
        <w:ind w:firstLine="433" w:firstLineChars="196"/>
        <w:rPr>
          <w:rFonts w:hint="eastAsia" w:ascii="宋体" w:hAnsi="宋体" w:cs="宋体"/>
          <w:b/>
          <w:bCs/>
          <w:color w:val="000000"/>
          <w:sz w:val="22"/>
          <w:szCs w:val="22"/>
          <w:lang w:val="zh-CN"/>
        </w:rPr>
      </w:pPr>
      <w:r>
        <w:rPr>
          <w:rFonts w:hint="eastAsia" w:ascii="宋体" w:hAnsi="宋体" w:cs="宋体"/>
          <w:b/>
          <w:bCs/>
          <w:color w:val="000000"/>
          <w:sz w:val="22"/>
          <w:szCs w:val="22"/>
          <w:lang w:val="zh-CN"/>
        </w:rPr>
        <w:t>8.1采用最低评标价法的采购项目，提供相同品牌产品的不同供应商参加同一合同项下投标的，以其中通过资格审查、符合性审查且报价最低的参加评标；报价相同的，由采购人或者采购人委托评标委员会按照招标文件规定的方式确定一个参加评标的供应商，招标文件未规定的采取随机抽取方式确定，其他投标无效。</w:t>
      </w:r>
    </w:p>
    <w:p>
      <w:pPr>
        <w:adjustRightInd w:val="0"/>
        <w:spacing w:line="360" w:lineRule="auto"/>
        <w:ind w:firstLine="433" w:firstLineChars="196"/>
        <w:rPr>
          <w:rFonts w:hint="eastAsia" w:ascii="宋体" w:hAnsi="宋体" w:cs="宋体"/>
          <w:b/>
          <w:bCs/>
          <w:color w:val="000000"/>
          <w:sz w:val="22"/>
          <w:szCs w:val="22"/>
          <w:lang w:val="zh-CN"/>
        </w:rPr>
      </w:pPr>
      <w:r>
        <w:rPr>
          <w:rFonts w:hint="eastAsia" w:ascii="宋体" w:hAnsi="宋体" w:cs="宋体"/>
          <w:b/>
          <w:bCs/>
          <w:color w:val="000000"/>
          <w:sz w:val="22"/>
          <w:szCs w:val="22"/>
          <w:lang w:val="zh-CN"/>
        </w:rPr>
        <w:t>8.2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招标文件规定的方式确定一个供应商获得中标人推荐资格，招标文件未规定的采取随机抽取方式确定，其他同品牌供应商不作为中标候选人。</w:t>
      </w:r>
    </w:p>
    <w:p>
      <w:pPr>
        <w:adjustRightInd w:val="0"/>
        <w:spacing w:line="360" w:lineRule="auto"/>
        <w:ind w:firstLine="433" w:firstLineChars="196"/>
        <w:rPr>
          <w:rFonts w:hint="eastAsia" w:ascii="宋体" w:hAnsi="宋体" w:cs="宋体"/>
          <w:b/>
          <w:bCs/>
          <w:color w:val="000000"/>
          <w:sz w:val="22"/>
          <w:szCs w:val="22"/>
        </w:rPr>
      </w:pPr>
      <w:r>
        <w:rPr>
          <w:rFonts w:hint="eastAsia" w:ascii="宋体" w:hAnsi="宋体" w:cs="宋体"/>
          <w:b/>
          <w:bCs/>
          <w:color w:val="000000"/>
          <w:sz w:val="22"/>
          <w:szCs w:val="22"/>
          <w:lang w:val="zh-CN"/>
        </w:rPr>
        <w:t>8.3非单一产品采购项目中，作为关键核心部分的单一产品品牌均相同且报价占项目总报价 50%以上（含本数，下同）的，视为提供的是同品牌的产品；多家供应商中，有一家供应商的报价达到 50%以上，提供同品牌产品的供应商均按一家供应商认定。多家供应商提供的核心产品品牌相同的，按前两款规定处理。</w:t>
      </w:r>
    </w:p>
    <w:p>
      <w:pPr>
        <w:adjustRightInd w:val="0"/>
        <w:spacing w:line="360" w:lineRule="auto"/>
        <w:ind w:firstLine="433" w:firstLineChars="196"/>
        <w:rPr>
          <w:rFonts w:hint="eastAsia" w:ascii="宋体" w:hAnsi="宋体" w:cs="宋体"/>
          <w:b/>
          <w:color w:val="000000"/>
          <w:sz w:val="22"/>
          <w:szCs w:val="22"/>
          <w:lang w:val="zh-CN"/>
        </w:rPr>
      </w:pPr>
      <w:r>
        <w:rPr>
          <w:rFonts w:hint="eastAsia" w:ascii="宋体" w:hAnsi="宋体" w:cs="宋体"/>
          <w:b/>
          <w:color w:val="000000"/>
          <w:sz w:val="22"/>
          <w:szCs w:val="22"/>
        </w:rPr>
        <w:t>9、</w:t>
      </w:r>
      <w:r>
        <w:rPr>
          <w:rFonts w:hint="eastAsia" w:ascii="宋体" w:hAnsi="宋体" w:cs="宋体"/>
          <w:b/>
          <w:color w:val="000000"/>
          <w:sz w:val="22"/>
          <w:szCs w:val="22"/>
          <w:u w:val="single"/>
        </w:rPr>
        <w:t>供应商须自费到采购人处现场踏勘，以了解采购人需求，取得准确的报价依据。</w:t>
      </w:r>
    </w:p>
    <w:p>
      <w:pPr>
        <w:spacing w:line="360" w:lineRule="auto"/>
        <w:ind w:firstLine="434"/>
        <w:rPr>
          <w:rFonts w:hint="eastAsia" w:ascii="宋体" w:hAnsi="宋体" w:cs="宋体"/>
          <w:b/>
          <w:sz w:val="22"/>
          <w:szCs w:val="22"/>
        </w:rPr>
      </w:pPr>
      <w:r>
        <w:rPr>
          <w:rFonts w:hint="eastAsia" w:ascii="宋体" w:hAnsi="宋体" w:cs="宋体"/>
          <w:b/>
          <w:sz w:val="22"/>
          <w:szCs w:val="22"/>
        </w:rPr>
        <w:t>10、本项目最高限价</w:t>
      </w:r>
      <w:r>
        <w:rPr>
          <w:rFonts w:hint="eastAsia" w:ascii="宋体" w:hAnsi="宋体" w:cs="宋体"/>
          <w:b/>
          <w:sz w:val="22"/>
          <w:szCs w:val="22"/>
          <w:lang w:val="en-US" w:eastAsia="zh-CN"/>
        </w:rPr>
        <w:t>6</w:t>
      </w:r>
      <w:r>
        <w:rPr>
          <w:rFonts w:hint="eastAsia" w:ascii="宋体" w:hAnsi="宋体" w:cs="宋体"/>
          <w:b/>
          <w:sz w:val="22"/>
          <w:szCs w:val="22"/>
          <w:lang w:val="en-US" w:eastAsia="zh-CN"/>
        </w:rPr>
        <w:t>130000</w:t>
      </w:r>
      <w:r>
        <w:rPr>
          <w:rFonts w:hint="eastAsia" w:ascii="宋体" w:hAnsi="宋体" w:cs="宋体"/>
          <w:b/>
          <w:sz w:val="22"/>
          <w:szCs w:val="22"/>
        </w:rPr>
        <w:t>元 ，某些（个）供应商投标报价超出限价的，则拒绝接受其该投标报价，该供应商投标按无效投标处理。</w:t>
      </w:r>
    </w:p>
    <w:p>
      <w:pPr>
        <w:autoSpaceDE w:val="0"/>
        <w:autoSpaceDN w:val="0"/>
        <w:adjustRightInd w:val="0"/>
        <w:snapToGrid w:val="0"/>
        <w:spacing w:line="360" w:lineRule="auto"/>
        <w:ind w:firstLine="433" w:firstLineChars="196"/>
        <w:textAlignment w:val="bottom"/>
        <w:rPr>
          <w:rFonts w:hint="eastAsia" w:ascii="宋体" w:hAnsi="宋体" w:cs="宋体"/>
          <w:b/>
          <w:sz w:val="22"/>
          <w:szCs w:val="22"/>
          <w:u w:val="single"/>
        </w:rPr>
      </w:pPr>
      <w:r>
        <w:rPr>
          <w:rFonts w:hint="eastAsia" w:ascii="宋体" w:hAnsi="宋体" w:cs="宋体"/>
          <w:b/>
          <w:sz w:val="22"/>
          <w:szCs w:val="22"/>
          <w:u w:val="single"/>
        </w:rPr>
        <w:t>11、本次项目按《财政部关于在政府采购活动中查询及使用信用记录的通知》（财库〔2016〕125号）相关规定，评标时通过“信用中国”网站（www.creditchina.gov.cn）、中国政府采购网（www.ccgp.gov.cn）查询相关主体信用记录对供应商进行信用甄别，对列入失信被执行人、重大税收违法案件当事人名单、政府采购严重违法失信行为记录名单及其他不符合《中华人民共和国政府采购法》第二十二条规定条件的供应商，拒绝其参与本次政府采购活动，其投标文件（响应文件）按无效标处理。</w:t>
      </w:r>
    </w:p>
    <w:p>
      <w:pPr>
        <w:autoSpaceDE w:val="0"/>
        <w:autoSpaceDN w:val="0"/>
        <w:adjustRightInd w:val="0"/>
        <w:snapToGrid w:val="0"/>
        <w:spacing w:line="360" w:lineRule="auto"/>
        <w:ind w:firstLine="433" w:firstLineChars="196"/>
        <w:textAlignment w:val="bottom"/>
        <w:rPr>
          <w:rFonts w:hint="eastAsia" w:ascii="宋体" w:hAnsi="宋体" w:cs="宋体"/>
          <w:b/>
          <w:sz w:val="22"/>
          <w:szCs w:val="22"/>
          <w:u w:val="single"/>
        </w:rPr>
      </w:pPr>
      <w:r>
        <w:rPr>
          <w:rFonts w:hint="eastAsia" w:ascii="宋体" w:hAnsi="宋体" w:cs="宋体"/>
          <w:b/>
          <w:sz w:val="22"/>
          <w:szCs w:val="22"/>
          <w:u w:val="single"/>
        </w:rPr>
        <w:t>12、本项目招标文件如有补充、更正均见浙江政府采购网（http://www.zjzfcg.gov.cn/）。供应商须在投标截止前自行查看是否有补充、更正文件，并按补充、更正文件要求投标，否则责任自负。</w:t>
      </w:r>
    </w:p>
    <w:p>
      <w:pPr>
        <w:spacing w:line="360" w:lineRule="auto"/>
        <w:ind w:right="-45" w:firstLine="442" w:firstLineChars="200"/>
        <w:rPr>
          <w:rFonts w:hint="eastAsia"/>
          <w:b/>
        </w:rPr>
      </w:pPr>
      <w:r>
        <w:rPr>
          <w:rFonts w:hint="eastAsia" w:ascii="宋体" w:hAnsi="宋体" w:cs="宋体"/>
          <w:b/>
          <w:sz w:val="22"/>
          <w:szCs w:val="22"/>
        </w:rPr>
        <w:t>13、★施工前双方必须签订《安全施工协议》，项目服务期间发生的所有安全责任事故，由中标单位负全部责任。</w:t>
      </w:r>
    </w:p>
    <w:p>
      <w:pPr>
        <w:pStyle w:val="6"/>
        <w:spacing w:before="0" w:after="0"/>
        <w:rPr>
          <w:rFonts w:hint="eastAsia" w:ascii="宋体" w:hAnsi="宋体" w:eastAsia="宋体" w:cs="宋体"/>
          <w:b/>
          <w:bCs/>
          <w:sz w:val="22"/>
          <w:szCs w:val="22"/>
        </w:rPr>
      </w:pPr>
      <w:bookmarkStart w:id="37" w:name="_Toc16004"/>
      <w:r>
        <w:rPr>
          <w:rFonts w:hint="eastAsia" w:ascii="宋体" w:hAnsi="宋体" w:eastAsia="宋体" w:cs="宋体"/>
          <w:b/>
          <w:bCs/>
          <w:sz w:val="22"/>
          <w:szCs w:val="22"/>
        </w:rPr>
        <w:t>二、供应商资格要求</w:t>
      </w:r>
      <w:bookmarkEnd w:id="37"/>
    </w:p>
    <w:p>
      <w:pPr>
        <w:pStyle w:val="6"/>
        <w:spacing w:before="0" w:after="0"/>
        <w:ind w:firstLine="440" w:firstLineChars="200"/>
        <w:rPr>
          <w:rFonts w:hint="eastAsia" w:ascii="宋体" w:hAnsi="宋体" w:eastAsia="宋体" w:cs="宋体"/>
          <w:sz w:val="22"/>
          <w:szCs w:val="22"/>
        </w:rPr>
      </w:pPr>
      <w:bookmarkStart w:id="38" w:name="_Toc19413"/>
      <w:r>
        <w:rPr>
          <w:rFonts w:hint="eastAsia" w:ascii="宋体" w:hAnsi="宋体" w:eastAsia="宋体" w:cs="宋体"/>
          <w:sz w:val="22"/>
          <w:szCs w:val="22"/>
        </w:rPr>
        <w:t>按招标公告要求</w:t>
      </w:r>
      <w:bookmarkEnd w:id="38"/>
    </w:p>
    <w:p>
      <w:pPr>
        <w:pStyle w:val="6"/>
        <w:spacing w:before="0" w:after="0"/>
        <w:rPr>
          <w:rFonts w:hint="eastAsia" w:ascii="宋体" w:hAnsi="宋体" w:eastAsia="宋体" w:cs="宋体"/>
          <w:b/>
          <w:bCs/>
          <w:sz w:val="22"/>
          <w:szCs w:val="22"/>
        </w:rPr>
      </w:pPr>
      <w:bookmarkStart w:id="39" w:name="_Toc2819"/>
      <w:r>
        <w:rPr>
          <w:rFonts w:hint="eastAsia" w:ascii="宋体" w:hAnsi="宋体" w:eastAsia="宋体" w:cs="宋体"/>
          <w:b/>
          <w:bCs/>
          <w:sz w:val="22"/>
          <w:szCs w:val="22"/>
        </w:rPr>
        <w:t>三、招标文件</w:t>
      </w:r>
      <w:bookmarkEnd w:id="39"/>
    </w:p>
    <w:p>
      <w:pPr>
        <w:autoSpaceDE w:val="0"/>
        <w:autoSpaceDN w:val="0"/>
        <w:adjustRightInd w:val="0"/>
        <w:snapToGrid w:val="0"/>
        <w:spacing w:line="360" w:lineRule="auto"/>
        <w:ind w:firstLine="431" w:firstLineChars="196"/>
        <w:textAlignment w:val="bottom"/>
        <w:rPr>
          <w:rFonts w:hint="eastAsia" w:ascii="宋体" w:hAnsi="宋体" w:cs="宋体"/>
          <w:sz w:val="22"/>
          <w:szCs w:val="22"/>
        </w:rPr>
      </w:pPr>
      <w:r>
        <w:rPr>
          <w:rFonts w:hint="eastAsia" w:ascii="宋体" w:hAnsi="宋体" w:cs="宋体"/>
          <w:sz w:val="22"/>
          <w:szCs w:val="22"/>
        </w:rPr>
        <w:t>1、招标文件</w:t>
      </w:r>
    </w:p>
    <w:p>
      <w:pPr>
        <w:autoSpaceDE w:val="0"/>
        <w:autoSpaceDN w:val="0"/>
        <w:adjustRightInd w:val="0"/>
        <w:snapToGrid w:val="0"/>
        <w:spacing w:line="360" w:lineRule="auto"/>
        <w:ind w:firstLine="431" w:firstLineChars="196"/>
        <w:textAlignment w:val="bottom"/>
        <w:rPr>
          <w:rFonts w:hint="eastAsia" w:ascii="宋体" w:hAnsi="宋体" w:cs="宋体"/>
          <w:sz w:val="22"/>
          <w:szCs w:val="22"/>
        </w:rPr>
      </w:pPr>
      <w:r>
        <w:rPr>
          <w:rFonts w:hint="eastAsia" w:ascii="宋体" w:hAnsi="宋体" w:cs="宋体"/>
          <w:sz w:val="22"/>
          <w:szCs w:val="22"/>
        </w:rPr>
        <w:t>1.1招标文件发放和获取</w:t>
      </w:r>
    </w:p>
    <w:p>
      <w:pPr>
        <w:autoSpaceDE w:val="0"/>
        <w:autoSpaceDN w:val="0"/>
        <w:adjustRightInd w:val="0"/>
        <w:snapToGrid w:val="0"/>
        <w:spacing w:line="360" w:lineRule="auto"/>
        <w:ind w:firstLine="431" w:firstLineChars="196"/>
        <w:textAlignment w:val="bottom"/>
        <w:rPr>
          <w:rFonts w:hint="eastAsia" w:ascii="宋体" w:hAnsi="宋体" w:cs="宋体"/>
          <w:sz w:val="22"/>
          <w:szCs w:val="22"/>
        </w:rPr>
      </w:pPr>
      <w:r>
        <w:rPr>
          <w:rFonts w:hint="eastAsia" w:ascii="宋体" w:hAnsi="宋体" w:cs="宋体"/>
          <w:sz w:val="22"/>
          <w:szCs w:val="22"/>
        </w:rPr>
        <w:t>1.1.1、本项目招标文件实行“政府采购云平台”在线获取，不提供招标文件纸质版。供应商获取招标文件前应先完成“政府采购云平台”的账号注册；</w:t>
      </w:r>
    </w:p>
    <w:p>
      <w:pPr>
        <w:autoSpaceDE w:val="0"/>
        <w:autoSpaceDN w:val="0"/>
        <w:adjustRightInd w:val="0"/>
        <w:snapToGrid w:val="0"/>
        <w:spacing w:line="360" w:lineRule="auto"/>
        <w:ind w:firstLine="431" w:firstLineChars="196"/>
        <w:textAlignment w:val="bottom"/>
        <w:rPr>
          <w:rFonts w:hint="eastAsia" w:ascii="宋体" w:hAnsi="宋体" w:cs="宋体"/>
          <w:sz w:val="22"/>
          <w:szCs w:val="22"/>
        </w:rPr>
      </w:pPr>
      <w:r>
        <w:rPr>
          <w:rFonts w:hint="eastAsia" w:ascii="宋体" w:hAnsi="宋体" w:cs="宋体"/>
          <w:sz w:val="22"/>
          <w:szCs w:val="22"/>
        </w:rPr>
        <w:t>1.1.2、地点：政采云平台（http://zfcg.czt.zj.gov.cn）；</w:t>
      </w:r>
    </w:p>
    <w:p>
      <w:pPr>
        <w:autoSpaceDE w:val="0"/>
        <w:autoSpaceDN w:val="0"/>
        <w:adjustRightInd w:val="0"/>
        <w:snapToGrid w:val="0"/>
        <w:spacing w:line="360" w:lineRule="auto"/>
        <w:ind w:firstLine="431" w:firstLineChars="196"/>
        <w:textAlignment w:val="bottom"/>
        <w:rPr>
          <w:rFonts w:hint="eastAsia" w:ascii="宋体" w:hAnsi="宋体" w:cs="宋体"/>
          <w:sz w:val="22"/>
          <w:szCs w:val="22"/>
        </w:rPr>
      </w:pPr>
      <w:r>
        <w:rPr>
          <w:rFonts w:hint="eastAsia" w:ascii="宋体" w:hAnsi="宋体" w:cs="宋体"/>
          <w:sz w:val="22"/>
          <w:szCs w:val="22"/>
        </w:rPr>
        <w:t>1.1.3、方式：潜在供应商登陆政采云平台，在线申请获取招标文件（进入“项目采购”应用，在获取招标文件菜单中选择项目，申请获取招标文件，本项目招标文件不收取工本费；仅需浏览招标文件的供应商可点击“游客，浏览招标文件”直接下载招标文件浏览）；</w:t>
      </w:r>
    </w:p>
    <w:p>
      <w:pPr>
        <w:autoSpaceDE w:val="0"/>
        <w:autoSpaceDN w:val="0"/>
        <w:adjustRightInd w:val="0"/>
        <w:snapToGrid w:val="0"/>
        <w:spacing w:line="360" w:lineRule="auto"/>
        <w:ind w:firstLine="431" w:firstLineChars="196"/>
        <w:textAlignment w:val="bottom"/>
        <w:rPr>
          <w:rFonts w:hint="eastAsia" w:ascii="宋体" w:hAnsi="宋体" w:cs="宋体"/>
          <w:sz w:val="22"/>
          <w:szCs w:val="22"/>
        </w:rPr>
      </w:pPr>
      <w:r>
        <w:rPr>
          <w:rFonts w:hint="eastAsia" w:ascii="宋体" w:hAnsi="宋体" w:cs="宋体"/>
          <w:sz w:val="22"/>
          <w:szCs w:val="22"/>
        </w:rPr>
        <w:t>1.1.4、供应商获取招标文件时须提交的文件资料：无；</w:t>
      </w:r>
    </w:p>
    <w:p>
      <w:pPr>
        <w:autoSpaceDE w:val="0"/>
        <w:autoSpaceDN w:val="0"/>
        <w:adjustRightInd w:val="0"/>
        <w:snapToGrid w:val="0"/>
        <w:spacing w:line="360" w:lineRule="auto"/>
        <w:ind w:firstLine="431" w:firstLineChars="196"/>
        <w:textAlignment w:val="bottom"/>
        <w:rPr>
          <w:rFonts w:hint="eastAsia" w:ascii="宋体" w:hAnsi="宋体" w:cs="宋体"/>
          <w:sz w:val="22"/>
          <w:szCs w:val="22"/>
        </w:rPr>
      </w:pPr>
      <w:r>
        <w:rPr>
          <w:rFonts w:hint="eastAsia" w:ascii="宋体" w:hAnsi="宋体" w:cs="宋体"/>
          <w:sz w:val="22"/>
          <w:szCs w:val="22"/>
        </w:rPr>
        <w:t>1.1.5、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pPr>
        <w:autoSpaceDE w:val="0"/>
        <w:autoSpaceDN w:val="0"/>
        <w:adjustRightInd w:val="0"/>
        <w:snapToGrid w:val="0"/>
        <w:spacing w:line="360" w:lineRule="auto"/>
        <w:ind w:firstLine="431" w:firstLineChars="196"/>
        <w:textAlignment w:val="bottom"/>
        <w:rPr>
          <w:rFonts w:hint="eastAsia" w:ascii="宋体" w:hAnsi="宋体" w:cs="宋体"/>
          <w:sz w:val="22"/>
          <w:szCs w:val="22"/>
        </w:rPr>
      </w:pPr>
      <w:r>
        <w:rPr>
          <w:rFonts w:hint="eastAsia" w:ascii="宋体" w:hAnsi="宋体" w:cs="宋体"/>
          <w:sz w:val="22"/>
          <w:szCs w:val="22"/>
        </w:rPr>
        <w:t>注：请供应商按上述要求获取招标文件，如未在“政采云”系统内完成相关流程，引起的投标无效责任自负。</w:t>
      </w:r>
    </w:p>
    <w:p>
      <w:pPr>
        <w:autoSpaceDE w:val="0"/>
        <w:autoSpaceDN w:val="0"/>
        <w:adjustRightInd w:val="0"/>
        <w:snapToGrid w:val="0"/>
        <w:spacing w:line="360" w:lineRule="auto"/>
        <w:ind w:firstLine="431" w:firstLineChars="196"/>
        <w:textAlignment w:val="bottom"/>
        <w:rPr>
          <w:rFonts w:hint="eastAsia" w:ascii="宋体" w:hAnsi="宋体" w:cs="宋体"/>
          <w:sz w:val="22"/>
          <w:szCs w:val="22"/>
        </w:rPr>
      </w:pPr>
      <w:r>
        <w:rPr>
          <w:rFonts w:hint="eastAsia" w:ascii="宋体" w:hAnsi="宋体" w:cs="宋体"/>
          <w:sz w:val="22"/>
          <w:szCs w:val="22"/>
        </w:rPr>
        <w:t>1.2招标文件约束力</w:t>
      </w:r>
    </w:p>
    <w:p>
      <w:pPr>
        <w:autoSpaceDE w:val="0"/>
        <w:autoSpaceDN w:val="0"/>
        <w:adjustRightInd w:val="0"/>
        <w:snapToGrid w:val="0"/>
        <w:spacing w:line="360" w:lineRule="auto"/>
        <w:ind w:firstLine="431" w:firstLineChars="196"/>
        <w:textAlignment w:val="bottom"/>
        <w:rPr>
          <w:rFonts w:hint="eastAsia" w:ascii="宋体" w:hAnsi="宋体" w:cs="宋体"/>
          <w:sz w:val="22"/>
          <w:szCs w:val="22"/>
          <w:u w:val="single"/>
        </w:rPr>
      </w:pPr>
      <w:r>
        <w:rPr>
          <w:rFonts w:hint="eastAsia" w:ascii="宋体" w:hAnsi="宋体" w:cs="宋体"/>
          <w:sz w:val="22"/>
          <w:szCs w:val="22"/>
          <w:u w:val="single"/>
        </w:rPr>
        <w:t>▲供应商一旦获取本招标文件并参加投标，即被认为接受了本招标文件中所有条款和规定。</w:t>
      </w:r>
    </w:p>
    <w:p>
      <w:pPr>
        <w:autoSpaceDE w:val="0"/>
        <w:autoSpaceDN w:val="0"/>
        <w:adjustRightInd w:val="0"/>
        <w:snapToGrid w:val="0"/>
        <w:spacing w:line="360" w:lineRule="auto"/>
        <w:ind w:firstLine="431" w:firstLineChars="196"/>
        <w:textAlignment w:val="bottom"/>
        <w:rPr>
          <w:rFonts w:hint="eastAsia" w:ascii="宋体" w:hAnsi="宋体" w:cs="宋体"/>
          <w:sz w:val="22"/>
          <w:szCs w:val="22"/>
        </w:rPr>
      </w:pPr>
      <w:r>
        <w:rPr>
          <w:rFonts w:hint="eastAsia" w:ascii="宋体" w:hAnsi="宋体" w:cs="宋体"/>
          <w:sz w:val="22"/>
          <w:szCs w:val="22"/>
        </w:rPr>
        <w:t>1.3招标文件的组成</w:t>
      </w:r>
    </w:p>
    <w:p>
      <w:pPr>
        <w:autoSpaceDE w:val="0"/>
        <w:autoSpaceDN w:val="0"/>
        <w:adjustRightInd w:val="0"/>
        <w:snapToGrid w:val="0"/>
        <w:spacing w:line="360" w:lineRule="auto"/>
        <w:ind w:firstLine="431" w:firstLineChars="196"/>
        <w:textAlignment w:val="bottom"/>
        <w:rPr>
          <w:rFonts w:hint="eastAsia" w:ascii="宋体" w:hAnsi="宋体" w:cs="宋体"/>
          <w:sz w:val="22"/>
          <w:szCs w:val="22"/>
        </w:rPr>
      </w:pPr>
      <w:r>
        <w:rPr>
          <w:rFonts w:hint="eastAsia" w:ascii="宋体" w:hAnsi="宋体" w:cs="宋体"/>
          <w:sz w:val="22"/>
          <w:szCs w:val="22"/>
        </w:rPr>
        <w:t>招标文件由招标文件总目录所列内容及补充资料等组成。</w:t>
      </w:r>
    </w:p>
    <w:p>
      <w:pPr>
        <w:autoSpaceDE w:val="0"/>
        <w:autoSpaceDN w:val="0"/>
        <w:adjustRightInd w:val="0"/>
        <w:snapToGrid w:val="0"/>
        <w:spacing w:line="360" w:lineRule="auto"/>
        <w:ind w:firstLine="431" w:firstLineChars="196"/>
        <w:textAlignment w:val="bottom"/>
        <w:rPr>
          <w:rFonts w:hint="eastAsia" w:ascii="宋体" w:hAnsi="宋体" w:cs="宋体"/>
          <w:sz w:val="22"/>
          <w:szCs w:val="22"/>
        </w:rPr>
      </w:pPr>
      <w:r>
        <w:rPr>
          <w:rFonts w:hint="eastAsia" w:ascii="宋体" w:hAnsi="宋体" w:cs="宋体"/>
          <w:sz w:val="22"/>
          <w:szCs w:val="22"/>
        </w:rPr>
        <w:t>2、招标文件的澄清或者修改</w:t>
      </w:r>
    </w:p>
    <w:p>
      <w:pPr>
        <w:autoSpaceDE w:val="0"/>
        <w:autoSpaceDN w:val="0"/>
        <w:adjustRightInd w:val="0"/>
        <w:snapToGrid w:val="0"/>
        <w:spacing w:line="360" w:lineRule="auto"/>
        <w:ind w:left="399" w:leftChars="190"/>
        <w:textAlignment w:val="bottom"/>
        <w:rPr>
          <w:rFonts w:hint="eastAsia" w:ascii="宋体" w:hAnsi="宋体" w:cs="宋体"/>
          <w:sz w:val="22"/>
          <w:szCs w:val="22"/>
        </w:rPr>
      </w:pPr>
      <w:r>
        <w:rPr>
          <w:rFonts w:hint="eastAsia" w:ascii="宋体" w:hAnsi="宋体" w:cs="宋体"/>
          <w:sz w:val="22"/>
          <w:szCs w:val="22"/>
        </w:rPr>
        <w:t>2.1、已获取招标文件的潜在供应商，若有问题需要澄清，应在投标通知(邀请)书规定时间之前，以纸质形式送达采购代理机构，采购代理机构与采购人研究后，对认为有必要回答的问题，将以公告形式发出。</w:t>
      </w:r>
    </w:p>
    <w:p>
      <w:pPr>
        <w:autoSpaceDE w:val="0"/>
        <w:autoSpaceDN w:val="0"/>
        <w:adjustRightInd w:val="0"/>
        <w:snapToGrid w:val="0"/>
        <w:spacing w:line="360" w:lineRule="auto"/>
        <w:ind w:left="399" w:leftChars="190"/>
        <w:textAlignment w:val="bottom"/>
        <w:rPr>
          <w:rFonts w:hint="eastAsia" w:ascii="宋体" w:hAnsi="宋体" w:cs="宋体"/>
          <w:sz w:val="22"/>
          <w:szCs w:val="22"/>
        </w:rPr>
      </w:pPr>
      <w:r>
        <w:rPr>
          <w:rFonts w:hint="eastAsia" w:ascii="宋体" w:hAnsi="宋体" w:cs="宋体"/>
          <w:sz w:val="22"/>
          <w:szCs w:val="22"/>
        </w:rPr>
        <w:t>2.2、供应商一旦参与本次采购活动，即被视为接受了本招标文件的所有内容，如有任何异议，均已在澄清截止时间前提出。</w:t>
      </w:r>
    </w:p>
    <w:p>
      <w:pPr>
        <w:autoSpaceDE w:val="0"/>
        <w:autoSpaceDN w:val="0"/>
        <w:adjustRightInd w:val="0"/>
        <w:snapToGrid w:val="0"/>
        <w:spacing w:line="360" w:lineRule="auto"/>
        <w:ind w:left="399" w:leftChars="190"/>
        <w:textAlignment w:val="bottom"/>
        <w:rPr>
          <w:rFonts w:hint="eastAsia" w:ascii="宋体" w:hAnsi="宋体" w:cs="宋体"/>
          <w:sz w:val="22"/>
          <w:szCs w:val="22"/>
        </w:rPr>
      </w:pPr>
      <w:r>
        <w:rPr>
          <w:rFonts w:hint="eastAsia" w:ascii="宋体" w:hAnsi="宋体" w:cs="宋体"/>
          <w:sz w:val="22"/>
          <w:szCs w:val="22"/>
        </w:rPr>
        <w:t>2.3、从招标文件发出至投标截止日期，采购代理机构可以对已发出的招标文件进行必要的澄清或者修改。澄清或者修改的内容将以公告形式发出。</w:t>
      </w:r>
    </w:p>
    <w:p>
      <w:pPr>
        <w:autoSpaceDE w:val="0"/>
        <w:autoSpaceDN w:val="0"/>
        <w:adjustRightInd w:val="0"/>
        <w:snapToGrid w:val="0"/>
        <w:spacing w:line="360" w:lineRule="auto"/>
        <w:ind w:left="399" w:leftChars="190"/>
        <w:textAlignment w:val="bottom"/>
        <w:rPr>
          <w:rFonts w:hint="eastAsia" w:ascii="宋体" w:hAnsi="宋体" w:cs="宋体"/>
          <w:sz w:val="22"/>
          <w:szCs w:val="22"/>
        </w:rPr>
      </w:pPr>
      <w:r>
        <w:rPr>
          <w:rFonts w:hint="eastAsia" w:ascii="宋体" w:hAnsi="宋体" w:cs="宋体"/>
          <w:sz w:val="22"/>
          <w:szCs w:val="22"/>
        </w:rPr>
        <w:t>2.4、澄清或者修改的内容可能影响投标文件编制的，采购代理机构将在投标截止时间 15 日前，以公告形式通知所有获取招标文件的潜在供应商；不足 15 日的，将相应延长提交投标文件的截止时间。</w:t>
      </w:r>
    </w:p>
    <w:p>
      <w:pPr>
        <w:autoSpaceDE w:val="0"/>
        <w:autoSpaceDN w:val="0"/>
        <w:adjustRightInd w:val="0"/>
        <w:snapToGrid w:val="0"/>
        <w:spacing w:line="360" w:lineRule="auto"/>
        <w:ind w:left="399" w:leftChars="190"/>
        <w:textAlignment w:val="bottom"/>
        <w:rPr>
          <w:rFonts w:hint="eastAsia" w:ascii="宋体" w:hAnsi="宋体" w:cs="宋体"/>
          <w:sz w:val="22"/>
          <w:szCs w:val="22"/>
        </w:rPr>
      </w:pPr>
      <w:r>
        <w:rPr>
          <w:rFonts w:hint="eastAsia" w:ascii="宋体" w:hAnsi="宋体" w:cs="宋体"/>
          <w:sz w:val="22"/>
          <w:szCs w:val="22"/>
        </w:rPr>
        <w:t>2.5、招标文件与招标文件的澄清、修改、补充通知就同一内容的表述不一致时，以最后发出的为准。</w:t>
      </w:r>
    </w:p>
    <w:p>
      <w:pPr>
        <w:autoSpaceDE w:val="0"/>
        <w:autoSpaceDN w:val="0"/>
        <w:adjustRightInd w:val="0"/>
        <w:snapToGrid w:val="0"/>
        <w:spacing w:line="360" w:lineRule="auto"/>
        <w:ind w:left="399" w:leftChars="190"/>
        <w:textAlignment w:val="bottom"/>
        <w:rPr>
          <w:rFonts w:hint="eastAsia" w:ascii="宋体" w:hAnsi="宋体" w:cs="宋体"/>
          <w:sz w:val="22"/>
          <w:szCs w:val="22"/>
        </w:rPr>
      </w:pPr>
      <w:r>
        <w:rPr>
          <w:rFonts w:hint="eastAsia" w:ascii="宋体" w:hAnsi="宋体" w:cs="宋体"/>
          <w:sz w:val="22"/>
          <w:szCs w:val="22"/>
        </w:rPr>
        <w:t>2.6、各供应商自行在指定信息发布媒体（http://zfcg.czt.zj.gov.cn）下载或查阅招标相关文件和资料等，恕不另行通知，如有遗漏采购人、代理机构概不负责。</w:t>
      </w:r>
    </w:p>
    <w:p>
      <w:pPr>
        <w:pStyle w:val="6"/>
        <w:spacing w:before="0" w:after="0"/>
        <w:ind w:firstLine="442" w:firstLineChars="200"/>
        <w:rPr>
          <w:rFonts w:hint="eastAsia" w:ascii="宋体" w:hAnsi="宋体" w:eastAsia="宋体" w:cs="宋体"/>
          <w:b/>
          <w:bCs/>
          <w:sz w:val="22"/>
          <w:szCs w:val="22"/>
        </w:rPr>
      </w:pPr>
      <w:bookmarkStart w:id="40" w:name="_Toc27590"/>
      <w:r>
        <w:rPr>
          <w:rFonts w:hint="eastAsia" w:ascii="宋体" w:hAnsi="宋体" w:eastAsia="宋体" w:cs="宋体"/>
          <w:b/>
          <w:bCs/>
          <w:sz w:val="22"/>
          <w:szCs w:val="22"/>
        </w:rPr>
        <w:t>四、投标文件</w:t>
      </w:r>
      <w:bookmarkEnd w:id="40"/>
    </w:p>
    <w:p>
      <w:pPr>
        <w:autoSpaceDE w:val="0"/>
        <w:autoSpaceDN w:val="0"/>
        <w:adjustRightInd w:val="0"/>
        <w:snapToGrid w:val="0"/>
        <w:spacing w:line="360" w:lineRule="auto"/>
        <w:ind w:firstLine="440" w:firstLineChars="200"/>
        <w:textAlignment w:val="bottom"/>
        <w:rPr>
          <w:rFonts w:hint="eastAsia" w:ascii="宋体" w:hAnsi="宋体" w:cs="宋体"/>
          <w:sz w:val="22"/>
          <w:szCs w:val="22"/>
        </w:rPr>
      </w:pPr>
      <w:r>
        <w:rPr>
          <w:rFonts w:hint="eastAsia" w:ascii="宋体" w:hAnsi="宋体" w:cs="宋体"/>
          <w:sz w:val="22"/>
          <w:szCs w:val="22"/>
        </w:rPr>
        <w:t>1、投标文件</w:t>
      </w:r>
    </w:p>
    <w:p>
      <w:pPr>
        <w:autoSpaceDE w:val="0"/>
        <w:autoSpaceDN w:val="0"/>
        <w:adjustRightInd w:val="0"/>
        <w:snapToGrid w:val="0"/>
        <w:spacing w:line="360" w:lineRule="auto"/>
        <w:ind w:firstLine="440" w:firstLineChars="200"/>
        <w:textAlignment w:val="bottom"/>
        <w:rPr>
          <w:rFonts w:hint="eastAsia" w:ascii="宋体" w:hAnsi="宋体" w:cs="宋体"/>
          <w:sz w:val="22"/>
          <w:szCs w:val="22"/>
        </w:rPr>
      </w:pPr>
      <w:r>
        <w:rPr>
          <w:rFonts w:hint="eastAsia" w:ascii="宋体" w:hAnsi="宋体" w:cs="宋体"/>
          <w:sz w:val="22"/>
          <w:szCs w:val="22"/>
          <w:lang w:val="zh-CN"/>
        </w:rPr>
        <w:t>1.1</w:t>
      </w:r>
      <w:r>
        <w:rPr>
          <w:rFonts w:hint="eastAsia" w:ascii="宋体" w:hAnsi="宋体" w:cs="宋体"/>
          <w:sz w:val="22"/>
          <w:szCs w:val="22"/>
        </w:rPr>
        <w:t>供应商应仔细阅读招标文件中的所有内容，按照招标文件及招标技术参数要求，详细编制投标文件。并对招标文件的要求做出实质上响应。实质上响应的投标应该是与招标文件要求的条款没有重大偏离的投标。未实质上响应的投标文件将被拒绝，但允许投标服务或货物在基本满足招标技术参数要求的前提下出现的微小差异。</w:t>
      </w:r>
    </w:p>
    <w:p>
      <w:pPr>
        <w:autoSpaceDE w:val="0"/>
        <w:autoSpaceDN w:val="0"/>
        <w:adjustRightInd w:val="0"/>
        <w:snapToGrid w:val="0"/>
        <w:spacing w:line="360" w:lineRule="auto"/>
        <w:ind w:firstLine="440" w:firstLineChars="200"/>
        <w:textAlignment w:val="bottom"/>
        <w:rPr>
          <w:rFonts w:hint="eastAsia" w:ascii="宋体" w:hAnsi="宋体" w:cs="宋体"/>
          <w:sz w:val="22"/>
          <w:szCs w:val="22"/>
        </w:rPr>
      </w:pPr>
      <w:r>
        <w:rPr>
          <w:rFonts w:hint="eastAsia" w:ascii="宋体" w:hAnsi="宋体" w:cs="宋体"/>
          <w:sz w:val="22"/>
          <w:szCs w:val="22"/>
          <w:lang w:val="zh-CN"/>
        </w:rPr>
        <w:t>1.2</w:t>
      </w:r>
      <w:r>
        <w:rPr>
          <w:rFonts w:hint="eastAsia" w:ascii="宋体" w:hAnsi="宋体" w:cs="宋体"/>
          <w:sz w:val="22"/>
          <w:szCs w:val="22"/>
        </w:rPr>
        <w:t>供应商必须按招标文件的要求提供相关技术参数、资料，包括采用的计量单位，并保证投标文件的正确性和真实性。投标文件全部内容应保持一致，否则可能导致不利于其投标的评定甚至被拒绝。技术和商务如有偏离均应填写偏离表。</w:t>
      </w:r>
    </w:p>
    <w:p>
      <w:pPr>
        <w:autoSpaceDE w:val="0"/>
        <w:autoSpaceDN w:val="0"/>
        <w:adjustRightInd w:val="0"/>
        <w:snapToGrid w:val="0"/>
        <w:spacing w:line="360" w:lineRule="auto"/>
        <w:ind w:firstLine="440" w:firstLineChars="200"/>
        <w:textAlignment w:val="bottom"/>
        <w:rPr>
          <w:rFonts w:hint="eastAsia" w:ascii="宋体" w:hAnsi="宋体" w:cs="宋体"/>
          <w:sz w:val="22"/>
          <w:szCs w:val="22"/>
        </w:rPr>
      </w:pPr>
      <w:r>
        <w:rPr>
          <w:rFonts w:hint="eastAsia" w:ascii="宋体" w:hAnsi="宋体" w:cs="宋体"/>
          <w:sz w:val="22"/>
          <w:szCs w:val="22"/>
          <w:lang w:val="zh-CN"/>
        </w:rPr>
        <w:t>1.3供应商应仔细阅读招标文件中的所有内容，按照招标文件要求，详细编制投标文件，所有文件资料必须是针对本次投标。不按招标文件的要求提供的投标文件可能导致被拒绝。</w:t>
      </w:r>
    </w:p>
    <w:p>
      <w:pPr>
        <w:autoSpaceDE w:val="0"/>
        <w:autoSpaceDN w:val="0"/>
        <w:adjustRightInd w:val="0"/>
        <w:snapToGrid w:val="0"/>
        <w:spacing w:line="360" w:lineRule="auto"/>
        <w:ind w:firstLine="440" w:firstLineChars="200"/>
        <w:textAlignment w:val="bottom"/>
        <w:rPr>
          <w:rFonts w:hint="eastAsia" w:ascii="宋体" w:hAnsi="宋体" w:cs="宋体"/>
          <w:sz w:val="22"/>
          <w:szCs w:val="22"/>
        </w:rPr>
      </w:pPr>
      <w:r>
        <w:rPr>
          <w:rFonts w:hint="eastAsia" w:ascii="宋体" w:hAnsi="宋体" w:cs="宋体"/>
          <w:sz w:val="22"/>
          <w:szCs w:val="22"/>
        </w:rPr>
        <w:t xml:space="preserve">2、各标段投标文件的组成  </w:t>
      </w:r>
    </w:p>
    <w:p>
      <w:pPr>
        <w:autoSpaceDE w:val="0"/>
        <w:autoSpaceDN w:val="0"/>
        <w:adjustRightInd w:val="0"/>
        <w:snapToGrid w:val="0"/>
        <w:spacing w:line="360" w:lineRule="auto"/>
        <w:ind w:firstLine="442" w:firstLineChars="200"/>
        <w:rPr>
          <w:rFonts w:hint="eastAsia" w:ascii="宋体" w:hAnsi="宋体" w:cs="宋体"/>
          <w:b/>
          <w:bCs/>
          <w:sz w:val="22"/>
          <w:szCs w:val="22"/>
          <w:u w:val="single"/>
        </w:rPr>
      </w:pPr>
      <w:r>
        <w:rPr>
          <w:rFonts w:hint="eastAsia" w:ascii="宋体" w:hAnsi="宋体" w:cs="宋体"/>
          <w:b/>
          <w:bCs/>
          <w:sz w:val="22"/>
          <w:szCs w:val="22"/>
          <w:u w:val="single"/>
        </w:rPr>
        <w:t>▲投标文件由资格文件、商务技术文件、报价文件三部分组成，具体内容如下。</w:t>
      </w:r>
    </w:p>
    <w:p>
      <w:pPr>
        <w:autoSpaceDE w:val="0"/>
        <w:autoSpaceDN w:val="0"/>
        <w:adjustRightInd w:val="0"/>
        <w:snapToGrid w:val="0"/>
        <w:spacing w:line="360" w:lineRule="auto"/>
        <w:ind w:firstLine="440" w:firstLineChars="200"/>
        <w:rPr>
          <w:rFonts w:hint="eastAsia" w:ascii="宋体" w:hAnsi="宋体" w:cs="宋体"/>
          <w:b/>
          <w:bCs/>
          <w:sz w:val="22"/>
          <w:szCs w:val="22"/>
        </w:rPr>
      </w:pPr>
      <w:r>
        <w:rPr>
          <w:rFonts w:hint="eastAsia" w:ascii="宋体" w:hAnsi="宋体" w:cs="宋体"/>
          <w:sz w:val="22"/>
          <w:szCs w:val="22"/>
          <w:lang w:val="zh-CN"/>
        </w:rPr>
        <w:t>2.1、</w:t>
      </w:r>
      <w:r>
        <w:rPr>
          <w:rFonts w:hint="eastAsia" w:ascii="宋体" w:hAnsi="宋体" w:cs="宋体"/>
          <w:b/>
          <w:bCs/>
          <w:sz w:val="22"/>
          <w:szCs w:val="22"/>
        </w:rPr>
        <w:t>资格文件部分（详见附件十二）</w:t>
      </w:r>
    </w:p>
    <w:p>
      <w:pPr>
        <w:autoSpaceDE w:val="0"/>
        <w:autoSpaceDN w:val="0"/>
        <w:adjustRightInd w:val="0"/>
        <w:snapToGrid w:val="0"/>
        <w:spacing w:line="360" w:lineRule="auto"/>
        <w:ind w:left="399" w:leftChars="190"/>
        <w:textAlignment w:val="bottom"/>
        <w:rPr>
          <w:rFonts w:hint="eastAsia" w:ascii="宋体" w:hAnsi="宋体" w:cs="宋体"/>
          <w:sz w:val="22"/>
          <w:szCs w:val="22"/>
        </w:rPr>
      </w:pPr>
      <w:r>
        <w:rPr>
          <w:rFonts w:hint="eastAsia" w:ascii="宋体" w:hAnsi="宋体" w:cs="宋体"/>
          <w:sz w:val="22"/>
          <w:szCs w:val="22"/>
        </w:rPr>
        <w:t>2.1.1供应商的资格文件至少应包括以下内容</w:t>
      </w:r>
    </w:p>
    <w:p>
      <w:pPr>
        <w:autoSpaceDE w:val="0"/>
        <w:autoSpaceDN w:val="0"/>
        <w:adjustRightInd w:val="0"/>
        <w:snapToGrid w:val="0"/>
        <w:spacing w:line="360" w:lineRule="auto"/>
        <w:ind w:left="399" w:leftChars="190"/>
        <w:textAlignment w:val="bottom"/>
        <w:rPr>
          <w:rFonts w:hint="eastAsia" w:ascii="宋体" w:hAnsi="宋体" w:cs="宋体"/>
          <w:sz w:val="22"/>
          <w:szCs w:val="22"/>
        </w:rPr>
      </w:pPr>
      <w:r>
        <w:rPr>
          <w:rFonts w:hint="eastAsia" w:ascii="宋体" w:hAnsi="宋体" w:cs="宋体"/>
          <w:sz w:val="22"/>
          <w:szCs w:val="22"/>
        </w:rPr>
        <w:t>包括（即证明其符合《中华人民共和国政府采购法》规定的供应商基本条件的有关资格证明文件）：</w:t>
      </w:r>
    </w:p>
    <w:p>
      <w:pPr>
        <w:numPr>
          <w:ilvl w:val="0"/>
          <w:numId w:val="12"/>
        </w:numPr>
        <w:autoSpaceDE w:val="0"/>
        <w:autoSpaceDN w:val="0"/>
        <w:adjustRightInd w:val="0"/>
        <w:snapToGrid w:val="0"/>
        <w:spacing w:line="360" w:lineRule="auto"/>
        <w:ind w:firstLine="418" w:firstLineChars="190"/>
        <w:textAlignment w:val="bottom"/>
        <w:rPr>
          <w:rFonts w:hint="eastAsia" w:ascii="宋体" w:hAnsi="宋体" w:cs="宋体"/>
          <w:sz w:val="22"/>
          <w:szCs w:val="22"/>
        </w:rPr>
      </w:pPr>
      <w:r>
        <w:rPr>
          <w:rFonts w:hint="eastAsia" w:ascii="宋体" w:hAnsi="宋体" w:cs="宋体"/>
          <w:sz w:val="22"/>
          <w:szCs w:val="22"/>
        </w:rPr>
        <w:t xml:space="preserve">营业执照(或事业法人登记证书或其它工商等登记证明材料；自然人参与政府采购，提供身份证)复印件（联合体投标的须提供联合体协议，联合体格式自拟。联合体主体须明确，联合体所有单位均须提供营业执照，其他签字盖章及电子标政采云账号等只需联合体主体即可） ； </w:t>
      </w:r>
    </w:p>
    <w:p>
      <w:pPr>
        <w:autoSpaceDE w:val="0"/>
        <w:autoSpaceDN w:val="0"/>
        <w:adjustRightInd w:val="0"/>
        <w:snapToGrid w:val="0"/>
        <w:spacing w:line="360" w:lineRule="auto"/>
        <w:ind w:firstLine="440" w:firstLineChars="200"/>
        <w:textAlignment w:val="bottom"/>
        <w:rPr>
          <w:rFonts w:hint="eastAsia" w:ascii="宋体" w:hAnsi="宋体" w:cs="宋体"/>
          <w:sz w:val="22"/>
          <w:szCs w:val="22"/>
        </w:rPr>
      </w:pPr>
      <w:r>
        <w:rPr>
          <w:rFonts w:hint="eastAsia" w:ascii="宋体" w:hAnsi="宋体" w:cs="宋体"/>
          <w:sz w:val="22"/>
          <w:szCs w:val="22"/>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numPr>
          <w:ilvl w:val="0"/>
          <w:numId w:val="12"/>
        </w:numPr>
        <w:autoSpaceDE w:val="0"/>
        <w:autoSpaceDN w:val="0"/>
        <w:adjustRightInd w:val="0"/>
        <w:snapToGrid w:val="0"/>
        <w:spacing w:line="360" w:lineRule="auto"/>
        <w:ind w:firstLine="418" w:firstLineChars="190"/>
        <w:textAlignment w:val="bottom"/>
        <w:rPr>
          <w:rFonts w:hint="eastAsia" w:ascii="宋体" w:hAnsi="宋体" w:cs="宋体"/>
          <w:sz w:val="22"/>
          <w:szCs w:val="22"/>
        </w:rPr>
      </w:pPr>
      <w:r>
        <w:rPr>
          <w:rFonts w:hint="eastAsia" w:ascii="宋体" w:hAnsi="宋体" w:cs="宋体"/>
          <w:sz w:val="22"/>
          <w:szCs w:val="22"/>
        </w:rPr>
        <w:t>良好的商业信誉和健全的财务会计制度；</w:t>
      </w:r>
    </w:p>
    <w:p>
      <w:pPr>
        <w:numPr>
          <w:ilvl w:val="0"/>
          <w:numId w:val="12"/>
        </w:numPr>
        <w:autoSpaceDE w:val="0"/>
        <w:autoSpaceDN w:val="0"/>
        <w:adjustRightInd w:val="0"/>
        <w:snapToGrid w:val="0"/>
        <w:spacing w:line="360" w:lineRule="auto"/>
        <w:ind w:firstLine="418" w:firstLineChars="190"/>
        <w:textAlignment w:val="bottom"/>
        <w:rPr>
          <w:rFonts w:hint="eastAsia" w:ascii="宋体" w:hAnsi="宋体" w:cs="宋体"/>
          <w:sz w:val="22"/>
          <w:szCs w:val="22"/>
        </w:rPr>
      </w:pPr>
      <w:r>
        <w:rPr>
          <w:rFonts w:hint="eastAsia" w:ascii="宋体" w:hAnsi="宋体" w:cs="宋体"/>
          <w:sz w:val="22"/>
          <w:szCs w:val="22"/>
        </w:rPr>
        <w:t>具有履行合同所必需的场地、设备和专业技术能力的承诺函；</w:t>
      </w:r>
    </w:p>
    <w:p>
      <w:pPr>
        <w:numPr>
          <w:ilvl w:val="0"/>
          <w:numId w:val="12"/>
        </w:numPr>
        <w:autoSpaceDE w:val="0"/>
        <w:autoSpaceDN w:val="0"/>
        <w:adjustRightInd w:val="0"/>
        <w:snapToGrid w:val="0"/>
        <w:spacing w:line="360" w:lineRule="auto"/>
        <w:ind w:firstLine="418" w:firstLineChars="190"/>
        <w:textAlignment w:val="bottom"/>
        <w:rPr>
          <w:rFonts w:hint="eastAsia" w:ascii="宋体" w:hAnsi="宋体" w:cs="宋体"/>
          <w:sz w:val="22"/>
          <w:szCs w:val="22"/>
        </w:rPr>
      </w:pPr>
      <w:r>
        <w:rPr>
          <w:rFonts w:hint="eastAsia" w:ascii="宋体" w:hAnsi="宋体" w:cs="宋体"/>
          <w:sz w:val="22"/>
          <w:szCs w:val="22"/>
        </w:rPr>
        <w:t>依法缴纳税收和社会保障资金的承诺函；</w:t>
      </w:r>
    </w:p>
    <w:p>
      <w:pPr>
        <w:numPr>
          <w:ilvl w:val="0"/>
          <w:numId w:val="12"/>
        </w:numPr>
        <w:autoSpaceDE w:val="0"/>
        <w:autoSpaceDN w:val="0"/>
        <w:adjustRightInd w:val="0"/>
        <w:snapToGrid w:val="0"/>
        <w:spacing w:line="360" w:lineRule="auto"/>
        <w:ind w:firstLine="418" w:firstLineChars="190"/>
        <w:textAlignment w:val="bottom"/>
        <w:rPr>
          <w:rFonts w:hint="eastAsia" w:ascii="宋体" w:hAnsi="宋体" w:cs="宋体"/>
          <w:sz w:val="22"/>
          <w:szCs w:val="22"/>
        </w:rPr>
      </w:pPr>
      <w:r>
        <w:rPr>
          <w:rFonts w:hint="eastAsia" w:ascii="宋体" w:hAnsi="宋体" w:cs="宋体"/>
          <w:sz w:val="22"/>
          <w:szCs w:val="22"/>
        </w:rPr>
        <w:t>参加政府采购活动前3年内在经营活动中没有重大违法记录的声明函；</w:t>
      </w:r>
    </w:p>
    <w:p>
      <w:pPr>
        <w:numPr>
          <w:ilvl w:val="0"/>
          <w:numId w:val="12"/>
        </w:numPr>
        <w:autoSpaceDE w:val="0"/>
        <w:autoSpaceDN w:val="0"/>
        <w:adjustRightInd w:val="0"/>
        <w:snapToGrid w:val="0"/>
        <w:spacing w:line="360" w:lineRule="auto"/>
        <w:ind w:firstLine="418" w:firstLineChars="190"/>
        <w:textAlignment w:val="bottom"/>
        <w:rPr>
          <w:rFonts w:hint="eastAsia" w:ascii="宋体" w:hAnsi="宋体" w:cs="宋体"/>
          <w:sz w:val="22"/>
          <w:szCs w:val="22"/>
          <w:lang w:val="en-US" w:eastAsia="zh-CN"/>
        </w:rPr>
      </w:pPr>
      <w:r>
        <w:rPr>
          <w:rFonts w:hint="eastAsia" w:ascii="宋体" w:hAnsi="宋体" w:cs="宋体"/>
          <w:sz w:val="22"/>
          <w:szCs w:val="22"/>
        </w:rPr>
        <w:t>具备电子与智能化工程专业承包贰级及以上资质</w:t>
      </w:r>
    </w:p>
    <w:p>
      <w:pPr>
        <w:numPr>
          <w:ilvl w:val="0"/>
          <w:numId w:val="12"/>
        </w:numPr>
        <w:autoSpaceDE w:val="0"/>
        <w:autoSpaceDN w:val="0"/>
        <w:adjustRightInd w:val="0"/>
        <w:snapToGrid w:val="0"/>
        <w:spacing w:line="360" w:lineRule="auto"/>
        <w:ind w:firstLine="418" w:firstLineChars="190"/>
        <w:textAlignment w:val="bottom"/>
        <w:rPr>
          <w:rFonts w:hint="eastAsia" w:ascii="宋体" w:hAnsi="宋体" w:cs="宋体"/>
          <w:sz w:val="22"/>
          <w:szCs w:val="22"/>
        </w:rPr>
      </w:pPr>
      <w:r>
        <w:rPr>
          <w:rFonts w:hint="eastAsia" w:ascii="宋体" w:hAnsi="宋体" w:cs="宋体"/>
          <w:sz w:val="22"/>
          <w:szCs w:val="22"/>
        </w:rPr>
        <w:t>上述资格条件审查材料有一项不提供的，视为资格审查不通过。</w:t>
      </w:r>
    </w:p>
    <w:p>
      <w:pPr>
        <w:autoSpaceDE w:val="0"/>
        <w:autoSpaceDN w:val="0"/>
        <w:adjustRightInd w:val="0"/>
        <w:snapToGrid w:val="0"/>
        <w:spacing w:line="360" w:lineRule="auto"/>
        <w:ind w:firstLine="442" w:firstLineChars="200"/>
        <w:rPr>
          <w:rFonts w:hint="eastAsia" w:ascii="宋体" w:hAnsi="宋体" w:cs="宋体"/>
          <w:b/>
          <w:bCs/>
          <w:sz w:val="22"/>
          <w:szCs w:val="22"/>
          <w:lang w:val="zh-CN"/>
        </w:rPr>
      </w:pPr>
      <w:r>
        <w:rPr>
          <w:rFonts w:hint="eastAsia" w:ascii="宋体" w:hAnsi="宋体" w:cs="宋体"/>
          <w:b/>
          <w:bCs/>
          <w:sz w:val="22"/>
          <w:szCs w:val="22"/>
        </w:rPr>
        <w:t>2.2、报价要求响应文件</w:t>
      </w:r>
    </w:p>
    <w:p>
      <w:pPr>
        <w:numPr>
          <w:ilvl w:val="0"/>
          <w:numId w:val="13"/>
        </w:numPr>
        <w:autoSpaceDE w:val="0"/>
        <w:autoSpaceDN w:val="0"/>
        <w:adjustRightInd w:val="0"/>
        <w:snapToGrid w:val="0"/>
        <w:spacing w:line="360" w:lineRule="auto"/>
        <w:ind w:firstLine="418" w:firstLineChars="190"/>
        <w:textAlignment w:val="bottom"/>
        <w:rPr>
          <w:rFonts w:hint="eastAsia" w:ascii="宋体" w:hAnsi="宋体" w:cs="宋体"/>
          <w:sz w:val="22"/>
          <w:szCs w:val="22"/>
        </w:rPr>
      </w:pPr>
      <w:r>
        <w:rPr>
          <w:rFonts w:hint="eastAsia" w:ascii="宋体" w:hAnsi="宋体" w:cs="宋体"/>
          <w:sz w:val="22"/>
          <w:szCs w:val="22"/>
        </w:rPr>
        <w:t>开标一览表（附件二（一））；</w:t>
      </w:r>
    </w:p>
    <w:p>
      <w:pPr>
        <w:numPr>
          <w:ilvl w:val="0"/>
          <w:numId w:val="13"/>
        </w:numPr>
        <w:autoSpaceDE w:val="0"/>
        <w:autoSpaceDN w:val="0"/>
        <w:adjustRightInd w:val="0"/>
        <w:snapToGrid w:val="0"/>
        <w:spacing w:line="360" w:lineRule="auto"/>
        <w:ind w:firstLine="418" w:firstLineChars="190"/>
        <w:textAlignment w:val="bottom"/>
        <w:rPr>
          <w:rFonts w:hint="eastAsia" w:ascii="宋体" w:hAnsi="宋体" w:cs="宋体"/>
          <w:sz w:val="22"/>
          <w:szCs w:val="22"/>
        </w:rPr>
      </w:pPr>
      <w:r>
        <w:rPr>
          <w:rFonts w:hint="eastAsia" w:ascii="宋体" w:hAnsi="宋体" w:cs="宋体"/>
          <w:sz w:val="22"/>
          <w:szCs w:val="22"/>
        </w:rPr>
        <w:t>清单报价表（附件二（二））；</w:t>
      </w:r>
    </w:p>
    <w:p>
      <w:pPr>
        <w:numPr>
          <w:ilvl w:val="0"/>
          <w:numId w:val="13"/>
        </w:numPr>
        <w:autoSpaceDE w:val="0"/>
        <w:autoSpaceDN w:val="0"/>
        <w:adjustRightInd w:val="0"/>
        <w:snapToGrid w:val="0"/>
        <w:spacing w:line="360" w:lineRule="auto"/>
        <w:ind w:firstLine="418" w:firstLineChars="190"/>
        <w:textAlignment w:val="bottom"/>
        <w:rPr>
          <w:rFonts w:hint="eastAsia" w:ascii="宋体" w:hAnsi="宋体" w:cs="宋体"/>
          <w:sz w:val="22"/>
          <w:szCs w:val="22"/>
        </w:rPr>
      </w:pPr>
      <w:r>
        <w:rPr>
          <w:rFonts w:hint="eastAsia" w:ascii="宋体" w:hAnsi="宋体" w:cs="宋体"/>
          <w:sz w:val="22"/>
          <w:szCs w:val="22"/>
        </w:rPr>
        <w:t>《中小企业声明函》（附件十一）（注：若非小微企业可不提供）；监狱企业证明文件（如有）（由相关部门出具）（附件十一）、残疾人福利性单位声明函（如有）（附件十一）（原件扫描加盖电子签章）；</w:t>
      </w:r>
    </w:p>
    <w:p>
      <w:pPr>
        <w:autoSpaceDE w:val="0"/>
        <w:autoSpaceDN w:val="0"/>
        <w:adjustRightInd w:val="0"/>
        <w:snapToGrid w:val="0"/>
        <w:spacing w:line="360" w:lineRule="auto"/>
        <w:ind w:firstLine="442" w:firstLineChars="200"/>
        <w:textAlignment w:val="bottom"/>
        <w:rPr>
          <w:rFonts w:hint="eastAsia" w:ascii="宋体" w:hAnsi="宋体" w:cs="宋体"/>
          <w:b/>
          <w:bCs/>
          <w:sz w:val="22"/>
          <w:szCs w:val="22"/>
        </w:rPr>
      </w:pPr>
      <w:r>
        <w:rPr>
          <w:rFonts w:hint="eastAsia" w:ascii="宋体" w:hAnsi="宋体" w:cs="宋体"/>
          <w:b/>
          <w:bCs/>
          <w:sz w:val="22"/>
          <w:szCs w:val="22"/>
        </w:rPr>
        <w:t>2.3、</w:t>
      </w:r>
      <w:r>
        <w:rPr>
          <w:rFonts w:hint="eastAsia" w:ascii="宋体" w:hAnsi="宋体" w:cs="宋体"/>
          <w:b/>
          <w:bCs/>
          <w:sz w:val="22"/>
          <w:szCs w:val="22"/>
          <w:u w:val="single"/>
        </w:rPr>
        <w:t>技术资信部分组成</w:t>
      </w:r>
    </w:p>
    <w:p>
      <w:pPr>
        <w:numPr>
          <w:ilvl w:val="0"/>
          <w:numId w:val="14"/>
        </w:numPr>
        <w:autoSpaceDE w:val="0"/>
        <w:autoSpaceDN w:val="0"/>
        <w:adjustRightInd w:val="0"/>
        <w:snapToGrid w:val="0"/>
        <w:spacing w:line="360" w:lineRule="auto"/>
        <w:ind w:left="5" w:firstLine="415"/>
        <w:textAlignment w:val="bottom"/>
        <w:rPr>
          <w:rFonts w:hint="eastAsia" w:ascii="宋体" w:hAnsi="宋体" w:cs="宋体"/>
          <w:sz w:val="22"/>
          <w:szCs w:val="22"/>
        </w:rPr>
      </w:pPr>
      <w:r>
        <w:rPr>
          <w:rFonts w:hint="eastAsia" w:ascii="宋体" w:hAnsi="宋体" w:cs="宋体"/>
          <w:sz w:val="22"/>
          <w:szCs w:val="22"/>
        </w:rPr>
        <w:t>目录或评分索引（格式自拟）；</w:t>
      </w:r>
    </w:p>
    <w:p>
      <w:pPr>
        <w:numPr>
          <w:ilvl w:val="0"/>
          <w:numId w:val="14"/>
        </w:numPr>
        <w:autoSpaceDE w:val="0"/>
        <w:autoSpaceDN w:val="0"/>
        <w:adjustRightInd w:val="0"/>
        <w:snapToGrid w:val="0"/>
        <w:spacing w:line="360" w:lineRule="auto"/>
        <w:ind w:left="5" w:firstLine="415"/>
        <w:textAlignment w:val="bottom"/>
        <w:rPr>
          <w:rFonts w:hint="eastAsia" w:ascii="宋体" w:hAnsi="宋体" w:cs="宋体"/>
          <w:sz w:val="22"/>
          <w:szCs w:val="22"/>
        </w:rPr>
      </w:pPr>
      <w:r>
        <w:rPr>
          <w:rFonts w:hint="eastAsia" w:ascii="宋体" w:hAnsi="宋体" w:cs="宋体"/>
          <w:sz w:val="22"/>
          <w:szCs w:val="22"/>
        </w:rPr>
        <w:t>投标函（附件一）；</w:t>
      </w:r>
    </w:p>
    <w:p>
      <w:pPr>
        <w:numPr>
          <w:ilvl w:val="0"/>
          <w:numId w:val="14"/>
        </w:numPr>
        <w:autoSpaceDE w:val="0"/>
        <w:autoSpaceDN w:val="0"/>
        <w:adjustRightInd w:val="0"/>
        <w:snapToGrid w:val="0"/>
        <w:spacing w:line="360" w:lineRule="auto"/>
        <w:ind w:left="5" w:firstLine="415"/>
        <w:textAlignment w:val="bottom"/>
        <w:rPr>
          <w:rFonts w:hint="eastAsia" w:ascii="宋体" w:hAnsi="宋体" w:cs="宋体"/>
          <w:sz w:val="22"/>
          <w:szCs w:val="22"/>
        </w:rPr>
      </w:pPr>
      <w:r>
        <w:rPr>
          <w:rFonts w:hint="eastAsia" w:ascii="宋体" w:hAnsi="宋体" w:cs="宋体"/>
          <w:sz w:val="22"/>
          <w:szCs w:val="22"/>
        </w:rPr>
        <w:t>法定代表人授权书（附件四（一））；</w:t>
      </w:r>
    </w:p>
    <w:p>
      <w:pPr>
        <w:numPr>
          <w:ilvl w:val="0"/>
          <w:numId w:val="14"/>
        </w:numPr>
        <w:autoSpaceDE w:val="0"/>
        <w:autoSpaceDN w:val="0"/>
        <w:adjustRightInd w:val="0"/>
        <w:snapToGrid w:val="0"/>
        <w:spacing w:line="360" w:lineRule="auto"/>
        <w:ind w:left="5" w:firstLine="415"/>
        <w:textAlignment w:val="bottom"/>
        <w:rPr>
          <w:rFonts w:hint="eastAsia" w:ascii="宋体" w:hAnsi="宋体" w:cs="宋体"/>
          <w:sz w:val="22"/>
          <w:szCs w:val="22"/>
        </w:rPr>
      </w:pPr>
      <w:r>
        <w:rPr>
          <w:rFonts w:hint="eastAsia" w:ascii="宋体" w:hAnsi="宋体" w:cs="宋体"/>
          <w:sz w:val="22"/>
          <w:szCs w:val="22"/>
        </w:rPr>
        <w:t>商务偏离表、技术偏离表（附件三）；</w:t>
      </w:r>
    </w:p>
    <w:p>
      <w:pPr>
        <w:numPr>
          <w:ilvl w:val="0"/>
          <w:numId w:val="14"/>
        </w:numPr>
        <w:autoSpaceDE w:val="0"/>
        <w:autoSpaceDN w:val="0"/>
        <w:adjustRightInd w:val="0"/>
        <w:snapToGrid w:val="0"/>
        <w:spacing w:line="360" w:lineRule="auto"/>
        <w:ind w:left="5" w:firstLine="415"/>
        <w:textAlignment w:val="bottom"/>
        <w:rPr>
          <w:rFonts w:hint="eastAsia" w:ascii="宋体" w:hAnsi="宋体" w:cs="宋体"/>
          <w:sz w:val="22"/>
          <w:szCs w:val="22"/>
        </w:rPr>
      </w:pPr>
      <w:r>
        <w:rPr>
          <w:rFonts w:hint="eastAsia" w:ascii="宋体" w:hAnsi="宋体" w:cs="宋体"/>
          <w:sz w:val="22"/>
          <w:szCs w:val="22"/>
        </w:rPr>
        <w:t>设备详细配置清单（附件五）；</w:t>
      </w:r>
    </w:p>
    <w:p>
      <w:pPr>
        <w:numPr>
          <w:ilvl w:val="0"/>
          <w:numId w:val="14"/>
        </w:numPr>
        <w:autoSpaceDE w:val="0"/>
        <w:autoSpaceDN w:val="0"/>
        <w:adjustRightInd w:val="0"/>
        <w:snapToGrid w:val="0"/>
        <w:spacing w:line="360" w:lineRule="auto"/>
        <w:ind w:left="5" w:firstLine="415"/>
        <w:textAlignment w:val="bottom"/>
        <w:rPr>
          <w:rFonts w:hint="eastAsia" w:ascii="宋体" w:hAnsi="宋体" w:cs="宋体"/>
          <w:sz w:val="22"/>
          <w:szCs w:val="22"/>
        </w:rPr>
      </w:pPr>
      <w:r>
        <w:rPr>
          <w:rFonts w:hint="eastAsia" w:ascii="宋体" w:hAnsi="宋体" w:cs="宋体"/>
          <w:sz w:val="22"/>
          <w:szCs w:val="22"/>
        </w:rPr>
        <w:t>投标供应商情况声明（见附件四（二））；</w:t>
      </w:r>
    </w:p>
    <w:p>
      <w:pPr>
        <w:numPr>
          <w:ilvl w:val="0"/>
          <w:numId w:val="14"/>
        </w:numPr>
        <w:autoSpaceDE w:val="0"/>
        <w:autoSpaceDN w:val="0"/>
        <w:adjustRightInd w:val="0"/>
        <w:snapToGrid w:val="0"/>
        <w:spacing w:line="360" w:lineRule="auto"/>
        <w:ind w:left="5" w:firstLine="415"/>
        <w:textAlignment w:val="bottom"/>
        <w:rPr>
          <w:rFonts w:hint="eastAsia" w:ascii="宋体" w:hAnsi="宋体" w:cs="宋体"/>
          <w:sz w:val="22"/>
          <w:szCs w:val="22"/>
        </w:rPr>
      </w:pPr>
      <w:r>
        <w:rPr>
          <w:rFonts w:hint="eastAsia" w:ascii="宋体" w:hAnsi="宋体" w:cs="宋体"/>
          <w:sz w:val="22"/>
          <w:szCs w:val="22"/>
        </w:rPr>
        <w:t>供应商营业执照、税务登记证（原件扫描加盖电子签章）；</w:t>
      </w:r>
    </w:p>
    <w:p>
      <w:pPr>
        <w:numPr>
          <w:ilvl w:val="0"/>
          <w:numId w:val="14"/>
        </w:numPr>
        <w:autoSpaceDE w:val="0"/>
        <w:autoSpaceDN w:val="0"/>
        <w:adjustRightInd w:val="0"/>
        <w:snapToGrid w:val="0"/>
        <w:spacing w:line="360" w:lineRule="auto"/>
        <w:ind w:left="5" w:firstLine="415"/>
        <w:textAlignment w:val="bottom"/>
        <w:rPr>
          <w:rFonts w:hint="eastAsia" w:ascii="宋体" w:hAnsi="宋体" w:cs="宋体"/>
          <w:sz w:val="22"/>
          <w:szCs w:val="22"/>
        </w:rPr>
      </w:pPr>
      <w:r>
        <w:rPr>
          <w:rFonts w:hint="eastAsia" w:ascii="宋体" w:hAnsi="宋体" w:cs="宋体"/>
          <w:sz w:val="22"/>
          <w:szCs w:val="22"/>
        </w:rPr>
        <w:t>供应商服务质量体系认证证书等相关资质证书、资信证书、主管部门颁发的获奖证书（复印件加盖公章，如有则提供）（原件扫描加盖电子签章）；</w:t>
      </w:r>
    </w:p>
    <w:p>
      <w:pPr>
        <w:numPr>
          <w:ilvl w:val="0"/>
          <w:numId w:val="14"/>
        </w:numPr>
        <w:autoSpaceDE w:val="0"/>
        <w:autoSpaceDN w:val="0"/>
        <w:adjustRightInd w:val="0"/>
        <w:snapToGrid w:val="0"/>
        <w:spacing w:line="360" w:lineRule="auto"/>
        <w:ind w:left="5" w:firstLine="415"/>
        <w:textAlignment w:val="bottom"/>
        <w:rPr>
          <w:rFonts w:hint="eastAsia" w:ascii="宋体" w:hAnsi="宋体" w:cs="宋体"/>
          <w:sz w:val="22"/>
          <w:szCs w:val="22"/>
        </w:rPr>
      </w:pPr>
      <w:r>
        <w:rPr>
          <w:rFonts w:hint="eastAsia" w:ascii="宋体" w:hAnsi="宋体" w:cs="宋体"/>
          <w:sz w:val="22"/>
          <w:szCs w:val="22"/>
        </w:rPr>
        <w:t>承诺书（附件十）；</w:t>
      </w:r>
    </w:p>
    <w:p>
      <w:pPr>
        <w:numPr>
          <w:ilvl w:val="0"/>
          <w:numId w:val="14"/>
        </w:numPr>
        <w:autoSpaceDE w:val="0"/>
        <w:autoSpaceDN w:val="0"/>
        <w:adjustRightInd w:val="0"/>
        <w:snapToGrid w:val="0"/>
        <w:spacing w:line="360" w:lineRule="auto"/>
        <w:ind w:left="5" w:firstLine="415"/>
        <w:textAlignment w:val="bottom"/>
        <w:rPr>
          <w:rFonts w:hint="eastAsia" w:ascii="宋体" w:hAnsi="宋体" w:cs="宋体"/>
          <w:sz w:val="22"/>
          <w:szCs w:val="22"/>
        </w:rPr>
      </w:pPr>
      <w:r>
        <w:rPr>
          <w:rFonts w:hint="eastAsia" w:ascii="宋体" w:hAnsi="宋体" w:cs="宋体"/>
          <w:sz w:val="22"/>
          <w:szCs w:val="22"/>
        </w:rPr>
        <w:t>供应商同类项目业绩一览表,后附合同复印件、采购人评价（原件扫描加盖电子签章）（附件六）；</w:t>
      </w:r>
    </w:p>
    <w:p>
      <w:pPr>
        <w:numPr>
          <w:ilvl w:val="0"/>
          <w:numId w:val="14"/>
        </w:numPr>
        <w:autoSpaceDE w:val="0"/>
        <w:autoSpaceDN w:val="0"/>
        <w:adjustRightInd w:val="0"/>
        <w:snapToGrid w:val="0"/>
        <w:spacing w:line="360" w:lineRule="auto"/>
        <w:ind w:left="5" w:firstLine="415"/>
        <w:textAlignment w:val="bottom"/>
        <w:rPr>
          <w:rFonts w:hint="eastAsia" w:ascii="宋体" w:hAnsi="宋体" w:cs="宋体"/>
          <w:sz w:val="22"/>
          <w:szCs w:val="22"/>
        </w:rPr>
      </w:pPr>
      <w:r>
        <w:rPr>
          <w:rFonts w:hint="eastAsia" w:ascii="宋体" w:hAnsi="宋体" w:cs="宋体"/>
          <w:sz w:val="22"/>
          <w:szCs w:val="22"/>
        </w:rPr>
        <w:t>拟派项目负责人情况表及相关复印件（原件扫描加盖电子签章）（附件五）；</w:t>
      </w:r>
    </w:p>
    <w:p>
      <w:pPr>
        <w:numPr>
          <w:ilvl w:val="0"/>
          <w:numId w:val="14"/>
        </w:numPr>
        <w:autoSpaceDE w:val="0"/>
        <w:autoSpaceDN w:val="0"/>
        <w:adjustRightInd w:val="0"/>
        <w:snapToGrid w:val="0"/>
        <w:spacing w:line="360" w:lineRule="auto"/>
        <w:ind w:left="5" w:firstLine="415"/>
        <w:textAlignment w:val="bottom"/>
        <w:rPr>
          <w:rFonts w:hint="eastAsia" w:ascii="宋体" w:hAnsi="宋体" w:cs="宋体"/>
          <w:sz w:val="22"/>
          <w:szCs w:val="22"/>
        </w:rPr>
      </w:pPr>
      <w:r>
        <w:rPr>
          <w:rFonts w:hint="eastAsia" w:ascii="宋体" w:hAnsi="宋体" w:cs="宋体"/>
          <w:sz w:val="22"/>
          <w:szCs w:val="22"/>
        </w:rPr>
        <w:t>针对本项目的项目部班子成员组成及相关复印件（原件扫描加盖电子签章）（附件七）；</w:t>
      </w:r>
    </w:p>
    <w:p>
      <w:pPr>
        <w:numPr>
          <w:ilvl w:val="0"/>
          <w:numId w:val="14"/>
        </w:numPr>
        <w:autoSpaceDE w:val="0"/>
        <w:autoSpaceDN w:val="0"/>
        <w:adjustRightInd w:val="0"/>
        <w:snapToGrid w:val="0"/>
        <w:spacing w:line="360" w:lineRule="auto"/>
        <w:ind w:left="5" w:firstLine="415"/>
        <w:textAlignment w:val="bottom"/>
        <w:rPr>
          <w:rFonts w:hint="eastAsia" w:ascii="宋体" w:hAnsi="宋体" w:cs="宋体"/>
          <w:sz w:val="22"/>
          <w:szCs w:val="22"/>
        </w:rPr>
      </w:pPr>
      <w:r>
        <w:rPr>
          <w:rFonts w:hint="eastAsia" w:ascii="宋体" w:hAnsi="宋体" w:cs="宋体"/>
          <w:sz w:val="22"/>
          <w:szCs w:val="22"/>
        </w:rPr>
        <w:t>设备安装、调试、验收标准、方案，人员培训计划，售后服务保障承诺（附件九）；</w:t>
      </w:r>
    </w:p>
    <w:p>
      <w:pPr>
        <w:numPr>
          <w:ilvl w:val="0"/>
          <w:numId w:val="14"/>
        </w:numPr>
        <w:autoSpaceDE w:val="0"/>
        <w:autoSpaceDN w:val="0"/>
        <w:adjustRightInd w:val="0"/>
        <w:snapToGrid w:val="0"/>
        <w:spacing w:line="360" w:lineRule="auto"/>
        <w:ind w:left="5" w:firstLine="415"/>
        <w:textAlignment w:val="bottom"/>
        <w:rPr>
          <w:rFonts w:hint="eastAsia" w:ascii="宋体" w:hAnsi="宋体" w:cs="宋体"/>
          <w:sz w:val="22"/>
          <w:szCs w:val="22"/>
        </w:rPr>
      </w:pPr>
      <w:r>
        <w:rPr>
          <w:rFonts w:hint="eastAsia" w:ascii="宋体" w:hAnsi="宋体" w:cs="宋体"/>
          <w:sz w:val="22"/>
          <w:szCs w:val="22"/>
        </w:rPr>
        <w:t>拟投入设备设施清单（如有，原件扫描加盖电子签章）（附件八）；</w:t>
      </w:r>
    </w:p>
    <w:p>
      <w:pPr>
        <w:numPr>
          <w:ilvl w:val="0"/>
          <w:numId w:val="14"/>
        </w:numPr>
        <w:autoSpaceDE w:val="0"/>
        <w:autoSpaceDN w:val="0"/>
        <w:adjustRightInd w:val="0"/>
        <w:snapToGrid w:val="0"/>
        <w:spacing w:line="360" w:lineRule="auto"/>
        <w:ind w:left="5" w:firstLine="415"/>
        <w:textAlignment w:val="bottom"/>
        <w:rPr>
          <w:rFonts w:hint="eastAsia" w:ascii="宋体" w:hAnsi="宋体" w:cs="宋体"/>
          <w:sz w:val="22"/>
          <w:szCs w:val="22"/>
        </w:rPr>
      </w:pPr>
      <w:r>
        <w:rPr>
          <w:rFonts w:hint="eastAsia" w:ascii="宋体" w:hAnsi="宋体" w:cs="宋体"/>
          <w:sz w:val="22"/>
          <w:szCs w:val="22"/>
        </w:rPr>
        <w:t>节能环保产品声明函 （附件十三）；</w:t>
      </w:r>
    </w:p>
    <w:p>
      <w:pPr>
        <w:numPr>
          <w:ilvl w:val="0"/>
          <w:numId w:val="14"/>
        </w:numPr>
        <w:autoSpaceDE w:val="0"/>
        <w:autoSpaceDN w:val="0"/>
        <w:adjustRightInd w:val="0"/>
        <w:snapToGrid w:val="0"/>
        <w:spacing w:line="360" w:lineRule="auto"/>
        <w:ind w:left="5" w:firstLine="415"/>
        <w:textAlignment w:val="bottom"/>
        <w:rPr>
          <w:rFonts w:hint="eastAsia" w:ascii="宋体" w:hAnsi="宋体" w:cs="宋体"/>
          <w:sz w:val="22"/>
          <w:szCs w:val="22"/>
        </w:rPr>
      </w:pPr>
      <w:r>
        <w:rPr>
          <w:rFonts w:hint="eastAsia" w:ascii="宋体" w:hAnsi="宋体" w:cs="宋体"/>
          <w:sz w:val="22"/>
          <w:szCs w:val="22"/>
        </w:rPr>
        <w:t>节能环保产品清单（附件十四）；</w:t>
      </w:r>
    </w:p>
    <w:p>
      <w:pPr>
        <w:numPr>
          <w:ilvl w:val="0"/>
          <w:numId w:val="14"/>
        </w:numPr>
        <w:autoSpaceDE w:val="0"/>
        <w:autoSpaceDN w:val="0"/>
        <w:adjustRightInd w:val="0"/>
        <w:snapToGrid w:val="0"/>
        <w:spacing w:line="360" w:lineRule="auto"/>
        <w:ind w:left="5" w:firstLine="415"/>
        <w:textAlignment w:val="bottom"/>
        <w:rPr>
          <w:rFonts w:hint="eastAsia" w:ascii="宋体" w:hAnsi="宋体" w:cs="宋体"/>
          <w:sz w:val="22"/>
          <w:szCs w:val="22"/>
        </w:rPr>
      </w:pPr>
      <w:r>
        <w:rPr>
          <w:rFonts w:hint="eastAsia" w:ascii="宋体" w:hAnsi="宋体" w:cs="宋体"/>
          <w:sz w:val="22"/>
          <w:szCs w:val="22"/>
        </w:rPr>
        <w:t>针对本项目的技术和服务方案等；</w:t>
      </w:r>
    </w:p>
    <w:p>
      <w:pPr>
        <w:numPr>
          <w:ilvl w:val="0"/>
          <w:numId w:val="14"/>
        </w:numPr>
        <w:adjustRightInd w:val="0"/>
        <w:snapToGrid w:val="0"/>
        <w:spacing w:line="360" w:lineRule="auto"/>
        <w:ind w:left="5" w:firstLine="415"/>
        <w:rPr>
          <w:rFonts w:hint="eastAsia" w:ascii="宋体" w:hAnsi="宋体" w:cs="宋体"/>
          <w:sz w:val="22"/>
          <w:szCs w:val="22"/>
        </w:rPr>
      </w:pPr>
      <w:r>
        <w:rPr>
          <w:rFonts w:hint="eastAsia" w:ascii="宋体" w:hAnsi="宋体" w:cs="宋体"/>
          <w:sz w:val="22"/>
          <w:szCs w:val="22"/>
        </w:rPr>
        <w:t>根据采购文件中的采购内容与要求，供应商认为需要提供的其它文件和资料（具体参见评标细则）。</w:t>
      </w:r>
    </w:p>
    <w:p>
      <w:pPr>
        <w:numPr>
          <w:ilvl w:val="0"/>
          <w:numId w:val="14"/>
        </w:numPr>
        <w:adjustRightInd w:val="0"/>
        <w:snapToGrid w:val="0"/>
        <w:spacing w:line="360" w:lineRule="auto"/>
        <w:ind w:left="5" w:firstLine="415"/>
        <w:rPr>
          <w:rFonts w:hint="eastAsia" w:ascii="宋体" w:hAnsi="宋体" w:cs="宋体"/>
          <w:sz w:val="22"/>
          <w:szCs w:val="22"/>
        </w:rPr>
      </w:pPr>
      <w:r>
        <w:rPr>
          <w:rFonts w:hint="eastAsia" w:ascii="宋体" w:hAnsi="宋体" w:cs="宋体"/>
          <w:sz w:val="22"/>
          <w:szCs w:val="22"/>
        </w:rPr>
        <w:t>供应商针对评标细则，编制目录索引，注明评标细则项目所在投标文件页码，格式自拟。</w:t>
      </w:r>
    </w:p>
    <w:p>
      <w:pPr>
        <w:numPr>
          <w:ilvl w:val="0"/>
          <w:numId w:val="14"/>
        </w:numPr>
        <w:adjustRightInd w:val="0"/>
        <w:snapToGrid w:val="0"/>
        <w:spacing w:line="360" w:lineRule="auto"/>
        <w:ind w:left="5" w:firstLine="415"/>
        <w:rPr>
          <w:rFonts w:hint="eastAsia" w:ascii="宋体" w:hAnsi="宋体" w:cs="宋体"/>
          <w:sz w:val="22"/>
          <w:szCs w:val="22"/>
        </w:rPr>
      </w:pPr>
      <w:r>
        <w:rPr>
          <w:rFonts w:hint="eastAsia" w:ascii="宋体" w:hAnsi="宋体" w:cs="宋体"/>
          <w:sz w:val="22"/>
          <w:szCs w:val="22"/>
        </w:rPr>
        <w:t>根据采购文件中的采购内容与要求，根据招标文件格式要求中，需要电子签章的均要电子签章，供应商认为需要提供的其它文件和资料（具体参见评标细则），上传的其它文件和资料要求电子签章（即电子公章）。</w:t>
      </w:r>
    </w:p>
    <w:p>
      <w:pPr>
        <w:autoSpaceDE w:val="0"/>
        <w:autoSpaceDN w:val="0"/>
        <w:adjustRightInd w:val="0"/>
        <w:snapToGrid w:val="0"/>
        <w:spacing w:line="360" w:lineRule="auto"/>
        <w:ind w:firstLine="440" w:firstLineChars="200"/>
        <w:textAlignment w:val="bottom"/>
        <w:rPr>
          <w:rFonts w:hint="eastAsia" w:ascii="宋体" w:hAnsi="宋体" w:cs="宋体"/>
          <w:sz w:val="22"/>
          <w:szCs w:val="22"/>
        </w:rPr>
      </w:pPr>
      <w:r>
        <w:rPr>
          <w:rFonts w:hint="eastAsia" w:ascii="宋体" w:hAnsi="宋体" w:cs="宋体"/>
          <w:sz w:val="22"/>
          <w:szCs w:val="22"/>
        </w:rPr>
        <w:t>3、投标内容填写说明</w:t>
      </w:r>
    </w:p>
    <w:p>
      <w:pPr>
        <w:autoSpaceDE w:val="0"/>
        <w:autoSpaceDN w:val="0"/>
        <w:adjustRightInd w:val="0"/>
        <w:snapToGrid w:val="0"/>
        <w:spacing w:line="360" w:lineRule="auto"/>
        <w:ind w:firstLine="440" w:firstLineChars="200"/>
        <w:textAlignment w:val="bottom"/>
        <w:rPr>
          <w:rFonts w:hint="eastAsia" w:ascii="宋体" w:hAnsi="宋体" w:cs="宋体"/>
          <w:sz w:val="22"/>
          <w:szCs w:val="22"/>
        </w:rPr>
      </w:pPr>
      <w:r>
        <w:rPr>
          <w:rFonts w:hint="eastAsia" w:ascii="宋体" w:hAnsi="宋体" w:cs="宋体"/>
          <w:sz w:val="22"/>
          <w:szCs w:val="22"/>
        </w:rPr>
        <w:t>3.1、投标文件编制</w:t>
      </w:r>
    </w:p>
    <w:p>
      <w:pPr>
        <w:spacing w:line="360" w:lineRule="auto"/>
        <w:ind w:firstLine="440" w:firstLineChars="200"/>
        <w:rPr>
          <w:rFonts w:hint="eastAsia" w:ascii="宋体" w:hAnsi="宋体" w:cs="宋体"/>
          <w:color w:val="000000"/>
          <w:sz w:val="22"/>
          <w:szCs w:val="22"/>
        </w:rPr>
      </w:pPr>
      <w:r>
        <w:rPr>
          <w:rFonts w:hint="eastAsia" w:ascii="宋体" w:hAnsi="宋体" w:cs="宋体"/>
          <w:sz w:val="22"/>
          <w:szCs w:val="22"/>
        </w:rPr>
        <w:t xml:space="preserve"> 1）</w:t>
      </w:r>
      <w:r>
        <w:rPr>
          <w:rFonts w:hint="eastAsia" w:ascii="宋体" w:hAnsi="宋体" w:cs="宋体"/>
          <w:color w:val="000000"/>
          <w:sz w:val="22"/>
          <w:szCs w:val="22"/>
        </w:rPr>
        <w:t>本项目通过“政府采购云平台（www.zcygov.cn）”实行在线投标响应（电子投标）。供应商应通过“政采云电子交易客户端”，并按照本招标文件和“政府采购云平台”的要求编制并加密投标文件。未按规定加密的投标文件，电子交易平台将拒收。</w:t>
      </w:r>
    </w:p>
    <w:p>
      <w:pPr>
        <w:spacing w:line="360" w:lineRule="auto"/>
        <w:ind w:firstLine="385" w:firstLineChars="175"/>
        <w:rPr>
          <w:rFonts w:hint="eastAsia" w:ascii="宋体" w:hAnsi="宋体" w:cs="宋体"/>
          <w:color w:val="000000"/>
          <w:kern w:val="0"/>
          <w:sz w:val="22"/>
          <w:szCs w:val="22"/>
        </w:rPr>
      </w:pPr>
      <w:r>
        <w:rPr>
          <w:rFonts w:hint="eastAsia" w:ascii="宋体" w:hAnsi="宋体" w:cs="宋体"/>
          <w:color w:val="000000"/>
          <w:kern w:val="0"/>
          <w:sz w:val="22"/>
          <w:szCs w:val="22"/>
        </w:rPr>
        <w:t>2） 投标供应商应当按照本章节 “投标文件组成”规定的内容及顺序在“政采云电子交易客户端”编制投标文件。其中《资格响应文件》和《商务技术响应文件》中不得出现本项目投标报价，如因供应商原因提前泄露投标报价，是供应商的责任。</w:t>
      </w:r>
    </w:p>
    <w:p>
      <w:pPr>
        <w:spacing w:line="360" w:lineRule="auto"/>
        <w:ind w:firstLine="385" w:firstLineChars="175"/>
        <w:rPr>
          <w:rFonts w:hint="eastAsia" w:ascii="宋体" w:hAnsi="宋体" w:cs="宋体"/>
          <w:sz w:val="22"/>
          <w:szCs w:val="22"/>
        </w:rPr>
      </w:pPr>
      <w:r>
        <w:rPr>
          <w:rFonts w:hint="eastAsia" w:ascii="宋体" w:hAnsi="宋体" w:cs="宋体"/>
          <w:color w:val="000000"/>
          <w:sz w:val="22"/>
          <w:szCs w:val="22"/>
        </w:rPr>
        <w:t>3）本文件《第五部分  应提交的有关格式范例》中有提供格式的，投标供应商须参照格式进行编制（格式中要求提供相关证明材料的还需后附相关证明材料），并按格式要求在指定位置根据要求进行签章，否则视为未提供；本文件《第五部分  应提交的有关格式范例》未提供格式的，请各投标单位自行拟定格式，并按招标文件要求进行电子签章（电子公章），否则视为未提供。</w:t>
      </w:r>
    </w:p>
    <w:p>
      <w:pPr>
        <w:spacing w:line="360" w:lineRule="auto"/>
        <w:ind w:firstLine="385" w:firstLineChars="175"/>
        <w:rPr>
          <w:rFonts w:hint="eastAsia" w:ascii="宋体" w:hAnsi="宋体" w:cs="宋体"/>
          <w:color w:val="000000"/>
          <w:kern w:val="0"/>
          <w:sz w:val="22"/>
          <w:szCs w:val="22"/>
        </w:rPr>
      </w:pPr>
      <w:r>
        <w:rPr>
          <w:rFonts w:hint="eastAsia" w:ascii="宋体" w:hAnsi="宋体" w:cs="宋体"/>
          <w:color w:val="000000"/>
          <w:kern w:val="0"/>
          <w:sz w:val="22"/>
          <w:szCs w:val="22"/>
        </w:rPr>
        <w:t>4） 投标文件内容不完整、编排混乱、未设置评审关联点或设置错误评审关联点导致投标文件被误读、漏读或者查找不到相关内容的，是投标供应商的责任。</w:t>
      </w:r>
    </w:p>
    <w:p>
      <w:pPr>
        <w:spacing w:line="360" w:lineRule="auto"/>
        <w:ind w:firstLine="385" w:firstLineChars="175"/>
        <w:rPr>
          <w:rFonts w:hint="eastAsia" w:ascii="宋体" w:hAnsi="宋体" w:cs="宋体"/>
          <w:color w:val="000000"/>
          <w:kern w:val="0"/>
          <w:sz w:val="22"/>
          <w:szCs w:val="22"/>
        </w:rPr>
      </w:pPr>
      <w:r>
        <w:rPr>
          <w:rFonts w:hint="eastAsia" w:ascii="宋体" w:hAnsi="宋体" w:cs="宋体"/>
          <w:color w:val="000000"/>
          <w:kern w:val="0"/>
          <w:sz w:val="22"/>
          <w:szCs w:val="22"/>
        </w:rPr>
        <w:t>5） 投标文件因字迹潦草或表达不清所引起的后果由投标供应商负责。</w:t>
      </w:r>
    </w:p>
    <w:p>
      <w:pPr>
        <w:spacing w:line="360" w:lineRule="auto"/>
        <w:ind w:firstLine="385" w:firstLineChars="175"/>
        <w:rPr>
          <w:rFonts w:hint="eastAsia" w:ascii="宋体" w:hAnsi="宋体" w:cs="宋体"/>
          <w:color w:val="000000"/>
          <w:kern w:val="0"/>
          <w:sz w:val="22"/>
          <w:szCs w:val="22"/>
        </w:rPr>
      </w:pPr>
      <w:r>
        <w:rPr>
          <w:rFonts w:hint="eastAsia" w:ascii="宋体" w:hAnsi="宋体" w:cs="宋体"/>
          <w:color w:val="000000"/>
          <w:kern w:val="0"/>
          <w:sz w:val="22"/>
          <w:szCs w:val="22"/>
        </w:rPr>
        <w:t>6） 投标供应商没有按照本章节 “投标文件组成”要求提供全部资料，或者没有仔细阅读招标文件，或者没有对招标文件在各方面的要求作出实质性响应是投标供应商的风险，由此造成的一切后果由投标供应商自行承担。</w:t>
      </w:r>
    </w:p>
    <w:p>
      <w:pPr>
        <w:autoSpaceDE w:val="0"/>
        <w:autoSpaceDN w:val="0"/>
        <w:adjustRightInd w:val="0"/>
        <w:snapToGrid w:val="0"/>
        <w:spacing w:line="360" w:lineRule="auto"/>
        <w:ind w:left="399" w:leftChars="190"/>
        <w:textAlignment w:val="bottom"/>
        <w:rPr>
          <w:rFonts w:hint="eastAsia" w:ascii="宋体" w:hAnsi="宋体" w:cs="宋体"/>
          <w:sz w:val="22"/>
          <w:szCs w:val="22"/>
        </w:rPr>
      </w:pPr>
      <w:r>
        <w:rPr>
          <w:rFonts w:hint="eastAsia" w:ascii="宋体" w:hAnsi="宋体" w:cs="宋体"/>
          <w:sz w:val="22"/>
          <w:szCs w:val="22"/>
        </w:rPr>
        <w:t>7） 投标文件所提供的相关材料的尺寸和清晰度应该能够在电脑上被阅读、识别和判断。投标文  件内容无法阅读、识别和判断的，视为未提供。</w:t>
      </w:r>
    </w:p>
    <w:p>
      <w:pPr>
        <w:autoSpaceDE w:val="0"/>
        <w:autoSpaceDN w:val="0"/>
        <w:adjustRightInd w:val="0"/>
        <w:snapToGrid w:val="0"/>
        <w:spacing w:line="360" w:lineRule="auto"/>
        <w:ind w:left="399" w:leftChars="190"/>
        <w:textAlignment w:val="bottom"/>
        <w:rPr>
          <w:rFonts w:hint="eastAsia" w:ascii="宋体" w:hAnsi="宋体" w:cs="宋体"/>
          <w:sz w:val="22"/>
          <w:szCs w:val="22"/>
        </w:rPr>
      </w:pPr>
      <w:r>
        <w:rPr>
          <w:rFonts w:hint="eastAsia" w:ascii="宋体" w:hAnsi="宋体" w:cs="宋体"/>
          <w:sz w:val="22"/>
          <w:szCs w:val="22"/>
        </w:rPr>
        <w:t>8）投标文件的容量大小须符合电子交易平台规定。</w:t>
      </w:r>
    </w:p>
    <w:p>
      <w:pPr>
        <w:autoSpaceDE w:val="0"/>
        <w:autoSpaceDN w:val="0"/>
        <w:adjustRightInd w:val="0"/>
        <w:snapToGrid w:val="0"/>
        <w:spacing w:line="360" w:lineRule="auto"/>
        <w:ind w:left="399" w:leftChars="190"/>
        <w:textAlignment w:val="bottom"/>
        <w:rPr>
          <w:rFonts w:hint="eastAsia" w:ascii="宋体" w:hAnsi="宋体" w:cs="宋体"/>
          <w:sz w:val="22"/>
          <w:szCs w:val="22"/>
        </w:rPr>
      </w:pPr>
      <w:r>
        <w:rPr>
          <w:rFonts w:hint="eastAsia" w:ascii="宋体" w:hAnsi="宋体" w:cs="宋体"/>
          <w:sz w:val="22"/>
          <w:szCs w:val="22"/>
        </w:rPr>
        <w:t>9）供应商在使用电子交易平台进行投标的过程中遇到涉及平台使用的任何问题，可致电平台技  术支持热线咨询，联系方式：400-881-7190。</w:t>
      </w:r>
    </w:p>
    <w:p>
      <w:pPr>
        <w:pStyle w:val="7"/>
        <w:numPr>
          <w:ilvl w:val="2"/>
          <w:numId w:val="0"/>
        </w:numPr>
        <w:tabs>
          <w:tab w:val="left" w:pos="720"/>
          <w:tab w:val="clear" w:pos="3600"/>
        </w:tabs>
        <w:spacing w:before="0" w:after="0"/>
        <w:ind w:firstLine="220" w:firstLineChars="100"/>
        <w:jc w:val="both"/>
        <w:rPr>
          <w:rFonts w:hint="eastAsia" w:ascii="宋体" w:hAnsi="宋体" w:eastAsia="宋体" w:cs="宋体"/>
          <w:sz w:val="22"/>
          <w:szCs w:val="22"/>
        </w:rPr>
      </w:pPr>
      <w:bookmarkStart w:id="41" w:name="_Toc13192"/>
      <w:r>
        <w:rPr>
          <w:rFonts w:hint="eastAsia" w:ascii="宋体" w:hAnsi="宋体" w:eastAsia="宋体" w:cs="宋体"/>
          <w:sz w:val="22"/>
          <w:szCs w:val="22"/>
        </w:rPr>
        <w:t>3.2投标文件的签章</w:t>
      </w:r>
      <w:bookmarkEnd w:id="41"/>
    </w:p>
    <w:p>
      <w:pPr>
        <w:pStyle w:val="7"/>
        <w:numPr>
          <w:ilvl w:val="2"/>
          <w:numId w:val="0"/>
        </w:numPr>
        <w:tabs>
          <w:tab w:val="left" w:pos="720"/>
          <w:tab w:val="clear" w:pos="3600"/>
        </w:tabs>
        <w:spacing w:before="0" w:after="0"/>
        <w:ind w:firstLine="440" w:firstLineChars="200"/>
        <w:jc w:val="both"/>
        <w:rPr>
          <w:rFonts w:hint="eastAsia" w:ascii="宋体" w:hAnsi="宋体" w:eastAsia="宋体" w:cs="宋体"/>
          <w:b/>
          <w:color w:val="000000"/>
          <w:kern w:val="0"/>
          <w:sz w:val="22"/>
          <w:szCs w:val="22"/>
        </w:rPr>
      </w:pPr>
      <w:bookmarkStart w:id="42" w:name="_Toc3924"/>
      <w:r>
        <w:rPr>
          <w:rFonts w:hint="eastAsia" w:ascii="宋体" w:hAnsi="宋体" w:eastAsia="宋体" w:cs="宋体"/>
          <w:sz w:val="22"/>
          <w:szCs w:val="22"/>
        </w:rPr>
        <w:t>▲1）招标文件中要求公章签章，统一为电子签章（电子公章）。</w:t>
      </w:r>
      <w:bookmarkEnd w:id="42"/>
    </w:p>
    <w:p>
      <w:pPr>
        <w:spacing w:line="360" w:lineRule="auto"/>
        <w:ind w:firstLine="424" w:firstLineChars="192"/>
        <w:rPr>
          <w:rFonts w:hint="eastAsia" w:ascii="宋体" w:hAnsi="宋体" w:cs="宋体"/>
          <w:b/>
          <w:color w:val="000000"/>
          <w:kern w:val="0"/>
          <w:sz w:val="22"/>
          <w:szCs w:val="22"/>
        </w:rPr>
      </w:pPr>
      <w:r>
        <w:rPr>
          <w:rFonts w:hint="eastAsia" w:ascii="宋体" w:hAnsi="宋体" w:cs="宋体"/>
          <w:b/>
          <w:color w:val="000000"/>
          <w:kern w:val="0"/>
          <w:sz w:val="22"/>
          <w:szCs w:val="22"/>
        </w:rPr>
        <w:t>2）资格响应文件、商务技术响应文件、报价要求响应文件封面应由投标供应商法定代表人或其授权代表签字（或盖章），并加盖投标供应商电子签章（电子公章）。</w:t>
      </w:r>
    </w:p>
    <w:p>
      <w:pPr>
        <w:pStyle w:val="127"/>
        <w:spacing w:line="360" w:lineRule="auto"/>
        <w:rPr>
          <w:rFonts w:hint="eastAsia" w:ascii="宋体" w:hAnsi="宋体" w:cs="宋体"/>
          <w:sz w:val="22"/>
          <w:szCs w:val="22"/>
        </w:rPr>
      </w:pPr>
      <w:r>
        <w:rPr>
          <w:rFonts w:hint="eastAsia" w:ascii="宋体" w:hAnsi="宋体" w:cs="宋体"/>
          <w:b/>
          <w:color w:val="000000"/>
          <w:sz w:val="22"/>
          <w:szCs w:val="22"/>
        </w:rPr>
        <w:t xml:space="preserve">    3）供应商应使用“政采云电子交易客户端”进行的电子签章并进行加密的投标文件，加密的投标文件中的电子公章款式是否跟实际公章一致，都是有效签章。</w:t>
      </w:r>
    </w:p>
    <w:p>
      <w:pPr>
        <w:pStyle w:val="21"/>
        <w:spacing w:line="360" w:lineRule="auto"/>
        <w:ind w:left="0" w:firstLine="442" w:firstLineChars="200"/>
        <w:rPr>
          <w:rFonts w:hint="eastAsia" w:ascii="宋体" w:hAnsi="宋体" w:cs="宋体"/>
          <w:sz w:val="22"/>
          <w:szCs w:val="22"/>
        </w:rPr>
      </w:pPr>
      <w:r>
        <w:rPr>
          <w:rFonts w:hint="eastAsia" w:ascii="宋体" w:hAnsi="宋体" w:cs="宋体"/>
          <w:b/>
          <w:color w:val="000000"/>
          <w:kern w:val="0"/>
          <w:sz w:val="22"/>
          <w:szCs w:val="22"/>
        </w:rPr>
        <w:t>4）投标文件应使用电子交易平台 CA 数字证书进行电子签章。电子交易平台 CA 数字证书仅限于本单位在电子交易活动中使用，不得转让和出借。申领流程：浙江政府采购网-下载专区-电子交易客户端-CA 驱动和申领流程。电子签章操作指南详见政府采购云平台---服务中心--帮助文档--项目采购--电子招投标--《政府采购项目电子交易管理操作指南-供应商》。</w:t>
      </w:r>
    </w:p>
    <w:p>
      <w:pPr>
        <w:pStyle w:val="7"/>
        <w:tabs>
          <w:tab w:val="left" w:pos="720"/>
          <w:tab w:val="clear" w:pos="3600"/>
        </w:tabs>
        <w:spacing w:before="0" w:after="0"/>
        <w:ind w:left="720" w:hanging="720"/>
        <w:jc w:val="both"/>
        <w:rPr>
          <w:rFonts w:hint="eastAsia" w:ascii="宋体" w:hAnsi="宋体" w:eastAsia="宋体" w:cs="宋体"/>
          <w:sz w:val="22"/>
          <w:szCs w:val="22"/>
        </w:rPr>
      </w:pPr>
      <w:bookmarkStart w:id="43" w:name="_Toc20270"/>
      <w:r>
        <w:rPr>
          <w:rFonts w:hint="eastAsia" w:ascii="宋体" w:hAnsi="宋体" w:eastAsia="宋体" w:cs="宋体"/>
          <w:sz w:val="22"/>
          <w:szCs w:val="22"/>
        </w:rPr>
        <w:t>3.3投标文件的形式</w:t>
      </w:r>
      <w:bookmarkEnd w:id="43"/>
    </w:p>
    <w:p>
      <w:pPr>
        <w:spacing w:line="360" w:lineRule="auto"/>
        <w:ind w:firstLine="389" w:firstLineChars="176"/>
        <w:rPr>
          <w:rFonts w:hint="eastAsia" w:ascii="宋体" w:hAnsi="宋体" w:cs="宋体"/>
          <w:color w:val="000000"/>
          <w:sz w:val="22"/>
          <w:szCs w:val="22"/>
        </w:rPr>
      </w:pPr>
      <w:r>
        <w:rPr>
          <w:rFonts w:hint="eastAsia" w:ascii="宋体" w:hAnsi="宋体" w:cs="宋体"/>
          <w:b/>
          <w:color w:val="000000"/>
          <w:sz w:val="22"/>
          <w:szCs w:val="22"/>
        </w:rPr>
        <w:t>1）投标文件的形式：见《投标通知(邀请)书》；</w:t>
      </w:r>
    </w:p>
    <w:p>
      <w:pPr>
        <w:spacing w:line="360" w:lineRule="auto"/>
        <w:ind w:firstLine="389" w:firstLineChars="176"/>
        <w:rPr>
          <w:rFonts w:hint="eastAsia" w:ascii="宋体" w:hAnsi="宋体" w:cs="宋体"/>
          <w:b/>
          <w:color w:val="000000"/>
          <w:sz w:val="22"/>
          <w:szCs w:val="22"/>
        </w:rPr>
      </w:pPr>
      <w:r>
        <w:rPr>
          <w:rFonts w:hint="eastAsia" w:ascii="宋体" w:hAnsi="宋体" w:cs="宋体"/>
          <w:b/>
          <w:color w:val="000000"/>
          <w:sz w:val="22"/>
          <w:szCs w:val="22"/>
        </w:rPr>
        <w:t>2）“电子加密投标文件”：“电子加密投标文件”是指通过“政采云电子交易客户端”完成投标文件编制后生成并加密的数据电文形式的投标文件。</w:t>
      </w:r>
    </w:p>
    <w:p>
      <w:pPr>
        <w:spacing w:line="360" w:lineRule="auto"/>
        <w:ind w:firstLine="389" w:firstLineChars="176"/>
        <w:rPr>
          <w:rFonts w:hint="eastAsia" w:ascii="宋体" w:hAnsi="宋体" w:cs="宋体"/>
          <w:b/>
          <w:color w:val="000000"/>
          <w:sz w:val="22"/>
          <w:szCs w:val="22"/>
        </w:rPr>
      </w:pPr>
      <w:r>
        <w:rPr>
          <w:rFonts w:hint="eastAsia" w:ascii="宋体" w:hAnsi="宋体" w:cs="宋体"/>
          <w:b/>
          <w:color w:val="000000"/>
          <w:sz w:val="22"/>
          <w:szCs w:val="22"/>
        </w:rPr>
        <w:t>3）“备份投标文件”：“备份投标文件”是指与“电子加密投标文件”同时生成的数据电文形式的电子文件（备份标书），其他方式编制的“备份投标文件”视为无效的“备份投标文件”。</w:t>
      </w:r>
      <w:r>
        <w:rPr>
          <w:rFonts w:hint="eastAsia" w:ascii="宋体" w:hAnsi="宋体" w:cs="宋体"/>
          <w:b/>
          <w:sz w:val="22"/>
          <w:szCs w:val="22"/>
        </w:rPr>
        <w:t>通过电子交易平台成功上传递交的投标文件已按时解密的，备份投标文件自动失效。备份投标文件不是投标备选方案。</w:t>
      </w:r>
    </w:p>
    <w:p>
      <w:pPr>
        <w:autoSpaceDE w:val="0"/>
        <w:autoSpaceDN w:val="0"/>
        <w:adjustRightInd w:val="0"/>
        <w:snapToGrid w:val="0"/>
        <w:spacing w:line="360" w:lineRule="auto"/>
        <w:ind w:left="399" w:leftChars="190"/>
        <w:textAlignment w:val="bottom"/>
        <w:rPr>
          <w:rFonts w:hint="eastAsia" w:ascii="宋体" w:hAnsi="宋体" w:cs="宋体"/>
          <w:sz w:val="22"/>
          <w:szCs w:val="22"/>
        </w:rPr>
      </w:pPr>
      <w:r>
        <w:rPr>
          <w:rFonts w:hint="eastAsia" w:ascii="宋体" w:hAnsi="宋体" w:cs="宋体"/>
          <w:b/>
          <w:color w:val="000000"/>
          <w:sz w:val="22"/>
          <w:szCs w:val="22"/>
        </w:rPr>
        <w:t>4）</w:t>
      </w:r>
      <w:r>
        <w:rPr>
          <w:rFonts w:hint="eastAsia" w:ascii="宋体" w:hAnsi="宋体" w:cs="宋体"/>
          <w:b/>
          <w:sz w:val="22"/>
          <w:szCs w:val="22"/>
        </w:rPr>
        <w:t>本项目实行电子交易。电子交易平台为浙江政府采购网政府采购云平台。供应商应通过电子交易平台实行在线投标响应。</w:t>
      </w:r>
      <w:bookmarkStart w:id="44" w:name="_Toc132122412"/>
      <w:bookmarkStart w:id="45" w:name="_Toc132122115"/>
    </w:p>
    <w:p>
      <w:pPr>
        <w:autoSpaceDE w:val="0"/>
        <w:autoSpaceDN w:val="0"/>
        <w:adjustRightInd w:val="0"/>
        <w:snapToGrid w:val="0"/>
        <w:spacing w:line="360" w:lineRule="auto"/>
        <w:ind w:firstLine="440" w:firstLineChars="200"/>
        <w:textAlignment w:val="bottom"/>
        <w:rPr>
          <w:rFonts w:hint="eastAsia" w:ascii="宋体" w:hAnsi="宋体" w:cs="宋体"/>
          <w:sz w:val="22"/>
          <w:szCs w:val="22"/>
        </w:rPr>
      </w:pPr>
      <w:r>
        <w:rPr>
          <w:rFonts w:hint="eastAsia" w:ascii="宋体" w:hAnsi="宋体" w:cs="宋体"/>
          <w:sz w:val="22"/>
          <w:szCs w:val="22"/>
        </w:rPr>
        <w:t>4、投标报价</w:t>
      </w:r>
      <w:bookmarkEnd w:id="44"/>
      <w:bookmarkEnd w:id="45"/>
    </w:p>
    <w:p>
      <w:pPr>
        <w:autoSpaceDE w:val="0"/>
        <w:autoSpaceDN w:val="0"/>
        <w:adjustRightInd w:val="0"/>
        <w:snapToGrid w:val="0"/>
        <w:spacing w:line="360" w:lineRule="auto"/>
        <w:ind w:firstLine="440" w:firstLineChars="200"/>
        <w:textAlignment w:val="bottom"/>
        <w:rPr>
          <w:rFonts w:hint="eastAsia" w:ascii="宋体" w:hAnsi="宋体" w:cs="宋体"/>
          <w:sz w:val="22"/>
          <w:szCs w:val="22"/>
        </w:rPr>
      </w:pPr>
      <w:r>
        <w:rPr>
          <w:rFonts w:hint="eastAsia" w:ascii="宋体" w:hAnsi="宋体" w:cs="宋体"/>
          <w:sz w:val="22"/>
          <w:szCs w:val="22"/>
        </w:rPr>
        <w:t>4.1、供应商应按招标文件中《报价组成表》填写投标价格组成</w:t>
      </w:r>
      <w:r>
        <w:rPr>
          <w:rFonts w:hint="eastAsia" w:ascii="宋体" w:hAnsi="宋体" w:cs="宋体"/>
          <w:b/>
          <w:bCs/>
          <w:sz w:val="22"/>
          <w:szCs w:val="22"/>
        </w:rPr>
        <w:t>（格式见</w:t>
      </w:r>
      <w:r>
        <w:rPr>
          <w:rFonts w:hint="eastAsia" w:ascii="宋体" w:hAnsi="宋体" w:cs="宋体"/>
          <w:b/>
          <w:bCs/>
          <w:color w:val="000000"/>
          <w:sz w:val="22"/>
          <w:szCs w:val="22"/>
        </w:rPr>
        <w:t xml:space="preserve">第五部分 </w:t>
      </w:r>
      <w:r>
        <w:rPr>
          <w:rFonts w:hint="eastAsia" w:ascii="宋体" w:hAnsi="宋体" w:cs="宋体"/>
          <w:b/>
          <w:color w:val="000000"/>
          <w:sz w:val="22"/>
          <w:szCs w:val="22"/>
        </w:rPr>
        <w:t xml:space="preserve"> 应提交的有关格式范例</w:t>
      </w:r>
      <w:r>
        <w:rPr>
          <w:rFonts w:hint="eastAsia" w:ascii="宋体" w:hAnsi="宋体" w:cs="宋体"/>
          <w:sz w:val="22"/>
          <w:szCs w:val="22"/>
        </w:rPr>
        <w:t>）。</w:t>
      </w:r>
    </w:p>
    <w:p>
      <w:pPr>
        <w:autoSpaceDE w:val="0"/>
        <w:autoSpaceDN w:val="0"/>
        <w:adjustRightInd w:val="0"/>
        <w:snapToGrid w:val="0"/>
        <w:spacing w:line="360" w:lineRule="auto"/>
        <w:ind w:firstLine="440" w:firstLineChars="200"/>
        <w:textAlignment w:val="bottom"/>
        <w:rPr>
          <w:rFonts w:hint="eastAsia" w:ascii="宋体" w:hAnsi="宋体" w:cs="宋体"/>
          <w:sz w:val="22"/>
          <w:szCs w:val="22"/>
        </w:rPr>
      </w:pPr>
      <w:r>
        <w:rPr>
          <w:rFonts w:hint="eastAsia" w:ascii="宋体" w:hAnsi="宋体" w:cs="宋体"/>
          <w:bCs/>
          <w:sz w:val="22"/>
          <w:szCs w:val="22"/>
        </w:rPr>
        <w:t>4.2、</w:t>
      </w:r>
      <w:r>
        <w:rPr>
          <w:rFonts w:hint="eastAsia" w:ascii="宋体" w:hAnsi="宋体" w:cs="宋体"/>
          <w:sz w:val="22"/>
          <w:szCs w:val="22"/>
        </w:rPr>
        <w:t>本次采购报价为本项目采购内容最终用户验收合格后的全部费用。供应商应在各自技术和商务占优势的基础上并充分考虑本项目的重要性，提供对采购人最优惠的报价。</w:t>
      </w:r>
    </w:p>
    <w:p>
      <w:pPr>
        <w:autoSpaceDE w:val="0"/>
        <w:autoSpaceDN w:val="0"/>
        <w:adjustRightInd w:val="0"/>
        <w:snapToGrid w:val="0"/>
        <w:spacing w:line="360" w:lineRule="auto"/>
        <w:ind w:firstLine="440" w:firstLineChars="200"/>
        <w:textAlignment w:val="bottom"/>
        <w:rPr>
          <w:rFonts w:hint="eastAsia" w:ascii="宋体" w:hAnsi="宋体" w:cs="宋体"/>
          <w:b/>
          <w:sz w:val="22"/>
          <w:szCs w:val="22"/>
          <w:u w:val="single"/>
        </w:rPr>
      </w:pPr>
      <w:r>
        <w:rPr>
          <w:rFonts w:hint="eastAsia" w:ascii="宋体" w:hAnsi="宋体" w:cs="宋体"/>
          <w:sz w:val="22"/>
          <w:szCs w:val="22"/>
        </w:rPr>
        <w:t>4.3、投标报价应包含以下费用。</w:t>
      </w:r>
    </w:p>
    <w:p>
      <w:pPr>
        <w:autoSpaceDE w:val="0"/>
        <w:autoSpaceDN w:val="0"/>
        <w:adjustRightInd w:val="0"/>
        <w:snapToGrid w:val="0"/>
        <w:spacing w:line="360" w:lineRule="auto"/>
        <w:ind w:firstLine="442" w:firstLineChars="200"/>
        <w:textAlignment w:val="bottom"/>
        <w:rPr>
          <w:rFonts w:hint="eastAsia" w:ascii="宋体" w:hAnsi="宋体" w:cs="宋体"/>
          <w:b/>
          <w:sz w:val="22"/>
          <w:szCs w:val="22"/>
          <w:u w:val="single"/>
        </w:rPr>
      </w:pPr>
      <w:r>
        <w:rPr>
          <w:rFonts w:hint="eastAsia" w:ascii="宋体" w:hAnsi="宋体" w:cs="宋体"/>
          <w:b/>
          <w:sz w:val="22"/>
          <w:szCs w:val="22"/>
          <w:u w:val="single"/>
        </w:rPr>
        <w:t>▲供应商在投标报价中应充分考虑所有可能发生的费用，否则采购人将视投标总价中已包括所有费用。</w:t>
      </w:r>
    </w:p>
    <w:p>
      <w:pPr>
        <w:autoSpaceDE w:val="0"/>
        <w:autoSpaceDN w:val="0"/>
        <w:adjustRightInd w:val="0"/>
        <w:snapToGrid w:val="0"/>
        <w:spacing w:line="360" w:lineRule="auto"/>
        <w:ind w:firstLine="440" w:firstLineChars="200"/>
        <w:textAlignment w:val="bottom"/>
        <w:rPr>
          <w:rFonts w:hint="eastAsia" w:ascii="宋体" w:hAnsi="宋体" w:cs="宋体"/>
          <w:sz w:val="22"/>
          <w:szCs w:val="22"/>
          <w:u w:val="single"/>
        </w:rPr>
      </w:pPr>
      <w:r>
        <w:rPr>
          <w:rFonts w:hint="eastAsia" w:ascii="宋体" w:hAnsi="宋体" w:cs="宋体"/>
          <w:sz w:val="22"/>
          <w:szCs w:val="22"/>
          <w:u w:val="single"/>
        </w:rPr>
        <w:t>供应商对在合同执行中，除本项目投标及履约至验收合格的全部费用及招标文件规定的由中标供应商负责的工作范围以外需要采购人协调或提供便利的工作应当在投标文件中说明。</w:t>
      </w:r>
    </w:p>
    <w:p>
      <w:pPr>
        <w:autoSpaceDE w:val="0"/>
        <w:autoSpaceDN w:val="0"/>
        <w:adjustRightInd w:val="0"/>
        <w:snapToGrid w:val="0"/>
        <w:spacing w:line="360" w:lineRule="auto"/>
        <w:ind w:firstLine="440" w:firstLineChars="200"/>
        <w:textAlignment w:val="bottom"/>
        <w:rPr>
          <w:rFonts w:hint="eastAsia" w:ascii="宋体" w:hAnsi="宋体" w:cs="宋体"/>
          <w:sz w:val="22"/>
          <w:szCs w:val="22"/>
          <w:lang w:val="zh-CN"/>
        </w:rPr>
      </w:pPr>
      <w:r>
        <w:rPr>
          <w:rFonts w:hint="eastAsia" w:ascii="宋体" w:hAnsi="宋体" w:cs="宋体"/>
          <w:bCs/>
          <w:sz w:val="22"/>
          <w:szCs w:val="22"/>
        </w:rPr>
        <w:t>填写报价表格时，各项费用应如实填写。</w:t>
      </w:r>
      <w:r>
        <w:rPr>
          <w:rFonts w:hint="eastAsia" w:ascii="宋体" w:hAnsi="宋体" w:cs="宋体"/>
          <w:sz w:val="22"/>
          <w:szCs w:val="22"/>
        </w:rPr>
        <w:t>采购人要求分类报价是为了方便评标，但在任何情况下不限制采购人以其认为最合适的条款签订合同的权利。</w:t>
      </w:r>
    </w:p>
    <w:p>
      <w:pPr>
        <w:pStyle w:val="24"/>
        <w:adjustRightInd w:val="0"/>
        <w:snapToGrid w:val="0"/>
        <w:spacing w:line="360" w:lineRule="auto"/>
        <w:ind w:firstLine="440" w:firstLineChars="200"/>
        <w:rPr>
          <w:rFonts w:hint="eastAsia" w:hAnsi="宋体" w:cs="宋体"/>
          <w:sz w:val="22"/>
          <w:szCs w:val="22"/>
        </w:rPr>
      </w:pPr>
      <w:bookmarkStart w:id="46" w:name="_Toc132122117"/>
      <w:bookmarkStart w:id="47" w:name="_Toc132122414"/>
      <w:r>
        <w:rPr>
          <w:rFonts w:hint="eastAsia" w:hAnsi="宋体" w:cs="宋体"/>
          <w:sz w:val="22"/>
          <w:szCs w:val="22"/>
        </w:rPr>
        <w:t>5、投标文件的有效期</w:t>
      </w:r>
      <w:bookmarkEnd w:id="46"/>
      <w:bookmarkEnd w:id="47"/>
    </w:p>
    <w:p>
      <w:pPr>
        <w:pStyle w:val="24"/>
        <w:adjustRightInd w:val="0"/>
        <w:snapToGrid w:val="0"/>
        <w:spacing w:line="360" w:lineRule="auto"/>
        <w:ind w:firstLine="440" w:firstLineChars="200"/>
        <w:outlineLvl w:val="0"/>
        <w:rPr>
          <w:rFonts w:hint="eastAsia" w:hAnsi="宋体" w:cs="宋体"/>
          <w:sz w:val="22"/>
          <w:szCs w:val="22"/>
        </w:rPr>
      </w:pPr>
      <w:bookmarkStart w:id="48" w:name="_Toc114"/>
      <w:bookmarkStart w:id="49" w:name="_Toc644"/>
      <w:bookmarkStart w:id="50" w:name="_Toc4241"/>
      <w:bookmarkStart w:id="51" w:name="_Toc132122415"/>
      <w:bookmarkStart w:id="52" w:name="_Toc132122118"/>
      <w:bookmarkStart w:id="53" w:name="_Toc18055"/>
      <w:r>
        <w:rPr>
          <w:rFonts w:hint="eastAsia" w:hAnsi="宋体" w:cs="宋体"/>
          <w:sz w:val="22"/>
          <w:szCs w:val="22"/>
        </w:rPr>
        <w:t>投标文件合格投递后，自投标截止日期起，至投标通知(邀请)书规定的日期内有效。</w:t>
      </w:r>
      <w:bookmarkEnd w:id="48"/>
      <w:bookmarkEnd w:id="49"/>
      <w:bookmarkEnd w:id="50"/>
    </w:p>
    <w:p>
      <w:pPr>
        <w:pStyle w:val="24"/>
        <w:adjustRightInd w:val="0"/>
        <w:snapToGrid w:val="0"/>
        <w:spacing w:line="360" w:lineRule="auto"/>
        <w:ind w:firstLine="440" w:firstLineChars="200"/>
        <w:outlineLvl w:val="0"/>
        <w:rPr>
          <w:rFonts w:hint="eastAsia" w:hAnsi="宋体" w:cs="宋体"/>
          <w:sz w:val="22"/>
          <w:szCs w:val="22"/>
        </w:rPr>
      </w:pPr>
      <w:bookmarkStart w:id="54" w:name="_Toc2116"/>
      <w:bookmarkStart w:id="55" w:name="_Toc22582"/>
      <w:bookmarkStart w:id="56" w:name="_Toc6527"/>
      <w:r>
        <w:rPr>
          <w:rFonts w:hint="eastAsia" w:hAnsi="宋体" w:cs="宋体"/>
          <w:sz w:val="22"/>
          <w:szCs w:val="22"/>
        </w:rPr>
        <w:t>在原定投标有效期之前，如果出现特殊情况，采购代理机构可以以纸质形式通知供应商延长投标有效期</w:t>
      </w:r>
      <w:bookmarkEnd w:id="54"/>
      <w:bookmarkEnd w:id="55"/>
      <w:bookmarkEnd w:id="56"/>
    </w:p>
    <w:bookmarkEnd w:id="51"/>
    <w:bookmarkEnd w:id="52"/>
    <w:bookmarkEnd w:id="53"/>
    <w:p>
      <w:pPr>
        <w:pStyle w:val="7"/>
        <w:numPr>
          <w:ilvl w:val="0"/>
          <w:numId w:val="15"/>
        </w:numPr>
        <w:tabs>
          <w:tab w:val="left" w:pos="720"/>
          <w:tab w:val="clear" w:pos="3600"/>
        </w:tabs>
        <w:spacing w:before="0" w:after="0"/>
        <w:ind w:left="700" w:leftChars="185" w:hanging="312" w:hangingChars="142"/>
        <w:jc w:val="both"/>
        <w:rPr>
          <w:rFonts w:hint="eastAsia" w:ascii="宋体" w:hAnsi="宋体" w:eastAsia="宋体" w:cs="宋体"/>
          <w:sz w:val="22"/>
          <w:szCs w:val="22"/>
        </w:rPr>
      </w:pPr>
      <w:bookmarkStart w:id="57" w:name="_Toc26531"/>
      <w:r>
        <w:rPr>
          <w:rFonts w:hint="eastAsia" w:ascii="宋体" w:hAnsi="宋体" w:eastAsia="宋体" w:cs="宋体"/>
          <w:sz w:val="22"/>
          <w:szCs w:val="22"/>
        </w:rPr>
        <w:t>投标</w:t>
      </w:r>
      <w:bookmarkEnd w:id="57"/>
    </w:p>
    <w:p>
      <w:pPr>
        <w:pStyle w:val="7"/>
        <w:numPr>
          <w:ilvl w:val="2"/>
          <w:numId w:val="0"/>
        </w:numPr>
        <w:tabs>
          <w:tab w:val="left" w:pos="720"/>
          <w:tab w:val="clear" w:pos="3600"/>
        </w:tabs>
        <w:spacing w:before="0" w:after="0"/>
        <w:ind w:left="88" w:leftChars="42" w:firstLine="135" w:firstLineChars="61"/>
        <w:jc w:val="both"/>
        <w:rPr>
          <w:rFonts w:hint="eastAsia" w:ascii="宋体" w:hAnsi="宋体" w:eastAsia="宋体" w:cs="宋体"/>
          <w:b/>
          <w:bCs/>
          <w:sz w:val="22"/>
          <w:szCs w:val="22"/>
        </w:rPr>
      </w:pPr>
      <w:bookmarkStart w:id="58" w:name="_Toc4576"/>
      <w:r>
        <w:rPr>
          <w:rFonts w:hint="eastAsia" w:ascii="宋体" w:hAnsi="宋体" w:eastAsia="宋体" w:cs="宋体"/>
          <w:b/>
          <w:bCs/>
          <w:sz w:val="22"/>
          <w:szCs w:val="22"/>
        </w:rPr>
        <w:t>1、投标文件的上传和递交：见“</w:t>
      </w:r>
      <w:r>
        <w:rPr>
          <w:rFonts w:hint="eastAsia" w:ascii="宋体" w:hAnsi="宋体" w:eastAsia="宋体" w:cs="宋体"/>
          <w:sz w:val="22"/>
          <w:szCs w:val="22"/>
        </w:rPr>
        <w:t>投标通知(邀请)书</w:t>
      </w:r>
      <w:r>
        <w:rPr>
          <w:rFonts w:hint="eastAsia" w:ascii="宋体" w:hAnsi="宋体" w:eastAsia="宋体" w:cs="宋体"/>
          <w:b/>
          <w:bCs/>
          <w:sz w:val="22"/>
          <w:szCs w:val="22"/>
        </w:rPr>
        <w:t>”</w:t>
      </w:r>
      <w:bookmarkEnd w:id="58"/>
    </w:p>
    <w:p>
      <w:pPr>
        <w:spacing w:line="360" w:lineRule="auto"/>
        <w:ind w:firstLine="221" w:firstLineChars="100"/>
        <w:rPr>
          <w:rFonts w:hint="eastAsia" w:ascii="宋体" w:hAnsi="宋体" w:cs="宋体"/>
          <w:sz w:val="22"/>
          <w:szCs w:val="22"/>
        </w:rPr>
      </w:pPr>
      <w:r>
        <w:rPr>
          <w:rFonts w:hint="eastAsia" w:ascii="宋体" w:hAnsi="宋体" w:cs="宋体"/>
          <w:b/>
          <w:bCs/>
          <w:sz w:val="22"/>
          <w:szCs w:val="22"/>
        </w:rPr>
        <w:t>2、“电子加密投标文件”解密和异常情况处理：见“投标通知(邀请)书”</w:t>
      </w:r>
    </w:p>
    <w:p>
      <w:pPr>
        <w:pStyle w:val="7"/>
        <w:tabs>
          <w:tab w:val="left" w:pos="720"/>
          <w:tab w:val="clear" w:pos="3600"/>
        </w:tabs>
        <w:spacing w:before="0" w:after="0"/>
        <w:ind w:left="720" w:hanging="500"/>
        <w:jc w:val="both"/>
        <w:rPr>
          <w:rFonts w:hint="eastAsia" w:ascii="宋体" w:hAnsi="宋体" w:eastAsia="宋体" w:cs="宋体"/>
          <w:sz w:val="22"/>
          <w:szCs w:val="22"/>
        </w:rPr>
      </w:pPr>
      <w:bookmarkStart w:id="59" w:name="_Toc9951"/>
      <w:r>
        <w:rPr>
          <w:rFonts w:hint="eastAsia" w:ascii="宋体" w:hAnsi="宋体" w:eastAsia="宋体" w:cs="宋体"/>
          <w:sz w:val="22"/>
          <w:szCs w:val="22"/>
        </w:rPr>
        <w:t>3、投标文件的补充、修改或撤回</w:t>
      </w:r>
      <w:bookmarkEnd w:id="59"/>
    </w:p>
    <w:p>
      <w:pPr>
        <w:pStyle w:val="24"/>
        <w:adjustRightInd w:val="0"/>
        <w:snapToGrid w:val="0"/>
        <w:spacing w:line="360" w:lineRule="auto"/>
        <w:ind w:firstLine="440" w:firstLineChars="200"/>
        <w:outlineLvl w:val="0"/>
        <w:rPr>
          <w:rFonts w:hint="eastAsia" w:hAnsi="宋体" w:cs="宋体"/>
          <w:sz w:val="22"/>
          <w:szCs w:val="22"/>
        </w:rPr>
      </w:pPr>
      <w:bookmarkStart w:id="60" w:name="_Toc6032"/>
      <w:bookmarkStart w:id="61" w:name="_Toc1693"/>
      <w:bookmarkStart w:id="62" w:name="_Toc30641"/>
      <w:r>
        <w:rPr>
          <w:rFonts w:hint="eastAsia" w:hAnsi="宋体" w:cs="宋体"/>
          <w:sz w:val="22"/>
          <w:szCs w:val="22"/>
        </w:rPr>
        <w:t>3.1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bookmarkEnd w:id="60"/>
      <w:bookmarkEnd w:id="61"/>
      <w:bookmarkEnd w:id="62"/>
    </w:p>
    <w:p>
      <w:pPr>
        <w:pStyle w:val="24"/>
        <w:adjustRightInd w:val="0"/>
        <w:snapToGrid w:val="0"/>
        <w:spacing w:line="360" w:lineRule="auto"/>
        <w:ind w:firstLine="440" w:firstLineChars="200"/>
        <w:outlineLvl w:val="0"/>
        <w:rPr>
          <w:rFonts w:hint="eastAsia" w:hAnsi="宋体" w:cs="宋体"/>
          <w:sz w:val="22"/>
          <w:szCs w:val="22"/>
        </w:rPr>
      </w:pPr>
      <w:bookmarkStart w:id="63" w:name="_Toc6434"/>
      <w:bookmarkStart w:id="64" w:name="_Toc13568"/>
      <w:bookmarkStart w:id="65" w:name="_Toc10009"/>
      <w:r>
        <w:rPr>
          <w:rFonts w:hint="eastAsia" w:hAnsi="宋体" w:cs="宋体"/>
          <w:sz w:val="22"/>
          <w:szCs w:val="22"/>
        </w:rPr>
        <w:t>3.2投标截止时间后，投标供应商不得撤回、修改投标文件。</w:t>
      </w:r>
      <w:bookmarkEnd w:id="63"/>
      <w:bookmarkEnd w:id="64"/>
      <w:bookmarkEnd w:id="65"/>
    </w:p>
    <w:p>
      <w:pPr>
        <w:pStyle w:val="25"/>
        <w:spacing w:line="360" w:lineRule="auto"/>
        <w:ind w:firstLine="220" w:firstLineChars="100"/>
        <w:rPr>
          <w:rFonts w:hint="eastAsia" w:ascii="宋体" w:hAnsi="宋体" w:cs="宋体"/>
          <w:sz w:val="22"/>
          <w:szCs w:val="22"/>
        </w:rPr>
      </w:pPr>
      <w:r>
        <w:rPr>
          <w:rFonts w:hint="eastAsia" w:ascii="宋体" w:hAnsi="宋体" w:cs="宋体"/>
          <w:sz w:val="22"/>
          <w:szCs w:val="22"/>
        </w:rPr>
        <w:t>3.4投标供应商不得递交任何的投标备选（替代）方案，否则其投标文件将作无效标处理。与“电子加密投标文件”同时生成的“备份投标文件”不是投标备选（替代）方案。</w:t>
      </w:r>
    </w:p>
    <w:p>
      <w:pPr>
        <w:pStyle w:val="24"/>
        <w:numPr>
          <w:ilvl w:val="0"/>
          <w:numId w:val="15"/>
        </w:numPr>
        <w:adjustRightInd w:val="0"/>
        <w:snapToGrid w:val="0"/>
        <w:spacing w:line="360" w:lineRule="auto"/>
        <w:ind w:left="702" w:leftChars="185" w:hanging="314" w:hangingChars="142"/>
        <w:outlineLvl w:val="0"/>
        <w:rPr>
          <w:rFonts w:hint="eastAsia" w:hAnsi="宋体" w:cs="宋体"/>
          <w:b/>
          <w:bCs/>
          <w:sz w:val="22"/>
          <w:szCs w:val="22"/>
        </w:rPr>
      </w:pPr>
      <w:bookmarkStart w:id="66" w:name="_Toc17371"/>
      <w:bookmarkStart w:id="67" w:name="_Toc31645"/>
      <w:bookmarkStart w:id="68" w:name="_Toc27427"/>
      <w:bookmarkStart w:id="69" w:name="_Toc4144"/>
      <w:r>
        <w:rPr>
          <w:rFonts w:hint="eastAsia" w:hAnsi="宋体" w:cs="宋体"/>
          <w:b/>
          <w:bCs/>
          <w:sz w:val="22"/>
          <w:szCs w:val="22"/>
        </w:rPr>
        <w:t>开标和评标</w:t>
      </w:r>
      <w:bookmarkEnd w:id="66"/>
      <w:bookmarkEnd w:id="67"/>
      <w:bookmarkEnd w:id="68"/>
      <w:bookmarkEnd w:id="69"/>
    </w:p>
    <w:p>
      <w:pPr>
        <w:pStyle w:val="7"/>
        <w:tabs>
          <w:tab w:val="left" w:pos="720"/>
          <w:tab w:val="clear" w:pos="3600"/>
        </w:tabs>
        <w:spacing w:before="0" w:after="0"/>
        <w:ind w:left="720" w:hanging="720"/>
        <w:jc w:val="both"/>
        <w:rPr>
          <w:rFonts w:hint="eastAsia" w:ascii="宋体" w:hAnsi="宋体" w:eastAsia="宋体" w:cs="宋体"/>
          <w:sz w:val="22"/>
          <w:szCs w:val="22"/>
        </w:rPr>
      </w:pPr>
      <w:bookmarkStart w:id="70" w:name="_Toc7669"/>
      <w:r>
        <w:rPr>
          <w:rFonts w:hint="eastAsia" w:ascii="宋体" w:hAnsi="宋体" w:eastAsia="宋体" w:cs="宋体"/>
          <w:sz w:val="22"/>
          <w:szCs w:val="22"/>
        </w:rPr>
        <w:t>1、开标形式</w:t>
      </w:r>
      <w:bookmarkEnd w:id="70"/>
    </w:p>
    <w:p>
      <w:pPr>
        <w:spacing w:line="360" w:lineRule="auto"/>
        <w:ind w:firstLine="391" w:firstLineChars="177"/>
        <w:rPr>
          <w:rFonts w:hint="eastAsia" w:ascii="宋体" w:hAnsi="宋体" w:cs="宋体"/>
          <w:b/>
          <w:color w:val="000000"/>
          <w:sz w:val="22"/>
          <w:szCs w:val="22"/>
        </w:rPr>
      </w:pPr>
      <w:r>
        <w:rPr>
          <w:rFonts w:hint="eastAsia" w:ascii="宋体" w:hAnsi="宋体" w:cs="宋体"/>
          <w:b/>
          <w:color w:val="000000"/>
          <w:sz w:val="22"/>
          <w:szCs w:val="22"/>
        </w:rPr>
        <w:t>1.1 采购组织机构将按照招标文件规定的时间通过“政府采购云平台”组织开标、开启投标文件，所有供应商均应当准时在线参加。</w:t>
      </w:r>
    </w:p>
    <w:p>
      <w:pPr>
        <w:pStyle w:val="7"/>
        <w:tabs>
          <w:tab w:val="left" w:pos="720"/>
          <w:tab w:val="clear" w:pos="3600"/>
        </w:tabs>
        <w:spacing w:before="0" w:after="0"/>
        <w:ind w:left="720" w:hanging="720"/>
        <w:jc w:val="both"/>
        <w:rPr>
          <w:rFonts w:hint="eastAsia" w:ascii="宋体" w:hAnsi="宋体" w:eastAsia="宋体" w:cs="宋体"/>
          <w:sz w:val="22"/>
          <w:szCs w:val="22"/>
        </w:rPr>
      </w:pPr>
      <w:bookmarkStart w:id="71" w:name="_Toc19608"/>
      <w:r>
        <w:rPr>
          <w:rFonts w:hint="eastAsia" w:ascii="宋体" w:hAnsi="宋体" w:eastAsia="宋体" w:cs="宋体"/>
          <w:sz w:val="22"/>
          <w:szCs w:val="22"/>
        </w:rPr>
        <w:t>2、开标准备</w:t>
      </w:r>
      <w:bookmarkEnd w:id="71"/>
    </w:p>
    <w:p>
      <w:pPr>
        <w:spacing w:line="360" w:lineRule="auto"/>
        <w:ind w:firstLine="387" w:firstLineChars="176"/>
        <w:rPr>
          <w:rFonts w:hint="eastAsia" w:ascii="宋体" w:hAnsi="宋体" w:cs="宋体"/>
          <w:color w:val="000000"/>
          <w:kern w:val="0"/>
          <w:sz w:val="22"/>
          <w:szCs w:val="22"/>
        </w:rPr>
      </w:pPr>
      <w:r>
        <w:rPr>
          <w:rFonts w:hint="eastAsia" w:ascii="宋体" w:hAnsi="宋体" w:cs="宋体"/>
          <w:color w:val="000000"/>
          <w:kern w:val="0"/>
          <w:sz w:val="22"/>
          <w:szCs w:val="22"/>
        </w:rPr>
        <w:t>2.1开标的准备工作由采购组织机构负责落实；</w:t>
      </w:r>
    </w:p>
    <w:p>
      <w:pPr>
        <w:spacing w:line="360" w:lineRule="auto"/>
        <w:ind w:firstLine="387" w:firstLineChars="176"/>
        <w:rPr>
          <w:rFonts w:hint="eastAsia" w:ascii="宋体" w:hAnsi="宋体" w:cs="宋体"/>
          <w:color w:val="000000"/>
          <w:kern w:val="0"/>
          <w:sz w:val="22"/>
          <w:szCs w:val="22"/>
        </w:rPr>
      </w:pPr>
      <w:r>
        <w:rPr>
          <w:rFonts w:hint="eastAsia" w:ascii="宋体" w:hAnsi="宋体" w:cs="宋体"/>
          <w:color w:val="000000"/>
          <w:kern w:val="0"/>
          <w:sz w:val="22"/>
          <w:szCs w:val="22"/>
        </w:rPr>
        <w:t>2.2</w:t>
      </w:r>
      <w:r>
        <w:rPr>
          <w:rFonts w:hint="eastAsia" w:ascii="宋体" w:hAnsi="宋体" w:cs="宋体"/>
          <w:b/>
          <w:color w:val="000000"/>
          <w:sz w:val="22"/>
          <w:szCs w:val="22"/>
        </w:rPr>
        <w:t>采购组织机构将按照招标文件规定的时间通过“政府采购云平台”组织开标、开启投标文件，所有供应商均应当准时在线参加。</w:t>
      </w:r>
      <w:r>
        <w:rPr>
          <w:rFonts w:hint="eastAsia" w:ascii="宋体" w:hAnsi="宋体" w:cs="宋体"/>
          <w:b/>
          <w:color w:val="000000"/>
          <w:kern w:val="0"/>
          <w:sz w:val="22"/>
          <w:szCs w:val="22"/>
        </w:rPr>
        <w:t>投标供应商如不参加开标大会的，视同认可开标结果，事后不得对采购相关人员、开标过程和开标结果提出异议，同时投标供应商因未在线参加开标而导致投标文件无法按时解密等一切后果由供应商自己承担。</w:t>
      </w:r>
    </w:p>
    <w:p>
      <w:pPr>
        <w:pStyle w:val="7"/>
        <w:tabs>
          <w:tab w:val="left" w:pos="720"/>
          <w:tab w:val="clear" w:pos="3600"/>
        </w:tabs>
        <w:spacing w:before="0" w:after="0"/>
        <w:ind w:left="720" w:hanging="720"/>
        <w:jc w:val="both"/>
        <w:rPr>
          <w:rFonts w:hint="eastAsia" w:ascii="宋体" w:hAnsi="宋体" w:eastAsia="宋体" w:cs="宋体"/>
          <w:sz w:val="22"/>
          <w:szCs w:val="22"/>
        </w:rPr>
      </w:pPr>
      <w:bookmarkStart w:id="72" w:name="_Toc22281"/>
      <w:r>
        <w:rPr>
          <w:rFonts w:hint="eastAsia" w:ascii="宋体" w:hAnsi="宋体" w:eastAsia="宋体" w:cs="宋体"/>
          <w:sz w:val="22"/>
          <w:szCs w:val="22"/>
        </w:rPr>
        <w:t>3、开标流程（两阶段）</w:t>
      </w:r>
      <w:bookmarkEnd w:id="72"/>
    </w:p>
    <w:p>
      <w:pPr>
        <w:spacing w:line="360" w:lineRule="auto"/>
        <w:ind w:firstLine="391" w:firstLineChars="177"/>
        <w:jc w:val="left"/>
        <w:rPr>
          <w:rFonts w:hint="eastAsia" w:ascii="宋体" w:hAnsi="宋体" w:cs="宋体"/>
          <w:b/>
          <w:color w:val="000000"/>
          <w:kern w:val="0"/>
          <w:sz w:val="22"/>
          <w:szCs w:val="22"/>
        </w:rPr>
      </w:pPr>
      <w:r>
        <w:rPr>
          <w:rFonts w:hint="eastAsia" w:ascii="宋体" w:hAnsi="宋体" w:cs="宋体"/>
          <w:b/>
          <w:color w:val="000000"/>
          <w:kern w:val="0"/>
          <w:sz w:val="22"/>
          <w:szCs w:val="22"/>
        </w:rPr>
        <w:t>3.1开标第一阶段</w:t>
      </w:r>
    </w:p>
    <w:p>
      <w:pPr>
        <w:spacing w:line="360" w:lineRule="auto"/>
        <w:ind w:firstLine="389" w:firstLineChars="177"/>
        <w:jc w:val="left"/>
        <w:rPr>
          <w:rFonts w:hint="eastAsia" w:ascii="宋体" w:hAnsi="宋体" w:cs="宋体"/>
          <w:color w:val="000000"/>
          <w:kern w:val="0"/>
          <w:sz w:val="22"/>
          <w:szCs w:val="22"/>
        </w:rPr>
      </w:pPr>
      <w:r>
        <w:rPr>
          <w:rFonts w:hint="eastAsia" w:ascii="宋体" w:hAnsi="宋体" w:cs="宋体"/>
          <w:color w:val="000000"/>
          <w:kern w:val="0"/>
          <w:sz w:val="22"/>
          <w:szCs w:val="22"/>
        </w:rPr>
        <w:t>（1）向各投标供应商发出电子加密投标文件【开始解密】通知，由供应商按电子加密投标文件【开始解密】通知规定的时间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pPr>
        <w:spacing w:line="360" w:lineRule="auto"/>
        <w:ind w:firstLine="389" w:firstLineChars="177"/>
        <w:jc w:val="left"/>
        <w:rPr>
          <w:rFonts w:hint="eastAsia" w:ascii="宋体" w:hAnsi="宋体" w:cs="宋体"/>
          <w:color w:val="000000"/>
          <w:kern w:val="0"/>
          <w:sz w:val="22"/>
          <w:szCs w:val="22"/>
        </w:rPr>
      </w:pPr>
      <w:r>
        <w:rPr>
          <w:rFonts w:hint="eastAsia" w:ascii="宋体" w:hAnsi="宋体" w:cs="宋体"/>
          <w:color w:val="000000"/>
          <w:kern w:val="0"/>
          <w:sz w:val="22"/>
          <w:szCs w:val="22"/>
        </w:rPr>
        <w:t>（2）投标文件解密结束，通过邮件形式发送各供应商组织签署《政府采购活动现场确认声明书》；</w:t>
      </w:r>
    </w:p>
    <w:p>
      <w:pPr>
        <w:spacing w:line="360" w:lineRule="auto"/>
        <w:ind w:firstLine="389" w:firstLineChars="177"/>
        <w:jc w:val="left"/>
        <w:rPr>
          <w:rFonts w:hint="eastAsia" w:ascii="宋体" w:hAnsi="宋体" w:cs="宋体"/>
          <w:color w:val="000000"/>
          <w:kern w:val="0"/>
          <w:sz w:val="22"/>
          <w:szCs w:val="22"/>
        </w:rPr>
      </w:pPr>
      <w:r>
        <w:rPr>
          <w:rFonts w:hint="eastAsia" w:ascii="宋体" w:hAnsi="宋体" w:cs="宋体"/>
          <w:color w:val="000000"/>
          <w:kern w:val="0"/>
          <w:sz w:val="22"/>
          <w:szCs w:val="22"/>
        </w:rPr>
        <w:t>（3）开启投标文件，进入资格审查；</w:t>
      </w:r>
    </w:p>
    <w:p>
      <w:pPr>
        <w:spacing w:line="360" w:lineRule="auto"/>
        <w:ind w:firstLine="389" w:firstLineChars="177"/>
        <w:jc w:val="left"/>
        <w:rPr>
          <w:rFonts w:hint="eastAsia" w:ascii="宋体" w:hAnsi="宋体" w:cs="宋体"/>
          <w:color w:val="000000"/>
          <w:kern w:val="0"/>
          <w:sz w:val="22"/>
          <w:szCs w:val="22"/>
        </w:rPr>
      </w:pPr>
      <w:r>
        <w:rPr>
          <w:rFonts w:hint="eastAsia" w:ascii="宋体" w:hAnsi="宋体" w:cs="宋体"/>
          <w:color w:val="000000"/>
          <w:kern w:val="0"/>
          <w:sz w:val="22"/>
          <w:szCs w:val="22"/>
        </w:rPr>
        <w:t>（4）开启资格审查通过的投标供应商的商务技术响应文件进入符合性审查、商务技术评审；</w:t>
      </w:r>
    </w:p>
    <w:p>
      <w:pPr>
        <w:spacing w:line="360" w:lineRule="auto"/>
        <w:ind w:firstLine="389" w:firstLineChars="177"/>
        <w:jc w:val="left"/>
        <w:rPr>
          <w:rFonts w:hint="eastAsia" w:ascii="宋体" w:hAnsi="宋体" w:cs="宋体"/>
          <w:color w:val="000000"/>
          <w:kern w:val="0"/>
          <w:sz w:val="22"/>
          <w:szCs w:val="22"/>
        </w:rPr>
      </w:pPr>
      <w:r>
        <w:rPr>
          <w:rFonts w:hint="eastAsia" w:ascii="宋体" w:hAnsi="宋体" w:cs="宋体"/>
          <w:color w:val="000000"/>
          <w:kern w:val="0"/>
          <w:sz w:val="22"/>
          <w:szCs w:val="22"/>
        </w:rPr>
        <w:t>（5）第一阶段开标结束。</w:t>
      </w:r>
    </w:p>
    <w:p>
      <w:pPr>
        <w:spacing w:line="360" w:lineRule="auto"/>
        <w:ind w:firstLine="391" w:firstLineChars="177"/>
        <w:jc w:val="left"/>
        <w:rPr>
          <w:rFonts w:hint="eastAsia" w:ascii="宋体" w:hAnsi="宋体" w:cs="宋体"/>
          <w:b/>
          <w:color w:val="000000"/>
          <w:kern w:val="0"/>
          <w:sz w:val="22"/>
          <w:szCs w:val="22"/>
        </w:rPr>
      </w:pPr>
      <w:r>
        <w:rPr>
          <w:rFonts w:hint="eastAsia" w:ascii="宋体" w:hAnsi="宋体" w:cs="宋体"/>
          <w:b/>
          <w:color w:val="000000"/>
          <w:kern w:val="0"/>
          <w:sz w:val="22"/>
          <w:szCs w:val="22"/>
        </w:rPr>
        <w:t>备注：开标大会的第一阶段，采购人或采购代理机构将对依法对投标供应商的资格进行审查，资格审查结束后进入符合性审查和商务技术的评审工作，具体见本章节“投标供应商资格审查”相关规定。</w:t>
      </w:r>
    </w:p>
    <w:p>
      <w:pPr>
        <w:spacing w:line="360" w:lineRule="auto"/>
        <w:ind w:firstLine="391" w:firstLineChars="177"/>
        <w:jc w:val="left"/>
        <w:rPr>
          <w:rFonts w:hint="eastAsia" w:ascii="宋体" w:hAnsi="宋体" w:cs="宋体"/>
          <w:b/>
          <w:color w:val="000000"/>
          <w:kern w:val="0"/>
          <w:sz w:val="22"/>
          <w:szCs w:val="22"/>
        </w:rPr>
      </w:pPr>
      <w:r>
        <w:rPr>
          <w:rFonts w:hint="eastAsia" w:ascii="宋体" w:hAnsi="宋体" w:cs="宋体"/>
          <w:b/>
          <w:color w:val="000000"/>
          <w:kern w:val="0"/>
          <w:sz w:val="22"/>
          <w:szCs w:val="22"/>
        </w:rPr>
        <w:t>3.2开标大会第二阶段</w:t>
      </w:r>
    </w:p>
    <w:p>
      <w:pPr>
        <w:spacing w:line="360" w:lineRule="auto"/>
        <w:ind w:firstLine="389" w:firstLineChars="177"/>
        <w:jc w:val="left"/>
        <w:rPr>
          <w:rFonts w:hint="eastAsia" w:ascii="宋体" w:hAnsi="宋体" w:cs="宋体"/>
          <w:kern w:val="0"/>
          <w:sz w:val="22"/>
          <w:szCs w:val="22"/>
        </w:rPr>
      </w:pPr>
      <w:r>
        <w:rPr>
          <w:rFonts w:hint="eastAsia" w:ascii="宋体" w:hAnsi="宋体" w:cs="宋体"/>
          <w:kern w:val="0"/>
          <w:sz w:val="22"/>
          <w:szCs w:val="22"/>
        </w:rPr>
        <w:t>（1）符合性审查、商务技术评审结束后，举行开标大会第二阶段会议。首先通过发送邮件形式公布符合性审查、商务技术评审无效供应商名称及理由，同时公布其商务技术部分得分情况。</w:t>
      </w:r>
    </w:p>
    <w:p>
      <w:pPr>
        <w:spacing w:line="360" w:lineRule="auto"/>
        <w:ind w:firstLine="389" w:firstLineChars="177"/>
        <w:jc w:val="left"/>
        <w:rPr>
          <w:rFonts w:hint="eastAsia" w:ascii="宋体" w:hAnsi="宋体" w:cs="宋体"/>
          <w:kern w:val="0"/>
          <w:sz w:val="22"/>
          <w:szCs w:val="22"/>
        </w:rPr>
      </w:pPr>
      <w:r>
        <w:rPr>
          <w:rFonts w:hint="eastAsia" w:ascii="宋体" w:hAnsi="宋体" w:cs="宋体"/>
          <w:kern w:val="0"/>
          <w:sz w:val="22"/>
          <w:szCs w:val="22"/>
        </w:rPr>
        <w:t>（2）开启符合性审查、商务技术评审有效投标供应商的《报价响应文件》，由评标委员会对报价的合理性、准确性等进行审查核实。</w:t>
      </w:r>
    </w:p>
    <w:p>
      <w:pPr>
        <w:spacing w:line="360" w:lineRule="auto"/>
        <w:ind w:firstLine="389" w:firstLineChars="177"/>
        <w:jc w:val="left"/>
        <w:rPr>
          <w:rFonts w:hint="eastAsia" w:ascii="宋体" w:hAnsi="宋体" w:cs="宋体"/>
          <w:kern w:val="0"/>
          <w:sz w:val="22"/>
          <w:szCs w:val="22"/>
        </w:rPr>
      </w:pPr>
      <w:r>
        <w:rPr>
          <w:rFonts w:hint="eastAsia" w:ascii="宋体" w:hAnsi="宋体" w:cs="宋体"/>
          <w:kern w:val="0"/>
          <w:sz w:val="22"/>
          <w:szCs w:val="22"/>
        </w:rPr>
        <w:t>（3）评审结束后，公布中标（成交）候选供应商名单及采购人最终确定中标或成交供应商名单的时间和公告方式等。</w:t>
      </w:r>
    </w:p>
    <w:p>
      <w:pPr>
        <w:spacing w:line="360" w:lineRule="auto"/>
        <w:ind w:firstLine="391" w:firstLineChars="177"/>
        <w:jc w:val="left"/>
        <w:rPr>
          <w:rFonts w:hint="eastAsia" w:ascii="宋体" w:hAnsi="宋体" w:cs="宋体"/>
          <w:b/>
          <w:color w:val="000000"/>
          <w:kern w:val="0"/>
          <w:sz w:val="22"/>
          <w:szCs w:val="22"/>
        </w:rPr>
      </w:pPr>
      <w:r>
        <w:rPr>
          <w:rFonts w:hint="eastAsia" w:ascii="宋体" w:hAnsi="宋体" w:cs="宋体"/>
          <w:b/>
          <w:color w:val="000000"/>
          <w:kern w:val="0"/>
          <w:sz w:val="22"/>
          <w:szCs w:val="22"/>
        </w:rPr>
        <w:t>特别说明：如遇“政府采购云平台”电子化开标或评审程序调整的，按调整后程序执行。</w:t>
      </w:r>
    </w:p>
    <w:p>
      <w:pPr>
        <w:pStyle w:val="6"/>
        <w:tabs>
          <w:tab w:val="left" w:pos="706"/>
          <w:tab w:val="left" w:pos="1110"/>
          <w:tab w:val="clear" w:pos="576"/>
        </w:tabs>
        <w:rPr>
          <w:rFonts w:hint="eastAsia" w:ascii="宋体" w:hAnsi="宋体" w:eastAsia="宋体" w:cs="宋体"/>
          <w:color w:val="000000"/>
          <w:sz w:val="22"/>
          <w:szCs w:val="22"/>
        </w:rPr>
      </w:pPr>
      <w:bookmarkStart w:id="73" w:name="_Toc33194393"/>
      <w:bookmarkStart w:id="74" w:name="_Toc23063"/>
      <w:bookmarkStart w:id="75" w:name="_Toc24550037"/>
      <w:r>
        <w:rPr>
          <w:rFonts w:hint="eastAsia" w:ascii="宋体" w:hAnsi="宋体" w:eastAsia="宋体" w:cs="宋体"/>
          <w:color w:val="000000"/>
          <w:sz w:val="22"/>
          <w:szCs w:val="22"/>
        </w:rPr>
        <w:t>4、投标供应商资格审查</w:t>
      </w:r>
      <w:bookmarkEnd w:id="73"/>
      <w:bookmarkEnd w:id="74"/>
      <w:bookmarkEnd w:id="75"/>
    </w:p>
    <w:p>
      <w:pPr>
        <w:spacing w:line="360" w:lineRule="auto"/>
        <w:ind w:firstLine="391" w:firstLineChars="177"/>
        <w:rPr>
          <w:rFonts w:hint="eastAsia" w:ascii="宋体" w:hAnsi="宋体" w:cs="宋体"/>
          <w:color w:val="000000"/>
          <w:sz w:val="22"/>
          <w:szCs w:val="22"/>
        </w:rPr>
      </w:pPr>
      <w:r>
        <w:rPr>
          <w:rFonts w:hint="eastAsia" w:ascii="宋体" w:hAnsi="宋体" w:cs="宋体"/>
          <w:b/>
          <w:color w:val="000000"/>
          <w:sz w:val="22"/>
          <w:szCs w:val="22"/>
        </w:rPr>
        <w:t>4.1开标大会第一阶段，采购人或采购代理机构首先依法对各投标供应商的资格进行审查，审查各投标供应商的资格是否满足招标文件的要求。</w:t>
      </w:r>
      <w:r>
        <w:rPr>
          <w:rFonts w:hint="eastAsia" w:ascii="宋体" w:hAnsi="宋体" w:cs="宋体"/>
          <w:color w:val="000000"/>
          <w:sz w:val="22"/>
          <w:szCs w:val="22"/>
        </w:rPr>
        <w:t>采购人或采购代理机构对投标供应商所提交的资格证明材料仅负审核的责任。如发现投标供应商所提交的资格证明材料不合法或与事实不符，采购人可取消其中标资格并追究投标供应商的法律责任。</w:t>
      </w:r>
    </w:p>
    <w:p>
      <w:pPr>
        <w:spacing w:line="360" w:lineRule="auto"/>
        <w:ind w:firstLine="391" w:firstLineChars="177"/>
        <w:rPr>
          <w:rFonts w:hint="eastAsia" w:ascii="宋体" w:hAnsi="宋体" w:cs="宋体"/>
          <w:b/>
          <w:color w:val="000000"/>
          <w:kern w:val="0"/>
          <w:sz w:val="22"/>
          <w:szCs w:val="22"/>
        </w:rPr>
      </w:pPr>
      <w:r>
        <w:rPr>
          <w:rFonts w:hint="eastAsia" w:ascii="宋体" w:hAnsi="宋体" w:cs="宋体"/>
          <w:b/>
          <w:color w:val="000000"/>
          <w:sz w:val="22"/>
          <w:szCs w:val="22"/>
        </w:rPr>
        <w:t>4.2投标供应商提交的资格证明材料无法证明其符合招标文件规定的“投标供应商资格要求”的，采购人或采购代理机构</w:t>
      </w:r>
      <w:r>
        <w:rPr>
          <w:rFonts w:hint="eastAsia" w:ascii="宋体" w:hAnsi="宋体" w:cs="宋体"/>
          <w:b/>
          <w:color w:val="000000"/>
          <w:kern w:val="0"/>
          <w:sz w:val="22"/>
          <w:szCs w:val="22"/>
        </w:rPr>
        <w:t>将对其作资格审查不通过处理（无效投标），并不再将其投标提交评标委员会进行后续评审。对未通过资格审查的供应商，采购人或采购机构通过电子邮件的形式告知其未通过的原因。</w:t>
      </w:r>
    </w:p>
    <w:p>
      <w:pPr>
        <w:spacing w:line="360" w:lineRule="auto"/>
        <w:ind w:firstLine="391" w:firstLineChars="177"/>
        <w:rPr>
          <w:rFonts w:hint="eastAsia" w:ascii="宋体" w:hAnsi="宋体" w:cs="宋体"/>
          <w:b/>
          <w:color w:val="000000"/>
          <w:kern w:val="0"/>
          <w:sz w:val="22"/>
          <w:szCs w:val="22"/>
        </w:rPr>
      </w:pPr>
      <w:r>
        <w:rPr>
          <w:rFonts w:hint="eastAsia" w:ascii="宋体" w:hAnsi="宋体" w:cs="宋体"/>
          <w:b/>
          <w:color w:val="000000"/>
          <w:sz w:val="22"/>
          <w:szCs w:val="22"/>
        </w:rPr>
        <w:t>4</w:t>
      </w:r>
      <w:r>
        <w:rPr>
          <w:rFonts w:hint="eastAsia" w:ascii="宋体" w:hAnsi="宋体" w:cs="宋体"/>
          <w:b/>
          <w:color w:val="000000"/>
          <w:kern w:val="0"/>
          <w:sz w:val="22"/>
          <w:szCs w:val="22"/>
        </w:rPr>
        <w:t>.3单位负责人为同一人或者存在直接控股、管理关系的不同供应商参加同一合同项下的政府采购活动的，相关投标供应商均作资格无效处理。</w:t>
      </w:r>
    </w:p>
    <w:p>
      <w:pPr>
        <w:pStyle w:val="21"/>
        <w:spacing w:line="360" w:lineRule="auto"/>
        <w:ind w:left="0" w:firstLine="0" w:firstLineChars="0"/>
        <w:rPr>
          <w:rFonts w:hint="eastAsia" w:ascii="宋体" w:hAnsi="宋体" w:cs="宋体"/>
          <w:b/>
          <w:color w:val="000000"/>
          <w:kern w:val="0"/>
          <w:sz w:val="22"/>
          <w:szCs w:val="22"/>
        </w:rPr>
      </w:pPr>
      <w:r>
        <w:rPr>
          <w:rFonts w:hint="eastAsia" w:ascii="宋体" w:hAnsi="宋体" w:cs="宋体"/>
          <w:b/>
          <w:color w:val="000000"/>
          <w:kern w:val="0"/>
          <w:sz w:val="22"/>
          <w:szCs w:val="22"/>
        </w:rPr>
        <w:t xml:space="preserve">   4.4 合格供应商不足 3 家的，不再评标。</w:t>
      </w:r>
      <w:bookmarkStart w:id="76" w:name="_Toc462229101"/>
      <w:bookmarkStart w:id="77" w:name="_Toc412730343"/>
    </w:p>
    <w:bookmarkEnd w:id="76"/>
    <w:bookmarkEnd w:id="77"/>
    <w:p>
      <w:pPr>
        <w:snapToGrid w:val="0"/>
        <w:spacing w:line="360" w:lineRule="auto"/>
        <w:outlineLvl w:val="1"/>
        <w:rPr>
          <w:rFonts w:hint="eastAsia" w:ascii="宋体" w:hAnsi="宋体" w:cs="宋体"/>
          <w:b/>
          <w:color w:val="000000"/>
          <w:sz w:val="22"/>
          <w:szCs w:val="22"/>
        </w:rPr>
      </w:pPr>
      <w:bookmarkStart w:id="78" w:name="_Toc31102"/>
      <w:r>
        <w:rPr>
          <w:rFonts w:hint="eastAsia" w:ascii="宋体" w:hAnsi="宋体" w:cs="宋体"/>
          <w:b/>
          <w:color w:val="000000"/>
          <w:sz w:val="22"/>
          <w:szCs w:val="22"/>
        </w:rPr>
        <w:t>5、评标</w:t>
      </w:r>
      <w:bookmarkEnd w:id="78"/>
    </w:p>
    <w:p>
      <w:pPr>
        <w:pStyle w:val="7"/>
        <w:tabs>
          <w:tab w:val="left" w:pos="720"/>
          <w:tab w:val="clear" w:pos="3600"/>
        </w:tabs>
        <w:spacing w:before="0" w:after="0"/>
        <w:ind w:left="720" w:hanging="720"/>
        <w:jc w:val="both"/>
        <w:rPr>
          <w:rFonts w:hint="eastAsia" w:ascii="宋体" w:hAnsi="宋体" w:eastAsia="宋体" w:cs="宋体"/>
          <w:sz w:val="22"/>
          <w:szCs w:val="22"/>
        </w:rPr>
      </w:pPr>
      <w:bookmarkStart w:id="79" w:name="_Toc12938"/>
      <w:r>
        <w:rPr>
          <w:rFonts w:hint="eastAsia" w:ascii="宋体" w:hAnsi="宋体" w:eastAsia="宋体" w:cs="宋体"/>
          <w:sz w:val="22"/>
          <w:szCs w:val="22"/>
        </w:rPr>
        <w:t>（一）评审工作的组织</w:t>
      </w:r>
      <w:bookmarkEnd w:id="79"/>
    </w:p>
    <w:p>
      <w:pPr>
        <w:spacing w:line="360" w:lineRule="auto"/>
        <w:ind w:firstLine="387" w:firstLineChars="176"/>
        <w:rPr>
          <w:rFonts w:hint="eastAsia" w:ascii="宋体" w:hAnsi="宋体" w:cs="宋体"/>
          <w:color w:val="000000"/>
          <w:kern w:val="0"/>
          <w:sz w:val="22"/>
          <w:szCs w:val="22"/>
        </w:rPr>
      </w:pPr>
      <w:r>
        <w:rPr>
          <w:rFonts w:hint="eastAsia" w:ascii="宋体" w:hAnsi="宋体" w:cs="宋体"/>
          <w:color w:val="000000"/>
          <w:kern w:val="0"/>
          <w:sz w:val="22"/>
          <w:szCs w:val="22"/>
        </w:rPr>
        <w:t>采购人或采购代理机构负责组织本项目的评审工作，并依据《政府采购货物和服务招标投标管理办法（财政部第87号令）》第四十五条的相关规定履行职责。</w:t>
      </w:r>
    </w:p>
    <w:p>
      <w:pPr>
        <w:pStyle w:val="7"/>
        <w:tabs>
          <w:tab w:val="left" w:pos="720"/>
          <w:tab w:val="clear" w:pos="3600"/>
        </w:tabs>
        <w:spacing w:before="0" w:after="0"/>
        <w:ind w:left="720" w:hanging="720"/>
        <w:jc w:val="both"/>
        <w:rPr>
          <w:rFonts w:hint="eastAsia" w:ascii="宋体" w:hAnsi="宋体" w:eastAsia="宋体" w:cs="宋体"/>
          <w:sz w:val="22"/>
          <w:szCs w:val="22"/>
        </w:rPr>
      </w:pPr>
      <w:bookmarkStart w:id="80" w:name="_Toc20175"/>
      <w:r>
        <w:rPr>
          <w:rFonts w:hint="eastAsia" w:ascii="宋体" w:hAnsi="宋体" w:eastAsia="宋体" w:cs="宋体"/>
          <w:sz w:val="22"/>
          <w:szCs w:val="22"/>
        </w:rPr>
        <w:t>（二）评标委员会的组建</w:t>
      </w:r>
      <w:bookmarkEnd w:id="80"/>
    </w:p>
    <w:p>
      <w:pPr>
        <w:spacing w:line="360" w:lineRule="auto"/>
        <w:ind w:firstLine="387" w:firstLineChars="176"/>
        <w:rPr>
          <w:rFonts w:hint="eastAsia" w:ascii="宋体" w:hAnsi="宋体" w:cs="宋体"/>
          <w:color w:val="000000"/>
          <w:kern w:val="0"/>
          <w:sz w:val="22"/>
          <w:szCs w:val="22"/>
        </w:rPr>
      </w:pPr>
      <w:r>
        <w:rPr>
          <w:rFonts w:hint="eastAsia" w:ascii="宋体" w:hAnsi="宋体" w:cs="宋体"/>
          <w:color w:val="000000"/>
          <w:kern w:val="0"/>
          <w:sz w:val="22"/>
          <w:szCs w:val="22"/>
        </w:rPr>
        <w:t>1）评标委员会由采购人或采购代理机构依法组建，成员包括采购人代表和评审专家，成员人数为五人或以上单数，其中评审专家不少于成员总数的三分之二。</w:t>
      </w:r>
    </w:p>
    <w:p>
      <w:pPr>
        <w:spacing w:line="360" w:lineRule="auto"/>
        <w:ind w:firstLine="387" w:firstLineChars="176"/>
        <w:rPr>
          <w:rFonts w:hint="eastAsia" w:ascii="宋体" w:hAnsi="宋体" w:cs="宋体"/>
          <w:color w:val="000000"/>
          <w:kern w:val="0"/>
          <w:sz w:val="22"/>
          <w:szCs w:val="22"/>
        </w:rPr>
      </w:pPr>
      <w:r>
        <w:rPr>
          <w:rFonts w:hint="eastAsia" w:ascii="宋体" w:hAnsi="宋体" w:cs="宋体"/>
          <w:color w:val="000000"/>
          <w:kern w:val="0"/>
          <w:sz w:val="22"/>
          <w:szCs w:val="22"/>
        </w:rPr>
        <w:t>2）评标委员会成员名单在评审结果（采购结果）公告前保密。</w:t>
      </w:r>
    </w:p>
    <w:p>
      <w:pPr>
        <w:pStyle w:val="7"/>
        <w:tabs>
          <w:tab w:val="left" w:pos="720"/>
          <w:tab w:val="clear" w:pos="3600"/>
        </w:tabs>
        <w:spacing w:before="0" w:after="0"/>
        <w:ind w:left="720" w:hanging="720"/>
        <w:jc w:val="both"/>
        <w:rPr>
          <w:rFonts w:hint="eastAsia" w:ascii="宋体" w:hAnsi="宋体" w:eastAsia="宋体" w:cs="宋体"/>
          <w:sz w:val="22"/>
          <w:szCs w:val="22"/>
        </w:rPr>
      </w:pPr>
      <w:bookmarkStart w:id="81" w:name="_Toc15406"/>
      <w:r>
        <w:rPr>
          <w:rFonts w:hint="eastAsia" w:ascii="宋体" w:hAnsi="宋体" w:eastAsia="宋体" w:cs="宋体"/>
          <w:sz w:val="22"/>
          <w:szCs w:val="22"/>
        </w:rPr>
        <w:t>（三）评标委员会的职责</w:t>
      </w:r>
      <w:bookmarkEnd w:id="81"/>
    </w:p>
    <w:p>
      <w:pPr>
        <w:spacing w:line="360" w:lineRule="auto"/>
        <w:ind w:firstLine="389" w:firstLineChars="176"/>
        <w:rPr>
          <w:rFonts w:hint="eastAsia" w:ascii="宋体" w:hAnsi="宋体" w:cs="宋体"/>
          <w:b/>
          <w:color w:val="000000"/>
          <w:kern w:val="0"/>
          <w:sz w:val="22"/>
          <w:szCs w:val="22"/>
        </w:rPr>
      </w:pPr>
      <w:r>
        <w:rPr>
          <w:rFonts w:hint="eastAsia" w:ascii="宋体" w:hAnsi="宋体" w:cs="宋体"/>
          <w:b/>
          <w:color w:val="000000"/>
          <w:kern w:val="0"/>
          <w:sz w:val="22"/>
          <w:szCs w:val="22"/>
        </w:rPr>
        <w:t>评标委员会负责具体评审事务，并独立履行下列职责：</w:t>
      </w:r>
    </w:p>
    <w:p>
      <w:pPr>
        <w:spacing w:line="360" w:lineRule="auto"/>
        <w:ind w:firstLine="387" w:firstLineChars="176"/>
        <w:rPr>
          <w:rFonts w:hint="eastAsia" w:ascii="宋体" w:hAnsi="宋体" w:cs="宋体"/>
          <w:color w:val="000000"/>
          <w:kern w:val="0"/>
          <w:sz w:val="22"/>
          <w:szCs w:val="22"/>
        </w:rPr>
      </w:pPr>
      <w:r>
        <w:rPr>
          <w:rFonts w:hint="eastAsia" w:ascii="宋体" w:hAnsi="宋体" w:cs="宋体"/>
          <w:color w:val="000000"/>
          <w:kern w:val="0"/>
          <w:sz w:val="22"/>
          <w:szCs w:val="22"/>
        </w:rPr>
        <w:t>（1）审查、评价投标文件是否符合招标文件的商务、技术等实质性要求；</w:t>
      </w:r>
    </w:p>
    <w:p>
      <w:pPr>
        <w:spacing w:line="360" w:lineRule="auto"/>
        <w:ind w:firstLine="387" w:firstLineChars="176"/>
        <w:rPr>
          <w:rFonts w:hint="eastAsia" w:ascii="宋体" w:hAnsi="宋体" w:cs="宋体"/>
          <w:color w:val="000000"/>
          <w:kern w:val="0"/>
          <w:sz w:val="22"/>
          <w:szCs w:val="22"/>
        </w:rPr>
      </w:pPr>
      <w:r>
        <w:rPr>
          <w:rFonts w:hint="eastAsia" w:ascii="宋体" w:hAnsi="宋体" w:cs="宋体"/>
          <w:color w:val="000000"/>
          <w:kern w:val="0"/>
          <w:sz w:val="22"/>
          <w:szCs w:val="22"/>
        </w:rPr>
        <w:t>（2）要求供应商对投标文件有关事项作出澄清或者说明；</w:t>
      </w:r>
    </w:p>
    <w:p>
      <w:pPr>
        <w:spacing w:line="360" w:lineRule="auto"/>
        <w:ind w:firstLine="387" w:firstLineChars="176"/>
        <w:rPr>
          <w:rFonts w:hint="eastAsia" w:ascii="宋体" w:hAnsi="宋体" w:cs="宋体"/>
          <w:color w:val="000000"/>
          <w:kern w:val="0"/>
          <w:sz w:val="22"/>
          <w:szCs w:val="22"/>
        </w:rPr>
      </w:pPr>
      <w:r>
        <w:rPr>
          <w:rFonts w:hint="eastAsia" w:ascii="宋体" w:hAnsi="宋体" w:cs="宋体"/>
          <w:color w:val="000000"/>
          <w:kern w:val="0"/>
          <w:sz w:val="22"/>
          <w:szCs w:val="22"/>
        </w:rPr>
        <w:t>（3）对投标文件进行比较和评价；</w:t>
      </w:r>
    </w:p>
    <w:p>
      <w:pPr>
        <w:spacing w:line="360" w:lineRule="auto"/>
        <w:ind w:firstLine="387" w:firstLineChars="176"/>
        <w:rPr>
          <w:rFonts w:hint="eastAsia" w:ascii="宋体" w:hAnsi="宋体" w:cs="宋体"/>
          <w:color w:val="000000"/>
          <w:kern w:val="0"/>
          <w:sz w:val="22"/>
          <w:szCs w:val="22"/>
        </w:rPr>
      </w:pPr>
      <w:r>
        <w:rPr>
          <w:rFonts w:hint="eastAsia" w:ascii="宋体" w:hAnsi="宋体" w:cs="宋体"/>
          <w:color w:val="000000"/>
          <w:kern w:val="0"/>
          <w:sz w:val="22"/>
          <w:szCs w:val="22"/>
        </w:rPr>
        <w:t>（4）确定中标候选人名单，以及根据采购人委托直接确定中标人；</w:t>
      </w:r>
    </w:p>
    <w:p>
      <w:pPr>
        <w:spacing w:line="360" w:lineRule="auto"/>
        <w:ind w:firstLine="440" w:firstLineChars="200"/>
        <w:rPr>
          <w:rFonts w:hint="eastAsia" w:ascii="宋体" w:hAnsi="宋体" w:cs="宋体"/>
          <w:color w:val="000000"/>
          <w:kern w:val="0"/>
          <w:sz w:val="22"/>
          <w:szCs w:val="22"/>
        </w:rPr>
      </w:pPr>
      <w:r>
        <w:rPr>
          <w:rFonts w:hint="eastAsia" w:ascii="宋体" w:hAnsi="宋体" w:cs="宋体"/>
          <w:color w:val="000000"/>
          <w:kern w:val="0"/>
          <w:sz w:val="22"/>
          <w:szCs w:val="22"/>
        </w:rPr>
        <w:t>（5）向采购人、采购代理机构或者有关部门报告评审中发现的违法行为。</w:t>
      </w:r>
    </w:p>
    <w:p>
      <w:pPr>
        <w:pStyle w:val="7"/>
        <w:tabs>
          <w:tab w:val="left" w:pos="720"/>
          <w:tab w:val="clear" w:pos="3600"/>
        </w:tabs>
        <w:spacing w:before="0" w:after="0"/>
        <w:ind w:left="720" w:hanging="720"/>
        <w:jc w:val="both"/>
        <w:rPr>
          <w:rFonts w:hint="eastAsia" w:ascii="宋体" w:hAnsi="宋体" w:eastAsia="宋体" w:cs="宋体"/>
          <w:sz w:val="22"/>
          <w:szCs w:val="22"/>
        </w:rPr>
      </w:pPr>
      <w:bookmarkStart w:id="82" w:name="_Toc9272"/>
      <w:r>
        <w:rPr>
          <w:rFonts w:hint="eastAsia" w:ascii="宋体" w:hAnsi="宋体" w:eastAsia="宋体" w:cs="宋体"/>
          <w:sz w:val="22"/>
          <w:szCs w:val="22"/>
        </w:rPr>
        <w:t>（四）评审原则</w:t>
      </w:r>
      <w:bookmarkEnd w:id="82"/>
    </w:p>
    <w:p>
      <w:pPr>
        <w:spacing w:line="360" w:lineRule="auto"/>
        <w:ind w:firstLine="389" w:firstLineChars="177"/>
        <w:rPr>
          <w:rFonts w:hint="eastAsia" w:ascii="宋体" w:hAnsi="宋体" w:cs="宋体"/>
          <w:color w:val="000000"/>
          <w:sz w:val="22"/>
          <w:szCs w:val="22"/>
        </w:rPr>
      </w:pPr>
      <w:r>
        <w:rPr>
          <w:rFonts w:hint="eastAsia" w:ascii="宋体" w:hAnsi="宋体" w:cs="宋体"/>
          <w:color w:val="000000"/>
          <w:sz w:val="22"/>
          <w:szCs w:val="22"/>
        </w:rPr>
        <w:t>1、评审原则：</w:t>
      </w:r>
      <w:r>
        <w:rPr>
          <w:rFonts w:hint="eastAsia" w:ascii="宋体" w:hAnsi="宋体" w:cs="宋体"/>
          <w:color w:val="000000"/>
          <w:kern w:val="0"/>
          <w:sz w:val="22"/>
          <w:szCs w:val="22"/>
        </w:rPr>
        <w:t>评标委员会</w:t>
      </w:r>
      <w:r>
        <w:rPr>
          <w:rFonts w:hint="eastAsia" w:ascii="宋体" w:hAnsi="宋体" w:cs="宋体"/>
          <w:color w:val="000000"/>
          <w:sz w:val="22"/>
          <w:szCs w:val="22"/>
        </w:rPr>
        <w:t>按照客观、公正、审慎、择优的原则，根据招标文件规定的评审程序、评审方法和评审标准进行独立评审。</w:t>
      </w:r>
    </w:p>
    <w:p>
      <w:pPr>
        <w:spacing w:line="360" w:lineRule="auto"/>
        <w:ind w:firstLine="389" w:firstLineChars="177"/>
        <w:rPr>
          <w:rFonts w:hint="eastAsia" w:ascii="宋体" w:hAnsi="宋体" w:cs="宋体"/>
          <w:color w:val="000000"/>
          <w:sz w:val="22"/>
          <w:szCs w:val="22"/>
        </w:rPr>
      </w:pPr>
      <w:r>
        <w:rPr>
          <w:rFonts w:hint="eastAsia" w:ascii="宋体" w:hAnsi="宋体" w:cs="宋体"/>
          <w:color w:val="000000"/>
          <w:sz w:val="22"/>
          <w:szCs w:val="22"/>
        </w:rPr>
        <w:t>2、评审工作将依据</w:t>
      </w:r>
      <w:r>
        <w:rPr>
          <w:rFonts w:hint="eastAsia" w:ascii="宋体" w:hAnsi="宋体" w:cs="宋体"/>
          <w:color w:val="000000"/>
          <w:kern w:val="0"/>
          <w:sz w:val="22"/>
          <w:szCs w:val="22"/>
        </w:rPr>
        <w:t>招标文件、投标文件及招标文件中事先已列明的内容进行（如现场方案讲解、演示等）。</w:t>
      </w:r>
    </w:p>
    <w:p>
      <w:pPr>
        <w:pStyle w:val="7"/>
        <w:tabs>
          <w:tab w:val="left" w:pos="720"/>
          <w:tab w:val="clear" w:pos="3600"/>
        </w:tabs>
        <w:spacing w:before="0" w:after="0"/>
        <w:ind w:left="720" w:hanging="720"/>
        <w:jc w:val="both"/>
        <w:rPr>
          <w:rFonts w:hint="eastAsia" w:ascii="宋体" w:hAnsi="宋体" w:eastAsia="宋体" w:cs="宋体"/>
          <w:sz w:val="22"/>
          <w:szCs w:val="22"/>
        </w:rPr>
      </w:pPr>
      <w:bookmarkStart w:id="83" w:name="_Toc14233"/>
      <w:r>
        <w:rPr>
          <w:rFonts w:hint="eastAsia" w:ascii="宋体" w:hAnsi="宋体" w:eastAsia="宋体" w:cs="宋体"/>
          <w:sz w:val="22"/>
          <w:szCs w:val="22"/>
        </w:rPr>
        <w:t>（五）评审意见的争议处理</w:t>
      </w:r>
      <w:bookmarkEnd w:id="83"/>
    </w:p>
    <w:p>
      <w:pPr>
        <w:spacing w:line="360" w:lineRule="auto"/>
        <w:ind w:firstLine="607" w:firstLineChars="276"/>
        <w:rPr>
          <w:rFonts w:hint="eastAsia" w:ascii="宋体" w:hAnsi="宋体" w:cs="宋体"/>
          <w:bCs/>
          <w:color w:val="000000"/>
          <w:sz w:val="22"/>
          <w:szCs w:val="22"/>
        </w:rPr>
      </w:pPr>
      <w:r>
        <w:rPr>
          <w:rFonts w:hint="eastAsia" w:ascii="宋体" w:hAnsi="宋体" w:cs="宋体"/>
          <w:bCs/>
          <w:color w:val="000000"/>
          <w:sz w:val="22"/>
          <w:szCs w:val="22"/>
        </w:rPr>
        <w:t>评标委员会成员对需要共同认定的事项存在争议的，按照少数服从多数的原则作出结论。持不同意见的评标委员会成员应当在评审报告上签署不同意见及理由，否则视为同意评审报告。</w:t>
      </w:r>
    </w:p>
    <w:p>
      <w:pPr>
        <w:pStyle w:val="7"/>
        <w:tabs>
          <w:tab w:val="left" w:pos="720"/>
          <w:tab w:val="clear" w:pos="3600"/>
        </w:tabs>
        <w:spacing w:before="0" w:after="0"/>
        <w:ind w:left="720" w:hanging="720"/>
        <w:jc w:val="both"/>
        <w:rPr>
          <w:rFonts w:hint="eastAsia" w:ascii="宋体" w:hAnsi="宋体" w:eastAsia="宋体" w:cs="宋体"/>
          <w:sz w:val="22"/>
          <w:szCs w:val="22"/>
        </w:rPr>
      </w:pPr>
      <w:bookmarkStart w:id="84" w:name="_Toc18221"/>
      <w:r>
        <w:rPr>
          <w:rFonts w:hint="eastAsia" w:ascii="宋体" w:hAnsi="宋体" w:eastAsia="宋体" w:cs="宋体"/>
          <w:sz w:val="22"/>
          <w:szCs w:val="22"/>
        </w:rPr>
        <w:t>（六）评委纪律</w:t>
      </w:r>
      <w:bookmarkEnd w:id="84"/>
    </w:p>
    <w:p>
      <w:pPr>
        <w:spacing w:line="360" w:lineRule="auto"/>
        <w:ind w:firstLine="389" w:firstLineChars="177"/>
        <w:rPr>
          <w:rFonts w:hint="eastAsia" w:ascii="宋体" w:hAnsi="宋体" w:cs="宋体"/>
          <w:color w:val="000000"/>
          <w:kern w:val="0"/>
          <w:sz w:val="22"/>
          <w:szCs w:val="22"/>
        </w:rPr>
      </w:pPr>
      <w:r>
        <w:rPr>
          <w:rFonts w:hint="eastAsia" w:ascii="宋体" w:hAnsi="宋体" w:cs="宋体"/>
          <w:color w:val="000000"/>
          <w:sz w:val="22"/>
          <w:szCs w:val="22"/>
        </w:rPr>
        <w:t>评标委员会成员必须严格遵守保密规定，不得泄露评审的有关情况</w:t>
      </w:r>
      <w:r>
        <w:rPr>
          <w:rFonts w:hint="eastAsia" w:ascii="宋体" w:hAnsi="宋体" w:cs="宋体"/>
          <w:color w:val="000000"/>
          <w:kern w:val="0"/>
          <w:sz w:val="22"/>
          <w:szCs w:val="22"/>
        </w:rPr>
        <w:t>，任何单位和个人不得干扰、影响评标的正常进行，评标委员会成员不得私下与投标供应商接触，不得出现《浙江省政府采购活动现场组织管理办法》中规定的其他禁止行为。</w:t>
      </w:r>
    </w:p>
    <w:p>
      <w:pPr>
        <w:pStyle w:val="6"/>
        <w:tabs>
          <w:tab w:val="left" w:pos="706"/>
          <w:tab w:val="left" w:pos="1110"/>
          <w:tab w:val="clear" w:pos="576"/>
        </w:tabs>
        <w:rPr>
          <w:rFonts w:hint="eastAsia" w:ascii="宋体" w:hAnsi="宋体" w:eastAsia="宋体" w:cs="宋体"/>
          <w:b/>
          <w:bCs/>
          <w:color w:val="000000"/>
          <w:sz w:val="22"/>
          <w:szCs w:val="22"/>
        </w:rPr>
      </w:pPr>
      <w:bookmarkStart w:id="85" w:name="_Toc24550043"/>
      <w:bookmarkStart w:id="86" w:name="_Toc33194395"/>
      <w:bookmarkStart w:id="87" w:name="_Toc30393"/>
      <w:r>
        <w:rPr>
          <w:rFonts w:hint="eastAsia" w:ascii="宋体" w:hAnsi="宋体" w:eastAsia="宋体" w:cs="宋体"/>
          <w:b/>
          <w:bCs/>
          <w:color w:val="000000"/>
          <w:sz w:val="22"/>
          <w:szCs w:val="22"/>
        </w:rPr>
        <w:t>（七）</w:t>
      </w:r>
      <w:bookmarkEnd w:id="85"/>
      <w:bookmarkStart w:id="88" w:name="_Toc24550044"/>
      <w:r>
        <w:rPr>
          <w:rFonts w:hint="eastAsia" w:ascii="宋体" w:hAnsi="宋体" w:eastAsia="宋体" w:cs="宋体"/>
          <w:b/>
          <w:bCs/>
          <w:color w:val="000000"/>
          <w:sz w:val="22"/>
          <w:szCs w:val="22"/>
        </w:rPr>
        <w:t>评审流程及内容</w:t>
      </w:r>
      <w:bookmarkEnd w:id="86"/>
      <w:bookmarkEnd w:id="87"/>
      <w:bookmarkEnd w:id="88"/>
    </w:p>
    <w:p>
      <w:pPr>
        <w:spacing w:line="360" w:lineRule="auto"/>
        <w:ind w:firstLine="389" w:firstLineChars="176"/>
        <w:rPr>
          <w:rFonts w:hint="eastAsia" w:ascii="宋体" w:hAnsi="宋体" w:cs="宋体"/>
          <w:color w:val="000000"/>
          <w:sz w:val="22"/>
          <w:szCs w:val="22"/>
        </w:rPr>
      </w:pPr>
      <w:r>
        <w:rPr>
          <w:rFonts w:hint="eastAsia" w:ascii="宋体" w:hAnsi="宋体" w:cs="宋体"/>
          <w:b/>
          <w:color w:val="000000"/>
          <w:kern w:val="0"/>
          <w:sz w:val="22"/>
          <w:szCs w:val="22"/>
        </w:rPr>
        <w:t>本项目具体的评审事务由评标委员会负责，评审流程及内容如下：</w:t>
      </w:r>
    </w:p>
    <w:p>
      <w:pPr>
        <w:pStyle w:val="7"/>
        <w:tabs>
          <w:tab w:val="left" w:pos="720"/>
          <w:tab w:val="clear" w:pos="3600"/>
        </w:tabs>
        <w:spacing w:before="0" w:after="0"/>
        <w:ind w:left="720" w:hanging="720"/>
        <w:jc w:val="both"/>
        <w:rPr>
          <w:rFonts w:hint="eastAsia" w:ascii="宋体" w:hAnsi="宋体" w:eastAsia="宋体" w:cs="宋体"/>
          <w:sz w:val="22"/>
          <w:szCs w:val="22"/>
        </w:rPr>
      </w:pPr>
      <w:bookmarkStart w:id="89" w:name="_Toc23277"/>
      <w:r>
        <w:rPr>
          <w:rFonts w:hint="eastAsia" w:ascii="宋体" w:hAnsi="宋体" w:eastAsia="宋体" w:cs="宋体"/>
          <w:sz w:val="22"/>
          <w:szCs w:val="22"/>
        </w:rPr>
        <w:t>1 评审前准备</w:t>
      </w:r>
      <w:bookmarkEnd w:id="89"/>
    </w:p>
    <w:p>
      <w:pPr>
        <w:spacing w:line="360" w:lineRule="auto"/>
        <w:ind w:firstLine="440" w:firstLineChars="200"/>
        <w:rPr>
          <w:rFonts w:hint="eastAsia" w:ascii="宋体" w:hAnsi="宋体" w:cs="宋体"/>
          <w:color w:val="000000"/>
          <w:kern w:val="0"/>
          <w:sz w:val="22"/>
          <w:szCs w:val="22"/>
        </w:rPr>
      </w:pPr>
      <w:r>
        <w:rPr>
          <w:rFonts w:hint="eastAsia" w:ascii="宋体" w:hAnsi="宋体" w:cs="宋体"/>
          <w:color w:val="000000"/>
          <w:kern w:val="0"/>
          <w:sz w:val="22"/>
          <w:szCs w:val="22"/>
        </w:rPr>
        <w:t>1.1由评审专家推选评审小组组长，采购人代表不得担任评审小组组长。</w:t>
      </w:r>
    </w:p>
    <w:p>
      <w:pPr>
        <w:spacing w:line="360" w:lineRule="auto"/>
        <w:ind w:firstLine="389" w:firstLineChars="177"/>
        <w:rPr>
          <w:rFonts w:hint="eastAsia" w:ascii="宋体" w:hAnsi="宋体" w:cs="宋体"/>
          <w:b/>
          <w:color w:val="000000"/>
          <w:kern w:val="0"/>
          <w:sz w:val="22"/>
          <w:szCs w:val="22"/>
        </w:rPr>
      </w:pPr>
      <w:r>
        <w:rPr>
          <w:rFonts w:hint="eastAsia" w:ascii="宋体" w:hAnsi="宋体" w:cs="宋体"/>
          <w:color w:val="000000"/>
          <w:kern w:val="0"/>
          <w:sz w:val="22"/>
          <w:szCs w:val="22"/>
        </w:rPr>
        <w:t>1.2由评审小组组长（评标委员会主任委员）召集所有评委成员阅读招标文件及相关补充、质疑、答复文件、项目书面说明等材料，熟悉采购项目基本情况、采购需求、合同主要条款、投标文件无效情形、评审办法、评审标准，以及其他与评审有关的内容。</w:t>
      </w:r>
    </w:p>
    <w:p>
      <w:pPr>
        <w:pStyle w:val="7"/>
        <w:tabs>
          <w:tab w:val="left" w:pos="720"/>
          <w:tab w:val="clear" w:pos="3600"/>
        </w:tabs>
        <w:spacing w:before="0" w:after="0"/>
        <w:ind w:left="720" w:hanging="720"/>
        <w:jc w:val="both"/>
        <w:rPr>
          <w:rFonts w:hint="eastAsia" w:ascii="宋体" w:hAnsi="宋体" w:eastAsia="宋体" w:cs="宋体"/>
          <w:sz w:val="22"/>
          <w:szCs w:val="22"/>
        </w:rPr>
      </w:pPr>
      <w:bookmarkStart w:id="90" w:name="_Toc27832"/>
      <w:r>
        <w:rPr>
          <w:rFonts w:hint="eastAsia" w:ascii="宋体" w:hAnsi="宋体" w:eastAsia="宋体" w:cs="宋体"/>
          <w:sz w:val="22"/>
          <w:szCs w:val="22"/>
        </w:rPr>
        <w:t>2投标文件的初步审查、符合性审查</w:t>
      </w:r>
      <w:bookmarkEnd w:id="90"/>
    </w:p>
    <w:p>
      <w:pPr>
        <w:spacing w:line="360" w:lineRule="auto"/>
        <w:ind w:firstLine="391" w:firstLineChars="177"/>
        <w:rPr>
          <w:rFonts w:hint="eastAsia" w:ascii="宋体" w:hAnsi="宋体" w:cs="宋体"/>
          <w:b/>
          <w:color w:val="000000"/>
          <w:kern w:val="0"/>
          <w:sz w:val="22"/>
          <w:szCs w:val="22"/>
        </w:rPr>
      </w:pPr>
      <w:r>
        <w:rPr>
          <w:rFonts w:hint="eastAsia" w:ascii="宋体" w:hAnsi="宋体" w:cs="宋体"/>
          <w:b/>
          <w:color w:val="000000"/>
          <w:kern w:val="0"/>
          <w:sz w:val="22"/>
          <w:szCs w:val="22"/>
        </w:rPr>
        <w:t>对所有通过资格审查的投标供应商的投标文件进行初步审查，审查、评价投标文件是否符合招标文件的商务、技术、服务等实质性要求。</w:t>
      </w:r>
    </w:p>
    <w:p>
      <w:pPr>
        <w:spacing w:line="360" w:lineRule="auto"/>
        <w:ind w:firstLine="389" w:firstLineChars="177"/>
        <w:rPr>
          <w:rFonts w:hint="eastAsia" w:ascii="宋体" w:hAnsi="宋体" w:cs="宋体"/>
          <w:color w:val="000000"/>
          <w:sz w:val="22"/>
          <w:szCs w:val="22"/>
        </w:rPr>
      </w:pPr>
      <w:r>
        <w:rPr>
          <w:rFonts w:hint="eastAsia" w:ascii="宋体" w:hAnsi="宋体" w:cs="宋体"/>
          <w:color w:val="000000"/>
          <w:sz w:val="22"/>
          <w:szCs w:val="22"/>
        </w:rPr>
        <w:t>2.1评标委员会首先对所有通过资格审查的投标供应商的投标文件进行符合性审查，审查每份投标文件是否实质上响应了招标文件的要求（实质性响应的投标文件是指投标文件符合招标文件规定的实质性内容、条件和规定）。</w:t>
      </w:r>
    </w:p>
    <w:p>
      <w:pPr>
        <w:pStyle w:val="7"/>
        <w:tabs>
          <w:tab w:val="left" w:pos="720"/>
          <w:tab w:val="clear" w:pos="3600"/>
        </w:tabs>
        <w:spacing w:before="0" w:after="0"/>
        <w:jc w:val="both"/>
        <w:rPr>
          <w:rFonts w:hint="eastAsia" w:ascii="宋体" w:hAnsi="宋体" w:eastAsia="宋体" w:cs="宋体"/>
          <w:sz w:val="22"/>
          <w:szCs w:val="22"/>
        </w:rPr>
      </w:pPr>
      <w:bookmarkStart w:id="91" w:name="_Toc30552"/>
      <w:r>
        <w:rPr>
          <w:rFonts w:hint="eastAsia" w:ascii="宋体" w:hAnsi="宋体" w:eastAsia="宋体" w:cs="宋体"/>
          <w:sz w:val="22"/>
          <w:szCs w:val="22"/>
        </w:rPr>
        <w:t>3 投标文件的澄清、说明或补正</w:t>
      </w:r>
      <w:bookmarkEnd w:id="91"/>
    </w:p>
    <w:p>
      <w:pPr>
        <w:spacing w:line="360" w:lineRule="auto"/>
        <w:ind w:firstLine="389" w:firstLineChars="177"/>
        <w:rPr>
          <w:rFonts w:hint="eastAsia" w:ascii="宋体" w:hAnsi="宋体" w:cs="宋体"/>
          <w:color w:val="000000"/>
          <w:kern w:val="0"/>
          <w:sz w:val="22"/>
          <w:szCs w:val="22"/>
        </w:rPr>
      </w:pPr>
      <w:r>
        <w:rPr>
          <w:rFonts w:hint="eastAsia" w:ascii="宋体" w:hAnsi="宋体" w:cs="宋体"/>
          <w:color w:val="000000"/>
          <w:kern w:val="0"/>
          <w:sz w:val="22"/>
          <w:szCs w:val="22"/>
        </w:rPr>
        <w:t>3.1对于投标文件中含义不明确、同类问题表述不一致或者有明显文字和计算错误的内容，评标委员会将以书面形式（或通过“政府采购云平台”在线询标）的形式要求投标供应商在规定的时间内作出必要的澄清、说明或者补正，投标供应商澄清、说明或补正时间为30分钟。</w:t>
      </w:r>
    </w:p>
    <w:p>
      <w:pPr>
        <w:spacing w:line="360" w:lineRule="auto"/>
        <w:ind w:firstLine="389" w:firstLineChars="177"/>
        <w:rPr>
          <w:rFonts w:hint="eastAsia" w:ascii="宋体" w:hAnsi="宋体" w:cs="宋体"/>
          <w:color w:val="000000"/>
          <w:kern w:val="0"/>
          <w:sz w:val="22"/>
          <w:szCs w:val="22"/>
        </w:rPr>
      </w:pPr>
      <w:r>
        <w:rPr>
          <w:rFonts w:hint="eastAsia" w:ascii="宋体" w:hAnsi="宋体" w:cs="宋体"/>
          <w:color w:val="000000"/>
          <w:kern w:val="0"/>
          <w:sz w:val="22"/>
          <w:szCs w:val="22"/>
        </w:rPr>
        <w:t>3.2投标供应商的澄清、说明或者补正应当采用书面（或通过“政府采购云平台”在线答复）形式提交，并加盖公章，或者由法定代表人或其授权的代表签字。投标供应商的澄清、说明或者补正不得超出投标文件的范围或者改变投标文件的实质性内容。</w:t>
      </w:r>
    </w:p>
    <w:p>
      <w:pPr>
        <w:pStyle w:val="7"/>
        <w:tabs>
          <w:tab w:val="left" w:pos="720"/>
          <w:tab w:val="clear" w:pos="3600"/>
        </w:tabs>
        <w:spacing w:before="0" w:after="0"/>
        <w:ind w:left="720" w:hanging="720"/>
        <w:jc w:val="both"/>
        <w:rPr>
          <w:rFonts w:hint="eastAsia" w:ascii="宋体" w:hAnsi="宋体" w:eastAsia="宋体" w:cs="宋体"/>
          <w:sz w:val="22"/>
          <w:szCs w:val="22"/>
        </w:rPr>
      </w:pPr>
      <w:bookmarkStart w:id="92" w:name="_Toc26085"/>
      <w:r>
        <w:rPr>
          <w:rFonts w:hint="eastAsia" w:ascii="宋体" w:hAnsi="宋体" w:eastAsia="宋体" w:cs="宋体"/>
          <w:sz w:val="22"/>
          <w:szCs w:val="22"/>
        </w:rPr>
        <w:t>4 投标文件的错误修正</w:t>
      </w:r>
      <w:bookmarkEnd w:id="92"/>
    </w:p>
    <w:p>
      <w:pPr>
        <w:spacing w:line="360" w:lineRule="auto"/>
        <w:ind w:firstLine="387" w:firstLineChars="175"/>
        <w:rPr>
          <w:rFonts w:hint="eastAsia" w:ascii="宋体" w:hAnsi="宋体" w:cs="宋体"/>
          <w:b/>
          <w:color w:val="000000"/>
          <w:kern w:val="0"/>
          <w:sz w:val="22"/>
          <w:szCs w:val="22"/>
        </w:rPr>
      </w:pPr>
      <w:r>
        <w:rPr>
          <w:rFonts w:hint="eastAsia" w:ascii="宋体" w:hAnsi="宋体" w:cs="宋体"/>
          <w:b/>
          <w:color w:val="000000"/>
          <w:kern w:val="0"/>
          <w:sz w:val="22"/>
          <w:szCs w:val="22"/>
        </w:rPr>
        <w:t>4.1投标文件如果出现计算或表达上的错误，修正错误的原则如下：</w:t>
      </w:r>
    </w:p>
    <w:p>
      <w:pPr>
        <w:spacing w:line="360" w:lineRule="auto"/>
        <w:ind w:firstLine="385" w:firstLineChars="175"/>
        <w:rPr>
          <w:rFonts w:hint="eastAsia" w:ascii="宋体" w:hAnsi="宋体" w:cs="宋体"/>
          <w:color w:val="000000"/>
          <w:kern w:val="0"/>
          <w:sz w:val="22"/>
          <w:szCs w:val="22"/>
        </w:rPr>
      </w:pPr>
      <w:r>
        <w:rPr>
          <w:rFonts w:hint="eastAsia" w:ascii="宋体" w:hAnsi="宋体" w:cs="宋体"/>
          <w:color w:val="000000"/>
          <w:kern w:val="0"/>
          <w:sz w:val="22"/>
          <w:szCs w:val="22"/>
        </w:rPr>
        <w:t>（1）投标文件中开标一览表内容与投标文件中相应内容不一致的，以开标一览表为准。</w:t>
      </w:r>
    </w:p>
    <w:p>
      <w:pPr>
        <w:spacing w:line="360" w:lineRule="auto"/>
        <w:ind w:firstLine="385" w:firstLineChars="175"/>
        <w:rPr>
          <w:rFonts w:hint="eastAsia" w:ascii="宋体" w:hAnsi="宋体" w:cs="宋体"/>
          <w:color w:val="000000"/>
          <w:kern w:val="0"/>
          <w:sz w:val="22"/>
          <w:szCs w:val="22"/>
        </w:rPr>
      </w:pPr>
      <w:r>
        <w:rPr>
          <w:rFonts w:hint="eastAsia" w:ascii="宋体" w:hAnsi="宋体" w:cs="宋体"/>
          <w:color w:val="000000"/>
          <w:kern w:val="0"/>
          <w:sz w:val="22"/>
          <w:szCs w:val="22"/>
        </w:rPr>
        <w:t>（2）投标文件的大写金额和小写金额不一致的，以大写金额为准；</w:t>
      </w:r>
    </w:p>
    <w:p>
      <w:pPr>
        <w:spacing w:line="360" w:lineRule="auto"/>
        <w:ind w:firstLine="385" w:firstLineChars="175"/>
        <w:rPr>
          <w:rFonts w:hint="eastAsia" w:ascii="宋体" w:hAnsi="宋体" w:cs="宋体"/>
          <w:color w:val="000000"/>
          <w:kern w:val="0"/>
          <w:sz w:val="22"/>
          <w:szCs w:val="22"/>
        </w:rPr>
      </w:pPr>
      <w:r>
        <w:rPr>
          <w:rFonts w:hint="eastAsia" w:ascii="宋体" w:hAnsi="宋体" w:cs="宋体"/>
          <w:color w:val="000000"/>
          <w:kern w:val="0"/>
          <w:sz w:val="22"/>
          <w:szCs w:val="22"/>
        </w:rPr>
        <w:t>（3）单价金额小数点或者百分比有明显错位的，应以开标一览表的总价为准，并修改单价；</w:t>
      </w:r>
    </w:p>
    <w:p>
      <w:pPr>
        <w:spacing w:line="360" w:lineRule="auto"/>
        <w:ind w:firstLine="385" w:firstLineChars="175"/>
        <w:rPr>
          <w:rFonts w:hint="eastAsia" w:ascii="宋体" w:hAnsi="宋体" w:cs="宋体"/>
          <w:color w:val="000000"/>
          <w:kern w:val="0"/>
          <w:sz w:val="22"/>
          <w:szCs w:val="22"/>
        </w:rPr>
      </w:pPr>
      <w:r>
        <w:rPr>
          <w:rFonts w:hint="eastAsia" w:ascii="宋体" w:hAnsi="宋体" w:cs="宋体"/>
          <w:color w:val="000000"/>
          <w:kern w:val="0"/>
          <w:sz w:val="22"/>
          <w:szCs w:val="22"/>
        </w:rPr>
        <w:t>（4）总价金额与按单价汇总金额不一致的，以单价金额计算结果为准。</w:t>
      </w:r>
    </w:p>
    <w:p>
      <w:pPr>
        <w:spacing w:line="360" w:lineRule="auto"/>
        <w:ind w:firstLine="605" w:firstLineChars="275"/>
        <w:rPr>
          <w:rFonts w:hint="eastAsia" w:ascii="宋体" w:hAnsi="宋体" w:cs="宋体"/>
          <w:color w:val="000000"/>
          <w:kern w:val="0"/>
          <w:sz w:val="22"/>
          <w:szCs w:val="22"/>
        </w:rPr>
      </w:pPr>
      <w:r>
        <w:rPr>
          <w:rFonts w:hint="eastAsia" w:ascii="宋体" w:hAnsi="宋体" w:cs="宋体"/>
          <w:color w:val="000000"/>
          <w:kern w:val="0"/>
          <w:sz w:val="22"/>
          <w:szCs w:val="22"/>
        </w:rPr>
        <w:t>4.2对不同文字文本投标文件的解释发生异议的，以中文文本为准。</w:t>
      </w:r>
    </w:p>
    <w:p>
      <w:pPr>
        <w:pStyle w:val="111"/>
        <w:autoSpaceDE/>
        <w:adjustRightInd/>
        <w:snapToGrid w:val="0"/>
        <w:spacing w:before="0" w:line="360" w:lineRule="auto"/>
        <w:ind w:left="0" w:firstLine="0"/>
        <w:rPr>
          <w:rFonts w:hint="eastAsia" w:ascii="宋体" w:hAnsi="宋体" w:eastAsia="宋体" w:cs="宋体"/>
          <w:b/>
          <w:color w:val="000000"/>
          <w:kern w:val="2"/>
          <w:sz w:val="22"/>
          <w:szCs w:val="22"/>
        </w:rPr>
      </w:pPr>
      <w:r>
        <w:rPr>
          <w:rFonts w:hint="eastAsia" w:ascii="宋体" w:hAnsi="宋体" w:eastAsia="宋体" w:cs="宋体"/>
          <w:b/>
          <w:color w:val="000000"/>
          <w:kern w:val="2"/>
          <w:sz w:val="22"/>
          <w:szCs w:val="22"/>
        </w:rPr>
        <w:t>（八）投标文件有下列情况之一者将视为无效：</w:t>
      </w:r>
    </w:p>
    <w:p>
      <w:pPr>
        <w:spacing w:line="360" w:lineRule="auto"/>
        <w:ind w:firstLine="389" w:firstLineChars="176"/>
        <w:rPr>
          <w:rFonts w:hint="eastAsia" w:ascii="宋体" w:hAnsi="宋体" w:cs="宋体"/>
          <w:b/>
          <w:color w:val="000000"/>
          <w:kern w:val="0"/>
          <w:sz w:val="22"/>
          <w:szCs w:val="22"/>
        </w:rPr>
      </w:pPr>
      <w:bookmarkStart w:id="93" w:name="_Hlk33211013"/>
      <w:r>
        <w:rPr>
          <w:rFonts w:hint="eastAsia" w:ascii="宋体" w:hAnsi="宋体" w:cs="宋体"/>
          <w:b/>
          <w:color w:val="000000"/>
          <w:kern w:val="0"/>
          <w:sz w:val="22"/>
          <w:szCs w:val="22"/>
        </w:rPr>
        <w:t>1、商务、技术文件符合性审查中，存在下列情形之一的，经评标委员会认定后作无效标处理：</w:t>
      </w:r>
    </w:p>
    <w:p>
      <w:pPr>
        <w:spacing w:line="360" w:lineRule="auto"/>
        <w:ind w:firstLine="389" w:firstLineChars="176"/>
        <w:rPr>
          <w:rFonts w:hint="eastAsia" w:ascii="宋体" w:hAnsi="宋体" w:cs="宋体"/>
          <w:b/>
          <w:color w:val="000000"/>
          <w:kern w:val="0"/>
          <w:sz w:val="22"/>
          <w:szCs w:val="22"/>
        </w:rPr>
      </w:pPr>
      <w:bookmarkStart w:id="94" w:name="_Toc33194396"/>
      <w:r>
        <w:rPr>
          <w:rFonts w:hint="eastAsia" w:ascii="宋体" w:hAnsi="宋体" w:cs="宋体"/>
          <w:b/>
          <w:color w:val="000000"/>
          <w:kern w:val="0"/>
          <w:sz w:val="22"/>
          <w:szCs w:val="22"/>
        </w:rPr>
        <w:t>（1）投标文件未有效授权，法定代表人授权委托书等填写不完整或有涂改的；</w:t>
      </w:r>
      <w:bookmarkEnd w:id="94"/>
    </w:p>
    <w:p>
      <w:pPr>
        <w:spacing w:line="360" w:lineRule="auto"/>
        <w:ind w:firstLine="391" w:firstLineChars="177"/>
        <w:rPr>
          <w:rFonts w:hint="eastAsia" w:ascii="宋体" w:hAnsi="宋体" w:cs="宋体"/>
          <w:b/>
          <w:sz w:val="22"/>
          <w:szCs w:val="22"/>
        </w:rPr>
      </w:pPr>
      <w:r>
        <w:rPr>
          <w:rFonts w:hint="eastAsia" w:ascii="宋体" w:hAnsi="宋体" w:cs="宋体"/>
          <w:b/>
          <w:sz w:val="22"/>
          <w:szCs w:val="22"/>
        </w:rPr>
        <w:t>（2）投标文件没有对本招标文件作出实质性响应的，或不满足（不响应）本招标文件中标注“▲”的实质性要求条款的，或存在招标文件中明确规定的其他无效标情形的；</w:t>
      </w:r>
    </w:p>
    <w:p>
      <w:pPr>
        <w:spacing w:line="360" w:lineRule="auto"/>
        <w:ind w:firstLine="391" w:firstLineChars="177"/>
        <w:rPr>
          <w:rFonts w:hint="eastAsia" w:ascii="宋体" w:hAnsi="宋体" w:cs="宋体"/>
          <w:b/>
          <w:sz w:val="22"/>
          <w:szCs w:val="22"/>
        </w:rPr>
      </w:pPr>
      <w:r>
        <w:rPr>
          <w:rFonts w:hint="eastAsia" w:ascii="宋体" w:hAnsi="宋体" w:cs="宋体"/>
          <w:b/>
          <w:sz w:val="22"/>
          <w:szCs w:val="22"/>
        </w:rPr>
        <w:t>（3）投标文件存在一个或一个以上备选（替代）投标方案的；</w:t>
      </w:r>
    </w:p>
    <w:p>
      <w:pPr>
        <w:spacing w:line="360" w:lineRule="auto"/>
        <w:ind w:firstLine="391" w:firstLineChars="177"/>
        <w:rPr>
          <w:rFonts w:hint="eastAsia" w:ascii="宋体" w:hAnsi="宋体" w:cs="宋体"/>
          <w:b/>
          <w:sz w:val="22"/>
          <w:szCs w:val="22"/>
        </w:rPr>
      </w:pPr>
      <w:r>
        <w:rPr>
          <w:rFonts w:hint="eastAsia" w:ascii="宋体" w:hAnsi="宋体" w:cs="宋体"/>
          <w:b/>
          <w:sz w:val="22"/>
          <w:szCs w:val="22"/>
        </w:rPr>
        <w:t>（4）仅提交“备份投标文件”的；</w:t>
      </w:r>
    </w:p>
    <w:p>
      <w:pPr>
        <w:spacing w:line="360" w:lineRule="auto"/>
        <w:ind w:firstLine="391" w:firstLineChars="177"/>
        <w:rPr>
          <w:rFonts w:hint="eastAsia" w:ascii="宋体" w:hAnsi="宋体" w:cs="宋体"/>
          <w:b/>
          <w:sz w:val="22"/>
          <w:szCs w:val="22"/>
        </w:rPr>
      </w:pPr>
      <w:r>
        <w:rPr>
          <w:rFonts w:hint="eastAsia" w:ascii="宋体" w:hAnsi="宋体" w:cs="宋体"/>
          <w:b/>
          <w:sz w:val="22"/>
          <w:szCs w:val="22"/>
        </w:rPr>
        <w:t>（5）文件组成内容不齐全，本招标文件规定必须提供而未提供的（属于资格审查范围的除外）；</w:t>
      </w:r>
    </w:p>
    <w:p>
      <w:pPr>
        <w:spacing w:line="360" w:lineRule="auto"/>
        <w:ind w:firstLine="391" w:firstLineChars="177"/>
        <w:rPr>
          <w:rFonts w:hint="eastAsia" w:ascii="宋体" w:hAnsi="宋体" w:cs="宋体"/>
          <w:b/>
          <w:sz w:val="22"/>
          <w:szCs w:val="22"/>
        </w:rPr>
      </w:pPr>
      <w:r>
        <w:rPr>
          <w:rFonts w:hint="eastAsia" w:ascii="宋体" w:hAnsi="宋体" w:cs="宋体"/>
          <w:b/>
          <w:sz w:val="22"/>
          <w:szCs w:val="22"/>
        </w:rPr>
        <w:t>（6）投标文件标注的响应或偏离情况与事实不符，或提供了虚假材料的；</w:t>
      </w:r>
    </w:p>
    <w:p>
      <w:pPr>
        <w:spacing w:line="360" w:lineRule="auto"/>
        <w:ind w:firstLine="391" w:firstLineChars="177"/>
        <w:rPr>
          <w:rFonts w:hint="eastAsia" w:ascii="宋体" w:hAnsi="宋体" w:cs="宋体"/>
          <w:b/>
          <w:sz w:val="22"/>
          <w:szCs w:val="22"/>
        </w:rPr>
      </w:pPr>
      <w:r>
        <w:rPr>
          <w:rFonts w:hint="eastAsia" w:ascii="宋体" w:hAnsi="宋体" w:cs="宋体"/>
          <w:b/>
          <w:sz w:val="22"/>
          <w:szCs w:val="22"/>
        </w:rPr>
        <w:t>（7）不响应或擅自改变本招标文件要求或投标文件有采购人不能接受的附加条件的；</w:t>
      </w:r>
    </w:p>
    <w:p>
      <w:pPr>
        <w:spacing w:line="360" w:lineRule="auto"/>
        <w:ind w:firstLine="391" w:firstLineChars="177"/>
        <w:rPr>
          <w:rFonts w:hint="eastAsia" w:ascii="宋体" w:hAnsi="宋体" w:cs="宋体"/>
          <w:b/>
          <w:sz w:val="22"/>
          <w:szCs w:val="22"/>
        </w:rPr>
      </w:pPr>
      <w:r>
        <w:rPr>
          <w:rFonts w:hint="eastAsia" w:ascii="宋体" w:hAnsi="宋体" w:cs="宋体"/>
          <w:b/>
          <w:sz w:val="22"/>
          <w:szCs w:val="22"/>
        </w:rPr>
        <w:t>（8）参加同一合同项下政府采购活动的不同供应商之间存在利害关系并且存在影响政府采购公平竞争行为的；</w:t>
      </w:r>
    </w:p>
    <w:p>
      <w:pPr>
        <w:pStyle w:val="6"/>
        <w:tabs>
          <w:tab w:val="left" w:pos="706"/>
          <w:tab w:val="left" w:pos="1110"/>
          <w:tab w:val="clear" w:pos="576"/>
        </w:tabs>
        <w:spacing w:before="0" w:after="0"/>
        <w:ind w:firstLine="442" w:firstLineChars="200"/>
        <w:rPr>
          <w:rFonts w:hint="eastAsia" w:ascii="宋体" w:hAnsi="宋体" w:eastAsia="宋体" w:cs="宋体"/>
          <w:b/>
          <w:bCs/>
          <w:sz w:val="22"/>
          <w:szCs w:val="22"/>
        </w:rPr>
      </w:pPr>
      <w:bookmarkStart w:id="95" w:name="_Toc33194397"/>
      <w:bookmarkStart w:id="96" w:name="_Toc17317"/>
      <w:r>
        <w:rPr>
          <w:rFonts w:hint="eastAsia" w:ascii="宋体" w:hAnsi="宋体" w:eastAsia="宋体" w:cs="宋体"/>
          <w:b/>
          <w:bCs/>
          <w:sz w:val="22"/>
          <w:szCs w:val="22"/>
        </w:rPr>
        <w:t>（9）</w:t>
      </w:r>
      <w:r>
        <w:rPr>
          <w:rFonts w:hint="eastAsia" w:ascii="宋体" w:hAnsi="宋体" w:eastAsia="宋体" w:cs="宋体"/>
          <w:b/>
          <w:bCs/>
          <w:color w:val="000000"/>
          <w:sz w:val="22"/>
          <w:szCs w:val="22"/>
        </w:rPr>
        <w:t>招标人拟采购的产品如属于品目清单范围内的强制采购品目的，供应商未</w:t>
      </w:r>
      <w:bookmarkEnd w:id="95"/>
      <w:bookmarkStart w:id="97" w:name="_Toc33194398"/>
      <w:r>
        <w:rPr>
          <w:rFonts w:hint="eastAsia" w:ascii="宋体" w:hAnsi="宋体" w:eastAsia="宋体" w:cs="宋体"/>
          <w:b/>
          <w:bCs/>
          <w:color w:val="000000"/>
          <w:sz w:val="22"/>
          <w:szCs w:val="22"/>
        </w:rPr>
        <w:t>能在响应文件中提供国家确定的认证机构出具的、处于有效期之内的该产品节能产品、环境标志产品认证证书；</w:t>
      </w:r>
      <w:bookmarkEnd w:id="96"/>
      <w:bookmarkEnd w:id="97"/>
    </w:p>
    <w:p>
      <w:pPr>
        <w:spacing w:line="360" w:lineRule="auto"/>
        <w:ind w:firstLine="391" w:firstLineChars="177"/>
        <w:rPr>
          <w:rFonts w:hint="eastAsia" w:ascii="宋体" w:hAnsi="宋体" w:cs="宋体"/>
          <w:b/>
          <w:color w:val="000000"/>
          <w:sz w:val="22"/>
          <w:szCs w:val="22"/>
        </w:rPr>
      </w:pPr>
      <w:r>
        <w:rPr>
          <w:rFonts w:hint="eastAsia" w:ascii="宋体" w:hAnsi="宋体" w:cs="宋体"/>
          <w:b/>
          <w:sz w:val="22"/>
          <w:szCs w:val="22"/>
        </w:rPr>
        <w:t>（10）违反国家或政府部门相关法律、法规、文件规定的。</w:t>
      </w:r>
      <w:bookmarkEnd w:id="93"/>
    </w:p>
    <w:p>
      <w:pPr>
        <w:spacing w:line="360" w:lineRule="auto"/>
        <w:ind w:firstLine="391" w:firstLineChars="177"/>
        <w:rPr>
          <w:rFonts w:hint="eastAsia" w:ascii="宋体" w:hAnsi="宋体" w:cs="宋体"/>
          <w:b/>
          <w:color w:val="000000"/>
          <w:kern w:val="0"/>
          <w:sz w:val="22"/>
          <w:szCs w:val="22"/>
        </w:rPr>
      </w:pPr>
      <w:r>
        <w:rPr>
          <w:rFonts w:hint="eastAsia" w:ascii="宋体" w:hAnsi="宋体" w:cs="宋体"/>
          <w:b/>
          <w:color w:val="000000"/>
          <w:kern w:val="0"/>
          <w:sz w:val="22"/>
          <w:szCs w:val="22"/>
        </w:rPr>
        <w:t>2、报价文件符合性审查中，存在下列情形之一的，经评标委员会认定后作无效标处理：</w:t>
      </w:r>
    </w:p>
    <w:p>
      <w:pPr>
        <w:spacing w:line="360" w:lineRule="auto"/>
        <w:ind w:firstLine="391" w:firstLineChars="177"/>
        <w:rPr>
          <w:rFonts w:hint="eastAsia" w:ascii="宋体" w:hAnsi="宋体" w:cs="宋体"/>
          <w:b/>
          <w:sz w:val="22"/>
          <w:szCs w:val="22"/>
        </w:rPr>
      </w:pPr>
      <w:r>
        <w:rPr>
          <w:rFonts w:hint="eastAsia" w:ascii="宋体" w:hAnsi="宋体" w:cs="宋体"/>
          <w:b/>
          <w:sz w:val="22"/>
          <w:szCs w:val="22"/>
        </w:rPr>
        <w:t>（1）投标文件没有对本招标文件作出实质性响应的，或不满足（不响应）本招标文件中标注“▲”的实质性要求条款的，或存在招标文件中明确规定的其他无效标情形的；</w:t>
      </w:r>
    </w:p>
    <w:p>
      <w:pPr>
        <w:spacing w:line="360" w:lineRule="auto"/>
        <w:ind w:firstLine="391" w:firstLineChars="177"/>
        <w:rPr>
          <w:rFonts w:hint="eastAsia" w:ascii="宋体" w:hAnsi="宋体" w:cs="宋体"/>
          <w:b/>
          <w:sz w:val="22"/>
          <w:szCs w:val="22"/>
        </w:rPr>
      </w:pPr>
      <w:r>
        <w:rPr>
          <w:rFonts w:hint="eastAsia" w:ascii="宋体" w:hAnsi="宋体" w:cs="宋体"/>
          <w:b/>
          <w:sz w:val="22"/>
          <w:szCs w:val="22"/>
        </w:rPr>
        <w:t>（2）投标文件存在一个或一个以上备选（替代）投标方案的；</w:t>
      </w:r>
    </w:p>
    <w:p>
      <w:pPr>
        <w:spacing w:line="360" w:lineRule="auto"/>
        <w:ind w:firstLine="391" w:firstLineChars="177"/>
        <w:rPr>
          <w:rFonts w:hint="eastAsia" w:ascii="宋体" w:hAnsi="宋体" w:cs="宋体"/>
          <w:b/>
          <w:sz w:val="22"/>
          <w:szCs w:val="22"/>
        </w:rPr>
      </w:pPr>
      <w:r>
        <w:rPr>
          <w:rFonts w:hint="eastAsia" w:ascii="宋体" w:hAnsi="宋体" w:cs="宋体"/>
          <w:b/>
          <w:sz w:val="22"/>
          <w:szCs w:val="22"/>
        </w:rPr>
        <w:t>（3）未按照招标文件标明的币种报价的，或者投标报价涵盖的内容不符合招标文件要求的；</w:t>
      </w:r>
    </w:p>
    <w:p>
      <w:pPr>
        <w:spacing w:line="360" w:lineRule="auto"/>
        <w:ind w:firstLine="391" w:firstLineChars="177"/>
        <w:rPr>
          <w:rFonts w:hint="eastAsia" w:ascii="宋体" w:hAnsi="宋体" w:cs="宋体"/>
          <w:b/>
          <w:sz w:val="22"/>
          <w:szCs w:val="22"/>
        </w:rPr>
      </w:pPr>
      <w:r>
        <w:rPr>
          <w:rFonts w:hint="eastAsia" w:ascii="宋体" w:hAnsi="宋体" w:cs="宋体"/>
          <w:b/>
          <w:sz w:val="22"/>
          <w:szCs w:val="22"/>
        </w:rPr>
        <w:t>（4）《开标一览表》内容与《报价组成表（分部分项工程量清单报价表）》内容不一致且拒不接受修正的；</w:t>
      </w:r>
    </w:p>
    <w:p>
      <w:pPr>
        <w:spacing w:line="360" w:lineRule="auto"/>
        <w:ind w:firstLine="391" w:firstLineChars="177"/>
        <w:rPr>
          <w:rFonts w:hint="eastAsia" w:ascii="宋体" w:hAnsi="宋体" w:cs="宋体"/>
          <w:b/>
          <w:sz w:val="22"/>
          <w:szCs w:val="22"/>
        </w:rPr>
      </w:pPr>
      <w:r>
        <w:rPr>
          <w:rFonts w:hint="eastAsia" w:ascii="宋体" w:hAnsi="宋体" w:cs="宋体"/>
          <w:b/>
          <w:sz w:val="22"/>
          <w:szCs w:val="22"/>
        </w:rPr>
        <w:t>（5）投标报价具有选择性，唱标价格与投标文件承诺的优惠（折扣）后价格不一致的；</w:t>
      </w:r>
    </w:p>
    <w:p>
      <w:pPr>
        <w:spacing w:line="360" w:lineRule="auto"/>
        <w:ind w:firstLine="391" w:firstLineChars="177"/>
        <w:rPr>
          <w:rFonts w:hint="eastAsia" w:ascii="宋体" w:hAnsi="宋体" w:cs="宋体"/>
          <w:b/>
          <w:sz w:val="22"/>
          <w:szCs w:val="22"/>
        </w:rPr>
      </w:pPr>
      <w:r>
        <w:rPr>
          <w:rFonts w:hint="eastAsia" w:ascii="宋体" w:hAnsi="宋体" w:cs="宋体"/>
          <w:b/>
          <w:sz w:val="22"/>
          <w:szCs w:val="22"/>
        </w:rPr>
        <w:t>（6）投标报价超过采购预算（或最高限价）的；</w:t>
      </w:r>
    </w:p>
    <w:p>
      <w:pPr>
        <w:spacing w:line="360" w:lineRule="auto"/>
        <w:ind w:firstLine="391" w:firstLineChars="177"/>
        <w:rPr>
          <w:rFonts w:hint="eastAsia" w:ascii="宋体" w:hAnsi="宋体" w:cs="宋体"/>
          <w:b/>
          <w:sz w:val="22"/>
          <w:szCs w:val="22"/>
        </w:rPr>
      </w:pPr>
      <w:r>
        <w:rPr>
          <w:rFonts w:hint="eastAsia" w:ascii="宋体" w:hAnsi="宋体" w:cs="宋体"/>
          <w:b/>
          <w:sz w:val="22"/>
          <w:szCs w:val="22"/>
        </w:rPr>
        <w:t>（7）仅提交“备份投标文件”的；</w:t>
      </w:r>
    </w:p>
    <w:p>
      <w:pPr>
        <w:spacing w:line="360" w:lineRule="auto"/>
        <w:ind w:firstLine="391" w:firstLineChars="177"/>
        <w:rPr>
          <w:rFonts w:hint="eastAsia" w:ascii="宋体" w:hAnsi="宋体" w:cs="宋体"/>
          <w:b/>
          <w:sz w:val="22"/>
          <w:szCs w:val="22"/>
        </w:rPr>
      </w:pPr>
      <w:r>
        <w:rPr>
          <w:rFonts w:hint="eastAsia" w:ascii="宋体" w:hAnsi="宋体" w:cs="宋体"/>
          <w:b/>
          <w:sz w:val="22"/>
          <w:szCs w:val="22"/>
        </w:rPr>
        <w:t>（8）投标文件组成内容不齐全，本招标文件规定必须提供而未提供的（属于资格审查范围的除外）；</w:t>
      </w:r>
    </w:p>
    <w:p>
      <w:pPr>
        <w:spacing w:line="360" w:lineRule="auto"/>
        <w:ind w:firstLine="391" w:firstLineChars="177"/>
        <w:rPr>
          <w:rFonts w:hint="eastAsia" w:ascii="宋体" w:hAnsi="宋体" w:cs="宋体"/>
          <w:b/>
          <w:sz w:val="22"/>
          <w:szCs w:val="22"/>
        </w:rPr>
      </w:pPr>
      <w:r>
        <w:rPr>
          <w:rFonts w:hint="eastAsia" w:ascii="宋体" w:hAnsi="宋体" w:cs="宋体"/>
          <w:b/>
          <w:sz w:val="22"/>
          <w:szCs w:val="22"/>
        </w:rPr>
        <w:t>（9）投标文件标注的响应或偏离情况与事实不符，或提供了虚假材料的；</w:t>
      </w:r>
    </w:p>
    <w:p>
      <w:pPr>
        <w:spacing w:line="360" w:lineRule="auto"/>
        <w:ind w:firstLine="391" w:firstLineChars="177"/>
        <w:rPr>
          <w:rFonts w:hint="eastAsia" w:ascii="宋体" w:hAnsi="宋体" w:cs="宋体"/>
          <w:b/>
          <w:sz w:val="22"/>
          <w:szCs w:val="22"/>
        </w:rPr>
      </w:pPr>
      <w:r>
        <w:rPr>
          <w:rFonts w:hint="eastAsia" w:ascii="宋体" w:hAnsi="宋体" w:cs="宋体"/>
          <w:b/>
          <w:sz w:val="22"/>
          <w:szCs w:val="22"/>
        </w:rPr>
        <w:t>（10）不响应或擅自改变本招标文件要求或投标文件有采购人不能接受的附加条件的；</w:t>
      </w:r>
    </w:p>
    <w:p>
      <w:pPr>
        <w:shd w:val="clear" w:color="auto" w:fill="FFFFFF"/>
        <w:autoSpaceDE w:val="0"/>
        <w:autoSpaceDN w:val="0"/>
        <w:snapToGrid w:val="0"/>
        <w:spacing w:line="360" w:lineRule="auto"/>
        <w:ind w:firstLine="442" w:firstLineChars="200"/>
        <w:rPr>
          <w:rFonts w:hint="eastAsia" w:ascii="宋体" w:hAnsi="宋体" w:cs="宋体"/>
          <w:b/>
          <w:color w:val="000000"/>
          <w:sz w:val="22"/>
          <w:szCs w:val="22"/>
        </w:rPr>
      </w:pPr>
      <w:r>
        <w:rPr>
          <w:rFonts w:hint="eastAsia" w:ascii="宋体" w:hAnsi="宋体" w:cs="宋体"/>
          <w:b/>
          <w:sz w:val="22"/>
          <w:szCs w:val="22"/>
        </w:rPr>
        <w:t>（11）</w:t>
      </w:r>
      <w:r>
        <w:rPr>
          <w:rFonts w:hint="eastAsia" w:ascii="宋体" w:hAnsi="宋体" w:cs="宋体"/>
          <w:b/>
          <w:color w:val="000000"/>
          <w:sz w:val="22"/>
          <w:szCs w:val="22"/>
        </w:rPr>
        <w:t>评审委员会认为供应商报价明显低于其他合格供应商的报价，有可能影响产品质量或者不能诚信履约的，应当要求其在合理时间内提供书面说明，必要时提供相关证明材料；供应商不能证明其报价合理性的，评审委员会应当将其作为无效投标或者无效响应处理；</w:t>
      </w:r>
    </w:p>
    <w:p>
      <w:pPr>
        <w:spacing w:line="360" w:lineRule="auto"/>
        <w:ind w:firstLine="391" w:firstLineChars="177"/>
        <w:rPr>
          <w:rFonts w:hint="eastAsia" w:ascii="宋体" w:hAnsi="宋体" w:cs="宋体"/>
          <w:b/>
          <w:color w:val="000000"/>
          <w:kern w:val="0"/>
          <w:sz w:val="22"/>
          <w:szCs w:val="22"/>
        </w:rPr>
      </w:pPr>
      <w:r>
        <w:rPr>
          <w:rFonts w:hint="eastAsia" w:ascii="宋体" w:hAnsi="宋体" w:cs="宋体"/>
          <w:b/>
          <w:sz w:val="22"/>
          <w:szCs w:val="22"/>
        </w:rPr>
        <w:t>（12）违反国家或政府部门相关法律、法规、文件规定的。</w:t>
      </w:r>
    </w:p>
    <w:p>
      <w:pPr>
        <w:pStyle w:val="7"/>
        <w:tabs>
          <w:tab w:val="left" w:pos="720"/>
          <w:tab w:val="clear" w:pos="3600"/>
        </w:tabs>
        <w:spacing w:before="0" w:after="0"/>
        <w:ind w:left="720" w:hanging="720"/>
        <w:jc w:val="both"/>
        <w:rPr>
          <w:rFonts w:hint="eastAsia" w:ascii="宋体" w:hAnsi="宋体" w:eastAsia="宋体" w:cs="宋体"/>
          <w:sz w:val="22"/>
          <w:szCs w:val="22"/>
        </w:rPr>
      </w:pPr>
      <w:bookmarkStart w:id="98" w:name="_Toc28703"/>
      <w:r>
        <w:rPr>
          <w:rFonts w:hint="eastAsia" w:ascii="宋体" w:hAnsi="宋体" w:eastAsia="宋体" w:cs="宋体"/>
          <w:sz w:val="22"/>
          <w:szCs w:val="22"/>
        </w:rPr>
        <w:t>（九）投标文件的评估、比较、评分</w:t>
      </w:r>
      <w:bookmarkEnd w:id="98"/>
    </w:p>
    <w:p>
      <w:pPr>
        <w:spacing w:line="360" w:lineRule="auto"/>
        <w:ind w:firstLine="389" w:firstLineChars="177"/>
        <w:rPr>
          <w:rFonts w:hint="eastAsia" w:ascii="宋体" w:hAnsi="宋体" w:cs="宋体"/>
          <w:color w:val="000000"/>
          <w:kern w:val="0"/>
          <w:sz w:val="22"/>
          <w:szCs w:val="22"/>
        </w:rPr>
      </w:pPr>
      <w:r>
        <w:rPr>
          <w:rFonts w:hint="eastAsia" w:ascii="宋体" w:hAnsi="宋体" w:cs="宋体"/>
          <w:color w:val="000000"/>
          <w:kern w:val="0"/>
          <w:sz w:val="22"/>
          <w:szCs w:val="22"/>
        </w:rPr>
        <w:t>1、评标委员会应当按照招标文件中规定的评审方法和标准，对符合性审查合格的投标文件进行商务和技术评估，综合比较与评价。评标时，评标委员会各成员将独立对每个供应商的投标文件进行评价，并汇总每个供应商的得分。评审细则详见本章第七款。</w:t>
      </w:r>
    </w:p>
    <w:p>
      <w:pPr>
        <w:spacing w:line="360" w:lineRule="auto"/>
        <w:ind w:firstLine="389" w:firstLineChars="177"/>
        <w:rPr>
          <w:rFonts w:hint="eastAsia" w:ascii="宋体" w:hAnsi="宋体" w:cs="宋体"/>
          <w:color w:val="000000"/>
          <w:kern w:val="0"/>
          <w:sz w:val="22"/>
          <w:szCs w:val="22"/>
        </w:rPr>
      </w:pPr>
      <w:r>
        <w:rPr>
          <w:rFonts w:hint="eastAsia" w:ascii="宋体" w:hAnsi="宋体" w:cs="宋体"/>
          <w:color w:val="000000"/>
          <w:kern w:val="0"/>
          <w:sz w:val="22"/>
          <w:szCs w:val="22"/>
        </w:rPr>
        <w:t>2、对采购组织机构工作人员汇总的评审结果进行确认。如发现分值汇总计算错误、分项评分超出评分标准范围、客观评分不一致以及存在畸高、畸低（其总评分偏离平均分30%以上的）情形的，评审小组组长（评标委员会主任委员）应提醒相关评审人员当场改正或书面说明理由，拒不改正又不作书面说明的，由现场监督员如实记载后存入项目档案资料。</w:t>
      </w:r>
    </w:p>
    <w:p>
      <w:pPr>
        <w:pStyle w:val="7"/>
        <w:tabs>
          <w:tab w:val="left" w:pos="720"/>
          <w:tab w:val="clear" w:pos="3600"/>
        </w:tabs>
        <w:spacing w:before="0" w:after="0"/>
        <w:ind w:left="720" w:hanging="720"/>
        <w:jc w:val="both"/>
        <w:rPr>
          <w:rFonts w:hint="eastAsia" w:ascii="宋体" w:hAnsi="宋体" w:eastAsia="宋体" w:cs="宋体"/>
          <w:sz w:val="22"/>
          <w:szCs w:val="22"/>
        </w:rPr>
      </w:pPr>
      <w:bookmarkStart w:id="99" w:name="_Toc5046"/>
      <w:r>
        <w:rPr>
          <w:rFonts w:hint="eastAsia" w:ascii="宋体" w:hAnsi="宋体" w:eastAsia="宋体" w:cs="宋体"/>
          <w:sz w:val="22"/>
          <w:szCs w:val="22"/>
        </w:rPr>
        <w:t>（十）修改评审结果</w:t>
      </w:r>
      <w:bookmarkEnd w:id="99"/>
    </w:p>
    <w:p>
      <w:pPr>
        <w:spacing w:line="360" w:lineRule="auto"/>
        <w:ind w:firstLine="446" w:firstLineChars="202"/>
        <w:rPr>
          <w:rFonts w:hint="eastAsia" w:ascii="宋体" w:hAnsi="宋体" w:cs="宋体"/>
          <w:b/>
          <w:color w:val="000000"/>
          <w:sz w:val="22"/>
          <w:szCs w:val="22"/>
        </w:rPr>
      </w:pPr>
      <w:r>
        <w:rPr>
          <w:rFonts w:hint="eastAsia" w:ascii="宋体" w:hAnsi="宋体" w:cs="宋体"/>
          <w:b/>
          <w:color w:val="000000"/>
          <w:sz w:val="22"/>
          <w:szCs w:val="22"/>
        </w:rPr>
        <w:t>1、评标结果汇总完成后，除下列情形外，任何人不得修改评标结果：</w:t>
      </w:r>
    </w:p>
    <w:p>
      <w:pPr>
        <w:spacing w:line="360" w:lineRule="auto"/>
        <w:ind w:firstLine="444" w:firstLineChars="202"/>
        <w:rPr>
          <w:rFonts w:hint="eastAsia" w:ascii="宋体" w:hAnsi="宋体" w:cs="宋体"/>
          <w:color w:val="000000"/>
          <w:sz w:val="22"/>
          <w:szCs w:val="22"/>
        </w:rPr>
      </w:pPr>
      <w:r>
        <w:rPr>
          <w:rFonts w:hint="eastAsia" w:ascii="宋体" w:hAnsi="宋体" w:cs="宋体"/>
          <w:color w:val="000000"/>
          <w:sz w:val="22"/>
          <w:szCs w:val="22"/>
        </w:rPr>
        <w:t>（1）分值汇总计算错误的；</w:t>
      </w:r>
    </w:p>
    <w:p>
      <w:pPr>
        <w:spacing w:line="360" w:lineRule="auto"/>
        <w:ind w:firstLine="444" w:firstLineChars="202"/>
        <w:rPr>
          <w:rFonts w:hint="eastAsia" w:ascii="宋体" w:hAnsi="宋体" w:cs="宋体"/>
          <w:color w:val="000000"/>
          <w:sz w:val="22"/>
          <w:szCs w:val="22"/>
        </w:rPr>
      </w:pPr>
      <w:r>
        <w:rPr>
          <w:rFonts w:hint="eastAsia" w:ascii="宋体" w:hAnsi="宋体" w:cs="宋体"/>
          <w:color w:val="000000"/>
          <w:sz w:val="22"/>
          <w:szCs w:val="22"/>
        </w:rPr>
        <w:t>（2）分项评分超出评分标准范围的；</w:t>
      </w:r>
    </w:p>
    <w:p>
      <w:pPr>
        <w:spacing w:line="360" w:lineRule="auto"/>
        <w:ind w:firstLine="444" w:firstLineChars="202"/>
        <w:rPr>
          <w:rFonts w:hint="eastAsia" w:ascii="宋体" w:hAnsi="宋体" w:cs="宋体"/>
          <w:color w:val="000000"/>
          <w:sz w:val="22"/>
          <w:szCs w:val="22"/>
        </w:rPr>
      </w:pPr>
      <w:r>
        <w:rPr>
          <w:rFonts w:hint="eastAsia" w:ascii="宋体" w:hAnsi="宋体" w:cs="宋体"/>
          <w:color w:val="000000"/>
          <w:sz w:val="22"/>
          <w:szCs w:val="22"/>
        </w:rPr>
        <w:t>（3）评标委员会成员对客观评审因素评分不一致的；</w:t>
      </w:r>
    </w:p>
    <w:p>
      <w:pPr>
        <w:spacing w:line="360" w:lineRule="auto"/>
        <w:ind w:firstLine="444" w:firstLineChars="202"/>
        <w:rPr>
          <w:rFonts w:hint="eastAsia" w:ascii="宋体" w:hAnsi="宋体" w:cs="宋体"/>
          <w:color w:val="000000"/>
          <w:sz w:val="22"/>
          <w:szCs w:val="22"/>
        </w:rPr>
      </w:pPr>
      <w:r>
        <w:rPr>
          <w:rFonts w:hint="eastAsia" w:ascii="宋体" w:hAnsi="宋体" w:cs="宋体"/>
          <w:color w:val="000000"/>
          <w:sz w:val="22"/>
          <w:szCs w:val="22"/>
        </w:rPr>
        <w:t>（4）经评标委员会认定评分畸高、畸低的。</w:t>
      </w:r>
    </w:p>
    <w:p>
      <w:pPr>
        <w:spacing w:line="360" w:lineRule="auto"/>
        <w:ind w:firstLine="446" w:firstLineChars="202"/>
        <w:rPr>
          <w:rFonts w:hint="eastAsia" w:ascii="宋体" w:hAnsi="宋体" w:cs="宋体"/>
          <w:b/>
          <w:color w:val="000000"/>
          <w:sz w:val="22"/>
          <w:szCs w:val="22"/>
        </w:rPr>
      </w:pPr>
      <w:r>
        <w:rPr>
          <w:rFonts w:hint="eastAsia" w:ascii="宋体" w:hAnsi="宋体" w:cs="宋体"/>
          <w:b/>
          <w:color w:val="000000"/>
          <w:sz w:val="22"/>
          <w:szCs w:val="22"/>
        </w:rPr>
        <w:t>2、评标报告签署前，经复核发现存在以上情形之一的，评标委员会将当场修改评标结果，并在评标报告中记载。</w:t>
      </w:r>
    </w:p>
    <w:p>
      <w:pPr>
        <w:pStyle w:val="7"/>
        <w:tabs>
          <w:tab w:val="left" w:pos="720"/>
          <w:tab w:val="clear" w:pos="3600"/>
        </w:tabs>
        <w:spacing w:before="0" w:after="0"/>
        <w:ind w:left="720" w:hanging="720"/>
        <w:jc w:val="both"/>
        <w:rPr>
          <w:rFonts w:hint="eastAsia" w:ascii="宋体" w:hAnsi="宋体" w:eastAsia="宋体" w:cs="宋体"/>
          <w:sz w:val="22"/>
          <w:szCs w:val="22"/>
        </w:rPr>
      </w:pPr>
      <w:bookmarkStart w:id="100" w:name="_Toc32590"/>
      <w:r>
        <w:rPr>
          <w:rFonts w:hint="eastAsia" w:ascii="宋体" w:hAnsi="宋体" w:eastAsia="宋体" w:cs="宋体"/>
          <w:sz w:val="22"/>
          <w:szCs w:val="22"/>
        </w:rPr>
        <w:t>（十一）供应商排序及推荐中标（成交）候选供应商</w:t>
      </w:r>
      <w:bookmarkEnd w:id="100"/>
    </w:p>
    <w:p>
      <w:pPr>
        <w:spacing w:line="360" w:lineRule="auto"/>
        <w:ind w:firstLine="391" w:firstLineChars="177"/>
        <w:rPr>
          <w:rFonts w:hint="eastAsia" w:ascii="宋体" w:hAnsi="宋体" w:cs="宋体"/>
          <w:b/>
          <w:color w:val="000000"/>
          <w:sz w:val="22"/>
          <w:szCs w:val="22"/>
        </w:rPr>
      </w:pPr>
      <w:r>
        <w:rPr>
          <w:rFonts w:hint="eastAsia" w:ascii="宋体" w:hAnsi="宋体" w:cs="宋体"/>
          <w:b/>
          <w:color w:val="000000"/>
          <w:sz w:val="22"/>
          <w:szCs w:val="22"/>
        </w:rPr>
        <w:t>评标委员会根据以下规定确定供应商排名并推荐中标（成交）候选供应商。</w:t>
      </w:r>
    </w:p>
    <w:p>
      <w:pPr>
        <w:spacing w:line="360" w:lineRule="auto"/>
        <w:ind w:firstLine="426" w:firstLineChars="193"/>
        <w:rPr>
          <w:rFonts w:hint="eastAsia" w:ascii="宋体" w:hAnsi="宋体" w:cs="宋体"/>
          <w:color w:val="000000"/>
          <w:kern w:val="0"/>
          <w:sz w:val="22"/>
          <w:szCs w:val="22"/>
        </w:rPr>
      </w:pPr>
      <w:r>
        <w:rPr>
          <w:rFonts w:hint="eastAsia" w:ascii="宋体" w:hAnsi="宋体" w:cs="宋体"/>
          <w:b/>
          <w:color w:val="000000"/>
          <w:sz w:val="22"/>
          <w:szCs w:val="22"/>
        </w:rPr>
        <w:t>1、评标委员会根据各投标供应商的综合得分（商务技术分与报价得分之和）从高到低依次进行排名排序。特殊情形按以下原则处理：</w:t>
      </w:r>
    </w:p>
    <w:p>
      <w:pPr>
        <w:spacing w:line="360" w:lineRule="auto"/>
        <w:ind w:firstLine="424" w:firstLineChars="193"/>
        <w:rPr>
          <w:rFonts w:hint="eastAsia" w:ascii="宋体" w:hAnsi="宋体" w:cs="宋体"/>
          <w:color w:val="000000"/>
          <w:sz w:val="22"/>
          <w:szCs w:val="22"/>
        </w:rPr>
      </w:pPr>
      <w:r>
        <w:rPr>
          <w:rFonts w:hint="eastAsia" w:ascii="宋体" w:hAnsi="宋体" w:cs="宋体"/>
          <w:color w:val="000000"/>
          <w:sz w:val="22"/>
          <w:szCs w:val="22"/>
        </w:rPr>
        <w:t>（1）综合得分相同的，按投标报价低的优先原则确定排名；</w:t>
      </w:r>
    </w:p>
    <w:p>
      <w:pPr>
        <w:spacing w:line="360" w:lineRule="auto"/>
        <w:ind w:firstLine="424" w:firstLineChars="193"/>
        <w:rPr>
          <w:rFonts w:hint="eastAsia" w:ascii="宋体" w:hAnsi="宋体" w:cs="宋体"/>
          <w:color w:val="000000"/>
          <w:sz w:val="22"/>
          <w:szCs w:val="22"/>
        </w:rPr>
      </w:pPr>
      <w:r>
        <w:rPr>
          <w:rFonts w:hint="eastAsia" w:ascii="宋体" w:hAnsi="宋体" w:cs="宋体"/>
          <w:color w:val="000000"/>
          <w:sz w:val="22"/>
          <w:szCs w:val="22"/>
        </w:rPr>
        <w:t>（2）综合得分和投标报价均相同的，按技术资信得分从高到低确定排名；</w:t>
      </w:r>
    </w:p>
    <w:p>
      <w:pPr>
        <w:spacing w:line="360" w:lineRule="auto"/>
        <w:ind w:firstLine="424" w:firstLineChars="193"/>
        <w:rPr>
          <w:rFonts w:hint="eastAsia" w:ascii="宋体" w:hAnsi="宋体" w:cs="宋体"/>
          <w:color w:val="000000"/>
          <w:sz w:val="22"/>
          <w:szCs w:val="22"/>
        </w:rPr>
      </w:pPr>
      <w:r>
        <w:rPr>
          <w:rFonts w:hint="eastAsia" w:ascii="宋体" w:hAnsi="宋体" w:cs="宋体"/>
          <w:color w:val="000000"/>
          <w:sz w:val="22"/>
          <w:szCs w:val="22"/>
        </w:rPr>
        <w:t>（3）综合得分、投标报价和技术资信得分均相同的由评标委员会全体成员记名投票按少数服从多数的原则确定排名。</w:t>
      </w:r>
    </w:p>
    <w:p>
      <w:pPr>
        <w:spacing w:line="360" w:lineRule="auto"/>
        <w:ind w:firstLine="391" w:firstLineChars="177"/>
        <w:rPr>
          <w:rFonts w:hint="eastAsia" w:ascii="宋体" w:hAnsi="宋体" w:cs="宋体"/>
          <w:b/>
          <w:color w:val="000000"/>
          <w:sz w:val="22"/>
          <w:szCs w:val="22"/>
        </w:rPr>
      </w:pPr>
      <w:r>
        <w:rPr>
          <w:rFonts w:hint="eastAsia" w:ascii="宋体" w:hAnsi="宋体" w:cs="宋体"/>
          <w:b/>
          <w:color w:val="000000"/>
          <w:sz w:val="22"/>
          <w:szCs w:val="22"/>
        </w:rPr>
        <w:t>2、根据最终得分排序，通过书面评审报告的形式，向采购人推荐</w:t>
      </w:r>
      <w:r>
        <w:rPr>
          <w:rFonts w:hint="eastAsia" w:ascii="宋体" w:hAnsi="宋体" w:cs="宋体"/>
          <w:b/>
          <w:color w:val="000000"/>
          <w:kern w:val="0"/>
          <w:sz w:val="22"/>
          <w:szCs w:val="22"/>
        </w:rPr>
        <w:t>排名第一的投标供应商为中标（成交）候选供应商</w:t>
      </w:r>
      <w:r>
        <w:rPr>
          <w:rFonts w:hint="eastAsia" w:ascii="宋体" w:hAnsi="宋体" w:cs="宋体"/>
          <w:b/>
          <w:color w:val="000000"/>
          <w:sz w:val="22"/>
          <w:szCs w:val="22"/>
        </w:rPr>
        <w:t>。</w:t>
      </w:r>
    </w:p>
    <w:p>
      <w:pPr>
        <w:pStyle w:val="7"/>
        <w:tabs>
          <w:tab w:val="left" w:pos="720"/>
          <w:tab w:val="clear" w:pos="3600"/>
        </w:tabs>
        <w:spacing w:before="0" w:after="0"/>
        <w:ind w:left="720" w:hanging="720"/>
        <w:jc w:val="both"/>
        <w:rPr>
          <w:rFonts w:hint="eastAsia" w:ascii="宋体" w:hAnsi="宋体" w:eastAsia="宋体" w:cs="宋体"/>
          <w:sz w:val="22"/>
          <w:szCs w:val="22"/>
        </w:rPr>
      </w:pPr>
      <w:bookmarkStart w:id="101" w:name="_Toc1306"/>
      <w:r>
        <w:rPr>
          <w:rFonts w:hint="eastAsia" w:ascii="宋体" w:hAnsi="宋体" w:eastAsia="宋体" w:cs="宋体"/>
          <w:sz w:val="22"/>
          <w:szCs w:val="22"/>
        </w:rPr>
        <w:t>（十二）起草、签署评审报告</w:t>
      </w:r>
      <w:bookmarkEnd w:id="101"/>
    </w:p>
    <w:p>
      <w:pPr>
        <w:spacing w:line="360" w:lineRule="auto"/>
        <w:ind w:firstLine="424" w:firstLineChars="193"/>
        <w:rPr>
          <w:rFonts w:hint="eastAsia" w:ascii="宋体" w:hAnsi="宋体" w:cs="宋体"/>
          <w:color w:val="000000"/>
          <w:sz w:val="22"/>
          <w:szCs w:val="22"/>
        </w:rPr>
      </w:pPr>
      <w:r>
        <w:rPr>
          <w:rFonts w:hint="eastAsia" w:ascii="宋体" w:hAnsi="宋体" w:cs="宋体"/>
          <w:color w:val="000000"/>
          <w:sz w:val="22"/>
          <w:szCs w:val="22"/>
        </w:rPr>
        <w:t>评审结束后，评标委员会将通过“政府采购云平台”起草评审报告，评标委员会成员应当在评审报告上签字，对自己的评审意见承担法律责任。对评审报告有异议的，应当在评审报告上签署不同意见，并说明理由，否则视为同意评审报告。</w:t>
      </w:r>
    </w:p>
    <w:p>
      <w:pPr>
        <w:pStyle w:val="24"/>
        <w:numPr>
          <w:ilvl w:val="0"/>
          <w:numId w:val="16"/>
        </w:numPr>
        <w:snapToGrid w:val="0"/>
        <w:spacing w:line="360" w:lineRule="auto"/>
        <w:rPr>
          <w:rFonts w:hint="eastAsia" w:hAnsi="宋体" w:cs="宋体"/>
          <w:b/>
          <w:color w:val="000000"/>
          <w:sz w:val="22"/>
          <w:szCs w:val="22"/>
        </w:rPr>
      </w:pPr>
      <w:r>
        <w:rPr>
          <w:rFonts w:hint="eastAsia" w:hAnsi="宋体" w:cs="宋体"/>
          <w:b/>
          <w:color w:val="000000"/>
          <w:sz w:val="22"/>
          <w:szCs w:val="22"/>
        </w:rPr>
        <w:t>评标办法：见招标文件“第六部分 评标办法”</w:t>
      </w:r>
    </w:p>
    <w:p>
      <w:pPr>
        <w:shd w:val="clear" w:color="auto" w:fill="FFFFFF"/>
        <w:snapToGrid w:val="0"/>
        <w:spacing w:line="360" w:lineRule="auto"/>
        <w:rPr>
          <w:rFonts w:hint="eastAsia" w:ascii="宋体" w:hAnsi="宋体" w:cs="宋体"/>
          <w:b/>
          <w:bCs/>
          <w:color w:val="000000"/>
          <w:sz w:val="22"/>
          <w:szCs w:val="22"/>
        </w:rPr>
      </w:pPr>
      <w:r>
        <w:rPr>
          <w:rFonts w:hint="eastAsia" w:ascii="宋体" w:hAnsi="宋体" w:cs="宋体"/>
          <w:b/>
          <w:bCs/>
          <w:color w:val="000000"/>
          <w:sz w:val="22"/>
          <w:szCs w:val="22"/>
        </w:rPr>
        <w:t>（十四）评标内容的保密</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1、公开开标后，直到宣布中标单位止，凡属于审查、澄清、评价和比较投标的所有资料，都不应向供应商或与评标无关的其他人泄露。</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2、在投标文件的审查、澄清、评价和比较以及确定中标人过程中，供应商对招标人、招标代理机构和评标委员会施加影响的任何行为，都将导致取消资格。</w:t>
      </w:r>
    </w:p>
    <w:p>
      <w:pPr>
        <w:shd w:val="clear" w:color="auto" w:fill="FFFFFF"/>
        <w:snapToGrid w:val="0"/>
        <w:spacing w:line="360" w:lineRule="auto"/>
        <w:rPr>
          <w:rFonts w:hint="eastAsia" w:ascii="宋体" w:hAnsi="宋体" w:cs="宋体"/>
          <w:b/>
          <w:bCs/>
          <w:color w:val="000000"/>
          <w:sz w:val="22"/>
          <w:szCs w:val="22"/>
        </w:rPr>
      </w:pPr>
      <w:r>
        <w:rPr>
          <w:rFonts w:hint="eastAsia" w:ascii="宋体" w:hAnsi="宋体" w:cs="宋体"/>
          <w:b/>
          <w:bCs/>
          <w:color w:val="000000"/>
          <w:sz w:val="22"/>
          <w:szCs w:val="22"/>
        </w:rPr>
        <w:t>（十五）废标</w:t>
      </w:r>
    </w:p>
    <w:p>
      <w:pPr>
        <w:pStyle w:val="21"/>
        <w:snapToGrid w:val="0"/>
        <w:spacing w:line="360" w:lineRule="auto"/>
        <w:ind w:left="442" w:hanging="442"/>
        <w:rPr>
          <w:rFonts w:hint="eastAsia" w:ascii="宋体" w:hAnsi="宋体" w:cs="宋体"/>
          <w:b/>
          <w:color w:val="000000"/>
          <w:sz w:val="22"/>
          <w:szCs w:val="22"/>
        </w:rPr>
      </w:pPr>
      <w:r>
        <w:rPr>
          <w:rFonts w:hint="eastAsia" w:ascii="宋体" w:hAnsi="宋体" w:cs="宋体"/>
          <w:b/>
          <w:color w:val="000000"/>
          <w:sz w:val="22"/>
          <w:szCs w:val="22"/>
        </w:rPr>
        <w:t>在采购中，出现下列情形之一的，应予废标：</w:t>
      </w:r>
    </w:p>
    <w:p>
      <w:pPr>
        <w:pStyle w:val="21"/>
        <w:snapToGrid w:val="0"/>
        <w:spacing w:line="360" w:lineRule="auto"/>
        <w:ind w:left="442" w:hanging="442"/>
        <w:rPr>
          <w:rFonts w:hint="eastAsia" w:ascii="宋体" w:hAnsi="宋体" w:cs="宋体"/>
          <w:b/>
          <w:color w:val="000000"/>
          <w:sz w:val="22"/>
          <w:szCs w:val="22"/>
        </w:rPr>
      </w:pPr>
      <w:r>
        <w:rPr>
          <w:rFonts w:hint="eastAsia" w:ascii="宋体" w:hAnsi="宋体" w:cs="宋体"/>
          <w:b/>
          <w:color w:val="000000"/>
          <w:sz w:val="22"/>
          <w:szCs w:val="22"/>
        </w:rPr>
        <w:t>(1)符合专业条件的供应商或者对招标文件作实质响应的供应商不足3家的；</w:t>
      </w:r>
    </w:p>
    <w:p>
      <w:pPr>
        <w:pStyle w:val="21"/>
        <w:snapToGrid w:val="0"/>
        <w:spacing w:line="360" w:lineRule="auto"/>
        <w:ind w:left="442" w:hanging="442"/>
        <w:rPr>
          <w:rFonts w:hint="eastAsia" w:ascii="宋体" w:hAnsi="宋体" w:cs="宋体"/>
          <w:b/>
          <w:color w:val="000000"/>
          <w:sz w:val="22"/>
          <w:szCs w:val="22"/>
        </w:rPr>
      </w:pPr>
      <w:r>
        <w:rPr>
          <w:rFonts w:hint="eastAsia" w:ascii="宋体" w:hAnsi="宋体" w:cs="宋体"/>
          <w:b/>
          <w:color w:val="000000"/>
          <w:sz w:val="22"/>
          <w:szCs w:val="22"/>
        </w:rPr>
        <w:t>(2)出现影响采购公正的违法、违规行为的；</w:t>
      </w:r>
    </w:p>
    <w:p>
      <w:pPr>
        <w:pStyle w:val="21"/>
        <w:snapToGrid w:val="0"/>
        <w:spacing w:line="360" w:lineRule="auto"/>
        <w:ind w:left="442" w:hanging="442"/>
        <w:rPr>
          <w:rFonts w:hint="eastAsia" w:ascii="宋体" w:hAnsi="宋体" w:cs="宋体"/>
          <w:b/>
          <w:color w:val="000000"/>
          <w:sz w:val="22"/>
          <w:szCs w:val="22"/>
        </w:rPr>
      </w:pPr>
      <w:r>
        <w:rPr>
          <w:rFonts w:hint="eastAsia" w:ascii="宋体" w:hAnsi="宋体" w:cs="宋体"/>
          <w:b/>
          <w:color w:val="000000"/>
          <w:sz w:val="22"/>
          <w:szCs w:val="22"/>
        </w:rPr>
        <w:t>(3)报价均超过预算，不能支付的；</w:t>
      </w:r>
    </w:p>
    <w:p>
      <w:pPr>
        <w:shd w:val="clear" w:color="auto" w:fill="FFFFFF"/>
        <w:snapToGrid w:val="0"/>
        <w:spacing w:line="360" w:lineRule="auto"/>
        <w:rPr>
          <w:rFonts w:hint="eastAsia" w:ascii="宋体" w:hAnsi="宋体" w:cs="宋体"/>
          <w:b/>
          <w:bCs/>
          <w:color w:val="000000"/>
          <w:sz w:val="22"/>
          <w:szCs w:val="22"/>
        </w:rPr>
      </w:pPr>
      <w:r>
        <w:rPr>
          <w:rFonts w:hint="eastAsia" w:ascii="宋体" w:hAnsi="宋体" w:cs="宋体"/>
          <w:b/>
          <w:color w:val="000000"/>
          <w:sz w:val="22"/>
          <w:szCs w:val="22"/>
        </w:rPr>
        <w:t>(4)因重大变故，采购任务取消的。</w:t>
      </w:r>
    </w:p>
    <w:p>
      <w:pPr>
        <w:pStyle w:val="7"/>
        <w:tabs>
          <w:tab w:val="left" w:pos="720"/>
          <w:tab w:val="clear" w:pos="3600"/>
        </w:tabs>
        <w:spacing w:before="0" w:after="0"/>
        <w:jc w:val="both"/>
        <w:rPr>
          <w:rFonts w:hint="eastAsia" w:ascii="宋体" w:hAnsi="宋体" w:eastAsia="宋体" w:cs="宋体"/>
          <w:sz w:val="22"/>
          <w:szCs w:val="22"/>
        </w:rPr>
      </w:pPr>
      <w:bookmarkStart w:id="102" w:name="_Toc30448"/>
      <w:r>
        <w:rPr>
          <w:rFonts w:hint="eastAsia" w:ascii="宋体" w:hAnsi="宋体" w:eastAsia="宋体" w:cs="宋体"/>
          <w:sz w:val="22"/>
          <w:szCs w:val="22"/>
        </w:rPr>
        <w:t>（十六）可中止电子交易活动的情形</w:t>
      </w:r>
      <w:bookmarkEnd w:id="102"/>
    </w:p>
    <w:p>
      <w:pPr>
        <w:spacing w:line="360" w:lineRule="auto"/>
        <w:ind w:firstLine="389" w:firstLineChars="176"/>
        <w:rPr>
          <w:rFonts w:hint="eastAsia" w:ascii="宋体" w:hAnsi="宋体" w:cs="宋体"/>
          <w:color w:val="000000"/>
          <w:sz w:val="22"/>
          <w:szCs w:val="22"/>
        </w:rPr>
      </w:pPr>
      <w:r>
        <w:rPr>
          <w:rFonts w:hint="eastAsia" w:ascii="宋体" w:hAnsi="宋体" w:cs="宋体"/>
          <w:b/>
          <w:color w:val="000000"/>
          <w:sz w:val="22"/>
          <w:szCs w:val="22"/>
        </w:rPr>
        <w:t>采购过程中出现以下情形，导致电子交易平台无法正常运行，或者无法保证电子交易的公平、公正和安全时，采购组织机构可中止电子交易活动：</w:t>
      </w:r>
    </w:p>
    <w:p>
      <w:pPr>
        <w:spacing w:line="360" w:lineRule="auto"/>
        <w:ind w:firstLine="387" w:firstLineChars="176"/>
        <w:rPr>
          <w:rFonts w:hint="eastAsia" w:ascii="宋体" w:hAnsi="宋体" w:cs="宋体"/>
          <w:color w:val="000000"/>
          <w:sz w:val="22"/>
          <w:szCs w:val="22"/>
        </w:rPr>
      </w:pPr>
      <w:r>
        <w:rPr>
          <w:rFonts w:hint="eastAsia" w:ascii="宋体" w:hAnsi="宋体" w:cs="宋体"/>
          <w:color w:val="000000"/>
          <w:sz w:val="22"/>
          <w:szCs w:val="22"/>
        </w:rPr>
        <w:t>1、电子交易平台发生故障而无法登录访问的；</w:t>
      </w:r>
    </w:p>
    <w:p>
      <w:pPr>
        <w:spacing w:line="360" w:lineRule="auto"/>
        <w:ind w:firstLine="387" w:firstLineChars="176"/>
        <w:rPr>
          <w:rFonts w:hint="eastAsia" w:ascii="宋体" w:hAnsi="宋体" w:cs="宋体"/>
          <w:color w:val="000000"/>
          <w:sz w:val="22"/>
          <w:szCs w:val="22"/>
        </w:rPr>
      </w:pPr>
      <w:r>
        <w:rPr>
          <w:rFonts w:hint="eastAsia" w:ascii="宋体" w:hAnsi="宋体" w:cs="宋体"/>
          <w:color w:val="000000"/>
          <w:sz w:val="22"/>
          <w:szCs w:val="22"/>
        </w:rPr>
        <w:t>2、电子交易平台应用或数据库出现错误，不能进行正常操作的；</w:t>
      </w:r>
    </w:p>
    <w:p>
      <w:pPr>
        <w:spacing w:line="360" w:lineRule="auto"/>
        <w:ind w:firstLine="387" w:firstLineChars="176"/>
        <w:rPr>
          <w:rFonts w:hint="eastAsia" w:ascii="宋体" w:hAnsi="宋体" w:cs="宋体"/>
          <w:color w:val="000000"/>
          <w:sz w:val="22"/>
          <w:szCs w:val="22"/>
        </w:rPr>
      </w:pPr>
      <w:r>
        <w:rPr>
          <w:rFonts w:hint="eastAsia" w:ascii="宋体" w:hAnsi="宋体" w:cs="宋体"/>
          <w:color w:val="000000"/>
          <w:sz w:val="22"/>
          <w:szCs w:val="22"/>
        </w:rPr>
        <w:t>3、电子交易平台发现严重安全漏洞，有潜在泄密危险的；</w:t>
      </w:r>
    </w:p>
    <w:p>
      <w:pPr>
        <w:spacing w:line="360" w:lineRule="auto"/>
        <w:ind w:firstLine="387" w:firstLineChars="176"/>
        <w:rPr>
          <w:rFonts w:hint="eastAsia" w:ascii="宋体" w:hAnsi="宋体" w:cs="宋体"/>
          <w:color w:val="000000"/>
          <w:sz w:val="22"/>
          <w:szCs w:val="22"/>
        </w:rPr>
      </w:pPr>
      <w:r>
        <w:rPr>
          <w:rFonts w:hint="eastAsia" w:ascii="宋体" w:hAnsi="宋体" w:cs="宋体"/>
          <w:color w:val="000000"/>
          <w:sz w:val="22"/>
          <w:szCs w:val="22"/>
        </w:rPr>
        <w:t>4、病毒发作导致不能进行正常操作的；</w:t>
      </w:r>
    </w:p>
    <w:p>
      <w:pPr>
        <w:spacing w:line="360" w:lineRule="auto"/>
        <w:ind w:firstLine="387" w:firstLineChars="176"/>
        <w:rPr>
          <w:rFonts w:hint="eastAsia" w:ascii="宋体" w:hAnsi="宋体" w:cs="宋体"/>
          <w:color w:val="000000"/>
          <w:sz w:val="22"/>
          <w:szCs w:val="22"/>
        </w:rPr>
      </w:pPr>
      <w:r>
        <w:rPr>
          <w:rFonts w:hint="eastAsia" w:ascii="宋体" w:hAnsi="宋体" w:cs="宋体"/>
          <w:color w:val="000000"/>
          <w:sz w:val="22"/>
          <w:szCs w:val="22"/>
        </w:rPr>
        <w:t>5、其他无法保证电子交易的公平、公正和安全的情况。</w:t>
      </w:r>
    </w:p>
    <w:p>
      <w:pPr>
        <w:spacing w:line="360" w:lineRule="auto"/>
        <w:ind w:firstLine="389" w:firstLineChars="176"/>
        <w:rPr>
          <w:rFonts w:hint="eastAsia" w:ascii="宋体" w:hAnsi="宋体" w:cs="宋体"/>
          <w:sz w:val="22"/>
          <w:szCs w:val="22"/>
        </w:rPr>
      </w:pPr>
      <w:r>
        <w:rPr>
          <w:rFonts w:hint="eastAsia" w:ascii="宋体" w:hAnsi="宋体" w:cs="宋体"/>
          <w:b/>
          <w:color w:val="000000"/>
          <w:sz w:val="22"/>
          <w:szCs w:val="22"/>
        </w:rPr>
        <w:t>出现前款规定情形，不影响采购公平、公正性的，采购组织机构可以待上述情形消除后继续组织电子交易活动；影响或可能影响采购公平、公正性的，应当重新采购。</w:t>
      </w:r>
    </w:p>
    <w:p>
      <w:pPr>
        <w:pStyle w:val="24"/>
        <w:adjustRightInd w:val="0"/>
        <w:snapToGrid w:val="0"/>
        <w:spacing w:line="360" w:lineRule="auto"/>
        <w:outlineLvl w:val="0"/>
        <w:rPr>
          <w:rFonts w:hint="eastAsia" w:hAnsi="宋体" w:cs="宋体"/>
          <w:b/>
          <w:bCs/>
          <w:sz w:val="22"/>
          <w:szCs w:val="22"/>
        </w:rPr>
      </w:pPr>
      <w:bookmarkStart w:id="103" w:name="_Toc16628"/>
      <w:bookmarkStart w:id="104" w:name="_Toc1604"/>
      <w:bookmarkStart w:id="105" w:name="_Toc32712"/>
      <w:bookmarkStart w:id="106" w:name="_Toc10887"/>
      <w:r>
        <w:rPr>
          <w:rFonts w:hint="eastAsia" w:hAnsi="宋体" w:cs="宋体"/>
          <w:b/>
          <w:bCs/>
          <w:sz w:val="22"/>
          <w:szCs w:val="22"/>
        </w:rPr>
        <w:t>七、授予合同</w:t>
      </w:r>
      <w:bookmarkEnd w:id="103"/>
      <w:bookmarkEnd w:id="104"/>
      <w:bookmarkEnd w:id="105"/>
      <w:bookmarkEnd w:id="106"/>
    </w:p>
    <w:p>
      <w:pPr>
        <w:pStyle w:val="24"/>
        <w:adjustRightInd w:val="0"/>
        <w:snapToGrid w:val="0"/>
        <w:spacing w:line="360" w:lineRule="auto"/>
        <w:rPr>
          <w:rFonts w:hint="eastAsia" w:hAnsi="宋体" w:cs="宋体"/>
          <w:sz w:val="22"/>
          <w:szCs w:val="22"/>
        </w:rPr>
      </w:pPr>
      <w:r>
        <w:rPr>
          <w:rFonts w:hint="eastAsia" w:hAnsi="宋体" w:cs="宋体"/>
          <w:sz w:val="22"/>
          <w:szCs w:val="22"/>
        </w:rPr>
        <w:t xml:space="preserve">   1、决标</w:t>
      </w:r>
    </w:p>
    <w:p>
      <w:pPr>
        <w:pStyle w:val="24"/>
        <w:adjustRightInd w:val="0"/>
        <w:snapToGrid w:val="0"/>
        <w:spacing w:line="360" w:lineRule="auto"/>
        <w:rPr>
          <w:rFonts w:hint="eastAsia" w:hAnsi="宋体" w:cs="宋体"/>
          <w:sz w:val="22"/>
          <w:szCs w:val="22"/>
        </w:rPr>
      </w:pPr>
      <w:r>
        <w:rPr>
          <w:rFonts w:hint="eastAsia" w:hAnsi="宋体" w:cs="宋体"/>
          <w:sz w:val="22"/>
          <w:szCs w:val="22"/>
        </w:rPr>
        <w:t xml:space="preserve">    评标结束后，评标委员会按照招标文件确定的评标办法，根据采购人授权直接确定中标供应商。</w:t>
      </w:r>
    </w:p>
    <w:p>
      <w:pPr>
        <w:pStyle w:val="24"/>
        <w:adjustRightInd w:val="0"/>
        <w:snapToGrid w:val="0"/>
        <w:spacing w:line="360" w:lineRule="auto"/>
        <w:rPr>
          <w:rFonts w:hint="eastAsia" w:hAnsi="宋体" w:cs="宋体"/>
          <w:sz w:val="22"/>
          <w:szCs w:val="22"/>
        </w:rPr>
      </w:pPr>
      <w:r>
        <w:rPr>
          <w:rFonts w:hint="eastAsia" w:hAnsi="宋体" w:cs="宋体"/>
          <w:sz w:val="22"/>
          <w:szCs w:val="22"/>
        </w:rPr>
        <w:t xml:space="preserve">    </w:t>
      </w:r>
      <w:r>
        <w:rPr>
          <w:rFonts w:hint="eastAsia" w:hAnsi="宋体" w:cs="宋体"/>
          <w:sz w:val="22"/>
          <w:szCs w:val="22"/>
          <w:u w:val="single"/>
        </w:rPr>
        <w:t>采购人将把中标通知书授予最佳投标者，但最低投标报价不是中标的唯一保证。</w:t>
      </w:r>
    </w:p>
    <w:p>
      <w:pPr>
        <w:pStyle w:val="24"/>
        <w:adjustRightInd w:val="0"/>
        <w:snapToGrid w:val="0"/>
        <w:spacing w:line="360" w:lineRule="auto"/>
        <w:ind w:firstLine="435" w:firstLineChars="198"/>
        <w:rPr>
          <w:rFonts w:hint="eastAsia" w:hAnsi="宋体" w:cs="宋体"/>
          <w:sz w:val="22"/>
          <w:szCs w:val="22"/>
        </w:rPr>
      </w:pPr>
      <w:r>
        <w:rPr>
          <w:rFonts w:hint="eastAsia" w:hAnsi="宋体" w:cs="宋体"/>
          <w:sz w:val="22"/>
          <w:szCs w:val="22"/>
        </w:rPr>
        <w:t>2、中标通知书</w:t>
      </w:r>
    </w:p>
    <w:p>
      <w:pPr>
        <w:pStyle w:val="24"/>
        <w:adjustRightInd w:val="0"/>
        <w:snapToGrid w:val="0"/>
        <w:spacing w:line="360" w:lineRule="auto"/>
        <w:ind w:firstLine="435" w:firstLineChars="198"/>
        <w:rPr>
          <w:rFonts w:hint="eastAsia" w:hAnsi="宋体" w:cs="宋体"/>
          <w:sz w:val="22"/>
          <w:szCs w:val="22"/>
        </w:rPr>
      </w:pPr>
      <w:r>
        <w:rPr>
          <w:rFonts w:hint="eastAsia" w:hAnsi="宋体" w:cs="宋体"/>
          <w:sz w:val="22"/>
          <w:szCs w:val="22"/>
        </w:rPr>
        <w:t>2.1开标结束后经采购人出具中标供应商确认书后招标代理机构发出中标通知书并在浙江省政府采购网和苍南县公共资源交易中心网站上公示中标结果，公示期为七个工作日。</w:t>
      </w:r>
    </w:p>
    <w:p>
      <w:pPr>
        <w:adjustRightInd w:val="0"/>
        <w:snapToGrid w:val="0"/>
        <w:spacing w:line="360" w:lineRule="auto"/>
        <w:ind w:firstLine="440" w:firstLineChars="200"/>
        <w:rPr>
          <w:rFonts w:hint="eastAsia" w:ascii="宋体" w:hAnsi="宋体" w:cs="宋体"/>
          <w:sz w:val="22"/>
          <w:szCs w:val="22"/>
        </w:rPr>
      </w:pPr>
      <w:r>
        <w:rPr>
          <w:rFonts w:hint="eastAsia" w:ascii="宋体" w:hAnsi="宋体" w:cs="宋体"/>
          <w:sz w:val="22"/>
          <w:szCs w:val="22"/>
        </w:rPr>
        <w:t>2.2中标通知书对采购人和中标供应商具有法律约束力。中标通知书发出后，采购人改变中标结果或者中标供应商放弃中标的，应当承担法律责任。</w:t>
      </w:r>
    </w:p>
    <w:p>
      <w:pPr>
        <w:adjustRightInd w:val="0"/>
        <w:snapToGrid w:val="0"/>
        <w:spacing w:line="360" w:lineRule="auto"/>
        <w:rPr>
          <w:rFonts w:hint="eastAsia" w:ascii="宋体" w:hAnsi="宋体" w:cs="宋体"/>
          <w:sz w:val="22"/>
          <w:szCs w:val="22"/>
        </w:rPr>
      </w:pPr>
      <w:r>
        <w:rPr>
          <w:rFonts w:hint="eastAsia" w:ascii="宋体" w:hAnsi="宋体" w:cs="宋体"/>
          <w:sz w:val="22"/>
          <w:szCs w:val="22"/>
        </w:rPr>
        <w:t xml:space="preserve">    3、</w:t>
      </w:r>
      <w:r>
        <w:rPr>
          <w:rFonts w:hint="eastAsia" w:ascii="宋体" w:hAnsi="宋体" w:cs="宋体"/>
          <w:b/>
          <w:bCs/>
          <w:sz w:val="22"/>
          <w:szCs w:val="22"/>
        </w:rPr>
        <w:t>评标委员会对未中标的供应商不作落标原因解释。</w:t>
      </w:r>
    </w:p>
    <w:p>
      <w:pPr>
        <w:pStyle w:val="24"/>
        <w:adjustRightInd w:val="0"/>
        <w:snapToGrid w:val="0"/>
        <w:spacing w:line="360" w:lineRule="auto"/>
        <w:rPr>
          <w:rFonts w:hint="eastAsia" w:hAnsi="宋体" w:cs="宋体"/>
          <w:sz w:val="22"/>
          <w:szCs w:val="22"/>
        </w:rPr>
      </w:pPr>
      <w:r>
        <w:rPr>
          <w:rFonts w:hint="eastAsia" w:hAnsi="宋体" w:cs="宋体"/>
          <w:sz w:val="22"/>
          <w:szCs w:val="22"/>
        </w:rPr>
        <w:t xml:space="preserve">    4、签订合同</w:t>
      </w:r>
    </w:p>
    <w:p>
      <w:pPr>
        <w:pStyle w:val="24"/>
        <w:adjustRightInd w:val="0"/>
        <w:snapToGrid w:val="0"/>
        <w:spacing w:line="360" w:lineRule="auto"/>
        <w:ind w:firstLine="480"/>
        <w:rPr>
          <w:rFonts w:hint="eastAsia" w:hAnsi="宋体" w:cs="宋体"/>
          <w:sz w:val="22"/>
          <w:szCs w:val="22"/>
        </w:rPr>
      </w:pPr>
      <w:r>
        <w:rPr>
          <w:rFonts w:hint="eastAsia" w:hAnsi="宋体" w:cs="宋体"/>
          <w:sz w:val="22"/>
          <w:szCs w:val="22"/>
        </w:rPr>
        <w:t>4.1中标公示发出后，中标供应商主动联系招标代理机构领取中标通知书，并在七个工作日公示期后无质疑中标结果后到采购人处与采购人签订合同。中标供应商未经采购人许可，在规定时间内未到采购人处与采购人签订合同，则视为拒签合同。</w:t>
      </w:r>
    </w:p>
    <w:p>
      <w:pPr>
        <w:pStyle w:val="24"/>
        <w:adjustRightInd w:val="0"/>
        <w:snapToGrid w:val="0"/>
        <w:spacing w:line="360" w:lineRule="auto"/>
        <w:rPr>
          <w:rFonts w:hint="eastAsia" w:hAnsi="宋体" w:cs="宋体"/>
          <w:sz w:val="22"/>
          <w:szCs w:val="22"/>
        </w:rPr>
      </w:pPr>
      <w:r>
        <w:rPr>
          <w:rFonts w:hint="eastAsia" w:hAnsi="宋体" w:cs="宋体"/>
          <w:sz w:val="22"/>
          <w:szCs w:val="22"/>
        </w:rPr>
        <w:t xml:space="preserve">    4.2招标文件、中标供应商的投标文件及投标修改文件、评标过程中有关澄清文件及经双方签字的询标纪要（承诺）和中标通知书均作为合同附件。</w:t>
      </w:r>
    </w:p>
    <w:p>
      <w:pPr>
        <w:pStyle w:val="24"/>
        <w:adjustRightInd w:val="0"/>
        <w:snapToGrid w:val="0"/>
        <w:spacing w:line="360" w:lineRule="auto"/>
        <w:rPr>
          <w:rFonts w:hint="eastAsia" w:hAnsi="宋体" w:cs="宋体"/>
          <w:b/>
          <w:bCs/>
          <w:sz w:val="22"/>
          <w:szCs w:val="22"/>
        </w:rPr>
      </w:pPr>
      <w:r>
        <w:rPr>
          <w:rFonts w:hint="eastAsia" w:hAnsi="宋体" w:cs="宋体"/>
          <w:b/>
          <w:bCs/>
          <w:sz w:val="22"/>
          <w:szCs w:val="22"/>
        </w:rPr>
        <w:t xml:space="preserve">    4.3 拒签合同的责任</w:t>
      </w:r>
    </w:p>
    <w:p>
      <w:pPr>
        <w:pStyle w:val="24"/>
        <w:adjustRightInd w:val="0"/>
        <w:snapToGrid w:val="0"/>
        <w:spacing w:line="360" w:lineRule="auto"/>
        <w:rPr>
          <w:rFonts w:hint="eastAsia" w:hAnsi="宋体" w:cs="宋体"/>
          <w:b/>
          <w:bCs/>
          <w:sz w:val="22"/>
          <w:szCs w:val="22"/>
        </w:rPr>
      </w:pPr>
      <w:r>
        <w:rPr>
          <w:rFonts w:hint="eastAsia" w:hAnsi="宋体" w:cs="宋体"/>
          <w:b/>
          <w:bCs/>
          <w:sz w:val="22"/>
          <w:szCs w:val="22"/>
        </w:rPr>
        <w:t xml:space="preserve">    中标供应商接到中标通知书后，在规定时间内借故否认已经承诺的条件而拒签合同或拒交履约保证金者，以投标违约处理，其投标保证金不予退回，并赔偿采购人由此造成的直接经济损失；采购人重新组织招标的，所需费用由原中标供应商承担。</w:t>
      </w:r>
    </w:p>
    <w:p>
      <w:pPr>
        <w:pStyle w:val="24"/>
        <w:adjustRightInd w:val="0"/>
        <w:snapToGrid w:val="0"/>
        <w:spacing w:line="360" w:lineRule="auto"/>
        <w:rPr>
          <w:rFonts w:hint="eastAsia" w:hAnsi="宋体" w:cs="宋体"/>
          <w:b/>
          <w:bCs/>
          <w:sz w:val="22"/>
          <w:szCs w:val="22"/>
        </w:rPr>
      </w:pPr>
      <w:r>
        <w:rPr>
          <w:rFonts w:hint="eastAsia" w:hAnsi="宋体" w:cs="宋体"/>
          <w:b/>
          <w:bCs/>
          <w:sz w:val="22"/>
          <w:szCs w:val="22"/>
        </w:rPr>
        <w:t xml:space="preserve">    5、招标代理费</w:t>
      </w:r>
    </w:p>
    <w:p>
      <w:pPr>
        <w:pStyle w:val="24"/>
        <w:adjustRightInd w:val="0"/>
        <w:snapToGrid w:val="0"/>
        <w:spacing w:line="360" w:lineRule="auto"/>
        <w:ind w:firstLine="440" w:firstLineChars="200"/>
        <w:rPr>
          <w:rFonts w:hint="eastAsia" w:hAnsi="宋体" w:cs="宋体"/>
          <w:b w:val="0"/>
          <w:bCs w:val="0"/>
          <w:sz w:val="22"/>
          <w:szCs w:val="22"/>
        </w:rPr>
      </w:pPr>
      <w:r>
        <w:rPr>
          <w:rFonts w:hint="eastAsia" w:hAnsi="宋体" w:cs="宋体"/>
          <w:b w:val="0"/>
          <w:bCs w:val="0"/>
          <w:sz w:val="22"/>
          <w:szCs w:val="22"/>
        </w:rPr>
        <w:t>5.1中标供应商在领取中标通知书时须向招标代理机构支付采购代理服务费，收费标准按计价格[2002]1980号文件收费标准</w:t>
      </w:r>
      <w:r>
        <w:rPr>
          <w:rFonts w:hint="eastAsia" w:hAnsi="宋体" w:cs="宋体"/>
          <w:b w:val="0"/>
          <w:bCs w:val="0"/>
          <w:sz w:val="22"/>
          <w:szCs w:val="22"/>
          <w:lang w:val="en-US" w:eastAsia="zh-CN"/>
        </w:rPr>
        <w:t>中</w:t>
      </w:r>
      <w:r>
        <w:rPr>
          <w:rFonts w:hint="eastAsia" w:hAnsi="宋体" w:cs="宋体"/>
          <w:b w:val="0"/>
          <w:bCs w:val="0"/>
          <w:sz w:val="22"/>
          <w:szCs w:val="22"/>
        </w:rPr>
        <w:t>的</w:t>
      </w:r>
      <w:r>
        <w:rPr>
          <w:rFonts w:hint="eastAsia" w:hAnsi="宋体" w:cs="宋体"/>
          <w:b w:val="0"/>
          <w:bCs w:val="0"/>
          <w:sz w:val="22"/>
          <w:szCs w:val="22"/>
          <w:lang w:val="en-US" w:eastAsia="zh-CN"/>
        </w:rPr>
        <w:t>货物70</w:t>
      </w:r>
      <w:r>
        <w:rPr>
          <w:rFonts w:hint="eastAsia" w:hAnsi="宋体" w:cs="宋体"/>
          <w:b w:val="0"/>
          <w:bCs w:val="0"/>
          <w:sz w:val="22"/>
          <w:szCs w:val="22"/>
        </w:rPr>
        <w:t>%计取，招标代理服务费包含在投标总价中。</w:t>
      </w:r>
    </w:p>
    <w:p>
      <w:pPr>
        <w:pStyle w:val="24"/>
        <w:adjustRightInd w:val="0"/>
        <w:snapToGrid w:val="0"/>
        <w:spacing w:line="360" w:lineRule="auto"/>
        <w:rPr>
          <w:rFonts w:hint="eastAsia" w:hAnsi="宋体" w:cs="宋体"/>
          <w:b w:val="0"/>
          <w:bCs w:val="0"/>
          <w:sz w:val="22"/>
          <w:szCs w:val="22"/>
        </w:rPr>
      </w:pPr>
      <w:r>
        <w:rPr>
          <w:rFonts w:hint="eastAsia" w:hAnsi="宋体" w:cs="宋体"/>
          <w:b w:val="0"/>
          <w:bCs w:val="0"/>
          <w:sz w:val="22"/>
          <w:szCs w:val="22"/>
        </w:rPr>
        <w:t>开户银行：浙江苍南农村商业银行股份有限公司营业部</w:t>
      </w:r>
    </w:p>
    <w:p>
      <w:pPr>
        <w:pStyle w:val="24"/>
        <w:adjustRightInd w:val="0"/>
        <w:snapToGrid w:val="0"/>
        <w:spacing w:line="360" w:lineRule="auto"/>
        <w:rPr>
          <w:rFonts w:hint="eastAsia" w:hAnsi="宋体" w:cs="宋体"/>
          <w:b w:val="0"/>
          <w:bCs w:val="0"/>
          <w:sz w:val="22"/>
          <w:szCs w:val="22"/>
        </w:rPr>
      </w:pPr>
      <w:r>
        <w:rPr>
          <w:rFonts w:hint="eastAsia" w:hAnsi="宋体" w:cs="宋体"/>
          <w:b w:val="0"/>
          <w:bCs w:val="0"/>
          <w:sz w:val="22"/>
          <w:szCs w:val="22"/>
        </w:rPr>
        <w:t xml:space="preserve">开户名称：杭州华旗招标代理有限公司温州市分公司         </w:t>
      </w:r>
    </w:p>
    <w:p>
      <w:pPr>
        <w:pStyle w:val="24"/>
        <w:adjustRightInd w:val="0"/>
        <w:snapToGrid w:val="0"/>
        <w:spacing w:line="360" w:lineRule="auto"/>
        <w:rPr>
          <w:rFonts w:hint="eastAsia" w:hAnsi="宋体" w:cs="宋体"/>
          <w:b w:val="0"/>
          <w:bCs w:val="0"/>
          <w:sz w:val="22"/>
          <w:szCs w:val="22"/>
        </w:rPr>
      </w:pPr>
      <w:r>
        <w:rPr>
          <w:rFonts w:hint="eastAsia" w:hAnsi="宋体" w:cs="宋体"/>
          <w:b w:val="0"/>
          <w:bCs w:val="0"/>
          <w:sz w:val="22"/>
          <w:szCs w:val="22"/>
        </w:rPr>
        <w:t>开户帐号：201000217130183</w:t>
      </w:r>
    </w:p>
    <w:bookmarkEnd w:id="36"/>
    <w:p>
      <w:pPr>
        <w:pStyle w:val="5"/>
        <w:spacing w:before="0" w:after="0"/>
        <w:jc w:val="center"/>
        <w:rPr>
          <w:rFonts w:hint="eastAsia" w:ascii="宋体" w:hAnsi="宋体" w:eastAsia="宋体" w:cs="宋体"/>
          <w:b/>
          <w:bCs/>
          <w:sz w:val="22"/>
          <w:szCs w:val="22"/>
        </w:rPr>
      </w:pPr>
      <w:bookmarkStart w:id="107" w:name="_Toc24776"/>
      <w:bookmarkStart w:id="108" w:name="_Toc18628"/>
    </w:p>
    <w:p>
      <w:pPr>
        <w:rPr>
          <w:rFonts w:hint="eastAsia" w:ascii="宋体" w:hAnsi="宋体" w:cs="宋体"/>
          <w:b/>
          <w:bCs/>
          <w:sz w:val="22"/>
          <w:szCs w:val="22"/>
        </w:rPr>
      </w:pPr>
    </w:p>
    <w:p>
      <w:pPr>
        <w:pStyle w:val="127"/>
        <w:rPr>
          <w:rFonts w:hint="eastAsia" w:ascii="宋体" w:hAnsi="宋体" w:cs="宋体"/>
          <w:b/>
          <w:bCs/>
          <w:sz w:val="22"/>
          <w:szCs w:val="22"/>
        </w:rPr>
      </w:pPr>
    </w:p>
    <w:p>
      <w:pPr>
        <w:pStyle w:val="2"/>
        <w:rPr>
          <w:rFonts w:hint="eastAsia" w:ascii="宋体" w:hAnsi="宋体" w:cs="宋体"/>
          <w:b/>
          <w:bCs/>
          <w:sz w:val="22"/>
          <w:szCs w:val="22"/>
        </w:rPr>
      </w:pPr>
    </w:p>
    <w:p>
      <w:pPr>
        <w:pStyle w:val="3"/>
        <w:ind w:firstLine="221"/>
        <w:rPr>
          <w:rFonts w:hint="eastAsia" w:ascii="宋体" w:hAnsi="宋体" w:cs="宋体"/>
          <w:b/>
          <w:bCs/>
          <w:sz w:val="22"/>
          <w:szCs w:val="22"/>
        </w:rPr>
      </w:pPr>
    </w:p>
    <w:p>
      <w:pPr>
        <w:pStyle w:val="4"/>
        <w:ind w:left="0"/>
        <w:rPr>
          <w:rFonts w:hint="eastAsia" w:ascii="宋体" w:hAnsi="宋体" w:cs="宋体"/>
          <w:b/>
          <w:bCs/>
          <w:sz w:val="22"/>
          <w:szCs w:val="22"/>
        </w:rPr>
      </w:pPr>
    </w:p>
    <w:p>
      <w:pPr>
        <w:rPr>
          <w:rFonts w:hint="eastAsia"/>
        </w:rPr>
      </w:pPr>
    </w:p>
    <w:p>
      <w:pPr>
        <w:pStyle w:val="5"/>
        <w:spacing w:before="0" w:after="0"/>
        <w:ind w:firstLine="2962" w:firstLineChars="900"/>
        <w:jc w:val="both"/>
        <w:rPr>
          <w:rFonts w:hint="eastAsia" w:ascii="宋体" w:hAnsi="宋体" w:eastAsia="宋体" w:cs="宋体"/>
          <w:b/>
          <w:bCs/>
          <w:sz w:val="28"/>
          <w:szCs w:val="28"/>
        </w:rPr>
      </w:pPr>
      <w:r>
        <w:rPr>
          <w:rFonts w:hint="eastAsia" w:ascii="宋体" w:hAnsi="宋体" w:eastAsia="宋体" w:cs="宋体"/>
          <w:b/>
          <w:bCs/>
          <w:sz w:val="28"/>
          <w:szCs w:val="28"/>
        </w:rPr>
        <w:br w:type="page"/>
      </w:r>
      <w:r>
        <w:rPr>
          <w:rFonts w:hint="eastAsia" w:ascii="宋体" w:hAnsi="宋体" w:eastAsia="宋体" w:cs="宋体"/>
          <w:b/>
          <w:bCs/>
          <w:sz w:val="28"/>
          <w:szCs w:val="28"/>
        </w:rPr>
        <w:t>第四部分、合同格式（参考）</w:t>
      </w:r>
      <w:bookmarkEnd w:id="107"/>
      <w:bookmarkEnd w:id="108"/>
    </w:p>
    <w:p>
      <w:pPr>
        <w:autoSpaceDE w:val="0"/>
        <w:autoSpaceDN w:val="0"/>
        <w:spacing w:line="460" w:lineRule="exact"/>
        <w:textAlignment w:val="bottom"/>
        <w:rPr>
          <w:rFonts w:hint="eastAsia" w:ascii="宋体" w:hAnsi="宋体" w:cs="宋体"/>
          <w:b/>
          <w:sz w:val="22"/>
          <w:szCs w:val="22"/>
        </w:rPr>
      </w:pPr>
      <w:bookmarkStart w:id="109" w:name="_Toc16486"/>
      <w:r>
        <w:rPr>
          <w:rFonts w:hint="eastAsia" w:ascii="宋体" w:hAnsi="宋体" w:cs="宋体"/>
          <w:b/>
          <w:sz w:val="22"/>
          <w:szCs w:val="22"/>
        </w:rPr>
        <w:t>注：该合同样本仅做参考，中标后，以采购人与供应商签订的正式合同为准。</w:t>
      </w:r>
    </w:p>
    <w:p>
      <w:pPr>
        <w:widowControl/>
        <w:snapToGrid w:val="0"/>
        <w:spacing w:line="420" w:lineRule="atLeast"/>
        <w:jc w:val="center"/>
        <w:rPr>
          <w:rFonts w:hint="eastAsia" w:ascii="宋体" w:hAnsi="宋体" w:cs="宋体"/>
          <w:color w:val="000000"/>
          <w:sz w:val="22"/>
          <w:szCs w:val="22"/>
        </w:rPr>
      </w:pPr>
      <w:r>
        <w:rPr>
          <w:rFonts w:hint="eastAsia" w:ascii="宋体" w:hAnsi="宋体" w:cs="宋体"/>
          <w:color w:val="000000"/>
          <w:sz w:val="22"/>
          <w:szCs w:val="22"/>
        </w:rPr>
        <w:t xml:space="preserve">  </w:t>
      </w:r>
    </w:p>
    <w:p>
      <w:pPr>
        <w:widowControl/>
        <w:snapToGrid w:val="0"/>
        <w:spacing w:line="420" w:lineRule="atLeast"/>
        <w:jc w:val="center"/>
        <w:rPr>
          <w:rFonts w:ascii="宋体" w:hAnsi="宋体" w:cs="宋体"/>
          <w:sz w:val="52"/>
          <w:szCs w:val="52"/>
        </w:rPr>
      </w:pPr>
      <w:r>
        <w:rPr>
          <w:rFonts w:hint="eastAsia" w:ascii="宋体" w:hAnsi="宋体" w:cs="宋体"/>
          <w:sz w:val="52"/>
          <w:szCs w:val="52"/>
        </w:rPr>
        <w:t>采  购  合  同</w:t>
      </w:r>
    </w:p>
    <w:p>
      <w:pPr>
        <w:widowControl/>
        <w:snapToGrid w:val="0"/>
        <w:spacing w:line="360" w:lineRule="auto"/>
        <w:jc w:val="left"/>
        <w:rPr>
          <w:rFonts w:ascii="宋体" w:hAnsi="宋体" w:cs="宋体"/>
          <w:sz w:val="32"/>
          <w:szCs w:val="32"/>
        </w:rPr>
      </w:pPr>
    </w:p>
    <w:p>
      <w:pPr>
        <w:widowControl/>
        <w:snapToGrid w:val="0"/>
        <w:spacing w:line="360" w:lineRule="auto"/>
        <w:jc w:val="left"/>
        <w:rPr>
          <w:rFonts w:ascii="宋体" w:hAnsi="宋体" w:cs="宋体"/>
          <w:sz w:val="28"/>
          <w:szCs w:val="28"/>
        </w:rPr>
      </w:pPr>
    </w:p>
    <w:p>
      <w:pPr>
        <w:widowControl/>
        <w:snapToGrid w:val="0"/>
        <w:spacing w:line="360" w:lineRule="auto"/>
        <w:jc w:val="left"/>
        <w:rPr>
          <w:rFonts w:ascii="宋体" w:hAnsi="宋体" w:cs="宋体"/>
          <w:b/>
          <w:sz w:val="28"/>
          <w:szCs w:val="28"/>
        </w:rPr>
      </w:pPr>
      <w:r>
        <w:rPr>
          <w:rFonts w:hint="eastAsia" w:ascii="宋体" w:hAnsi="宋体" w:cs="宋体"/>
          <w:sz w:val="28"/>
          <w:szCs w:val="28"/>
        </w:rPr>
        <w:t xml:space="preserve">项 目 名 称 ： 苍南县公安局**数据中心机房 </w:t>
      </w:r>
    </w:p>
    <w:p>
      <w:pPr>
        <w:pStyle w:val="127"/>
        <w:rPr>
          <w:sz w:val="28"/>
          <w:szCs w:val="28"/>
        </w:rPr>
      </w:pPr>
    </w:p>
    <w:p>
      <w:pPr>
        <w:widowControl/>
        <w:snapToGrid w:val="0"/>
        <w:spacing w:line="720" w:lineRule="auto"/>
        <w:jc w:val="left"/>
        <w:rPr>
          <w:rFonts w:ascii="宋体" w:hAnsi="宋体" w:cs="宋体"/>
          <w:sz w:val="28"/>
          <w:szCs w:val="28"/>
        </w:rPr>
      </w:pPr>
      <w:r>
        <w:rPr>
          <w:rFonts w:hint="eastAsia" w:ascii="宋体" w:hAnsi="宋体" w:cs="宋体"/>
          <w:sz w:val="28"/>
          <w:szCs w:val="28"/>
        </w:rPr>
        <w:t>甲方（盖章）：　　　　苍南县公安局</w:t>
      </w:r>
    </w:p>
    <w:p>
      <w:pPr>
        <w:widowControl/>
        <w:snapToGrid w:val="0"/>
        <w:spacing w:line="720" w:lineRule="auto"/>
        <w:jc w:val="left"/>
        <w:rPr>
          <w:rFonts w:ascii="宋体" w:hAnsi="宋体" w:cs="宋体"/>
          <w:sz w:val="28"/>
          <w:szCs w:val="28"/>
        </w:rPr>
      </w:pPr>
      <w:r>
        <w:rPr>
          <w:rFonts w:hint="eastAsia" w:ascii="宋体" w:hAnsi="宋体" w:cs="宋体"/>
          <w:sz w:val="28"/>
          <w:szCs w:val="28"/>
        </w:rPr>
        <w:t>乙方（盖章）：</w:t>
      </w:r>
    </w:p>
    <w:p>
      <w:pPr>
        <w:widowControl/>
        <w:snapToGrid w:val="0"/>
        <w:spacing w:line="720" w:lineRule="auto"/>
        <w:jc w:val="left"/>
        <w:rPr>
          <w:rFonts w:ascii="宋体" w:hAnsi="宋体" w:cs="宋体"/>
          <w:sz w:val="28"/>
          <w:szCs w:val="28"/>
        </w:rPr>
      </w:pPr>
      <w:r>
        <w:rPr>
          <w:rFonts w:hint="eastAsia" w:ascii="宋体" w:hAnsi="宋体" w:cs="宋体"/>
          <w:sz w:val="28"/>
          <w:szCs w:val="28"/>
        </w:rPr>
        <w:t xml:space="preserve">签 署 时 间 ：       年       月       日 </w:t>
      </w:r>
    </w:p>
    <w:p>
      <w:pPr>
        <w:snapToGrid w:val="0"/>
        <w:spacing w:line="440" w:lineRule="atLeast"/>
        <w:rPr>
          <w:rFonts w:ascii="宋体" w:hAnsi="宋体" w:cs="宋体"/>
          <w:b/>
          <w:sz w:val="28"/>
          <w:szCs w:val="28"/>
        </w:rPr>
      </w:pPr>
      <w:r>
        <w:rPr>
          <w:rFonts w:hint="eastAsia" w:ascii="宋体" w:hAnsi="宋体" w:cs="宋体"/>
          <w:sz w:val="28"/>
          <w:szCs w:val="28"/>
        </w:rPr>
        <w:t>签 署 地 点 ：            苍南县 　　　　</w:t>
      </w:r>
    </w:p>
    <w:p>
      <w:pPr>
        <w:spacing w:line="360" w:lineRule="auto"/>
        <w:rPr>
          <w:rFonts w:ascii="宋体" w:hAnsi="宋体" w:cs="宋体"/>
          <w:color w:val="000000"/>
          <w:sz w:val="22"/>
          <w:szCs w:val="22"/>
        </w:rPr>
      </w:pPr>
    </w:p>
    <w:p>
      <w:pPr>
        <w:spacing w:line="360" w:lineRule="auto"/>
        <w:rPr>
          <w:rFonts w:ascii="宋体" w:hAnsi="宋体" w:cs="宋体"/>
          <w:color w:val="000000"/>
          <w:sz w:val="22"/>
          <w:szCs w:val="22"/>
        </w:rPr>
      </w:pPr>
    </w:p>
    <w:p>
      <w:pPr>
        <w:spacing w:line="360" w:lineRule="auto"/>
        <w:rPr>
          <w:rFonts w:ascii="宋体" w:hAnsi="宋体" w:cs="宋体"/>
          <w:color w:val="000000"/>
          <w:sz w:val="22"/>
          <w:szCs w:val="22"/>
        </w:rPr>
      </w:pPr>
    </w:p>
    <w:p>
      <w:pPr>
        <w:pStyle w:val="2"/>
        <w:rPr>
          <w:rFonts w:ascii="宋体" w:hAnsi="宋体" w:cs="宋体"/>
          <w:color w:val="000000"/>
          <w:sz w:val="22"/>
          <w:szCs w:val="22"/>
        </w:rPr>
      </w:pPr>
    </w:p>
    <w:p>
      <w:pPr>
        <w:pStyle w:val="3"/>
        <w:ind w:firstLine="220"/>
        <w:rPr>
          <w:rFonts w:ascii="宋体" w:hAnsi="宋体" w:cs="宋体"/>
          <w:color w:val="000000"/>
          <w:sz w:val="22"/>
          <w:szCs w:val="22"/>
        </w:rPr>
      </w:pPr>
    </w:p>
    <w:p>
      <w:pPr>
        <w:pStyle w:val="4"/>
        <w:rPr>
          <w:rFonts w:ascii="宋体" w:hAnsi="宋体" w:cs="宋体"/>
          <w:color w:val="000000"/>
          <w:sz w:val="22"/>
          <w:szCs w:val="22"/>
        </w:rPr>
      </w:pPr>
    </w:p>
    <w:p>
      <w:pPr>
        <w:rPr>
          <w:rFonts w:ascii="宋体" w:hAnsi="宋体" w:cs="宋体"/>
          <w:color w:val="000000"/>
          <w:sz w:val="22"/>
          <w:szCs w:val="22"/>
        </w:rPr>
      </w:pPr>
    </w:p>
    <w:p>
      <w:pPr>
        <w:pStyle w:val="2"/>
        <w:rPr>
          <w:rFonts w:ascii="宋体" w:hAnsi="宋体" w:cs="宋体"/>
          <w:color w:val="000000"/>
          <w:sz w:val="22"/>
          <w:szCs w:val="22"/>
        </w:rPr>
      </w:pPr>
    </w:p>
    <w:p>
      <w:pPr>
        <w:pStyle w:val="3"/>
        <w:ind w:firstLine="220"/>
        <w:rPr>
          <w:rFonts w:ascii="宋体" w:hAnsi="宋体" w:cs="宋体"/>
          <w:color w:val="000000"/>
          <w:sz w:val="22"/>
          <w:szCs w:val="22"/>
        </w:rPr>
      </w:pPr>
    </w:p>
    <w:p>
      <w:pPr>
        <w:pStyle w:val="4"/>
      </w:pPr>
    </w:p>
    <w:p/>
    <w:p>
      <w:pPr>
        <w:pStyle w:val="2"/>
      </w:pPr>
    </w:p>
    <w:p>
      <w:pPr>
        <w:pStyle w:val="2"/>
      </w:pPr>
    </w:p>
    <w:p>
      <w:pPr>
        <w:pStyle w:val="2"/>
      </w:pPr>
    </w:p>
    <w:p>
      <w:pPr>
        <w:pStyle w:val="2"/>
      </w:pPr>
    </w:p>
    <w:p>
      <w:pPr>
        <w:pStyle w:val="4"/>
        <w:rPr>
          <w:rFonts w:ascii="宋体" w:hAnsi="宋体" w:cs="宋体"/>
          <w:color w:val="000000"/>
          <w:sz w:val="22"/>
          <w:szCs w:val="22"/>
        </w:rPr>
      </w:pPr>
    </w:p>
    <w:p>
      <w:pPr>
        <w:rPr>
          <w:rFonts w:ascii="宋体" w:hAnsi="宋体" w:cs="宋体"/>
          <w:color w:val="000000"/>
          <w:sz w:val="22"/>
          <w:szCs w:val="22"/>
        </w:rPr>
      </w:pPr>
    </w:p>
    <w:p>
      <w:pPr>
        <w:pStyle w:val="2"/>
        <w:rPr>
          <w:rFonts w:ascii="宋体" w:hAnsi="宋体" w:cs="宋体"/>
          <w:color w:val="000000"/>
          <w:sz w:val="22"/>
          <w:szCs w:val="22"/>
        </w:rPr>
      </w:pPr>
    </w:p>
    <w:p>
      <w:pPr>
        <w:spacing w:line="360" w:lineRule="auto"/>
        <w:rPr>
          <w:rFonts w:ascii="宋体" w:hAnsi="宋体" w:cs="宋体"/>
          <w:sz w:val="24"/>
          <w:szCs w:val="24"/>
          <w:u w:val="single"/>
        </w:rPr>
      </w:pPr>
      <w:r>
        <w:rPr>
          <w:rFonts w:hint="eastAsia" w:ascii="宋体" w:hAnsi="宋体" w:cs="宋体"/>
          <w:sz w:val="24"/>
          <w:szCs w:val="24"/>
        </w:rPr>
        <w:t>甲方</w:t>
      </w:r>
      <w:r>
        <w:rPr>
          <w:rFonts w:hint="eastAsia" w:ascii="宋体" w:hAnsi="宋体" w:cs="宋体"/>
          <w:color w:val="000000"/>
          <w:sz w:val="24"/>
          <w:szCs w:val="24"/>
        </w:rPr>
        <w:t>（采购人）</w:t>
      </w:r>
      <w:r>
        <w:rPr>
          <w:rFonts w:hint="eastAsia" w:ascii="宋体" w:hAnsi="宋体" w:cs="宋体"/>
          <w:sz w:val="24"/>
          <w:szCs w:val="24"/>
        </w:rPr>
        <w:t>：</w:t>
      </w:r>
      <w:r>
        <w:rPr>
          <w:rFonts w:hint="eastAsia" w:ascii="宋体" w:hAnsi="宋体" w:cs="宋体"/>
          <w:color w:val="000000"/>
          <w:sz w:val="24"/>
          <w:szCs w:val="24"/>
        </w:rPr>
        <w:t>苍南县公安局</w:t>
      </w:r>
    </w:p>
    <w:p>
      <w:pPr>
        <w:spacing w:line="360" w:lineRule="auto"/>
        <w:rPr>
          <w:rFonts w:ascii="宋体" w:hAnsi="宋体" w:cs="宋体"/>
          <w:sz w:val="24"/>
          <w:szCs w:val="24"/>
          <w:u w:val="single"/>
        </w:rPr>
      </w:pPr>
      <w:r>
        <w:rPr>
          <w:rFonts w:hint="eastAsia" w:ascii="宋体" w:hAnsi="宋体" w:cs="宋体"/>
          <w:sz w:val="24"/>
          <w:szCs w:val="24"/>
        </w:rPr>
        <w:t>乙方（中标供应商）：</w:t>
      </w:r>
      <w:r>
        <w:rPr>
          <w:rFonts w:hint="eastAsia" w:ascii="宋体" w:hAnsi="宋体" w:cs="宋体"/>
          <w:color w:val="000000"/>
          <w:sz w:val="24"/>
          <w:szCs w:val="24"/>
        </w:rPr>
        <w:t>本次采购的</w:t>
      </w:r>
      <w:r>
        <w:rPr>
          <w:rFonts w:hint="eastAsia" w:ascii="宋体" w:hAnsi="宋体" w:cs="宋体"/>
          <w:sz w:val="24"/>
          <w:szCs w:val="24"/>
        </w:rPr>
        <w:t>中标</w:t>
      </w:r>
      <w:r>
        <w:rPr>
          <w:rFonts w:hint="eastAsia" w:ascii="宋体" w:hAnsi="宋体" w:cs="宋体"/>
          <w:color w:val="000000"/>
          <w:sz w:val="24"/>
          <w:szCs w:val="24"/>
        </w:rPr>
        <w:t>供应商</w:t>
      </w:r>
    </w:p>
    <w:p>
      <w:pPr>
        <w:spacing w:line="360" w:lineRule="auto"/>
        <w:ind w:firstLine="480" w:firstLineChars="200"/>
        <w:rPr>
          <w:rFonts w:ascii="宋体" w:hAnsi="宋体" w:cs="宋体"/>
          <w:sz w:val="24"/>
          <w:szCs w:val="24"/>
        </w:rPr>
      </w:pPr>
      <w:r>
        <w:rPr>
          <w:rFonts w:hint="eastAsia" w:ascii="宋体" w:hAnsi="宋体" w:cs="宋体"/>
          <w:sz w:val="24"/>
          <w:szCs w:val="24"/>
        </w:rPr>
        <w:t>本项目经组织公开招标采购，于2020年*月*日由乙方中标。经甲乙双方协商，就乙方向甲方提供相关产品以及伴随服务事宜达成以下条款：</w:t>
      </w:r>
    </w:p>
    <w:p>
      <w:pPr>
        <w:spacing w:line="360" w:lineRule="auto"/>
        <w:ind w:firstLine="480" w:firstLineChars="200"/>
        <w:rPr>
          <w:rFonts w:ascii="宋体" w:hAnsi="宋体" w:cs="宋体"/>
          <w:sz w:val="24"/>
          <w:szCs w:val="24"/>
        </w:rPr>
      </w:pPr>
      <w:r>
        <w:rPr>
          <w:rFonts w:hint="eastAsia" w:ascii="宋体" w:hAnsi="宋体" w:cs="宋体"/>
          <w:sz w:val="24"/>
          <w:szCs w:val="24"/>
        </w:rPr>
        <w:t>【招投标信息：2020年月日招标代理公司组织并通过苍南县公安局**数据中心机房公开招标采购，甲方接受乙方对本次2020年月日招标代理公司组织并通过苍南县公安局**数据中心机房项目的投标，甲乙双方根据《中华人民共和国合同法》、《中华人民共和国采购法》等法律法规和本合同的招标文件、投标文件及其投标中的承诺等要求，经双方协商，同意按下述条款和条件签订本合同，共同遵守，有不尽事宜，各方可通过补充协议或备忘录形式予以确认。】</w:t>
      </w:r>
    </w:p>
    <w:p>
      <w:pPr>
        <w:spacing w:line="360" w:lineRule="auto"/>
        <w:ind w:firstLine="480" w:firstLineChars="200"/>
        <w:rPr>
          <w:rFonts w:ascii="宋体" w:hAnsi="宋体" w:cs="宋体"/>
          <w:sz w:val="24"/>
          <w:szCs w:val="24"/>
        </w:rPr>
      </w:pPr>
      <w:bookmarkStart w:id="110" w:name="bookmark12"/>
      <w:r>
        <w:rPr>
          <w:rFonts w:hint="eastAsia"/>
          <w:color w:val="000000"/>
          <w:sz w:val="24"/>
          <w:szCs w:val="24"/>
        </w:rPr>
        <w:t>（</w:t>
      </w:r>
      <w:bookmarkEnd w:id="110"/>
      <w:r>
        <w:rPr>
          <w:rFonts w:hint="eastAsia"/>
          <w:color w:val="000000"/>
          <w:sz w:val="24"/>
          <w:szCs w:val="24"/>
        </w:rPr>
        <w:t>一）</w:t>
      </w:r>
      <w:r>
        <w:rPr>
          <w:rFonts w:hint="eastAsia"/>
          <w:color w:val="000000"/>
          <w:sz w:val="24"/>
          <w:szCs w:val="24"/>
          <w:lang w:val="zh-TW" w:eastAsia="zh-TW" w:bidi="zh-TW"/>
        </w:rPr>
        <w:t>“合</w:t>
      </w:r>
      <w:r>
        <w:rPr>
          <w:rFonts w:hint="eastAsia"/>
          <w:color w:val="000000"/>
          <w:sz w:val="24"/>
          <w:szCs w:val="24"/>
        </w:rPr>
        <w:t>同”系指甲方和乙方双方签署的，合同格式中载明双方所达成的协议，</w:t>
      </w:r>
      <w:r>
        <w:rPr>
          <w:rFonts w:hint="eastAsia" w:ascii="宋体" w:hAnsi="宋体" w:cs="宋体"/>
          <w:sz w:val="24"/>
          <w:szCs w:val="24"/>
        </w:rPr>
        <w:t>包括所有的附件和构成合同的其它文件。</w:t>
      </w:r>
    </w:p>
    <w:p>
      <w:pPr>
        <w:spacing w:line="360" w:lineRule="auto"/>
        <w:ind w:firstLine="480" w:firstLineChars="200"/>
        <w:rPr>
          <w:rFonts w:ascii="宋体" w:hAnsi="宋体" w:cs="宋体"/>
          <w:sz w:val="24"/>
          <w:szCs w:val="24"/>
        </w:rPr>
      </w:pPr>
      <w:bookmarkStart w:id="111" w:name="bookmark13"/>
      <w:r>
        <w:rPr>
          <w:rFonts w:hint="eastAsia" w:ascii="宋体" w:hAnsi="宋体" w:cs="宋体"/>
          <w:sz w:val="24"/>
          <w:szCs w:val="24"/>
        </w:rPr>
        <w:t>（</w:t>
      </w:r>
      <w:bookmarkEnd w:id="111"/>
      <w:r>
        <w:rPr>
          <w:rFonts w:hint="eastAsia" w:ascii="宋体" w:hAnsi="宋体" w:cs="宋体"/>
          <w:sz w:val="24"/>
          <w:szCs w:val="24"/>
        </w:rPr>
        <w:t>二）“合同价”是指根据本合同规定，乙方在正确地完全履行合同义务甲方应支付给乙方的价款。即：货物的供货、税金、包装、运输、保险、装卸、安装调试、检验、配合验收、技术服务、售后服务、质保期保障、材料、加固装饰施工等全部费用、实行固定费用总包干。</w:t>
      </w:r>
      <w:bookmarkStart w:id="112" w:name="bookmark14"/>
    </w:p>
    <w:p>
      <w:pPr>
        <w:spacing w:line="360" w:lineRule="auto"/>
        <w:ind w:firstLine="480" w:firstLineChars="200"/>
        <w:rPr>
          <w:rFonts w:ascii="宋体" w:hAnsi="宋体" w:cs="宋体"/>
          <w:sz w:val="24"/>
          <w:szCs w:val="24"/>
        </w:rPr>
      </w:pPr>
      <w:r>
        <w:rPr>
          <w:rFonts w:hint="eastAsia" w:ascii="宋体" w:hAnsi="宋体" w:cs="宋体"/>
          <w:sz w:val="24"/>
          <w:szCs w:val="24"/>
        </w:rPr>
        <w:t>（</w:t>
      </w:r>
      <w:bookmarkEnd w:id="112"/>
      <w:r>
        <w:rPr>
          <w:rFonts w:hint="eastAsia" w:ascii="宋体" w:hAnsi="宋体" w:cs="宋体"/>
          <w:sz w:val="24"/>
          <w:szCs w:val="24"/>
        </w:rPr>
        <w:t>三）“货物”是指根据合同规定须向甲方提供的一切设备、机械、系统软件和其它材料等。</w:t>
      </w:r>
    </w:p>
    <w:p>
      <w:pPr>
        <w:spacing w:line="360" w:lineRule="auto"/>
        <w:ind w:firstLine="480" w:firstLineChars="200"/>
        <w:rPr>
          <w:rFonts w:ascii="宋体" w:hAnsi="宋体" w:cs="宋体"/>
          <w:sz w:val="24"/>
          <w:szCs w:val="24"/>
        </w:rPr>
      </w:pPr>
      <w:bookmarkStart w:id="113" w:name="bookmark15"/>
      <w:r>
        <w:rPr>
          <w:rFonts w:hint="eastAsia" w:ascii="宋体" w:hAnsi="宋体" w:cs="宋体"/>
          <w:sz w:val="24"/>
          <w:szCs w:val="24"/>
        </w:rPr>
        <w:t>（</w:t>
      </w:r>
      <w:bookmarkEnd w:id="113"/>
      <w:r>
        <w:rPr>
          <w:rFonts w:hint="eastAsia" w:ascii="宋体" w:hAnsi="宋体" w:cs="宋体"/>
          <w:sz w:val="24"/>
          <w:szCs w:val="24"/>
        </w:rPr>
        <w:t>四）“服务”是指根据合同规定乙方承担与供货有关的辅助服务、运维等</w:t>
      </w:r>
      <w:r>
        <w:rPr>
          <w:rFonts w:ascii="宋体" w:hAnsi="宋体" w:cs="宋体"/>
          <w:sz w:val="24"/>
          <w:szCs w:val="24"/>
        </w:rPr>
        <w:t xml:space="preserve">, </w:t>
      </w:r>
      <w:r>
        <w:rPr>
          <w:rFonts w:hint="eastAsia" w:ascii="宋体" w:hAnsi="宋体" w:cs="宋体"/>
          <w:sz w:val="24"/>
          <w:szCs w:val="24"/>
        </w:rPr>
        <w:t>如运输、保险以及其它的伴随服务，例如数据接入、设备安装、调试、提供技术协助、培训和合同中规定乙方应承担的其它义务。</w:t>
      </w:r>
    </w:p>
    <w:p>
      <w:pPr>
        <w:spacing w:line="360" w:lineRule="auto"/>
        <w:ind w:firstLine="480" w:firstLineChars="200"/>
        <w:rPr>
          <w:rFonts w:ascii="宋体" w:hAnsi="宋体" w:cs="宋体"/>
          <w:sz w:val="24"/>
          <w:szCs w:val="24"/>
        </w:rPr>
      </w:pPr>
      <w:bookmarkStart w:id="114" w:name="bookmark16"/>
      <w:r>
        <w:rPr>
          <w:rFonts w:hint="eastAsia" w:ascii="宋体" w:hAnsi="宋体" w:cs="宋体"/>
          <w:sz w:val="24"/>
          <w:szCs w:val="24"/>
        </w:rPr>
        <w:t>（</w:t>
      </w:r>
      <w:bookmarkEnd w:id="114"/>
      <w:r>
        <w:rPr>
          <w:rFonts w:hint="eastAsia" w:ascii="宋体" w:hAnsi="宋体" w:cs="宋体"/>
          <w:sz w:val="24"/>
          <w:szCs w:val="24"/>
        </w:rPr>
        <w:t>五）“现场”是指合同项下货物将要进行安装运行的地点。</w:t>
      </w:r>
    </w:p>
    <w:p>
      <w:pPr>
        <w:spacing w:line="360" w:lineRule="auto"/>
        <w:ind w:firstLine="480" w:firstLineChars="200"/>
        <w:rPr>
          <w:rFonts w:ascii="宋体" w:hAnsi="宋体" w:cs="宋体"/>
          <w:sz w:val="24"/>
          <w:szCs w:val="24"/>
        </w:rPr>
      </w:pPr>
      <w:bookmarkStart w:id="115" w:name="bookmark17"/>
      <w:r>
        <w:rPr>
          <w:rFonts w:hint="eastAsia" w:ascii="宋体" w:hAnsi="宋体" w:cs="宋体"/>
          <w:sz w:val="24"/>
          <w:szCs w:val="24"/>
        </w:rPr>
        <w:t>（</w:t>
      </w:r>
      <w:bookmarkEnd w:id="115"/>
      <w:r>
        <w:rPr>
          <w:rFonts w:hint="eastAsia" w:ascii="宋体" w:hAnsi="宋体" w:cs="宋体"/>
          <w:sz w:val="24"/>
          <w:szCs w:val="24"/>
        </w:rPr>
        <w:t>六）“验收”是指合同双方依据规定的程序和条件确认含同项下的货物符合技术规范的要求。</w:t>
      </w:r>
    </w:p>
    <w:p>
      <w:pPr>
        <w:spacing w:line="360" w:lineRule="auto"/>
        <w:ind w:firstLine="480" w:firstLineChars="200"/>
        <w:rPr>
          <w:rFonts w:ascii="宋体" w:hAnsi="宋体" w:cs="宋体"/>
          <w:b/>
          <w:sz w:val="24"/>
          <w:szCs w:val="24"/>
        </w:rPr>
      </w:pPr>
      <w:bookmarkStart w:id="116" w:name="bookmark18"/>
      <w:r>
        <w:rPr>
          <w:rFonts w:hint="eastAsia" w:ascii="宋体" w:hAnsi="宋体" w:cs="宋体"/>
          <w:sz w:val="24"/>
          <w:szCs w:val="24"/>
        </w:rPr>
        <w:t>（</w:t>
      </w:r>
      <w:bookmarkEnd w:id="116"/>
      <w:r>
        <w:rPr>
          <w:rFonts w:hint="eastAsia" w:ascii="宋体" w:hAnsi="宋体" w:cs="宋体"/>
          <w:sz w:val="24"/>
          <w:szCs w:val="24"/>
        </w:rPr>
        <w:t>七）本合同项下交付的货物应符合技术规格所述的标准：如在招标文件中无相应说明，则以国家颁布的最新版本标准或行业（标准或相应的国际标准执行，没有国家或行业（部）标准的则按企业标准执行。</w:t>
      </w:r>
      <w:r>
        <w:rPr>
          <w:rFonts w:hint="eastAsia" w:ascii="宋体" w:hAnsi="宋体" w:cs="宋体"/>
          <w:b/>
          <w:sz w:val="24"/>
          <w:szCs w:val="24"/>
        </w:rPr>
        <w:t>加固装饰按照《建筑结构加固工程质量验收规范》GB 50550-2010验收。</w:t>
      </w:r>
    </w:p>
    <w:p>
      <w:pPr>
        <w:spacing w:line="360" w:lineRule="auto"/>
        <w:ind w:firstLine="480" w:firstLineChars="200"/>
        <w:rPr>
          <w:rFonts w:ascii="宋体" w:hAnsi="宋体" w:cs="宋体"/>
          <w:sz w:val="24"/>
          <w:szCs w:val="24"/>
        </w:rPr>
      </w:pPr>
      <w:r>
        <w:rPr>
          <w:rFonts w:hint="eastAsia" w:ascii="宋体" w:hAnsi="宋体" w:cs="宋体"/>
          <w:sz w:val="24"/>
          <w:szCs w:val="24"/>
        </w:rPr>
        <w:t>（八）乙方应保证，甲方在使用该货物或货物的任何一部分时，免受第三方提出的侵犯其专利权、商标权、著作权或其它知识产权的起诉。乙方应承担由此可能产生的一切法律责任和费用。</w:t>
      </w:r>
    </w:p>
    <w:p>
      <w:pPr>
        <w:numPr>
          <w:ilvl w:val="0"/>
          <w:numId w:val="17"/>
        </w:numPr>
        <w:tabs>
          <w:tab w:val="left" w:pos="1080"/>
          <w:tab w:val="clear" w:pos="900"/>
        </w:tabs>
        <w:spacing w:line="360" w:lineRule="auto"/>
        <w:ind w:left="1080" w:hanging="1080"/>
        <w:jc w:val="left"/>
        <w:rPr>
          <w:rFonts w:ascii="宋体" w:hAnsi="宋体" w:cs="宋体"/>
          <w:sz w:val="24"/>
          <w:szCs w:val="24"/>
        </w:rPr>
      </w:pPr>
      <w:r>
        <w:rPr>
          <w:rFonts w:hint="eastAsia" w:ascii="宋体" w:hAnsi="宋体" w:cs="宋体"/>
          <w:sz w:val="24"/>
          <w:szCs w:val="24"/>
        </w:rPr>
        <w:t>建设内容范围</w:t>
      </w:r>
    </w:p>
    <w:p>
      <w:pPr>
        <w:spacing w:line="360" w:lineRule="auto"/>
        <w:ind w:firstLine="480" w:firstLineChars="200"/>
        <w:rPr>
          <w:rFonts w:ascii="宋体" w:hAnsi="宋体" w:cs="宋体"/>
          <w:sz w:val="24"/>
          <w:szCs w:val="24"/>
        </w:rPr>
      </w:pPr>
      <w:r>
        <w:rPr>
          <w:rFonts w:hint="eastAsia" w:ascii="宋体" w:hAnsi="宋体" w:cs="宋体"/>
          <w:sz w:val="24"/>
          <w:szCs w:val="24"/>
        </w:rPr>
        <w:t>甲方委托乙方整体承包苍南县公安局**数据中心机房项目，内容包括：</w:t>
      </w:r>
    </w:p>
    <w:p>
      <w:pPr>
        <w:pStyle w:val="72"/>
        <w:numPr>
          <w:ilvl w:val="3"/>
          <w:numId w:val="18"/>
        </w:numPr>
        <w:tabs>
          <w:tab w:val="left" w:pos="1080"/>
        </w:tabs>
        <w:spacing w:line="360" w:lineRule="auto"/>
        <w:ind w:firstLineChars="0"/>
        <w:jc w:val="left"/>
        <w:rPr>
          <w:rFonts w:ascii="宋体" w:hAnsi="宋体" w:cs="宋体"/>
          <w:sz w:val="24"/>
          <w:szCs w:val="24"/>
        </w:rPr>
      </w:pPr>
      <w:r>
        <w:rPr>
          <w:rFonts w:hint="eastAsia" w:ascii="宋体" w:hAnsi="宋体" w:cs="宋体"/>
          <w:sz w:val="24"/>
          <w:szCs w:val="24"/>
        </w:rPr>
        <w:t>机房基础环境装修；</w:t>
      </w:r>
    </w:p>
    <w:p>
      <w:pPr>
        <w:pStyle w:val="72"/>
        <w:numPr>
          <w:ilvl w:val="3"/>
          <w:numId w:val="18"/>
        </w:numPr>
        <w:tabs>
          <w:tab w:val="left" w:pos="1080"/>
        </w:tabs>
        <w:spacing w:line="360" w:lineRule="auto"/>
        <w:ind w:firstLineChars="0"/>
        <w:jc w:val="left"/>
        <w:rPr>
          <w:rFonts w:ascii="宋体" w:hAnsi="宋体" w:cs="宋体"/>
          <w:sz w:val="24"/>
          <w:szCs w:val="24"/>
        </w:rPr>
      </w:pPr>
      <w:r>
        <w:rPr>
          <w:rFonts w:hint="eastAsia" w:ascii="宋体" w:hAnsi="宋体" w:cs="宋体"/>
          <w:sz w:val="24"/>
          <w:szCs w:val="24"/>
        </w:rPr>
        <w:t>微模块化系统；</w:t>
      </w:r>
    </w:p>
    <w:p>
      <w:pPr>
        <w:pStyle w:val="72"/>
        <w:numPr>
          <w:ilvl w:val="3"/>
          <w:numId w:val="18"/>
        </w:numPr>
        <w:tabs>
          <w:tab w:val="left" w:pos="1080"/>
        </w:tabs>
        <w:spacing w:line="360" w:lineRule="auto"/>
        <w:ind w:firstLineChars="0"/>
        <w:jc w:val="left"/>
        <w:rPr>
          <w:rFonts w:ascii="宋体" w:hAnsi="宋体" w:cs="宋体"/>
          <w:sz w:val="24"/>
          <w:szCs w:val="24"/>
        </w:rPr>
      </w:pPr>
      <w:r>
        <w:rPr>
          <w:rFonts w:hint="eastAsia" w:ascii="宋体" w:hAnsi="宋体" w:cs="宋体"/>
          <w:sz w:val="24"/>
          <w:szCs w:val="24"/>
        </w:rPr>
        <w:t>综合布线系统；</w:t>
      </w:r>
    </w:p>
    <w:p>
      <w:pPr>
        <w:pStyle w:val="72"/>
        <w:numPr>
          <w:ilvl w:val="3"/>
          <w:numId w:val="18"/>
        </w:numPr>
        <w:tabs>
          <w:tab w:val="left" w:pos="1080"/>
        </w:tabs>
        <w:spacing w:line="360" w:lineRule="auto"/>
        <w:ind w:firstLineChars="0"/>
        <w:jc w:val="left"/>
        <w:rPr>
          <w:rFonts w:ascii="宋体" w:hAnsi="宋体" w:cs="宋体"/>
          <w:sz w:val="24"/>
          <w:szCs w:val="24"/>
        </w:rPr>
      </w:pPr>
      <w:r>
        <w:rPr>
          <w:rFonts w:hint="eastAsia" w:ascii="宋体" w:hAnsi="宋体" w:cs="宋体"/>
          <w:sz w:val="24"/>
          <w:szCs w:val="24"/>
        </w:rPr>
        <w:t>防雷接地系统；</w:t>
      </w:r>
    </w:p>
    <w:p>
      <w:pPr>
        <w:pStyle w:val="72"/>
        <w:numPr>
          <w:ilvl w:val="3"/>
          <w:numId w:val="18"/>
        </w:numPr>
        <w:tabs>
          <w:tab w:val="left" w:pos="1080"/>
        </w:tabs>
        <w:spacing w:line="360" w:lineRule="auto"/>
        <w:ind w:firstLineChars="0"/>
        <w:jc w:val="left"/>
        <w:rPr>
          <w:rFonts w:ascii="宋体" w:hAnsi="宋体" w:cs="宋体"/>
          <w:sz w:val="24"/>
          <w:szCs w:val="24"/>
        </w:rPr>
      </w:pPr>
      <w:r>
        <w:rPr>
          <w:rFonts w:hint="eastAsia" w:ascii="宋体" w:hAnsi="宋体" w:cs="宋体"/>
          <w:sz w:val="24"/>
          <w:szCs w:val="24"/>
        </w:rPr>
        <w:t>消防工程系统；</w:t>
      </w:r>
    </w:p>
    <w:p>
      <w:pPr>
        <w:pStyle w:val="72"/>
        <w:numPr>
          <w:ilvl w:val="3"/>
          <w:numId w:val="18"/>
        </w:numPr>
        <w:tabs>
          <w:tab w:val="left" w:pos="1080"/>
        </w:tabs>
        <w:spacing w:line="360" w:lineRule="auto"/>
        <w:ind w:firstLineChars="0"/>
        <w:jc w:val="left"/>
        <w:rPr>
          <w:rFonts w:ascii="宋体" w:hAnsi="宋体" w:cs="宋体"/>
          <w:sz w:val="24"/>
          <w:szCs w:val="24"/>
        </w:rPr>
      </w:pPr>
      <w:r>
        <w:rPr>
          <w:rFonts w:ascii="宋体" w:hAnsi="宋体" w:cs="宋体"/>
          <w:sz w:val="24"/>
          <w:szCs w:val="24"/>
        </w:rPr>
        <w:t>机房安全防范系统</w:t>
      </w:r>
      <w:r>
        <w:rPr>
          <w:rFonts w:hint="eastAsia" w:ascii="宋体" w:hAnsi="宋体" w:cs="宋体"/>
          <w:sz w:val="24"/>
          <w:szCs w:val="24"/>
        </w:rPr>
        <w:t>；</w:t>
      </w:r>
    </w:p>
    <w:p>
      <w:pPr>
        <w:pStyle w:val="72"/>
        <w:numPr>
          <w:ilvl w:val="3"/>
          <w:numId w:val="18"/>
        </w:numPr>
        <w:tabs>
          <w:tab w:val="left" w:pos="1080"/>
        </w:tabs>
        <w:spacing w:line="360" w:lineRule="auto"/>
        <w:ind w:firstLineChars="0"/>
        <w:jc w:val="left"/>
        <w:rPr>
          <w:rFonts w:ascii="宋体" w:hAnsi="宋体" w:cs="宋体"/>
          <w:sz w:val="24"/>
          <w:szCs w:val="24"/>
        </w:rPr>
      </w:pPr>
      <w:r>
        <w:rPr>
          <w:rFonts w:hint="eastAsia" w:ascii="宋体" w:hAnsi="宋体" w:cs="宋体"/>
          <w:sz w:val="24"/>
          <w:szCs w:val="24"/>
        </w:rPr>
        <w:t>机房搬迁；</w:t>
      </w:r>
    </w:p>
    <w:p>
      <w:pPr>
        <w:pStyle w:val="72"/>
        <w:numPr>
          <w:ilvl w:val="3"/>
          <w:numId w:val="18"/>
        </w:numPr>
        <w:tabs>
          <w:tab w:val="left" w:pos="1080"/>
        </w:tabs>
        <w:spacing w:line="360" w:lineRule="auto"/>
        <w:ind w:firstLineChars="0"/>
        <w:jc w:val="left"/>
        <w:rPr>
          <w:rFonts w:ascii="宋体" w:hAnsi="宋体" w:cs="宋体"/>
          <w:sz w:val="24"/>
          <w:szCs w:val="24"/>
        </w:rPr>
      </w:pPr>
      <w:r>
        <w:rPr>
          <w:rFonts w:hint="eastAsia" w:ascii="宋体" w:hAnsi="宋体" w:cs="宋体"/>
          <w:sz w:val="24"/>
          <w:szCs w:val="24"/>
        </w:rPr>
        <w:t>机房信息系统安全防护。</w:t>
      </w:r>
    </w:p>
    <w:p>
      <w:pPr>
        <w:tabs>
          <w:tab w:val="left" w:pos="1080"/>
        </w:tabs>
        <w:spacing w:line="360" w:lineRule="auto"/>
        <w:ind w:left="1080"/>
        <w:jc w:val="left"/>
        <w:rPr>
          <w:rFonts w:ascii="宋体" w:hAnsi="宋体" w:cs="宋体"/>
          <w:sz w:val="24"/>
          <w:szCs w:val="24"/>
        </w:rPr>
      </w:pPr>
      <w:r>
        <w:rPr>
          <w:rFonts w:hint="eastAsia" w:ascii="宋体" w:hAnsi="宋体" w:cs="宋体"/>
          <w:sz w:val="24"/>
          <w:szCs w:val="24"/>
        </w:rPr>
        <w:t>建设内容具体清单附后。</w:t>
      </w:r>
    </w:p>
    <w:p>
      <w:pPr>
        <w:numPr>
          <w:ilvl w:val="0"/>
          <w:numId w:val="17"/>
        </w:numPr>
        <w:tabs>
          <w:tab w:val="left" w:pos="1080"/>
          <w:tab w:val="clear" w:pos="900"/>
        </w:tabs>
        <w:spacing w:line="360" w:lineRule="auto"/>
        <w:ind w:left="1080" w:hanging="1080"/>
        <w:rPr>
          <w:rFonts w:ascii="宋体" w:hAnsi="宋体" w:cs="宋体"/>
          <w:sz w:val="24"/>
          <w:szCs w:val="24"/>
        </w:rPr>
      </w:pPr>
      <w:r>
        <w:rPr>
          <w:rFonts w:hint="eastAsia" w:ascii="宋体" w:hAnsi="宋体" w:cs="宋体"/>
          <w:sz w:val="24"/>
          <w:szCs w:val="24"/>
        </w:rPr>
        <w:t>双方权利和义务</w:t>
      </w:r>
    </w:p>
    <w:p>
      <w:pPr>
        <w:spacing w:line="360" w:lineRule="auto"/>
        <w:ind w:firstLine="480" w:firstLineChars="200"/>
        <w:rPr>
          <w:rFonts w:ascii="宋体" w:hAnsi="宋体" w:cs="宋体"/>
          <w:sz w:val="24"/>
          <w:szCs w:val="24"/>
        </w:rPr>
      </w:pPr>
      <w:r>
        <w:rPr>
          <w:rFonts w:ascii="宋体" w:hAnsi="宋体" w:cs="宋体"/>
          <w:sz w:val="24"/>
          <w:szCs w:val="24"/>
        </w:rPr>
        <w:t>1</w:t>
      </w:r>
      <w:r>
        <w:rPr>
          <w:rFonts w:hint="eastAsia" w:ascii="宋体" w:hAnsi="宋体" w:cs="宋体"/>
          <w:sz w:val="24"/>
          <w:szCs w:val="24"/>
        </w:rPr>
        <w:t>.甲方权利和义务</w:t>
      </w:r>
    </w:p>
    <w:p>
      <w:pPr>
        <w:spacing w:line="360" w:lineRule="auto"/>
        <w:ind w:firstLine="480" w:firstLineChars="200"/>
        <w:rPr>
          <w:rFonts w:ascii="宋体" w:hAnsi="宋体" w:cs="宋体"/>
          <w:sz w:val="24"/>
          <w:szCs w:val="24"/>
        </w:rPr>
      </w:pPr>
      <w:r>
        <w:rPr>
          <w:rFonts w:ascii="宋体" w:hAnsi="宋体" w:cs="宋体"/>
          <w:sz w:val="24"/>
          <w:szCs w:val="24"/>
        </w:rPr>
        <w:t>1.1</w:t>
      </w:r>
      <w:r>
        <w:rPr>
          <w:rFonts w:hint="eastAsia" w:ascii="宋体" w:hAnsi="宋体" w:cs="宋体"/>
          <w:sz w:val="24"/>
          <w:szCs w:val="24"/>
        </w:rPr>
        <w:t>项目设计的总体架构和技术标准要符合本项目建设的目标，双方有争议的，由甲方确定。</w:t>
      </w:r>
    </w:p>
    <w:p>
      <w:pPr>
        <w:spacing w:line="360" w:lineRule="auto"/>
        <w:ind w:firstLine="480" w:firstLineChars="200"/>
        <w:rPr>
          <w:rFonts w:ascii="宋体" w:hAnsi="宋体" w:cs="宋体"/>
          <w:sz w:val="24"/>
          <w:szCs w:val="24"/>
        </w:rPr>
      </w:pPr>
      <w:r>
        <w:rPr>
          <w:rFonts w:ascii="宋体" w:hAnsi="宋体" w:cs="宋体"/>
          <w:sz w:val="24"/>
          <w:szCs w:val="24"/>
        </w:rPr>
        <w:t>1.2</w:t>
      </w:r>
      <w:r>
        <w:rPr>
          <w:rFonts w:hint="eastAsia" w:ascii="宋体" w:hAnsi="宋体" w:cs="宋体"/>
          <w:sz w:val="24"/>
          <w:szCs w:val="24"/>
        </w:rPr>
        <w:t>乙方提供的软件应遵循开放系统的原则，能提供符合国际标准和软件、硬件、通信、网络、操作系统和数据库管理系统等方面的接口和协议，并为今后的二次开发预留接口和开放协议。</w:t>
      </w:r>
    </w:p>
    <w:p>
      <w:pPr>
        <w:spacing w:line="360" w:lineRule="auto"/>
        <w:ind w:firstLine="480" w:firstLineChars="200"/>
        <w:rPr>
          <w:rFonts w:ascii="宋体" w:hAnsi="宋体" w:cs="宋体"/>
          <w:sz w:val="24"/>
          <w:szCs w:val="24"/>
        </w:rPr>
      </w:pPr>
      <w:r>
        <w:rPr>
          <w:rFonts w:ascii="宋体" w:hAnsi="宋体" w:cs="宋体"/>
          <w:sz w:val="24"/>
          <w:szCs w:val="24"/>
        </w:rPr>
        <w:t>1.3</w:t>
      </w:r>
      <w:r>
        <w:rPr>
          <w:rFonts w:hint="eastAsia" w:ascii="宋体" w:hAnsi="宋体" w:cs="宋体"/>
          <w:sz w:val="24"/>
          <w:szCs w:val="24"/>
        </w:rPr>
        <w:t>项目中所有设备、存储及应用所产生的数据的所有权归属甲方，未经甲方同意，乙方不得私自泄露、转让给第三方使用。</w:t>
      </w:r>
    </w:p>
    <w:p>
      <w:pPr>
        <w:spacing w:line="360" w:lineRule="auto"/>
        <w:ind w:firstLine="480" w:firstLineChars="200"/>
        <w:rPr>
          <w:rFonts w:ascii="宋体" w:hAnsi="宋体" w:cs="宋体"/>
          <w:sz w:val="24"/>
          <w:szCs w:val="24"/>
        </w:rPr>
      </w:pPr>
      <w:r>
        <w:rPr>
          <w:rFonts w:ascii="宋体" w:hAnsi="宋体" w:cs="宋体"/>
          <w:sz w:val="24"/>
          <w:szCs w:val="24"/>
        </w:rPr>
        <w:t>1.4</w:t>
      </w:r>
      <w:r>
        <w:rPr>
          <w:rFonts w:hint="eastAsia" w:ascii="宋体" w:hAnsi="宋体" w:cs="宋体"/>
          <w:sz w:val="24"/>
          <w:szCs w:val="24"/>
        </w:rPr>
        <w:t>项目中所涉及的账号管理权、应用及管理权归属甲方。</w:t>
      </w:r>
    </w:p>
    <w:p>
      <w:pPr>
        <w:spacing w:line="360" w:lineRule="auto"/>
        <w:ind w:firstLine="480" w:firstLineChars="200"/>
        <w:rPr>
          <w:rFonts w:ascii="宋体" w:hAnsi="宋体" w:cs="宋体"/>
          <w:sz w:val="24"/>
          <w:szCs w:val="24"/>
        </w:rPr>
      </w:pPr>
      <w:r>
        <w:rPr>
          <w:rFonts w:ascii="宋体" w:hAnsi="宋体" w:cs="宋体"/>
          <w:sz w:val="24"/>
          <w:szCs w:val="24"/>
        </w:rPr>
        <w:t>1.5</w:t>
      </w:r>
      <w:r>
        <w:rPr>
          <w:rFonts w:hint="eastAsia" w:ascii="宋体" w:hAnsi="宋体" w:cs="宋体"/>
          <w:sz w:val="24"/>
          <w:szCs w:val="24"/>
        </w:rPr>
        <w:t>项目中的设备使用权归属甲方，未经甲方同意，乙方不得安装任何与本项目无关应用及接口。</w:t>
      </w:r>
    </w:p>
    <w:p>
      <w:pPr>
        <w:spacing w:line="360" w:lineRule="auto"/>
        <w:ind w:firstLine="480" w:firstLineChars="200"/>
        <w:rPr>
          <w:rFonts w:ascii="宋体" w:hAnsi="宋体" w:cs="宋体"/>
          <w:sz w:val="24"/>
          <w:szCs w:val="24"/>
        </w:rPr>
      </w:pPr>
      <w:r>
        <w:rPr>
          <w:rFonts w:ascii="宋体" w:hAnsi="宋体" w:cs="宋体"/>
          <w:sz w:val="24"/>
          <w:szCs w:val="24"/>
        </w:rPr>
        <w:t>1.6</w:t>
      </w:r>
      <w:r>
        <w:rPr>
          <w:rFonts w:hint="eastAsia" w:ascii="宋体" w:hAnsi="宋体" w:cs="宋体"/>
          <w:sz w:val="24"/>
          <w:szCs w:val="24"/>
        </w:rPr>
        <w:t>甲方对乙方的设备不能正常运行或因设备技术维护原因造成数据丢失有权要求乙方及时改进和承担违约责任。如遇乙方设备技术升级、承载网链路割接等，并在征得甲方同意的基础上，乙方应提前</w:t>
      </w:r>
      <w:r>
        <w:rPr>
          <w:rFonts w:ascii="宋体" w:hAnsi="宋体" w:cs="宋体"/>
          <w:sz w:val="24"/>
          <w:szCs w:val="24"/>
        </w:rPr>
        <w:t>48小时通知甲方，说明可能造成的影响和范围，并确保每次设备技术升级和</w:t>
      </w:r>
      <w:r>
        <w:rPr>
          <w:rFonts w:hint="eastAsia" w:ascii="宋体" w:hAnsi="宋体" w:cs="宋体"/>
          <w:sz w:val="24"/>
          <w:szCs w:val="24"/>
        </w:rPr>
        <w:t>承载网链路割接在</w:t>
      </w:r>
      <w:r>
        <w:rPr>
          <w:rFonts w:ascii="宋体" w:hAnsi="宋体" w:cs="宋体"/>
          <w:sz w:val="24"/>
          <w:szCs w:val="24"/>
        </w:rPr>
        <w:t>6小时内完成，在此时间内所造成的图像数据丢失，乙方不承担违约责任。</w:t>
      </w:r>
    </w:p>
    <w:p>
      <w:pPr>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1.7甲方有权力根据实际情况进行调整，如上浮在合同金额2%（四舍五入）内的，合同总价不作调整，如上浮超过2%，经工程造价结算超过2%以上的部分（需剔除上浮2%的），可以纳入最终合同总价并支付。</w:t>
      </w:r>
    </w:p>
    <w:p>
      <w:pPr>
        <w:spacing w:line="360" w:lineRule="auto"/>
        <w:ind w:firstLine="480" w:firstLineChars="200"/>
        <w:rPr>
          <w:rFonts w:ascii="宋体" w:hAnsi="宋体" w:cs="宋体"/>
          <w:color w:val="000000"/>
          <w:sz w:val="24"/>
          <w:szCs w:val="24"/>
        </w:rPr>
      </w:pPr>
      <w:r>
        <w:rPr>
          <w:rFonts w:ascii="宋体" w:hAnsi="宋体" w:cs="宋体"/>
          <w:color w:val="000000"/>
          <w:sz w:val="24"/>
          <w:szCs w:val="24"/>
        </w:rPr>
        <w:t>1.</w:t>
      </w:r>
      <w:r>
        <w:rPr>
          <w:rFonts w:hint="eastAsia" w:ascii="宋体" w:hAnsi="宋体" w:cs="宋体"/>
          <w:color w:val="000000"/>
          <w:sz w:val="24"/>
          <w:szCs w:val="24"/>
        </w:rPr>
        <w:t>8</w:t>
      </w:r>
      <w:r>
        <w:rPr>
          <w:rFonts w:ascii="宋体" w:hAnsi="宋体" w:cs="宋体"/>
          <w:color w:val="000000"/>
          <w:sz w:val="24"/>
          <w:szCs w:val="24"/>
        </w:rPr>
        <w:t>甲方要按合同要求，按期付款。</w:t>
      </w:r>
    </w:p>
    <w:p>
      <w:pPr>
        <w:spacing w:line="360" w:lineRule="auto"/>
        <w:ind w:firstLine="480" w:firstLineChars="200"/>
        <w:rPr>
          <w:rFonts w:ascii="宋体" w:hAnsi="宋体" w:cs="宋体"/>
          <w:sz w:val="24"/>
          <w:szCs w:val="24"/>
        </w:rPr>
      </w:pPr>
      <w:r>
        <w:rPr>
          <w:rFonts w:ascii="宋体" w:hAnsi="宋体" w:cs="宋体"/>
          <w:sz w:val="24"/>
          <w:szCs w:val="24"/>
        </w:rPr>
        <w:t>2</w:t>
      </w:r>
      <w:r>
        <w:rPr>
          <w:rFonts w:hint="eastAsia" w:ascii="宋体" w:hAnsi="宋体" w:cs="宋体"/>
          <w:sz w:val="24"/>
          <w:szCs w:val="24"/>
        </w:rPr>
        <w:t>.</w:t>
      </w:r>
      <w:r>
        <w:rPr>
          <w:rFonts w:ascii="宋体" w:hAnsi="宋体" w:cs="宋体"/>
          <w:sz w:val="24"/>
          <w:szCs w:val="24"/>
        </w:rPr>
        <w:t>乙方权利和义务</w:t>
      </w:r>
    </w:p>
    <w:p>
      <w:pPr>
        <w:spacing w:line="360" w:lineRule="auto"/>
        <w:ind w:firstLine="480" w:firstLineChars="200"/>
        <w:rPr>
          <w:rFonts w:ascii="宋体" w:hAnsi="宋体" w:cs="宋体"/>
          <w:sz w:val="24"/>
          <w:szCs w:val="24"/>
        </w:rPr>
      </w:pPr>
      <w:r>
        <w:rPr>
          <w:rFonts w:ascii="宋体" w:hAnsi="宋体" w:cs="宋体"/>
          <w:sz w:val="24"/>
          <w:szCs w:val="24"/>
        </w:rPr>
        <w:t>2.1乙方有权按照合同要求，向甲方申请支付合同款项，并要求甲方提供项目实施过程中必要的协调和配合工作。</w:t>
      </w:r>
    </w:p>
    <w:p>
      <w:pPr>
        <w:spacing w:line="360" w:lineRule="auto"/>
        <w:ind w:firstLine="480" w:firstLineChars="200"/>
        <w:rPr>
          <w:rFonts w:ascii="宋体" w:hAnsi="宋体" w:cs="宋体"/>
          <w:color w:val="000000"/>
          <w:sz w:val="24"/>
          <w:szCs w:val="24"/>
        </w:rPr>
      </w:pPr>
      <w:r>
        <w:rPr>
          <w:rFonts w:ascii="宋体" w:hAnsi="宋体" w:cs="宋体"/>
          <w:color w:val="000000"/>
          <w:sz w:val="24"/>
          <w:szCs w:val="24"/>
        </w:rPr>
        <w:t>2.2</w:t>
      </w:r>
      <w:r>
        <w:rPr>
          <w:rFonts w:hint="eastAsia" w:ascii="宋体" w:hAnsi="宋体" w:cs="宋体"/>
          <w:color w:val="000000"/>
          <w:sz w:val="24"/>
          <w:szCs w:val="24"/>
        </w:rPr>
        <w:t>乙方要保证所提供设备达到整套系统运行质量要求，符合国家、省、市、文件相关标准、规范和建设要求，保证满足甲方正常工作需求。乙方应建立</w:t>
      </w:r>
      <w:r>
        <w:rPr>
          <w:rFonts w:hint="eastAsia" w:ascii="宋体" w:hAnsi="宋体" w:cs="宋体"/>
          <w:sz w:val="24"/>
          <w:szCs w:val="24"/>
        </w:rPr>
        <w:t>项目中所涉及</w:t>
      </w:r>
      <w:r>
        <w:rPr>
          <w:rFonts w:hint="eastAsia" w:ascii="宋体" w:hAnsi="宋体" w:cs="宋体"/>
          <w:color w:val="000000"/>
          <w:sz w:val="24"/>
          <w:szCs w:val="24"/>
        </w:rPr>
        <w:t>的技术档案和维护档案并提供给甲方。</w:t>
      </w:r>
    </w:p>
    <w:p>
      <w:pPr>
        <w:spacing w:line="360" w:lineRule="auto"/>
        <w:ind w:firstLine="480" w:firstLineChars="200"/>
        <w:rPr>
          <w:rFonts w:ascii="宋体" w:hAnsi="宋体" w:cs="宋体"/>
          <w:color w:val="000000"/>
          <w:sz w:val="24"/>
          <w:szCs w:val="24"/>
        </w:rPr>
      </w:pPr>
      <w:r>
        <w:rPr>
          <w:rFonts w:ascii="宋体" w:hAnsi="宋体" w:cs="宋体"/>
          <w:color w:val="000000"/>
          <w:sz w:val="24"/>
          <w:szCs w:val="24"/>
        </w:rPr>
        <w:t>2.3</w:t>
      </w:r>
      <w:r>
        <w:rPr>
          <w:rFonts w:hint="eastAsia" w:ascii="宋体" w:hAnsi="宋体" w:cs="宋体"/>
          <w:color w:val="000000"/>
          <w:sz w:val="24"/>
          <w:szCs w:val="24"/>
        </w:rPr>
        <w:t>乙方应指定专门的联络人，负责系统的技术咨询、业务开通、平台维护、软硬件维护的接洽工作。</w:t>
      </w:r>
    </w:p>
    <w:p>
      <w:pPr>
        <w:spacing w:line="360" w:lineRule="auto"/>
        <w:ind w:firstLine="480" w:firstLineChars="200"/>
        <w:rPr>
          <w:rFonts w:ascii="宋体" w:hAnsi="宋体" w:cs="宋体"/>
          <w:color w:val="FF0000"/>
          <w:sz w:val="24"/>
          <w:szCs w:val="24"/>
        </w:rPr>
      </w:pPr>
      <w:r>
        <w:rPr>
          <w:rFonts w:ascii="宋体" w:hAnsi="宋体" w:cs="宋体"/>
          <w:color w:val="000000"/>
          <w:sz w:val="24"/>
          <w:szCs w:val="24"/>
        </w:rPr>
        <w:t>2.4</w:t>
      </w:r>
      <w:r>
        <w:rPr>
          <w:rFonts w:hint="eastAsia" w:ascii="宋体" w:hAnsi="宋体" w:cs="宋体"/>
          <w:sz w:val="24"/>
          <w:szCs w:val="24"/>
        </w:rPr>
        <w:t>乙方所交的货物品种、型号、规格、技术参数、质量不符合合同规定及招标文件规定标准的，甲方有权拒收该货物，乙方愿意更换货物但逾期交货的，按乙方逾期交货处理。乙方拒绝更换货物的，甲方可单方面解除合同。</w:t>
      </w:r>
    </w:p>
    <w:p>
      <w:pPr>
        <w:spacing w:line="360" w:lineRule="auto"/>
        <w:ind w:firstLine="463" w:firstLineChars="193"/>
        <w:rPr>
          <w:rFonts w:ascii="宋体" w:hAnsi="宋体" w:cs="宋体"/>
          <w:sz w:val="24"/>
          <w:szCs w:val="24"/>
        </w:rPr>
      </w:pPr>
      <w:r>
        <w:rPr>
          <w:rFonts w:ascii="宋体" w:hAnsi="宋体" w:cs="宋体"/>
          <w:color w:val="000000"/>
          <w:sz w:val="24"/>
          <w:szCs w:val="24"/>
        </w:rPr>
        <w:t>2.5</w:t>
      </w:r>
      <w:r>
        <w:rPr>
          <w:rFonts w:hint="eastAsia" w:ascii="宋体" w:hAnsi="宋体" w:cs="宋体"/>
          <w:sz w:val="24"/>
          <w:szCs w:val="24"/>
        </w:rPr>
        <w:t>乙方所交的货物</w:t>
      </w:r>
      <w:r>
        <w:rPr>
          <w:rFonts w:hint="eastAsia" w:ascii="宋体" w:hAnsi="宋体" w:cs="宋体"/>
          <w:color w:val="000000"/>
          <w:sz w:val="24"/>
          <w:szCs w:val="24"/>
        </w:rPr>
        <w:t>免费保修期为</w:t>
      </w:r>
      <w:r>
        <w:rPr>
          <w:rFonts w:ascii="宋体" w:hAnsi="宋体" w:cs="宋体"/>
          <w:color w:val="000000"/>
          <w:sz w:val="24"/>
          <w:szCs w:val="24"/>
        </w:rPr>
        <w:t>3年（另行规定的</w:t>
      </w:r>
      <w:r>
        <w:rPr>
          <w:rFonts w:ascii="宋体" w:hAnsi="宋体" w:cs="宋体"/>
          <w:sz w:val="24"/>
          <w:szCs w:val="24"/>
        </w:rPr>
        <w:t>除外），</w:t>
      </w:r>
      <w:r>
        <w:rPr>
          <w:rFonts w:hint="eastAsia" w:ascii="宋体" w:hAnsi="宋体" w:cs="宋体"/>
          <w:sz w:val="24"/>
          <w:szCs w:val="24"/>
        </w:rPr>
        <w:t>软件终身免费升级和维保。在质保期内，乙方应对货物出现的质量及安全问题负责处理解决并承担一切费用；</w:t>
      </w:r>
      <w:r>
        <w:rPr>
          <w:rFonts w:hint="eastAsia" w:ascii="宋体" w:hAnsi="宋体" w:cs="宋体"/>
          <w:color w:val="000000"/>
          <w:sz w:val="24"/>
          <w:szCs w:val="24"/>
        </w:rPr>
        <w:t>因人为因素出现的故障不在免费保修范围内。超过保</w:t>
      </w:r>
      <w:r>
        <w:rPr>
          <w:rFonts w:hint="eastAsia" w:ascii="宋体" w:hAnsi="宋体" w:cs="宋体"/>
          <w:sz w:val="24"/>
          <w:szCs w:val="24"/>
        </w:rPr>
        <w:t>修期的机器设备，终生维修，维修时只收部件成本费。</w:t>
      </w:r>
    </w:p>
    <w:p>
      <w:pPr>
        <w:spacing w:line="360" w:lineRule="auto"/>
        <w:ind w:firstLine="463" w:firstLineChars="193"/>
        <w:rPr>
          <w:rFonts w:ascii="宋体" w:hAnsi="宋体" w:cs="宋体"/>
          <w:color w:val="000000"/>
          <w:sz w:val="24"/>
          <w:szCs w:val="24"/>
        </w:rPr>
      </w:pPr>
      <w:r>
        <w:rPr>
          <w:rFonts w:hint="eastAsia" w:ascii="宋体" w:hAnsi="宋体" w:cs="宋体"/>
          <w:color w:val="000000"/>
          <w:sz w:val="24"/>
          <w:szCs w:val="24"/>
        </w:rPr>
        <w:t>2.6乙方应保证所提供的货物或其任何一部分均不会侵犯任何第三方的知识产权。</w:t>
      </w:r>
    </w:p>
    <w:p>
      <w:pPr>
        <w:spacing w:line="360" w:lineRule="auto"/>
        <w:ind w:firstLine="463" w:firstLineChars="193"/>
        <w:rPr>
          <w:rFonts w:ascii="宋体" w:hAnsi="宋体" w:cs="宋体"/>
          <w:color w:val="000000"/>
          <w:sz w:val="24"/>
          <w:szCs w:val="24"/>
        </w:rPr>
      </w:pPr>
      <w:r>
        <w:rPr>
          <w:rFonts w:ascii="宋体" w:hAnsi="宋体" w:cs="宋体"/>
          <w:color w:val="000000"/>
          <w:sz w:val="24"/>
          <w:szCs w:val="24"/>
        </w:rPr>
        <w:t>2.7乙方提供承诺的相关规定的运</w:t>
      </w:r>
      <w:r>
        <w:rPr>
          <w:rFonts w:hint="eastAsia" w:ascii="宋体" w:hAnsi="宋体" w:cs="宋体"/>
          <w:color w:val="000000"/>
          <w:sz w:val="24"/>
          <w:szCs w:val="24"/>
        </w:rPr>
        <w:t>维人员和运维服务，并如期完成业主单位规定的各阶段项目工作任务，并负责内部资源协调，以确保本项目所需的人力、技术等方面的保障。</w:t>
      </w:r>
    </w:p>
    <w:p>
      <w:pPr>
        <w:spacing w:line="360" w:lineRule="auto"/>
        <w:ind w:firstLine="463" w:firstLineChars="193"/>
        <w:rPr>
          <w:rFonts w:ascii="宋体" w:hAnsi="宋体" w:cs="宋体"/>
          <w:color w:val="000000"/>
          <w:sz w:val="24"/>
          <w:szCs w:val="24"/>
        </w:rPr>
      </w:pPr>
      <w:r>
        <w:rPr>
          <w:rFonts w:ascii="宋体" w:hAnsi="宋体" w:cs="宋体"/>
          <w:color w:val="000000"/>
          <w:sz w:val="24"/>
          <w:szCs w:val="24"/>
        </w:rPr>
        <w:t>2.8乙方须针对本次部署的软件提供技术培训服务，培训内容与方案由乙方自行设计。</w:t>
      </w:r>
    </w:p>
    <w:p>
      <w:pPr>
        <w:spacing w:line="360" w:lineRule="auto"/>
        <w:ind w:firstLine="463" w:firstLineChars="193"/>
        <w:rPr>
          <w:rFonts w:ascii="宋体" w:hAnsi="宋体" w:cs="宋体"/>
          <w:color w:val="000000"/>
          <w:sz w:val="24"/>
          <w:szCs w:val="24"/>
        </w:rPr>
      </w:pPr>
      <w:r>
        <w:rPr>
          <w:rFonts w:ascii="宋体" w:hAnsi="宋体" w:cs="宋体"/>
          <w:color w:val="000000"/>
          <w:sz w:val="24"/>
          <w:szCs w:val="24"/>
        </w:rPr>
        <w:t>2.9</w:t>
      </w:r>
      <w:r>
        <w:rPr>
          <w:rFonts w:hint="eastAsia" w:ascii="宋体" w:hAnsi="宋体" w:cs="宋体"/>
          <w:color w:val="000000"/>
          <w:sz w:val="24"/>
          <w:szCs w:val="24"/>
        </w:rPr>
        <w:t>乙方应为甲方提供</w:t>
      </w:r>
      <w:r>
        <w:rPr>
          <w:rFonts w:ascii="宋体" w:hAnsi="宋体" w:cs="宋体"/>
          <w:color w:val="000000"/>
          <w:sz w:val="24"/>
          <w:szCs w:val="24"/>
        </w:rPr>
        <w:t>7×24小时技术支持服务（包含电话支持、</w:t>
      </w:r>
      <w:r>
        <w:rPr>
          <w:rFonts w:hint="eastAsia" w:ascii="宋体" w:hAnsi="宋体" w:cs="宋体"/>
          <w:color w:val="000000"/>
          <w:sz w:val="24"/>
          <w:szCs w:val="24"/>
        </w:rPr>
        <w:t>远程支持以及现场服务）、定期巡检服务</w:t>
      </w:r>
      <w:r>
        <w:rPr>
          <w:rFonts w:ascii="宋体" w:hAnsi="宋体" w:cs="宋体"/>
          <w:color w:val="000000"/>
          <w:sz w:val="24"/>
          <w:szCs w:val="24"/>
        </w:rPr>
        <w:t>(对系统进行常规性压力测试和效能分析，以便对故障征兆提前预防)、技术支持咨询服务，以及特殊敏感时期的应急保障服务。</w:t>
      </w:r>
    </w:p>
    <w:p>
      <w:pPr>
        <w:spacing w:line="360" w:lineRule="auto"/>
        <w:ind w:firstLine="463" w:firstLineChars="193"/>
        <w:rPr>
          <w:rFonts w:ascii="宋体" w:hAnsi="宋体" w:cs="宋体"/>
          <w:color w:val="000000"/>
          <w:sz w:val="24"/>
          <w:szCs w:val="24"/>
        </w:rPr>
      </w:pPr>
      <w:r>
        <w:rPr>
          <w:rFonts w:ascii="宋体" w:hAnsi="宋体" w:cs="宋体"/>
          <w:color w:val="000000"/>
          <w:sz w:val="24"/>
          <w:szCs w:val="24"/>
        </w:rPr>
        <w:t>2.10在免费维护期内，乙方应为甲方提供软件模块问题的修正，以及在正常条件下保证系统正常稳定运行的版本更新升级及功能更新服务。</w:t>
      </w:r>
    </w:p>
    <w:p>
      <w:pPr>
        <w:spacing w:line="360" w:lineRule="auto"/>
        <w:ind w:firstLine="480" w:firstLineChars="200"/>
        <w:rPr>
          <w:rFonts w:ascii="宋体" w:hAnsi="宋体" w:cs="宋体"/>
          <w:color w:val="000000"/>
          <w:sz w:val="24"/>
          <w:szCs w:val="24"/>
        </w:rPr>
      </w:pPr>
      <w:r>
        <w:rPr>
          <w:rFonts w:ascii="宋体" w:hAnsi="宋体" w:cs="宋体"/>
          <w:color w:val="000000"/>
          <w:sz w:val="24"/>
          <w:szCs w:val="24"/>
        </w:rPr>
        <w:t>2.11</w:t>
      </w:r>
      <w:r>
        <w:rPr>
          <w:rFonts w:hint="eastAsia" w:ascii="宋体" w:hAnsi="宋体" w:cs="宋体"/>
          <w:color w:val="000000"/>
          <w:sz w:val="24"/>
          <w:szCs w:val="24"/>
        </w:rPr>
        <w:t>乙方除不可抗拒的因素（包含战争、自然灾害等）外，应在合同签订</w:t>
      </w:r>
      <w:r>
        <w:rPr>
          <w:rFonts w:hint="eastAsia" w:ascii="宋体" w:hAnsi="宋体" w:cs="宋体"/>
          <w:sz w:val="24"/>
          <w:szCs w:val="24"/>
        </w:rPr>
        <w:t>后的</w:t>
      </w:r>
      <w:r>
        <w:rPr>
          <w:rFonts w:ascii="宋体" w:hAnsi="宋体" w:cs="宋体"/>
          <w:sz w:val="24"/>
          <w:szCs w:val="24"/>
        </w:rPr>
        <w:t>1</w:t>
      </w:r>
      <w:r>
        <w:rPr>
          <w:rFonts w:hint="eastAsia" w:ascii="宋体" w:hAnsi="宋体" w:cs="宋体"/>
          <w:sz w:val="24"/>
          <w:szCs w:val="24"/>
        </w:rPr>
        <w:t>8</w:t>
      </w:r>
      <w:r>
        <w:rPr>
          <w:rFonts w:ascii="宋体" w:hAnsi="宋体" w:cs="宋体"/>
          <w:sz w:val="24"/>
          <w:szCs w:val="24"/>
        </w:rPr>
        <w:t>0</w:t>
      </w:r>
      <w:r>
        <w:rPr>
          <w:rFonts w:hint="eastAsia" w:ascii="宋体" w:hAnsi="宋体" w:cs="宋体"/>
          <w:sz w:val="24"/>
          <w:szCs w:val="24"/>
        </w:rPr>
        <w:t>个自</w:t>
      </w:r>
      <w:r>
        <w:rPr>
          <w:rFonts w:hint="eastAsia" w:ascii="宋体" w:hAnsi="宋体" w:cs="宋体"/>
          <w:color w:val="000000"/>
          <w:sz w:val="24"/>
          <w:szCs w:val="24"/>
        </w:rPr>
        <w:t>然日完成软硬件安装调试、软件开发、装修、移机等，完成初验。在合同签订后的270</w:t>
      </w:r>
      <w:r>
        <w:rPr>
          <w:rFonts w:ascii="宋体" w:hAnsi="宋体" w:cs="宋体"/>
          <w:color w:val="000000"/>
          <w:sz w:val="24"/>
          <w:szCs w:val="24"/>
        </w:rPr>
        <w:t>个自然日（包括</w:t>
      </w:r>
      <w:r>
        <w:rPr>
          <w:rFonts w:hint="eastAsia" w:ascii="宋体" w:hAnsi="宋体" w:cs="宋体"/>
          <w:color w:val="000000"/>
          <w:sz w:val="24"/>
          <w:szCs w:val="24"/>
        </w:rPr>
        <w:t>3个月试运行）完成最终验收并合格交付。误期赔偿按投标总价的0.1%每天计算，最高赔偿限额为投标总价的5%。</w:t>
      </w:r>
    </w:p>
    <w:p>
      <w:pPr>
        <w:spacing w:line="360" w:lineRule="auto"/>
        <w:ind w:firstLine="480" w:firstLineChars="200"/>
        <w:rPr>
          <w:rFonts w:ascii="宋体" w:hAnsi="宋体" w:cs="宋体"/>
          <w:color w:val="000000"/>
          <w:sz w:val="24"/>
          <w:szCs w:val="24"/>
        </w:rPr>
      </w:pPr>
      <w:r>
        <w:rPr>
          <w:rFonts w:ascii="宋体" w:hAnsi="宋体" w:cs="宋体"/>
          <w:color w:val="000000"/>
          <w:sz w:val="24"/>
          <w:szCs w:val="24"/>
        </w:rPr>
        <w:t>2.12</w:t>
      </w:r>
      <w:r>
        <w:rPr>
          <w:rFonts w:hint="eastAsia" w:ascii="宋体" w:hAnsi="宋体" w:cs="宋体"/>
          <w:color w:val="000000"/>
          <w:sz w:val="24"/>
          <w:szCs w:val="24"/>
        </w:rPr>
        <w:t>若乙方提供的日常运维服务未能达到要求或不能满足甲方的运维实战需求</w:t>
      </w:r>
      <w:r>
        <w:rPr>
          <w:rFonts w:ascii="宋体" w:hAnsi="宋体" w:cs="宋体"/>
          <w:color w:val="000000"/>
          <w:sz w:val="24"/>
          <w:szCs w:val="24"/>
        </w:rPr>
        <w:t>,甲方有权按照有关规定予以调整。</w:t>
      </w:r>
    </w:p>
    <w:p>
      <w:pPr>
        <w:spacing w:line="360" w:lineRule="auto"/>
        <w:ind w:firstLine="360" w:firstLineChars="150"/>
      </w:pPr>
      <w:r>
        <w:rPr>
          <w:rFonts w:hint="eastAsia" w:ascii="宋体" w:hAnsi="宋体" w:cs="宋体"/>
          <w:color w:val="000000"/>
          <w:sz w:val="24"/>
          <w:szCs w:val="24"/>
        </w:rPr>
        <w:t xml:space="preserve"> 2.13乙方应提供机房基础设施，满足甲方日常工作需求，费用包含在总价内，合同总价不作调整。</w:t>
      </w:r>
    </w:p>
    <w:p>
      <w:pPr>
        <w:spacing w:line="360" w:lineRule="auto"/>
        <w:ind w:firstLine="480" w:firstLineChars="200"/>
        <w:rPr>
          <w:rFonts w:ascii="宋体" w:hAnsi="宋体" w:cs="宋体"/>
          <w:color w:val="000000"/>
          <w:sz w:val="24"/>
          <w:szCs w:val="24"/>
        </w:rPr>
      </w:pPr>
      <w:r>
        <w:rPr>
          <w:rFonts w:ascii="宋体" w:hAnsi="宋体" w:cs="宋体"/>
          <w:color w:val="000000"/>
          <w:sz w:val="24"/>
          <w:szCs w:val="24"/>
        </w:rPr>
        <w:t>2.1</w:t>
      </w:r>
      <w:r>
        <w:rPr>
          <w:rFonts w:hint="eastAsia" w:ascii="宋体" w:hAnsi="宋体" w:cs="宋体"/>
          <w:color w:val="000000"/>
          <w:sz w:val="24"/>
          <w:szCs w:val="24"/>
        </w:rPr>
        <w:t>4乙方应提供详细的实施计划、工期，项目工期为</w:t>
      </w:r>
      <w:r>
        <w:rPr>
          <w:rFonts w:ascii="宋体" w:hAnsi="宋体" w:cs="宋体"/>
          <w:color w:val="000000"/>
          <w:sz w:val="24"/>
          <w:szCs w:val="24"/>
        </w:rPr>
        <w:t>180天，要求以月为</w:t>
      </w:r>
      <w:r>
        <w:rPr>
          <w:rFonts w:hint="eastAsia" w:ascii="宋体" w:hAnsi="宋体" w:cs="宋体"/>
          <w:color w:val="000000"/>
          <w:sz w:val="24"/>
          <w:szCs w:val="24"/>
        </w:rPr>
        <w:t>单位列出可量化的实施进、度，方便采购人监督。项目主要部分实施进度出现一个月以上的延期，甲方有权终止合同，由此造成的损失由乙方赔偿。</w:t>
      </w:r>
    </w:p>
    <w:p>
      <w:pPr>
        <w:pStyle w:val="142"/>
        <w:spacing w:line="360" w:lineRule="auto"/>
        <w:ind w:firstLine="480" w:firstLineChars="200"/>
        <w:rPr>
          <w:rFonts w:ascii="宋体" w:hAnsi="宋体" w:cs="宋体"/>
          <w:color w:val="000000"/>
          <w:sz w:val="24"/>
        </w:rPr>
      </w:pPr>
      <w:r>
        <w:rPr>
          <w:rFonts w:ascii="宋体" w:hAnsi="宋体" w:cs="宋体"/>
          <w:color w:val="000000"/>
          <w:sz w:val="24"/>
        </w:rPr>
        <w:t>2</w:t>
      </w:r>
      <w:r>
        <w:rPr>
          <w:rFonts w:hint="eastAsia" w:ascii="宋体" w:hAnsi="宋体" w:cs="宋体"/>
          <w:color w:val="000000"/>
          <w:sz w:val="24"/>
        </w:rPr>
        <w:t>.15未经甲方书面允许，乙方不得将合同产品的制造、安装工作转包</w:t>
      </w:r>
      <w:r>
        <w:rPr>
          <w:rFonts w:ascii="宋体" w:hAnsi="宋体" w:cs="宋体"/>
          <w:color w:val="000000"/>
          <w:sz w:val="24"/>
        </w:rPr>
        <w:t>或分包给第三方</w:t>
      </w:r>
      <w:r>
        <w:rPr>
          <w:rFonts w:hint="eastAsia" w:ascii="宋体" w:hAnsi="宋体" w:cs="宋体"/>
          <w:color w:val="000000"/>
          <w:sz w:val="24"/>
        </w:rPr>
        <w:t>。</w:t>
      </w:r>
    </w:p>
    <w:p>
      <w:pPr>
        <w:pStyle w:val="142"/>
        <w:spacing w:line="360" w:lineRule="auto"/>
        <w:ind w:firstLine="480" w:firstLineChars="200"/>
        <w:rPr>
          <w:rFonts w:ascii="宋体" w:hAnsi="宋体" w:cs="宋体"/>
          <w:color w:val="000000"/>
          <w:sz w:val="24"/>
        </w:rPr>
      </w:pPr>
      <w:r>
        <w:rPr>
          <w:rFonts w:ascii="宋体" w:hAnsi="宋体" w:cs="宋体"/>
          <w:color w:val="000000"/>
          <w:sz w:val="24"/>
        </w:rPr>
        <w:t>2.</w:t>
      </w:r>
      <w:bookmarkStart w:id="117" w:name="_Toc312677990"/>
      <w:r>
        <w:rPr>
          <w:rFonts w:hint="eastAsia" w:ascii="宋体" w:hAnsi="宋体" w:cs="宋体"/>
          <w:color w:val="000000"/>
          <w:sz w:val="24"/>
        </w:rPr>
        <w:t>16</w:t>
      </w:r>
      <w:bookmarkEnd w:id="117"/>
      <w:r>
        <w:rPr>
          <w:rFonts w:hint="eastAsia" w:ascii="宋体" w:hAnsi="宋体" w:cs="宋体"/>
          <w:color w:val="000000"/>
          <w:sz w:val="24"/>
        </w:rPr>
        <w:t>加固装饰分包要求具备相应资质的，经采购人同意，可将装饰或加固部分委托有相应资质（建筑装修装饰工程专业承包资质、特种工程专业承包（结构补强）资质）的单位负责项目施工，乙方需提供完整的项目施工方案及施工团队资料。施工队伍中所涉及的专业施工人员必须具备相应技术资格（项目班子成员要求：项目负责人1人，项目技术负责人1名，施工员 1 人，质检员 1 人,安全员1人。装修项目负责人：建筑工程专业注册建造师贰级及以上，同时具有“三类人员”安全生产考核B类合格证。）及丰富的工程施工经验，签署合同前提供分包合同。</w:t>
      </w:r>
    </w:p>
    <w:p>
      <w:pPr>
        <w:pStyle w:val="142"/>
        <w:spacing w:line="360" w:lineRule="auto"/>
        <w:ind w:firstLine="480" w:firstLineChars="200"/>
        <w:rPr>
          <w:rFonts w:ascii="宋体" w:hAnsi="宋体" w:cs="宋体"/>
          <w:color w:val="000000"/>
          <w:sz w:val="24"/>
        </w:rPr>
      </w:pPr>
      <w:bookmarkStart w:id="118" w:name="_Toc297048349"/>
      <w:bookmarkEnd w:id="118"/>
      <w:bookmarkStart w:id="119" w:name="_Toc296944502"/>
      <w:bookmarkEnd w:id="119"/>
      <w:bookmarkStart w:id="120" w:name="_Toc296891203"/>
      <w:bookmarkEnd w:id="120"/>
      <w:bookmarkStart w:id="121" w:name="_Toc296890991"/>
      <w:bookmarkEnd w:id="121"/>
      <w:bookmarkStart w:id="122" w:name="_Toc292559872"/>
      <w:bookmarkEnd w:id="122"/>
      <w:bookmarkStart w:id="123" w:name="_Toc296347162"/>
      <w:bookmarkEnd w:id="123"/>
      <w:bookmarkStart w:id="124" w:name="_Toc297120463"/>
      <w:bookmarkEnd w:id="124"/>
      <w:bookmarkStart w:id="125" w:name="_Toc292559367"/>
      <w:bookmarkEnd w:id="125"/>
      <w:bookmarkStart w:id="126" w:name="_Toc296503163"/>
      <w:bookmarkEnd w:id="126"/>
      <w:bookmarkStart w:id="127" w:name="_Toc296346664"/>
      <w:r>
        <w:rPr>
          <w:rFonts w:hint="eastAsia" w:ascii="宋体" w:hAnsi="宋体" w:cs="宋体"/>
          <w:color w:val="000000"/>
          <w:sz w:val="24"/>
        </w:rPr>
        <w:t>2.17加固装饰工程质量</w:t>
      </w:r>
      <w:bookmarkEnd w:id="127"/>
      <w:r>
        <w:rPr>
          <w:rFonts w:hint="eastAsia" w:ascii="宋体" w:hAnsi="宋体" w:cs="宋体"/>
          <w:color w:val="000000"/>
          <w:sz w:val="24"/>
        </w:rPr>
        <w:t>要符合现行国家有关工程施工质量验收规范和标准的要求。</w:t>
      </w:r>
    </w:p>
    <w:p>
      <w:pPr>
        <w:pStyle w:val="142"/>
        <w:spacing w:line="360" w:lineRule="auto"/>
        <w:ind w:firstLine="480" w:firstLineChars="200"/>
        <w:jc w:val="left"/>
        <w:rPr>
          <w:rFonts w:ascii="宋体" w:hAnsi="宋体"/>
          <w:sz w:val="24"/>
        </w:rPr>
      </w:pPr>
      <w:r>
        <w:rPr>
          <w:rFonts w:hint="eastAsia" w:ascii="宋体" w:hAnsi="宋体"/>
          <w:sz w:val="24"/>
        </w:rPr>
        <w:t>2.18隐蔽工程，</w:t>
      </w:r>
      <w:r>
        <w:rPr>
          <w:rFonts w:ascii="宋体" w:hAnsi="宋体"/>
          <w:sz w:val="24"/>
        </w:rPr>
        <w:t>乙方提前通知监理人隐蔽工程检查的期限的约定：</w:t>
      </w:r>
      <w:r>
        <w:rPr>
          <w:rFonts w:hint="eastAsia" w:ascii="宋体" w:hAnsi="宋体"/>
          <w:sz w:val="24"/>
        </w:rPr>
        <w:t>监理人不能按时进行检查时，应提前</w:t>
      </w:r>
      <w:r>
        <w:rPr>
          <w:rFonts w:ascii="宋体" w:hAnsi="宋体"/>
          <w:sz w:val="24"/>
        </w:rPr>
        <w:t>24</w:t>
      </w:r>
      <w:r>
        <w:rPr>
          <w:rFonts w:hint="eastAsia" w:ascii="宋体" w:hAnsi="宋体"/>
          <w:sz w:val="24"/>
        </w:rPr>
        <w:t>小时提交书面延期要求。关于延期最长不得超过</w:t>
      </w:r>
      <w:r>
        <w:rPr>
          <w:rFonts w:ascii="宋体" w:hAnsi="宋体"/>
          <w:sz w:val="24"/>
        </w:rPr>
        <w:t>48</w:t>
      </w:r>
      <w:r>
        <w:rPr>
          <w:rFonts w:hint="eastAsia" w:ascii="宋体" w:hAnsi="宋体"/>
          <w:sz w:val="24"/>
        </w:rPr>
        <w:t>小时。</w:t>
      </w:r>
    </w:p>
    <w:p>
      <w:pPr>
        <w:pStyle w:val="142"/>
        <w:spacing w:line="360" w:lineRule="auto"/>
        <w:ind w:firstLine="480" w:firstLineChars="200"/>
        <w:rPr>
          <w:rFonts w:ascii="宋体" w:hAnsi="宋体" w:cs="宋体"/>
          <w:color w:val="000000"/>
          <w:sz w:val="24"/>
        </w:rPr>
      </w:pPr>
      <w:bookmarkStart w:id="128" w:name="_Toc351203638"/>
      <w:bookmarkEnd w:id="128"/>
      <w:r>
        <w:rPr>
          <w:rFonts w:hint="eastAsia" w:ascii="宋体" w:hAnsi="宋体" w:cs="宋体"/>
          <w:color w:val="000000"/>
          <w:sz w:val="24"/>
        </w:rPr>
        <w:t>2.19</w:t>
      </w:r>
      <w:r>
        <w:rPr>
          <w:rFonts w:ascii="宋体" w:hAnsi="宋体" w:cs="宋体"/>
          <w:color w:val="000000"/>
          <w:sz w:val="24"/>
        </w:rPr>
        <w:t xml:space="preserve">. </w:t>
      </w:r>
      <w:r>
        <w:rPr>
          <w:rFonts w:hint="eastAsia" w:ascii="宋体" w:hAnsi="宋体" w:cs="宋体"/>
          <w:color w:val="000000"/>
          <w:sz w:val="24"/>
        </w:rPr>
        <w:t>乙方要安全文明施工，项目安全生产的达标目标及相应事项的约定：执行苍住建</w:t>
      </w:r>
      <w:r>
        <w:rPr>
          <w:rFonts w:ascii="宋体" w:hAnsi="宋体" w:cs="宋体"/>
          <w:color w:val="000000"/>
          <w:sz w:val="24"/>
        </w:rPr>
        <w:t>[2012]238号</w:t>
      </w:r>
      <w:r>
        <w:rPr>
          <w:rFonts w:hint="eastAsia" w:ascii="宋体" w:hAnsi="宋体" w:cs="宋体"/>
          <w:color w:val="000000"/>
          <w:sz w:val="24"/>
        </w:rPr>
        <w:t>和</w:t>
      </w:r>
      <w:r>
        <w:rPr>
          <w:rFonts w:ascii="宋体" w:hAnsi="宋体" w:cs="宋体"/>
          <w:color w:val="000000"/>
          <w:sz w:val="24"/>
        </w:rPr>
        <w:t>《关于全面开展安全生产文明施工标准化工地创建活动的通知》等政府相关示范性文件。</w:t>
      </w:r>
    </w:p>
    <w:p>
      <w:pPr>
        <w:pStyle w:val="142"/>
        <w:spacing w:line="360" w:lineRule="auto"/>
        <w:ind w:firstLine="480" w:firstLineChars="200"/>
        <w:jc w:val="left"/>
        <w:rPr>
          <w:rFonts w:ascii="宋体" w:hAnsi="宋体"/>
          <w:sz w:val="24"/>
        </w:rPr>
      </w:pPr>
      <w:r>
        <w:rPr>
          <w:rFonts w:hint="eastAsia" w:ascii="宋体" w:hAnsi="宋体"/>
          <w:sz w:val="24"/>
        </w:rPr>
        <w:t>2</w:t>
      </w:r>
      <w:r>
        <w:rPr>
          <w:rFonts w:ascii="宋体" w:hAnsi="宋体"/>
          <w:sz w:val="24"/>
        </w:rPr>
        <w:t>.</w:t>
      </w:r>
      <w:r>
        <w:rPr>
          <w:rFonts w:hint="eastAsia" w:ascii="宋体" w:hAnsi="宋体"/>
          <w:sz w:val="24"/>
        </w:rPr>
        <w:t>20乙方承担施工安全保卫工作和责任（包括夜间施工照明，施工现场的夜间照明线路必须单独敷设），并承担各级政府管理部门所要求的以及引起的所有经济和法律责任。</w:t>
      </w:r>
    </w:p>
    <w:p>
      <w:pPr>
        <w:pStyle w:val="142"/>
        <w:spacing w:line="360" w:lineRule="auto"/>
        <w:ind w:firstLine="480" w:firstLineChars="200"/>
        <w:jc w:val="left"/>
        <w:rPr>
          <w:rFonts w:ascii="宋体" w:hAnsi="宋体"/>
          <w:sz w:val="24"/>
        </w:rPr>
      </w:pPr>
      <w:r>
        <w:rPr>
          <w:rFonts w:hint="eastAsia" w:ascii="宋体" w:hAnsi="宋体"/>
          <w:sz w:val="24"/>
        </w:rPr>
        <w:t>2.21乙方应当在接到保修通知之日起</w:t>
      </w:r>
      <w:r>
        <w:rPr>
          <w:rFonts w:ascii="宋体" w:hAnsi="宋体"/>
          <w:sz w:val="24"/>
        </w:rPr>
        <w:t>2天内派人保修。</w:t>
      </w:r>
    </w:p>
    <w:p>
      <w:pPr>
        <w:pStyle w:val="142"/>
        <w:spacing w:line="360" w:lineRule="auto"/>
        <w:ind w:firstLine="480" w:firstLineChars="200"/>
        <w:jc w:val="left"/>
        <w:rPr>
          <w:rFonts w:ascii="宋体" w:hAnsi="宋体"/>
          <w:sz w:val="24"/>
        </w:rPr>
      </w:pPr>
      <w:r>
        <w:rPr>
          <w:rFonts w:hint="eastAsia" w:ascii="宋体" w:hAnsi="宋体"/>
          <w:sz w:val="24"/>
        </w:rPr>
        <w:t>2.21乙方应为从事危险作业职工的意外伤害险、施工人员人身安全保险以及施工机械设备的财产险、第三方责任险等。乙方应为本方人员的生命财产险；乙方应为施工现场的全部人员（监理人员等，除甲方人员外）办理意外伤害保险。</w:t>
      </w:r>
    </w:p>
    <w:p>
      <w:pPr>
        <w:numPr>
          <w:ilvl w:val="0"/>
          <w:numId w:val="17"/>
        </w:numPr>
        <w:tabs>
          <w:tab w:val="left" w:pos="1080"/>
          <w:tab w:val="clear" w:pos="900"/>
        </w:tabs>
        <w:spacing w:line="360" w:lineRule="auto"/>
        <w:ind w:left="1080" w:hanging="1080"/>
        <w:rPr>
          <w:rFonts w:ascii="宋体" w:hAnsi="宋体" w:cs="宋体"/>
          <w:sz w:val="24"/>
          <w:szCs w:val="24"/>
        </w:rPr>
      </w:pPr>
      <w:r>
        <w:rPr>
          <w:rFonts w:hint="eastAsia" w:ascii="宋体" w:hAnsi="宋体" w:cs="宋体"/>
          <w:sz w:val="24"/>
          <w:szCs w:val="24"/>
        </w:rPr>
        <w:t>费用及支付方式</w:t>
      </w:r>
    </w:p>
    <w:p>
      <w:pPr>
        <w:spacing w:line="360" w:lineRule="auto"/>
        <w:ind w:firstLine="480" w:firstLineChars="200"/>
        <w:rPr>
          <w:rFonts w:ascii="宋体" w:hAnsi="宋体" w:cs="宋体"/>
          <w:sz w:val="24"/>
          <w:szCs w:val="24"/>
        </w:rPr>
      </w:pPr>
      <w:r>
        <w:rPr>
          <w:rFonts w:ascii="宋体" w:hAnsi="宋体" w:cs="宋体"/>
          <w:sz w:val="24"/>
          <w:szCs w:val="24"/>
        </w:rPr>
        <w:t>1</w:t>
      </w:r>
      <w:r>
        <w:rPr>
          <w:rFonts w:hint="eastAsia" w:ascii="宋体" w:hAnsi="宋体" w:cs="宋体"/>
          <w:sz w:val="24"/>
          <w:szCs w:val="24"/>
        </w:rPr>
        <w:t>.</w:t>
      </w:r>
      <w:r>
        <w:rPr>
          <w:rFonts w:ascii="宋体" w:hAnsi="宋体" w:cs="宋体"/>
          <w:sz w:val="24"/>
          <w:szCs w:val="24"/>
        </w:rPr>
        <w:t xml:space="preserve">项目总价计人民币              </w:t>
      </w:r>
      <w:r>
        <w:rPr>
          <w:rFonts w:hint="eastAsia" w:ascii="宋体" w:hAnsi="宋体" w:cs="宋体"/>
          <w:sz w:val="24"/>
          <w:szCs w:val="24"/>
        </w:rPr>
        <w:t>元，大写：元整。</w:t>
      </w:r>
    </w:p>
    <w:p>
      <w:pPr>
        <w:snapToGrid w:val="0"/>
        <w:spacing w:line="360" w:lineRule="auto"/>
        <w:ind w:firstLine="482"/>
        <w:rPr>
          <w:rFonts w:ascii="宋体" w:hAnsi="宋体" w:cs="宋体"/>
          <w:sz w:val="24"/>
          <w:szCs w:val="24"/>
        </w:rPr>
      </w:pPr>
      <w:r>
        <w:rPr>
          <w:rFonts w:ascii="宋体" w:hAnsi="宋体" w:cs="宋体"/>
          <w:sz w:val="24"/>
          <w:szCs w:val="24"/>
        </w:rPr>
        <w:t>2</w:t>
      </w:r>
      <w:r>
        <w:rPr>
          <w:rFonts w:hint="eastAsia" w:ascii="宋体" w:hAnsi="宋体" w:cs="宋体"/>
          <w:sz w:val="24"/>
          <w:szCs w:val="24"/>
        </w:rPr>
        <w:t>.</w:t>
      </w:r>
      <w:r>
        <w:rPr>
          <w:rFonts w:hint="eastAsia" w:ascii="宋体" w:hAnsi="宋体" w:cs="宋体"/>
          <w:color w:val="000000"/>
          <w:sz w:val="24"/>
          <w:szCs w:val="24"/>
        </w:rPr>
        <w:t>付款方式：乙方签订合同并且人员进场后</w:t>
      </w:r>
      <w:r>
        <w:rPr>
          <w:rFonts w:ascii="宋体" w:hAnsi="宋体" w:cs="宋体"/>
          <w:color w:val="000000"/>
          <w:sz w:val="24"/>
          <w:szCs w:val="24"/>
        </w:rPr>
        <w:t>5个工作日内支付合同总价30%</w:t>
      </w:r>
      <w:r>
        <w:rPr>
          <w:rFonts w:hint="eastAsia" w:ascii="宋体" w:hAnsi="宋体" w:cs="宋体"/>
          <w:sz w:val="24"/>
          <w:szCs w:val="24"/>
        </w:rPr>
        <w:t>；验收合格后支付合同总价</w:t>
      </w:r>
      <w:r>
        <w:rPr>
          <w:rFonts w:ascii="宋体" w:hAnsi="宋体" w:cs="宋体"/>
          <w:sz w:val="24"/>
          <w:szCs w:val="24"/>
        </w:rPr>
        <w:t>50</w:t>
      </w:r>
      <w:r>
        <w:rPr>
          <w:rFonts w:hint="eastAsia" w:ascii="宋体" w:hAnsi="宋体" w:cs="宋体"/>
          <w:sz w:val="24"/>
          <w:szCs w:val="24"/>
        </w:rPr>
        <w:t>%；运维使用</w:t>
      </w:r>
      <w:r>
        <w:rPr>
          <w:rFonts w:ascii="宋体" w:hAnsi="宋体" w:cs="宋体"/>
          <w:sz w:val="24"/>
          <w:szCs w:val="24"/>
        </w:rPr>
        <w:t>1年后，无发现质保及运</w:t>
      </w:r>
      <w:r>
        <w:rPr>
          <w:rFonts w:hint="eastAsia" w:ascii="宋体" w:hAnsi="宋体" w:cs="宋体"/>
          <w:sz w:val="24"/>
          <w:szCs w:val="24"/>
        </w:rPr>
        <w:t>维问题的，支付合同总价剩余的20</w:t>
      </w:r>
      <w:r>
        <w:rPr>
          <w:rFonts w:ascii="宋体" w:hAnsi="宋体" w:cs="宋体"/>
          <w:sz w:val="24"/>
          <w:szCs w:val="24"/>
        </w:rPr>
        <w:t>%</w:t>
      </w:r>
      <w:r>
        <w:rPr>
          <w:rFonts w:hint="eastAsia" w:ascii="宋体" w:hAnsi="宋体" w:cs="宋体"/>
          <w:sz w:val="24"/>
          <w:szCs w:val="24"/>
        </w:rPr>
        <w:t>，</w:t>
      </w:r>
      <w:r>
        <w:rPr>
          <w:rFonts w:ascii="宋体" w:hAnsi="宋体" w:cs="宋体"/>
          <w:sz w:val="24"/>
          <w:szCs w:val="24"/>
        </w:rPr>
        <w:t>中标人应向被采购单位提供足额税务发票。</w:t>
      </w:r>
    </w:p>
    <w:p>
      <w:pPr>
        <w:snapToGrid w:val="0"/>
        <w:spacing w:line="360" w:lineRule="auto"/>
        <w:ind w:firstLine="482"/>
        <w:rPr>
          <w:rFonts w:ascii="宋体" w:hAnsi="宋体" w:cs="宋体"/>
          <w:sz w:val="24"/>
          <w:szCs w:val="24"/>
        </w:rPr>
      </w:pPr>
      <w:r>
        <w:rPr>
          <w:rFonts w:hint="eastAsia" w:ascii="宋体" w:hAnsi="宋体" w:cs="宋体"/>
          <w:sz w:val="24"/>
          <w:szCs w:val="24"/>
        </w:rPr>
        <w:t>3.合同签订前提供5%履行保证金（或质保函），合同有效期结束后，无发现履行合同问题的，无息退还履行保证金（或质保函）。</w:t>
      </w:r>
    </w:p>
    <w:p>
      <w:pPr>
        <w:spacing w:line="360" w:lineRule="auto"/>
        <w:ind w:firstLine="480" w:firstLineChars="200"/>
        <w:rPr>
          <w:rFonts w:ascii="宋体" w:hAnsi="宋体" w:cs="宋体"/>
          <w:sz w:val="24"/>
          <w:szCs w:val="24"/>
        </w:rPr>
      </w:pPr>
      <w:r>
        <w:rPr>
          <w:rFonts w:hint="eastAsia" w:ascii="宋体" w:hAnsi="宋体" w:cs="宋体"/>
          <w:sz w:val="24"/>
          <w:szCs w:val="24"/>
        </w:rPr>
        <w:t>4.甲方及其下属机构使用本合同约定的服务产生的费用，按照下述方式，由甲方及其下属机构以银行转账、电汇、支票等方式付至乙方及其下属机构。甲方直接向乙方支付。乙方信息如下：</w:t>
      </w:r>
    </w:p>
    <w:p>
      <w:pPr>
        <w:spacing w:line="360" w:lineRule="auto"/>
        <w:ind w:firstLine="480" w:firstLineChars="200"/>
        <w:rPr>
          <w:rFonts w:ascii="宋体" w:hAnsi="宋体" w:cs="宋体"/>
          <w:sz w:val="24"/>
          <w:szCs w:val="24"/>
        </w:rPr>
      </w:pPr>
      <w:r>
        <w:rPr>
          <w:rFonts w:hint="eastAsia" w:ascii="宋体" w:hAnsi="宋体" w:cs="宋体"/>
          <w:sz w:val="24"/>
          <w:szCs w:val="24"/>
        </w:rPr>
        <w:t>开户行：</w:t>
      </w:r>
    </w:p>
    <w:p>
      <w:pPr>
        <w:spacing w:line="360" w:lineRule="auto"/>
        <w:ind w:firstLine="480" w:firstLineChars="200"/>
        <w:rPr>
          <w:rFonts w:ascii="宋体" w:hAnsi="宋体" w:cs="宋体"/>
          <w:sz w:val="24"/>
          <w:szCs w:val="24"/>
        </w:rPr>
      </w:pPr>
      <w:r>
        <w:rPr>
          <w:rFonts w:hint="eastAsia" w:ascii="宋体" w:hAnsi="宋体" w:cs="宋体"/>
          <w:sz w:val="24"/>
          <w:szCs w:val="24"/>
        </w:rPr>
        <w:t>银行地址：</w:t>
      </w:r>
    </w:p>
    <w:p>
      <w:pPr>
        <w:spacing w:line="360" w:lineRule="auto"/>
        <w:ind w:firstLine="480" w:firstLineChars="200"/>
        <w:rPr>
          <w:rFonts w:ascii="宋体" w:hAnsi="宋体" w:cs="宋体"/>
          <w:sz w:val="24"/>
          <w:szCs w:val="24"/>
        </w:rPr>
      </w:pPr>
      <w:r>
        <w:rPr>
          <w:rFonts w:hint="eastAsia" w:ascii="宋体" w:hAnsi="宋体" w:cs="宋体"/>
          <w:sz w:val="24"/>
          <w:szCs w:val="24"/>
        </w:rPr>
        <w:t>户名：</w:t>
      </w:r>
    </w:p>
    <w:p>
      <w:pPr>
        <w:spacing w:line="360" w:lineRule="auto"/>
        <w:ind w:firstLine="480" w:firstLineChars="200"/>
        <w:rPr>
          <w:rFonts w:ascii="宋体" w:hAnsi="宋体" w:cs="宋体"/>
          <w:sz w:val="24"/>
          <w:szCs w:val="24"/>
        </w:rPr>
      </w:pPr>
      <w:r>
        <w:rPr>
          <w:rFonts w:hint="eastAsia" w:ascii="宋体" w:hAnsi="宋体" w:cs="宋体"/>
          <w:sz w:val="24"/>
          <w:szCs w:val="24"/>
        </w:rPr>
        <w:t>账号：</w:t>
      </w:r>
    </w:p>
    <w:p>
      <w:pPr>
        <w:spacing w:line="360" w:lineRule="auto"/>
        <w:ind w:firstLine="480" w:firstLineChars="200"/>
        <w:rPr>
          <w:rFonts w:ascii="宋体" w:hAnsi="宋体" w:cs="宋体"/>
          <w:sz w:val="24"/>
          <w:szCs w:val="24"/>
        </w:rPr>
      </w:pPr>
      <w:r>
        <w:rPr>
          <w:rFonts w:hint="eastAsia" w:ascii="宋体" w:hAnsi="宋体" w:cs="宋体"/>
          <w:sz w:val="24"/>
          <w:szCs w:val="24"/>
        </w:rPr>
        <w:t>纳税人识别号：</w:t>
      </w:r>
    </w:p>
    <w:p>
      <w:pPr>
        <w:spacing w:line="360" w:lineRule="auto"/>
        <w:ind w:firstLine="480" w:firstLineChars="200"/>
        <w:rPr>
          <w:rFonts w:ascii="宋体" w:hAnsi="宋体" w:cs="宋体"/>
          <w:sz w:val="24"/>
          <w:szCs w:val="24"/>
        </w:rPr>
      </w:pPr>
      <w:r>
        <w:rPr>
          <w:rFonts w:hint="eastAsia" w:ascii="宋体" w:hAnsi="宋体" w:cs="宋体"/>
          <w:sz w:val="24"/>
          <w:szCs w:val="24"/>
        </w:rPr>
        <w:t>5、质保期间，若乙方违反质保约定和运维服务约定内容的，甲方有权优先从履约保证金中扣除违约款项。若履约保证金不够扣除的，甲方有权向乙方索要。</w:t>
      </w:r>
    </w:p>
    <w:p>
      <w:pPr>
        <w:numPr>
          <w:ilvl w:val="0"/>
          <w:numId w:val="17"/>
        </w:numPr>
        <w:tabs>
          <w:tab w:val="left" w:pos="1080"/>
          <w:tab w:val="clear" w:pos="900"/>
        </w:tabs>
        <w:spacing w:line="360" w:lineRule="auto"/>
        <w:ind w:left="1080" w:hanging="1080"/>
        <w:rPr>
          <w:rFonts w:ascii="宋体" w:hAnsi="宋体" w:cs="宋体"/>
          <w:sz w:val="24"/>
          <w:szCs w:val="24"/>
        </w:rPr>
      </w:pPr>
      <w:r>
        <w:rPr>
          <w:rFonts w:hint="eastAsia" w:ascii="宋体" w:hAnsi="宋体" w:cs="宋体"/>
          <w:sz w:val="24"/>
          <w:szCs w:val="24"/>
        </w:rPr>
        <w:t>项目实施时间</w:t>
      </w:r>
    </w:p>
    <w:p>
      <w:pPr>
        <w:spacing w:line="360" w:lineRule="auto"/>
        <w:ind w:firstLine="480" w:firstLineChars="200"/>
        <w:rPr>
          <w:rFonts w:ascii="宋体" w:hAnsi="宋体" w:cs="宋体"/>
          <w:sz w:val="24"/>
          <w:szCs w:val="24"/>
        </w:rPr>
      </w:pPr>
      <w:r>
        <w:rPr>
          <w:rFonts w:hint="eastAsia" w:ascii="宋体" w:hAnsi="宋体" w:cs="宋体"/>
          <w:sz w:val="24"/>
          <w:szCs w:val="24"/>
        </w:rPr>
        <w:t>（一）整体项目自合同签订之日起至项目验收合格并交付甲方，时间最长不得超过8个月。</w:t>
      </w:r>
    </w:p>
    <w:p>
      <w:pPr>
        <w:spacing w:line="360" w:lineRule="auto"/>
        <w:ind w:firstLine="480" w:firstLineChars="200"/>
        <w:rPr>
          <w:rFonts w:ascii="宋体" w:hAnsi="宋体" w:cs="宋体"/>
          <w:sz w:val="24"/>
          <w:szCs w:val="24"/>
        </w:rPr>
      </w:pPr>
      <w:r>
        <w:rPr>
          <w:rFonts w:hint="eastAsia" w:ascii="宋体" w:hAnsi="宋体" w:cs="宋体"/>
          <w:sz w:val="24"/>
          <w:szCs w:val="24"/>
        </w:rPr>
        <w:t>（二）自合同签订之日起60日内，完成机房的装修加固工作及所有软硬件产品到货，并完成安装和测试工作。</w:t>
      </w:r>
    </w:p>
    <w:p>
      <w:pPr>
        <w:pStyle w:val="2"/>
        <w:ind w:firstLine="480" w:firstLineChars="200"/>
      </w:pPr>
      <w:r>
        <w:rPr>
          <w:rFonts w:hint="eastAsia" w:ascii="宋体" w:hAnsi="宋体" w:cs="宋体"/>
          <w:sz w:val="24"/>
          <w:szCs w:val="24"/>
        </w:rPr>
        <w:t>（三）自合同签订之日起150日内，完成本项目建设工作，初步验收合格之后，进入3个月试运行。</w:t>
      </w:r>
    </w:p>
    <w:p>
      <w:pPr>
        <w:spacing w:line="360" w:lineRule="auto"/>
        <w:ind w:firstLine="480" w:firstLineChars="200"/>
        <w:rPr>
          <w:rFonts w:ascii="宋体" w:hAnsi="宋体" w:cs="宋体"/>
          <w:sz w:val="24"/>
          <w:szCs w:val="24"/>
        </w:rPr>
      </w:pPr>
      <w:r>
        <w:rPr>
          <w:rFonts w:hint="eastAsia" w:ascii="宋体" w:hAnsi="宋体" w:cs="宋体"/>
          <w:sz w:val="24"/>
          <w:szCs w:val="24"/>
        </w:rPr>
        <w:t>（四）8个月内最终验收合格交付。成交供应商</w:t>
      </w:r>
      <w:r>
        <w:rPr>
          <w:rFonts w:ascii="宋体" w:hAnsi="宋体" w:cs="宋体"/>
          <w:sz w:val="24"/>
          <w:szCs w:val="24"/>
        </w:rPr>
        <w:t>应提供详细的实施计划、工期，要求以月为单位列出可量化的实施进度，方便采购人监督。项目主要部分实施进度出现一个月以上的延期，采购人有权终止合同，由此造成的损失由中标供应商赔偿。</w:t>
      </w:r>
    </w:p>
    <w:p>
      <w:pPr>
        <w:numPr>
          <w:ilvl w:val="0"/>
          <w:numId w:val="17"/>
        </w:numPr>
        <w:tabs>
          <w:tab w:val="left" w:pos="1080"/>
          <w:tab w:val="clear" w:pos="900"/>
        </w:tabs>
        <w:spacing w:line="360" w:lineRule="auto"/>
        <w:ind w:left="1080" w:hanging="1080"/>
        <w:rPr>
          <w:rFonts w:ascii="宋体" w:hAnsi="宋体" w:cs="宋体"/>
          <w:sz w:val="24"/>
          <w:szCs w:val="24"/>
        </w:rPr>
      </w:pPr>
      <w:r>
        <w:rPr>
          <w:rFonts w:hint="eastAsia" w:ascii="宋体" w:hAnsi="宋体" w:cs="宋体"/>
          <w:sz w:val="24"/>
          <w:szCs w:val="24"/>
        </w:rPr>
        <w:t>项目完工与验收</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（一）项目竣工</w:t>
      </w:r>
    </w:p>
    <w:p>
      <w:pPr>
        <w:spacing w:line="480" w:lineRule="exact"/>
        <w:ind w:left="231" w:leftChars="110" w:firstLine="240" w:firstLineChars="100"/>
        <w:jc w:val="left"/>
        <w:rPr>
          <w:rFonts w:ascii="宋体" w:hAnsi="宋体" w:cs="宋体"/>
          <w:sz w:val="24"/>
          <w:szCs w:val="24"/>
        </w:rPr>
      </w:pPr>
      <w:r>
        <w:rPr>
          <w:rFonts w:hint="eastAsia" w:ascii="宋体" w:hAnsi="宋体" w:cs="宋体"/>
          <w:sz w:val="24"/>
          <w:szCs w:val="24"/>
        </w:rPr>
        <w:t>　1、竣工标准</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（1）以本项目建设的苍南县公安局**数据中心机房是否符合招投标文件以及标准机房建设的要求，机房搬迁是否满足公安主要业务7*24小时不中断搬迁的要求。</w:t>
      </w:r>
    </w:p>
    <w:p>
      <w:pPr>
        <w:pStyle w:val="2"/>
      </w:pPr>
      <w:r>
        <w:rPr>
          <w:rFonts w:hint="eastAsia" w:ascii="宋体" w:hAnsi="宋体" w:cs="宋体"/>
          <w:sz w:val="24"/>
          <w:szCs w:val="24"/>
        </w:rPr>
        <w:t>（2）要求出具加固行业内资质符合甲方要求的第三方测试报告。</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（3）硬件设备、软件系统要达到招标文件和甲方要求。</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（4）售后运维方案及运维管理工作要达到标准及甲方要求。</w:t>
      </w:r>
    </w:p>
    <w:p>
      <w:pPr>
        <w:spacing w:line="480" w:lineRule="exact"/>
        <w:ind w:firstLine="240" w:firstLineChars="100"/>
        <w:jc w:val="left"/>
        <w:rPr>
          <w:rFonts w:ascii="宋体" w:hAnsi="宋体" w:cs="宋体"/>
          <w:sz w:val="24"/>
          <w:szCs w:val="24"/>
        </w:rPr>
      </w:pPr>
      <w:r>
        <w:rPr>
          <w:rFonts w:hint="eastAsia" w:ascii="宋体" w:hAnsi="宋体" w:cs="宋体"/>
          <w:sz w:val="24"/>
          <w:szCs w:val="24"/>
        </w:rPr>
        <w:t>　2、乙方完成项目所有建设内容并经测试后，向甲方提交完工申请，乙方在接到甲方的完工申请后应及时对项目完工情况进行确认，如无问题，甲方在收到完工申请之日起7日内签署完工报告。如甲方有异议，甲方书面通知乙方，由双方协调解决。</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（二）项目验收</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本项目验收程序要按《苍南县公安局科技建设项目管理办法（试行）》要求进行验收。</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1、初验。双方签署完工报告之日起，180日内，乙方应向甲方提交项目初验书面申请，并提交按甲方要求编制完成的竣工验收资料。甲方于收到申请及资料后7个工作日内指派项目技术人员和代表与乙方共同进行初步验收，经检查测试符合本合同验收测试标准的，则由甲方签署乙方提交的项目初步验收合格证明。初步验收不合格的，乙方应立即进行重新调试，直至测试结果符合本合同验收测试标准，由此产生的费用由乙方承担。</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2、试运行。项目初验合格后，所有项目建设项目试运行3个月，并做好试运行期间运维记录。</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3、终验。经试运行，项目所有建设项目没有发现异常情况，符合终验要求的，乙方应向甲方提交项目最终验收书面申请，甲方于收到申请及资料后20个工作日内组织专家评审验收，经验收合格的，则由甲方提供验收合格证明。验收不合格的，乙方应立即进行整改，直至结果符合本合同验收标准，由此产生的费用由乙方承担。</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4、交付。项目自双方最终验收合格之日起，乙方以本项目内容及功能，向甲方提供服务。</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5、因甲方要求改变方案或其他非乙方原因导致工期延误的，经甲方书面确认，工期应按照甲方确认的延误期间作相应顺延，且乙方无需就已确认的延误期间承担延期的违约责任。</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6、项目验收及系统运行适用以下标准</w:t>
      </w:r>
    </w:p>
    <w:p>
      <w:pPr>
        <w:spacing w:line="480" w:lineRule="exact"/>
        <w:ind w:firstLine="240" w:firstLineChars="100"/>
        <w:jc w:val="left"/>
        <w:rPr>
          <w:rFonts w:ascii="宋体" w:hAnsi="宋体" w:cs="宋体"/>
          <w:sz w:val="24"/>
          <w:szCs w:val="24"/>
        </w:rPr>
      </w:pPr>
      <w:r>
        <w:rPr>
          <w:rFonts w:hint="eastAsia" w:ascii="宋体" w:hAnsi="宋体" w:cs="宋体"/>
          <w:sz w:val="24"/>
          <w:szCs w:val="24"/>
        </w:rPr>
        <w:t>（1）国家、地方、行业相关强制性标准。</w:t>
      </w:r>
    </w:p>
    <w:p>
      <w:pPr>
        <w:spacing w:line="480" w:lineRule="exact"/>
        <w:ind w:firstLine="240" w:firstLineChars="100"/>
        <w:jc w:val="left"/>
        <w:rPr>
          <w:rFonts w:ascii="宋体" w:hAnsi="宋体" w:cs="宋体"/>
          <w:sz w:val="24"/>
          <w:szCs w:val="24"/>
        </w:rPr>
      </w:pPr>
      <w:r>
        <w:rPr>
          <w:rFonts w:hint="eastAsia" w:ascii="宋体" w:hAnsi="宋体" w:cs="宋体"/>
          <w:sz w:val="24"/>
          <w:szCs w:val="24"/>
        </w:rPr>
        <w:t>（2）本合同约定的相关专业技术规范。</w:t>
      </w:r>
    </w:p>
    <w:p>
      <w:pPr>
        <w:spacing w:line="480" w:lineRule="exact"/>
        <w:ind w:firstLine="240" w:firstLineChars="100"/>
        <w:jc w:val="left"/>
        <w:rPr>
          <w:rFonts w:ascii="宋体" w:hAnsi="宋体" w:cs="宋体"/>
          <w:sz w:val="24"/>
          <w:szCs w:val="24"/>
        </w:rPr>
      </w:pPr>
      <w:r>
        <w:rPr>
          <w:rFonts w:hint="eastAsia" w:ascii="宋体" w:hAnsi="宋体" w:cs="宋体"/>
          <w:sz w:val="24"/>
          <w:szCs w:val="24"/>
        </w:rPr>
        <w:t>（3）审定的项目建设方案和双方书面认可的其他资料。</w:t>
      </w:r>
    </w:p>
    <w:p>
      <w:pPr>
        <w:spacing w:line="480" w:lineRule="exact"/>
        <w:ind w:firstLine="240" w:firstLineChars="100"/>
        <w:jc w:val="left"/>
        <w:rPr>
          <w:rFonts w:ascii="宋体" w:hAnsi="宋体" w:cs="宋体"/>
          <w:sz w:val="24"/>
          <w:szCs w:val="24"/>
        </w:rPr>
      </w:pPr>
      <w:r>
        <w:rPr>
          <w:rFonts w:hint="eastAsia" w:ascii="宋体" w:hAnsi="宋体" w:cs="宋体"/>
          <w:sz w:val="24"/>
          <w:szCs w:val="24"/>
        </w:rPr>
        <w:t>上述标准不一致时，以要求较高者为准。</w:t>
      </w:r>
    </w:p>
    <w:p>
      <w:pPr>
        <w:numPr>
          <w:ilvl w:val="0"/>
          <w:numId w:val="17"/>
        </w:numPr>
        <w:tabs>
          <w:tab w:val="left" w:pos="1080"/>
          <w:tab w:val="clear" w:pos="900"/>
        </w:tabs>
        <w:spacing w:line="360" w:lineRule="auto"/>
        <w:ind w:left="1080" w:hanging="1080"/>
        <w:rPr>
          <w:rFonts w:ascii="宋体" w:hAnsi="宋体" w:cs="宋体"/>
          <w:sz w:val="24"/>
          <w:szCs w:val="24"/>
        </w:rPr>
      </w:pPr>
      <w:r>
        <w:rPr>
          <w:rFonts w:hint="eastAsia" w:ascii="宋体" w:hAnsi="宋体" w:cs="宋体"/>
          <w:sz w:val="24"/>
          <w:szCs w:val="24"/>
        </w:rPr>
        <w:t>合同的变更、解除</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（一）在合同有效期内双方中任何一方欲变更或解除合同必须采取书面形式，口头无效，解除合同需提前一个月向对方提出。</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（二）甲方在乙方违约的情况下，如果发生下列情况之一，可以变更部分合同内容或解除合同：</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1、乙方未能在合同规定的期限内或甲方同意延长的期限内提供货物、维护和其他服务。</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2、乙方提供的产品质量、配置不符合国家规定和承诺的标准，没有按承诺的价格或优惠率签订合同并供货。</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3、乙方未能履行合同规定的任何其他义务。乙方在收到甲方发出的违约通知后</w:t>
      </w:r>
      <w:r>
        <w:rPr>
          <w:rFonts w:ascii="宋体" w:hAnsi="宋体" w:cs="宋体"/>
          <w:sz w:val="24"/>
          <w:szCs w:val="24"/>
        </w:rPr>
        <w:t>30</w:t>
      </w:r>
      <w:r>
        <w:rPr>
          <w:rFonts w:hint="eastAsia" w:ascii="宋体" w:hAnsi="宋体" w:cs="宋体"/>
          <w:sz w:val="24"/>
          <w:szCs w:val="24"/>
        </w:rPr>
        <w:t>天内，或经甲方书面认可延长的时间内未能纠正其过失。甲方可向乙方发出书面通知，变更部分合同内容或解除合同，通知到达乙方时合同即行变更或解除。在这种情况下，并不影响甲方向乙方提出的索赔。</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三）如果甲方根据上述（二）项目规定，解除合同或变更部分合同，甲方可以依其认为适当的条件和方法购买与未交货物类似的货物或服务，乙方应承担甲方因购买类似货物或服务而产生的额外支出。但是，乙方应继续执行合同中未终止的部分。</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（四）如果乙方破产或无清偿能力，甲方可在任何时候以书面形式通知乙方，提出终止合同而不给乙方补偿。该终止合同将不损害或影响甲方已经采取或将要采取的任何行动或补救措施的权力。</w:t>
      </w:r>
    </w:p>
    <w:p>
      <w:pPr>
        <w:numPr>
          <w:ilvl w:val="0"/>
          <w:numId w:val="17"/>
        </w:numPr>
        <w:tabs>
          <w:tab w:val="left" w:pos="1080"/>
          <w:tab w:val="clear" w:pos="900"/>
        </w:tabs>
        <w:spacing w:line="360" w:lineRule="auto"/>
        <w:ind w:left="1080" w:hanging="1080"/>
        <w:rPr>
          <w:rFonts w:ascii="宋体" w:hAnsi="宋体" w:cs="宋体"/>
          <w:sz w:val="24"/>
          <w:szCs w:val="24"/>
        </w:rPr>
      </w:pPr>
      <w:r>
        <w:rPr>
          <w:rFonts w:hint="eastAsia" w:ascii="宋体" w:hAnsi="宋体" w:cs="宋体"/>
          <w:sz w:val="24"/>
          <w:szCs w:val="24"/>
        </w:rPr>
        <w:t>服务期限</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（一）自甲方签署项目最终验收合格并交付使用之日起，乙方为甲方提供为期6</w:t>
      </w:r>
      <w:r>
        <w:rPr>
          <w:rFonts w:ascii="宋体" w:hAnsi="宋体" w:cs="宋体"/>
          <w:sz w:val="24"/>
          <w:szCs w:val="24"/>
        </w:rPr>
        <w:t>0</w:t>
      </w:r>
      <w:r>
        <w:rPr>
          <w:rFonts w:hint="eastAsia" w:ascii="宋体" w:hAnsi="宋体" w:cs="宋体"/>
          <w:sz w:val="24"/>
          <w:szCs w:val="24"/>
        </w:rPr>
        <w:fldChar w:fldCharType="begin"/>
      </w:r>
      <w:r>
        <w:rPr>
          <w:rFonts w:hint="eastAsia" w:ascii="宋体" w:hAnsi="宋体" w:cs="宋体"/>
          <w:sz w:val="24"/>
          <w:szCs w:val="24"/>
        </w:rPr>
        <w:instrText xml:space="preserve">""</w:instrText>
      </w:r>
      <w:r>
        <w:rPr>
          <w:rFonts w:hint="eastAsia" w:ascii="宋体" w:hAnsi="宋体" w:cs="宋体"/>
          <w:sz w:val="24"/>
          <w:szCs w:val="24"/>
        </w:rPr>
        <w:fldChar w:fldCharType="end"/>
      </w:r>
      <w:r>
        <w:rPr>
          <w:rFonts w:hint="eastAsia" w:ascii="宋体" w:hAnsi="宋体" w:cs="宋体"/>
          <w:sz w:val="24"/>
          <w:szCs w:val="24"/>
        </w:rPr>
        <w:t>个月的运维保障服务。</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（二）服务期届满后，乙方为甲方提供后续服务、</w:t>
      </w:r>
      <w:r>
        <w:rPr>
          <w:rFonts w:hint="eastAsia" w:ascii="宋体" w:hAnsi="宋体" w:cs="宋体"/>
          <w:sz w:val="24"/>
          <w:szCs w:val="24"/>
        </w:rPr>
        <w:fldChar w:fldCharType="begin"/>
      </w:r>
      <w:r>
        <w:rPr>
          <w:rFonts w:hint="eastAsia" w:ascii="宋体" w:hAnsi="宋体" w:cs="宋体"/>
          <w:sz w:val="24"/>
          <w:szCs w:val="24"/>
        </w:rPr>
        <w:instrText xml:space="preserve">""</w:instrText>
      </w:r>
      <w:r>
        <w:rPr>
          <w:rFonts w:hint="eastAsia" w:ascii="宋体" w:hAnsi="宋体" w:cs="宋体"/>
          <w:sz w:val="24"/>
          <w:szCs w:val="24"/>
        </w:rPr>
        <w:fldChar w:fldCharType="separate"/>
      </w:r>
      <w:r>
        <w:rPr>
          <w:rFonts w:hint="eastAsia" w:ascii="宋体" w:hAnsi="宋体" w:cs="宋体"/>
          <w:sz w:val="24"/>
          <w:szCs w:val="24"/>
        </w:rPr>
        <w:t>不高于[]的价格</w:t>
      </w:r>
      <w:r>
        <w:rPr>
          <w:rFonts w:hint="eastAsia" w:ascii="宋体" w:hAnsi="宋体" w:cs="宋体"/>
          <w:sz w:val="24"/>
          <w:szCs w:val="24"/>
        </w:rPr>
        <w:fldChar w:fldCharType="end"/>
      </w:r>
      <w:r>
        <w:rPr>
          <w:rFonts w:hint="eastAsia" w:ascii="宋体" w:hAnsi="宋体" w:cs="宋体"/>
          <w:sz w:val="24"/>
          <w:szCs w:val="24"/>
        </w:rPr>
        <w:t>收取服务费标准另行协商。</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（三）除第六条外，甲乙双方不得以任何原因单方面提前终止服务。如甲方提前终止服务的，乙方有权利向甲方提出索赔。按照乙方的损失赔偿,索赔的总金额不超过合同款项总额的10%。</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四）本项目合同期满后，遇到本项目未及时落实续约合同的，考虑到公安公安应用的连贯性（弃用和停止运维会造成严重负面影响），乙方不得停止对本项目的运维，所产生合同期外的运维费用由双方协商解决。</w:t>
      </w:r>
    </w:p>
    <w:p>
      <w:pPr>
        <w:numPr>
          <w:ilvl w:val="0"/>
          <w:numId w:val="17"/>
        </w:numPr>
        <w:tabs>
          <w:tab w:val="left" w:pos="1080"/>
          <w:tab w:val="clear" w:pos="900"/>
        </w:tabs>
        <w:spacing w:line="360" w:lineRule="auto"/>
        <w:ind w:left="1080" w:hanging="1080"/>
        <w:rPr>
          <w:rFonts w:ascii="宋体" w:hAnsi="宋体" w:cs="宋体"/>
          <w:sz w:val="24"/>
          <w:szCs w:val="24"/>
        </w:rPr>
      </w:pPr>
      <w:r>
        <w:rPr>
          <w:rFonts w:hint="eastAsia" w:ascii="宋体" w:hAnsi="宋体" w:cs="宋体"/>
          <w:sz w:val="24"/>
          <w:szCs w:val="24"/>
        </w:rPr>
        <w:t>保密</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（一）未经对方书面许可，任何一方不得向第三方提供或披露与对方业务有关的资料和信息，法律另有规定的除外。</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（二）甲乙双方通过本合同实施了解到对方的有关网络组织、业务发展、价格策略等商业机密时，双方均有义务为对方保密。</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（三）乙方要对参与本项目单位及工作人员开展保密安全教育活动，并对参与单位及人员均要签订安全保密协议。</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（四）甲方向乙方提供的所有资料，仅供本项目小组人员参考使用，乙方须严守资料中所涉秘密、妥善保管，不得遗失、转借、复印。</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（五）乙方发现甲方的保密事项已经泄露或可能泄露时，应当立即采取补救措施，并及时报告甲方。</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（六）本项目完成后15天内，甲方有权向乙方索回部分或全部资料。乙方应根据甲方要求，如数退还。</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（七）乙方在接受和退还涉密内容的资料时建立登记制度。</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（八）乙方造成的泄失密事件，乙方须承担有关法律责任，并赔偿相应经济损失。</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（九）本项目所有文档及本项目所接触的双方资料，未经对方授权代表书面许可，不得向与合同无关的其他方泄漏任何技术文件或与合同有关的数据，包括合同本身。</w:t>
      </w:r>
    </w:p>
    <w:p>
      <w:pPr>
        <w:numPr>
          <w:ilvl w:val="0"/>
          <w:numId w:val="17"/>
        </w:numPr>
        <w:tabs>
          <w:tab w:val="left" w:pos="1080"/>
          <w:tab w:val="clear" w:pos="900"/>
        </w:tabs>
        <w:spacing w:line="360" w:lineRule="auto"/>
        <w:ind w:left="1080" w:hanging="1080"/>
        <w:rPr>
          <w:rFonts w:ascii="宋体" w:hAnsi="宋体" w:cs="宋体"/>
          <w:sz w:val="24"/>
          <w:szCs w:val="24"/>
        </w:rPr>
      </w:pPr>
      <w:r>
        <w:rPr>
          <w:rFonts w:hint="eastAsia" w:ascii="宋体" w:hAnsi="宋体" w:cs="宋体"/>
          <w:sz w:val="24"/>
          <w:szCs w:val="24"/>
        </w:rPr>
        <w:t>违约及免责约定</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（一） 乙方</w:t>
      </w:r>
      <w:r>
        <w:rPr>
          <w:rFonts w:ascii="宋体" w:hAnsi="宋体" w:cs="宋体"/>
          <w:sz w:val="24"/>
          <w:szCs w:val="24"/>
        </w:rPr>
        <w:t>无</w:t>
      </w:r>
      <w:r>
        <w:rPr>
          <w:rFonts w:hint="eastAsia" w:ascii="宋体" w:hAnsi="宋体" w:cs="宋体"/>
          <w:sz w:val="24"/>
          <w:szCs w:val="24"/>
        </w:rPr>
        <w:t>特殊情况</w:t>
      </w:r>
      <w:r>
        <w:rPr>
          <w:rFonts w:ascii="宋体" w:hAnsi="宋体" w:cs="宋体"/>
          <w:sz w:val="24"/>
          <w:szCs w:val="24"/>
        </w:rPr>
        <w:t>不能在合同</w:t>
      </w:r>
      <w:r>
        <w:rPr>
          <w:rFonts w:hint="eastAsia" w:ascii="宋体" w:hAnsi="宋体" w:cs="宋体"/>
          <w:sz w:val="24"/>
          <w:szCs w:val="24"/>
        </w:rPr>
        <w:t>约定的每个进度工期内</w:t>
      </w:r>
      <w:r>
        <w:rPr>
          <w:rFonts w:ascii="宋体" w:hAnsi="宋体" w:cs="宋体"/>
          <w:sz w:val="24"/>
          <w:szCs w:val="24"/>
        </w:rPr>
        <w:t>前完成工作任务的，违约金每天按</w:t>
      </w:r>
      <w:r>
        <w:rPr>
          <w:rFonts w:hint="eastAsia" w:ascii="宋体" w:hAnsi="宋体" w:cs="宋体"/>
          <w:sz w:val="24"/>
          <w:szCs w:val="24"/>
        </w:rPr>
        <w:t>合同</w:t>
      </w:r>
      <w:r>
        <w:rPr>
          <w:rFonts w:ascii="宋体" w:hAnsi="宋体" w:cs="宋体"/>
          <w:sz w:val="24"/>
          <w:szCs w:val="24"/>
        </w:rPr>
        <w:t>总价的</w:t>
      </w:r>
      <w:r>
        <w:rPr>
          <w:rFonts w:hint="eastAsia" w:ascii="宋体" w:hAnsi="宋体" w:cs="宋体"/>
          <w:sz w:val="24"/>
          <w:szCs w:val="24"/>
        </w:rPr>
        <w:t>0</w:t>
      </w:r>
      <w:r>
        <w:rPr>
          <w:rFonts w:ascii="宋体" w:hAnsi="宋体" w:cs="宋体"/>
          <w:sz w:val="24"/>
          <w:szCs w:val="24"/>
        </w:rPr>
        <w:t>.5‰累计计算</w:t>
      </w:r>
      <w:r>
        <w:rPr>
          <w:rFonts w:hint="eastAsia" w:ascii="宋体" w:hAnsi="宋体" w:cs="宋体"/>
          <w:sz w:val="24"/>
          <w:szCs w:val="24"/>
        </w:rPr>
        <w:t>，并且不得超过工期要求的2周，否则甲方有权解除合同，并有权向乙方要求赔偿</w:t>
      </w:r>
      <w:r>
        <w:rPr>
          <w:rFonts w:ascii="宋体" w:hAnsi="宋体" w:cs="宋体"/>
          <w:sz w:val="24"/>
          <w:szCs w:val="24"/>
        </w:rPr>
        <w:t>。</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（二）在使用过程中如发现乙方提供的产品不符合投标文件、合同和甲方要求的，双方协商解决，协商不成功，甲方</w:t>
      </w:r>
      <w:r>
        <w:rPr>
          <w:rFonts w:ascii="宋体" w:hAnsi="宋体" w:cs="宋体"/>
          <w:sz w:val="24"/>
          <w:szCs w:val="24"/>
        </w:rPr>
        <w:t>有权</w:t>
      </w:r>
      <w:r>
        <w:rPr>
          <w:rFonts w:hint="eastAsia" w:ascii="宋体" w:hAnsi="宋体" w:cs="宋体"/>
          <w:sz w:val="24"/>
          <w:szCs w:val="24"/>
        </w:rPr>
        <w:t>解除合同，</w:t>
      </w:r>
      <w:r>
        <w:rPr>
          <w:rFonts w:ascii="宋体" w:hAnsi="宋体" w:cs="宋体"/>
          <w:sz w:val="24"/>
          <w:szCs w:val="24"/>
        </w:rPr>
        <w:t>因此造成的</w:t>
      </w:r>
      <w:r>
        <w:rPr>
          <w:rFonts w:hint="eastAsia" w:ascii="宋体" w:hAnsi="宋体" w:cs="宋体"/>
          <w:sz w:val="24"/>
          <w:szCs w:val="24"/>
        </w:rPr>
        <w:t>甲方</w:t>
      </w:r>
      <w:r>
        <w:rPr>
          <w:rFonts w:ascii="宋体" w:hAnsi="宋体" w:cs="宋体"/>
          <w:sz w:val="24"/>
          <w:szCs w:val="24"/>
        </w:rPr>
        <w:t>损失</w:t>
      </w:r>
      <w:r>
        <w:rPr>
          <w:rFonts w:hint="eastAsia" w:ascii="宋体" w:hAnsi="宋体" w:cs="宋体"/>
          <w:sz w:val="24"/>
          <w:szCs w:val="24"/>
        </w:rPr>
        <w:t>由乙方赔偿，损失数额无法计数，按合同总价20%赔偿。</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（三）</w:t>
      </w:r>
      <w:r>
        <w:rPr>
          <w:rFonts w:ascii="宋体" w:hAnsi="宋体" w:cs="宋体"/>
          <w:sz w:val="24"/>
          <w:szCs w:val="24"/>
        </w:rPr>
        <w:t>对于</w:t>
      </w:r>
      <w:r>
        <w:rPr>
          <w:rFonts w:hint="eastAsia" w:ascii="宋体" w:hAnsi="宋体" w:cs="宋体"/>
          <w:sz w:val="24"/>
          <w:szCs w:val="24"/>
        </w:rPr>
        <w:t>甲方</w:t>
      </w:r>
      <w:r>
        <w:rPr>
          <w:rFonts w:ascii="宋体" w:hAnsi="宋体" w:cs="宋体"/>
          <w:sz w:val="24"/>
          <w:szCs w:val="24"/>
        </w:rPr>
        <w:t>提供的图纸、技术资料和档案资料以及属于</w:t>
      </w:r>
      <w:r>
        <w:rPr>
          <w:rFonts w:hint="eastAsia" w:ascii="宋体" w:hAnsi="宋体" w:cs="宋体"/>
          <w:sz w:val="24"/>
          <w:szCs w:val="24"/>
        </w:rPr>
        <w:t>甲方</w:t>
      </w:r>
      <w:r>
        <w:rPr>
          <w:rFonts w:ascii="宋体" w:hAnsi="宋体" w:cs="宋体"/>
          <w:sz w:val="24"/>
          <w:szCs w:val="24"/>
        </w:rPr>
        <w:t>的</w:t>
      </w:r>
      <w:r>
        <w:rPr>
          <w:rFonts w:hint="eastAsia" w:ascii="宋体" w:hAnsi="宋体" w:cs="宋体"/>
          <w:sz w:val="24"/>
          <w:szCs w:val="24"/>
        </w:rPr>
        <w:t>数据</w:t>
      </w:r>
      <w:r>
        <w:rPr>
          <w:rFonts w:ascii="宋体" w:hAnsi="宋体" w:cs="宋体"/>
          <w:sz w:val="24"/>
          <w:szCs w:val="24"/>
        </w:rPr>
        <w:t>，乙方有义务保密，不得向第三方转让，否则，</w:t>
      </w:r>
      <w:r>
        <w:rPr>
          <w:rFonts w:hint="eastAsia" w:ascii="宋体" w:hAnsi="宋体" w:cs="宋体"/>
          <w:sz w:val="24"/>
          <w:szCs w:val="24"/>
        </w:rPr>
        <w:t>甲方</w:t>
      </w:r>
      <w:r>
        <w:rPr>
          <w:rFonts w:ascii="宋体" w:hAnsi="宋体" w:cs="宋体"/>
          <w:sz w:val="24"/>
          <w:szCs w:val="24"/>
        </w:rPr>
        <w:t>有权对因此造成的损失追究</w:t>
      </w:r>
      <w:r>
        <w:rPr>
          <w:rFonts w:hint="eastAsia" w:ascii="宋体" w:hAnsi="宋体" w:cs="宋体"/>
          <w:sz w:val="24"/>
          <w:szCs w:val="24"/>
        </w:rPr>
        <w:t>乙方</w:t>
      </w:r>
      <w:r>
        <w:rPr>
          <w:rFonts w:ascii="宋体" w:hAnsi="宋体" w:cs="宋体"/>
          <w:sz w:val="24"/>
          <w:szCs w:val="24"/>
        </w:rPr>
        <w:t>责任。</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（四）甲方未按合同约定向乙方支付合同金额的，每逾期1天甲方向乙方支付欠款总额的0.1‰滞纳金，但累计滞纳金总额不超过欠款总额的5%。</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（五）</w:t>
      </w:r>
      <w:r>
        <w:rPr>
          <w:rFonts w:ascii="宋体" w:hAnsi="宋体" w:cs="宋体"/>
          <w:sz w:val="24"/>
          <w:szCs w:val="24"/>
        </w:rPr>
        <w:t>因</w:t>
      </w:r>
      <w:r>
        <w:rPr>
          <w:rFonts w:hint="eastAsia" w:ascii="宋体" w:hAnsi="宋体" w:cs="宋体"/>
          <w:sz w:val="24"/>
          <w:szCs w:val="24"/>
        </w:rPr>
        <w:t>一</w:t>
      </w:r>
      <w:r>
        <w:rPr>
          <w:rFonts w:ascii="宋体" w:hAnsi="宋体" w:cs="宋体"/>
          <w:sz w:val="24"/>
          <w:szCs w:val="24"/>
        </w:rPr>
        <w:t>方原因，造成对方不能完成合同规定目标或直接造成对方经济损失的，</w:t>
      </w:r>
      <w:r>
        <w:rPr>
          <w:rFonts w:hint="eastAsia" w:ascii="宋体" w:hAnsi="宋体" w:cs="宋体"/>
          <w:sz w:val="24"/>
          <w:szCs w:val="24"/>
        </w:rPr>
        <w:t>另</w:t>
      </w:r>
      <w:r>
        <w:rPr>
          <w:rFonts w:ascii="宋体" w:hAnsi="宋体" w:cs="宋体"/>
          <w:sz w:val="24"/>
          <w:szCs w:val="24"/>
        </w:rPr>
        <w:t>一方有权要求对方限期整改，并给予一定的经济补偿</w:t>
      </w:r>
      <w:r>
        <w:rPr>
          <w:rFonts w:hint="eastAsia" w:ascii="宋体" w:hAnsi="宋体" w:cs="宋体"/>
          <w:sz w:val="24"/>
          <w:szCs w:val="24"/>
        </w:rPr>
        <w:t>。</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（六）除非解除本合同，否则承担违约责任不免除其继续履行合同的责任。</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七）非因乙方过错所造成的业务中断或服务质量下降(包括但不限于电力中断、第三方故意或过失破坏相关通信设施和线路等)，乙方不承担违约责任，但应乙方提前预测预警和准备工作，并按照本合同约定尽快恢复。</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（八）一方因政府行为或技术进步原因不能履行合同的，可根据政府行为或技术进步的影响，部分或者全部免除责任，并妥善做好客户善后工作。</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（九）加固装修部分，违约责任的承担方式和计算方法：</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1.在签订合同一周内，乙方未调遣人员、材料及机械设备进场进行施工准备；且乙方在半个月内未响应甲方的要求，甲方有权终止合同，没收履约保证金。且上报行政主管部门计入不良行为记录。</w:t>
      </w:r>
    </w:p>
    <w:p>
      <w:pPr>
        <w:spacing w:line="480" w:lineRule="exact"/>
        <w:ind w:firstLine="480" w:firstLineChars="200"/>
        <w:jc w:val="left"/>
        <w:rPr>
          <w:rFonts w:ascii="宋体" w:hAnsi="宋体" w:cs="宋体"/>
          <w:sz w:val="24"/>
          <w:szCs w:val="24"/>
        </w:rPr>
      </w:pPr>
      <w:r>
        <w:rPr>
          <w:rFonts w:hint="eastAsia" w:ascii="宋体" w:hAnsi="宋体" w:cs="宋体"/>
          <w:sz w:val="24"/>
          <w:szCs w:val="24"/>
        </w:rPr>
        <w:t>2.甲方继续使用乙方在施工现场的材料、设备、临时工程、乙方文件和由乙方或以其名义编制的其他文件的费用承担方式：由乙方承担。</w:t>
      </w:r>
    </w:p>
    <w:p>
      <w:pPr>
        <w:numPr>
          <w:ilvl w:val="0"/>
          <w:numId w:val="17"/>
        </w:numPr>
        <w:tabs>
          <w:tab w:val="left" w:pos="1080"/>
          <w:tab w:val="clear" w:pos="900"/>
        </w:tabs>
        <w:spacing w:line="360" w:lineRule="auto"/>
        <w:ind w:left="1080" w:hanging="1080"/>
        <w:rPr>
          <w:rFonts w:ascii="宋体" w:hAnsi="宋体" w:cs="宋体"/>
          <w:sz w:val="24"/>
          <w:szCs w:val="24"/>
        </w:rPr>
      </w:pPr>
      <w:r>
        <w:rPr>
          <w:rFonts w:hint="eastAsia" w:ascii="宋体" w:hAnsi="宋体" w:cs="宋体"/>
          <w:sz w:val="24"/>
          <w:szCs w:val="24"/>
        </w:rPr>
        <w:t>税</w:t>
      </w:r>
    </w:p>
    <w:p>
      <w:pPr>
        <w:spacing w:line="360" w:lineRule="auto"/>
        <w:ind w:firstLine="480" w:firstLineChars="200"/>
        <w:rPr>
          <w:rFonts w:ascii="宋体" w:hAnsi="宋体" w:cs="宋体"/>
          <w:sz w:val="24"/>
          <w:szCs w:val="24"/>
        </w:rPr>
      </w:pPr>
      <w:r>
        <w:rPr>
          <w:rFonts w:hint="eastAsia" w:ascii="宋体" w:hAnsi="宋体" w:cs="宋体"/>
          <w:sz w:val="24"/>
          <w:szCs w:val="24"/>
        </w:rPr>
        <w:t>本合同执行中相关的一切税费均由乙方负担。</w:t>
      </w:r>
    </w:p>
    <w:p>
      <w:pPr>
        <w:numPr>
          <w:ilvl w:val="0"/>
          <w:numId w:val="17"/>
        </w:numPr>
        <w:tabs>
          <w:tab w:val="left" w:pos="1080"/>
          <w:tab w:val="clear" w:pos="900"/>
        </w:tabs>
        <w:spacing w:line="360" w:lineRule="auto"/>
        <w:ind w:left="1080" w:hanging="1080"/>
        <w:rPr>
          <w:rFonts w:ascii="宋体" w:hAnsi="宋体" w:cs="宋体"/>
          <w:sz w:val="24"/>
          <w:szCs w:val="24"/>
        </w:rPr>
      </w:pPr>
      <w:r>
        <w:rPr>
          <w:rFonts w:hint="eastAsia" w:ascii="宋体" w:hAnsi="宋体" w:cs="宋体"/>
          <w:sz w:val="24"/>
          <w:szCs w:val="24"/>
        </w:rPr>
        <w:t>争议解决</w:t>
      </w:r>
    </w:p>
    <w:p>
      <w:pPr>
        <w:spacing w:line="360" w:lineRule="auto"/>
        <w:ind w:firstLine="480" w:firstLineChars="200"/>
        <w:rPr>
          <w:rFonts w:ascii="宋体" w:hAnsi="宋体" w:cs="宋体"/>
          <w:sz w:val="24"/>
          <w:szCs w:val="24"/>
        </w:rPr>
      </w:pPr>
      <w:r>
        <w:rPr>
          <w:rFonts w:hint="eastAsia" w:ascii="宋体" w:hAnsi="宋体" w:cs="宋体"/>
          <w:sz w:val="24"/>
          <w:szCs w:val="24"/>
        </w:rPr>
        <w:t>双方因本合同的履行而发生的争议，应由双方友好协商解决。协商不成，任何一方均可向被告所在地人民法院提起诉讼。在诉讼期间，本合同不涉及争议的条款仍须履行。</w:t>
      </w:r>
    </w:p>
    <w:p>
      <w:pPr>
        <w:numPr>
          <w:ilvl w:val="0"/>
          <w:numId w:val="17"/>
        </w:numPr>
        <w:tabs>
          <w:tab w:val="left" w:pos="1080"/>
          <w:tab w:val="clear" w:pos="900"/>
        </w:tabs>
        <w:spacing w:line="360" w:lineRule="auto"/>
        <w:ind w:left="1080" w:hanging="1080"/>
        <w:rPr>
          <w:rFonts w:ascii="宋体" w:hAnsi="宋体" w:cs="宋体"/>
          <w:sz w:val="24"/>
          <w:szCs w:val="24"/>
        </w:rPr>
      </w:pPr>
      <w:r>
        <w:rPr>
          <w:rFonts w:hint="eastAsia" w:ascii="宋体" w:hAnsi="宋体" w:cs="宋体"/>
          <w:sz w:val="24"/>
          <w:szCs w:val="24"/>
        </w:rPr>
        <w:t>免责条款</w:t>
      </w:r>
    </w:p>
    <w:p>
      <w:pPr>
        <w:spacing w:line="360" w:lineRule="auto"/>
        <w:rPr>
          <w:rFonts w:ascii="宋体" w:hAnsi="宋体" w:cs="宋体"/>
          <w:sz w:val="24"/>
          <w:szCs w:val="24"/>
        </w:rPr>
      </w:pPr>
      <w:r>
        <w:rPr>
          <w:rFonts w:hint="eastAsia" w:ascii="宋体" w:hAnsi="宋体" w:cs="宋体"/>
          <w:sz w:val="24"/>
          <w:szCs w:val="24"/>
        </w:rPr>
        <w:t>（一）</w:t>
      </w:r>
      <w:r>
        <w:rPr>
          <w:rFonts w:ascii="宋体" w:hAnsi="宋体" w:cs="宋体"/>
          <w:sz w:val="24"/>
          <w:szCs w:val="24"/>
        </w:rPr>
        <w:t>因不可抗力导致甲乙双方或一方不能履行或不能完全履行本合同项下有关义务时，双方相互不承担违约责任。但遇有不可抗力的一方或双方应于不可抗力发生后15日内将情况告知对方，并提供有关部门的证明。在不可抗力影响消除后的合理时间内，一方或双方应当继续履行合同。由于不可抗力导致合同不能或者没有必要继续履行的，本合同可由乙方解除。</w:t>
      </w:r>
    </w:p>
    <w:p>
      <w:pPr>
        <w:spacing w:line="360" w:lineRule="auto"/>
        <w:ind w:firstLine="480" w:firstLineChars="200"/>
        <w:rPr>
          <w:rFonts w:ascii="宋体" w:hAnsi="宋体" w:cs="宋体"/>
          <w:sz w:val="24"/>
          <w:szCs w:val="24"/>
        </w:rPr>
      </w:pPr>
      <w:r>
        <w:rPr>
          <w:rFonts w:hint="eastAsia" w:ascii="宋体" w:hAnsi="宋体" w:cs="宋体"/>
          <w:sz w:val="24"/>
          <w:szCs w:val="24"/>
        </w:rPr>
        <w:t>（二）</w:t>
      </w:r>
      <w:r>
        <w:rPr>
          <w:rFonts w:ascii="宋体" w:hAnsi="宋体" w:cs="宋体"/>
          <w:sz w:val="24"/>
          <w:szCs w:val="24"/>
        </w:rPr>
        <w:t>不可抗力指地震、台风、水灾、火灾、战争以及其他不能预见、不能避</w:t>
      </w:r>
      <w:r>
        <w:rPr>
          <w:rFonts w:hint="eastAsia" w:ascii="宋体" w:hAnsi="宋体" w:cs="宋体"/>
          <w:sz w:val="24"/>
          <w:szCs w:val="24"/>
        </w:rPr>
        <w:t>免并不能克服的客观情况。</w:t>
      </w:r>
    </w:p>
    <w:p>
      <w:pPr>
        <w:spacing w:line="360" w:lineRule="auto"/>
        <w:ind w:firstLine="480" w:firstLineChars="200"/>
        <w:rPr>
          <w:rFonts w:ascii="宋体" w:hAnsi="宋体" w:cs="宋体"/>
          <w:sz w:val="24"/>
          <w:szCs w:val="24"/>
        </w:rPr>
      </w:pPr>
      <w:r>
        <w:rPr>
          <w:rFonts w:hint="eastAsia" w:ascii="宋体" w:hAnsi="宋体" w:cs="宋体"/>
          <w:sz w:val="24"/>
          <w:szCs w:val="24"/>
        </w:rPr>
        <w:t>（三）</w:t>
      </w:r>
      <w:r>
        <w:rPr>
          <w:rFonts w:ascii="宋体" w:hAnsi="宋体" w:cs="宋体"/>
          <w:sz w:val="24"/>
          <w:szCs w:val="24"/>
        </w:rPr>
        <w:t>若因一方延迟履行后发生不可抗力导致不能履行，不能免除责任。</w:t>
      </w:r>
    </w:p>
    <w:p>
      <w:pPr>
        <w:numPr>
          <w:ilvl w:val="0"/>
          <w:numId w:val="17"/>
        </w:numPr>
        <w:tabs>
          <w:tab w:val="left" w:pos="1080"/>
          <w:tab w:val="clear" w:pos="900"/>
        </w:tabs>
        <w:spacing w:line="360" w:lineRule="auto"/>
        <w:ind w:left="1080" w:hanging="1080"/>
        <w:rPr>
          <w:rFonts w:ascii="宋体" w:hAnsi="宋体" w:cs="宋体"/>
          <w:sz w:val="24"/>
          <w:szCs w:val="24"/>
        </w:rPr>
      </w:pPr>
      <w:r>
        <w:rPr>
          <w:rFonts w:hint="eastAsia" w:ascii="宋体" w:hAnsi="宋体" w:cs="宋体"/>
          <w:sz w:val="24"/>
          <w:szCs w:val="24"/>
        </w:rPr>
        <w:t>合同的变更、解除</w:t>
      </w:r>
    </w:p>
    <w:p>
      <w:pPr>
        <w:spacing w:line="360" w:lineRule="auto"/>
        <w:ind w:firstLine="480" w:firstLineChars="200"/>
        <w:rPr>
          <w:rFonts w:ascii="宋体" w:hAnsi="宋体" w:cs="宋体"/>
          <w:sz w:val="24"/>
          <w:szCs w:val="24"/>
        </w:rPr>
      </w:pPr>
      <w:r>
        <w:rPr>
          <w:rFonts w:hint="eastAsia" w:ascii="宋体" w:hAnsi="宋体" w:cs="宋体"/>
          <w:sz w:val="24"/>
          <w:szCs w:val="24"/>
        </w:rPr>
        <w:t>在合同有效期内双方中任何一方欲变更或解除合同必须采取书面形式，口头无效。解除合同需提前一个月向对方提出。</w:t>
      </w:r>
    </w:p>
    <w:p>
      <w:pPr>
        <w:numPr>
          <w:ilvl w:val="0"/>
          <w:numId w:val="17"/>
        </w:numPr>
        <w:tabs>
          <w:tab w:val="left" w:pos="1080"/>
          <w:tab w:val="clear" w:pos="900"/>
        </w:tabs>
        <w:spacing w:line="360" w:lineRule="auto"/>
        <w:ind w:left="1080" w:hanging="1080"/>
        <w:rPr>
          <w:rFonts w:ascii="宋体" w:hAnsi="宋体" w:cs="宋体"/>
          <w:sz w:val="24"/>
          <w:szCs w:val="24"/>
        </w:rPr>
      </w:pPr>
      <w:r>
        <w:rPr>
          <w:rFonts w:hint="eastAsia" w:ascii="宋体" w:hAnsi="宋体" w:cs="宋体"/>
          <w:sz w:val="24"/>
          <w:szCs w:val="24"/>
        </w:rPr>
        <w:t>附则</w:t>
      </w:r>
    </w:p>
    <w:p>
      <w:pPr>
        <w:spacing w:line="360" w:lineRule="auto"/>
        <w:ind w:firstLine="480" w:firstLineChars="200"/>
        <w:rPr>
          <w:rFonts w:ascii="宋体" w:hAnsi="宋体" w:cs="宋体"/>
          <w:sz w:val="24"/>
          <w:szCs w:val="24"/>
        </w:rPr>
      </w:pPr>
      <w:r>
        <w:rPr>
          <w:rFonts w:hint="eastAsia" w:ascii="宋体" w:hAnsi="宋体" w:cs="宋体"/>
          <w:sz w:val="24"/>
          <w:szCs w:val="24"/>
        </w:rPr>
        <w:t>（一）</w:t>
      </w:r>
      <w:r>
        <w:rPr>
          <w:rFonts w:ascii="宋体" w:hAnsi="宋体" w:cs="宋体"/>
          <w:sz w:val="24"/>
          <w:szCs w:val="24"/>
        </w:rPr>
        <w:t>合同正本以及附件其条款受国家《合同法》的保护，附件作为合同正本的有效补充，与合同正本具有同等的法律效力。本合同附件有：</w:t>
      </w:r>
    </w:p>
    <w:p>
      <w:pPr>
        <w:snapToGrid w:val="0"/>
        <w:spacing w:line="360" w:lineRule="auto"/>
        <w:ind w:firstLine="470" w:firstLineChars="196"/>
        <w:textAlignment w:val="baseline"/>
        <w:rPr>
          <w:rFonts w:ascii="宋体" w:hAnsi="宋体" w:cs="宋体"/>
          <w:sz w:val="24"/>
          <w:szCs w:val="24"/>
        </w:rPr>
      </w:pPr>
      <w:r>
        <w:rPr>
          <w:rFonts w:hint="eastAsia" w:ascii="宋体" w:hAnsi="宋体" w:cs="宋体"/>
          <w:sz w:val="24"/>
          <w:szCs w:val="24"/>
        </w:rPr>
        <w:t>1.</w:t>
      </w:r>
      <w:r>
        <w:rPr>
          <w:rFonts w:ascii="宋体" w:hAnsi="宋体" w:cs="宋体"/>
          <w:sz w:val="24"/>
          <w:szCs w:val="24"/>
        </w:rPr>
        <w:t>采购人的招标文件与补充文件（如有）；</w:t>
      </w:r>
    </w:p>
    <w:p>
      <w:pPr>
        <w:snapToGrid w:val="0"/>
        <w:spacing w:line="360" w:lineRule="auto"/>
        <w:ind w:firstLine="470" w:firstLineChars="196"/>
        <w:textAlignment w:val="baseline"/>
        <w:rPr>
          <w:rFonts w:ascii="宋体" w:hAnsi="宋体" w:cs="宋体"/>
          <w:sz w:val="24"/>
          <w:szCs w:val="24"/>
        </w:rPr>
      </w:pPr>
      <w:r>
        <w:rPr>
          <w:rFonts w:hint="eastAsia" w:ascii="宋体" w:hAnsi="宋体" w:cs="宋体"/>
          <w:sz w:val="24"/>
          <w:szCs w:val="24"/>
        </w:rPr>
        <w:t>2.</w:t>
      </w:r>
      <w:r>
        <w:rPr>
          <w:rFonts w:ascii="宋体" w:hAnsi="宋体" w:cs="宋体"/>
          <w:sz w:val="24"/>
          <w:szCs w:val="24"/>
        </w:rPr>
        <w:t>中标供应商投标文件；</w:t>
      </w:r>
    </w:p>
    <w:p>
      <w:pPr>
        <w:snapToGrid w:val="0"/>
        <w:spacing w:line="360" w:lineRule="auto"/>
        <w:ind w:firstLine="470" w:firstLineChars="196"/>
        <w:textAlignment w:val="baseline"/>
        <w:rPr>
          <w:rFonts w:ascii="宋体" w:hAnsi="宋体" w:cs="宋体"/>
          <w:sz w:val="24"/>
          <w:szCs w:val="24"/>
        </w:rPr>
      </w:pPr>
      <w:r>
        <w:rPr>
          <w:rFonts w:hint="eastAsia" w:ascii="宋体" w:hAnsi="宋体" w:cs="宋体"/>
          <w:sz w:val="24"/>
          <w:szCs w:val="24"/>
        </w:rPr>
        <w:t>3.</w:t>
      </w:r>
      <w:r>
        <w:rPr>
          <w:rFonts w:ascii="宋体" w:hAnsi="宋体" w:cs="宋体"/>
          <w:sz w:val="24"/>
          <w:szCs w:val="24"/>
        </w:rPr>
        <w:t>询标纪要和承诺书；</w:t>
      </w:r>
    </w:p>
    <w:p>
      <w:pPr>
        <w:snapToGrid w:val="0"/>
        <w:spacing w:line="360" w:lineRule="auto"/>
        <w:ind w:firstLine="470" w:firstLineChars="196"/>
        <w:textAlignment w:val="baseline"/>
        <w:rPr>
          <w:rFonts w:ascii="宋体" w:hAnsi="宋体" w:cs="宋体"/>
          <w:sz w:val="24"/>
          <w:szCs w:val="24"/>
        </w:rPr>
      </w:pPr>
      <w:r>
        <w:rPr>
          <w:rFonts w:hint="eastAsia" w:ascii="宋体" w:hAnsi="宋体" w:cs="宋体"/>
          <w:sz w:val="24"/>
          <w:szCs w:val="24"/>
        </w:rPr>
        <w:t>4.</w:t>
      </w:r>
      <w:r>
        <w:rPr>
          <w:rFonts w:ascii="宋体" w:hAnsi="宋体" w:cs="宋体"/>
          <w:sz w:val="24"/>
          <w:szCs w:val="24"/>
        </w:rPr>
        <w:t>中标通知书；</w:t>
      </w:r>
    </w:p>
    <w:p>
      <w:pPr>
        <w:snapToGrid w:val="0"/>
        <w:spacing w:line="360" w:lineRule="auto"/>
        <w:ind w:firstLine="470" w:firstLineChars="196"/>
        <w:textAlignment w:val="baseline"/>
        <w:rPr>
          <w:rFonts w:ascii="宋体" w:hAnsi="宋体" w:cs="宋体"/>
          <w:sz w:val="24"/>
          <w:szCs w:val="24"/>
        </w:rPr>
      </w:pPr>
      <w:r>
        <w:rPr>
          <w:rFonts w:hint="eastAsia" w:ascii="宋体" w:hAnsi="宋体" w:cs="宋体"/>
          <w:sz w:val="24"/>
          <w:szCs w:val="24"/>
        </w:rPr>
        <w:t>5.</w:t>
      </w:r>
      <w:r>
        <w:rPr>
          <w:rFonts w:ascii="宋体" w:hAnsi="宋体" w:cs="宋体"/>
          <w:sz w:val="24"/>
          <w:szCs w:val="24"/>
        </w:rPr>
        <w:t>产品交付清单</w:t>
      </w:r>
      <w:r>
        <w:rPr>
          <w:rFonts w:hint="eastAsia" w:ascii="宋体" w:hAnsi="宋体" w:cs="宋体"/>
          <w:sz w:val="24"/>
          <w:szCs w:val="24"/>
        </w:rPr>
        <w:t>；</w:t>
      </w:r>
    </w:p>
    <w:p>
      <w:pPr>
        <w:pStyle w:val="2"/>
      </w:pPr>
      <w:r>
        <w:rPr>
          <w:rFonts w:hint="eastAsia"/>
        </w:rPr>
        <w:t>　</w:t>
      </w:r>
      <w:r>
        <w:rPr>
          <w:rFonts w:hint="eastAsia" w:ascii="宋体" w:hAnsi="宋体" w:cs="宋体"/>
          <w:sz w:val="24"/>
          <w:szCs w:val="24"/>
        </w:rPr>
        <w:t>6.装修加固工程质量保修书。</w:t>
      </w:r>
    </w:p>
    <w:p>
      <w:pPr>
        <w:spacing w:line="360" w:lineRule="auto"/>
        <w:ind w:firstLine="352" w:firstLineChars="147"/>
        <w:rPr>
          <w:rFonts w:ascii="宋体" w:hAnsi="宋体" w:cs="宋体"/>
          <w:sz w:val="24"/>
          <w:szCs w:val="24"/>
        </w:rPr>
      </w:pPr>
      <w:r>
        <w:rPr>
          <w:rFonts w:hint="eastAsia" w:ascii="宋体" w:hAnsi="宋体" w:cs="宋体"/>
          <w:sz w:val="24"/>
          <w:szCs w:val="24"/>
        </w:rPr>
        <w:t>（二）</w:t>
      </w:r>
      <w:r>
        <w:rPr>
          <w:rFonts w:ascii="宋体" w:hAnsi="宋体" w:cs="宋体"/>
          <w:sz w:val="24"/>
          <w:szCs w:val="24"/>
        </w:rPr>
        <w:t>本合同一式</w:t>
      </w:r>
      <w:r>
        <w:rPr>
          <w:rFonts w:hint="eastAsia" w:ascii="宋体" w:hAnsi="宋体" w:cs="宋体"/>
          <w:sz w:val="24"/>
          <w:szCs w:val="24"/>
        </w:rPr>
        <w:t>伍</w:t>
      </w:r>
      <w:r>
        <w:rPr>
          <w:rFonts w:ascii="宋体" w:hAnsi="宋体" w:cs="宋体"/>
          <w:sz w:val="24"/>
          <w:szCs w:val="24"/>
        </w:rPr>
        <w:t>份，甲乙双方各执</w:t>
      </w:r>
      <w:r>
        <w:rPr>
          <w:rFonts w:hint="eastAsia" w:ascii="宋体" w:hAnsi="宋体" w:cs="宋体"/>
          <w:sz w:val="24"/>
          <w:szCs w:val="24"/>
        </w:rPr>
        <w:t>贰</w:t>
      </w:r>
      <w:r>
        <w:rPr>
          <w:rFonts w:ascii="宋体" w:hAnsi="宋体" w:cs="宋体"/>
          <w:sz w:val="24"/>
          <w:szCs w:val="24"/>
        </w:rPr>
        <w:t>份，</w:t>
      </w:r>
      <w:r>
        <w:rPr>
          <w:rFonts w:hint="eastAsia" w:ascii="宋体" w:hAnsi="宋体" w:cs="宋体"/>
          <w:sz w:val="24"/>
          <w:szCs w:val="24"/>
        </w:rPr>
        <w:t>招投标中心壹份，</w:t>
      </w:r>
      <w:r>
        <w:rPr>
          <w:rFonts w:ascii="宋体" w:hAnsi="宋体" w:cs="宋体"/>
          <w:sz w:val="24"/>
          <w:szCs w:val="24"/>
        </w:rPr>
        <w:t>自双方法定代表或授权代表签字并加盖公章之日起生效。其中一份合同原件交苍南县财政局备案。</w:t>
      </w:r>
    </w:p>
    <w:p>
      <w:pPr>
        <w:spacing w:line="360" w:lineRule="auto"/>
        <w:rPr>
          <w:rFonts w:ascii="宋体" w:hAnsi="宋体" w:cs="宋体"/>
          <w:sz w:val="24"/>
          <w:szCs w:val="24"/>
        </w:rPr>
      </w:pPr>
    </w:p>
    <w:p>
      <w:pPr>
        <w:spacing w:line="360" w:lineRule="auto"/>
        <w:rPr>
          <w:rFonts w:ascii="宋体" w:hAnsi="宋体" w:cs="宋体"/>
          <w:sz w:val="24"/>
          <w:szCs w:val="24"/>
        </w:rPr>
      </w:pPr>
      <w:r>
        <w:rPr>
          <w:rFonts w:hint="eastAsia" w:ascii="宋体" w:hAnsi="宋体" w:cs="宋体"/>
          <w:sz w:val="24"/>
          <w:szCs w:val="24"/>
        </w:rPr>
        <w:t>甲方</w:t>
      </w:r>
      <w:r>
        <w:rPr>
          <w:rFonts w:ascii="宋体" w:hAnsi="宋体" w:cs="宋体"/>
          <w:sz w:val="24"/>
          <w:szCs w:val="24"/>
        </w:rPr>
        <w:t xml:space="preserve">(盖章)：                             </w:t>
      </w:r>
      <w:r>
        <w:rPr>
          <w:rFonts w:hint="eastAsia" w:ascii="宋体" w:hAnsi="宋体" w:cs="宋体"/>
          <w:sz w:val="24"/>
          <w:szCs w:val="24"/>
        </w:rPr>
        <w:t>乙方（盖章）：</w:t>
      </w:r>
    </w:p>
    <w:p>
      <w:pPr>
        <w:spacing w:line="360" w:lineRule="auto"/>
        <w:rPr>
          <w:rFonts w:ascii="宋体" w:hAnsi="宋体" w:cs="宋体"/>
          <w:sz w:val="24"/>
          <w:szCs w:val="24"/>
        </w:rPr>
      </w:pPr>
      <w:r>
        <w:rPr>
          <w:rFonts w:hint="eastAsia" w:ascii="宋体" w:hAnsi="宋体" w:cs="宋体"/>
          <w:sz w:val="24"/>
          <w:szCs w:val="24"/>
        </w:rPr>
        <w:t>法定代表人或授权代表：                  法定代表人或授权代表；</w:t>
      </w:r>
    </w:p>
    <w:p>
      <w:pPr>
        <w:spacing w:line="360" w:lineRule="auto"/>
        <w:rPr>
          <w:rFonts w:ascii="宋体" w:hAnsi="宋体" w:cs="宋体"/>
          <w:sz w:val="24"/>
          <w:szCs w:val="24"/>
        </w:rPr>
      </w:pPr>
      <w:r>
        <w:rPr>
          <w:rFonts w:hint="eastAsia" w:ascii="宋体" w:hAnsi="宋体" w:cs="宋体"/>
          <w:sz w:val="24"/>
          <w:szCs w:val="24"/>
        </w:rPr>
        <w:t>开户银行：</w:t>
      </w:r>
      <w:r>
        <w:rPr>
          <w:rFonts w:hint="eastAsia" w:ascii="宋体" w:hAnsi="宋体" w:cs="宋体"/>
          <w:sz w:val="24"/>
          <w:szCs w:val="24"/>
          <w:lang w:val="en-US" w:eastAsia="zh-CN"/>
        </w:rPr>
        <w:t xml:space="preserve">                              </w:t>
      </w:r>
      <w:r>
        <w:rPr>
          <w:rFonts w:hint="eastAsia" w:ascii="宋体" w:hAnsi="宋体" w:cs="宋体"/>
          <w:sz w:val="24"/>
          <w:szCs w:val="24"/>
        </w:rPr>
        <w:t>开户银行；</w:t>
      </w:r>
    </w:p>
    <w:p>
      <w:pPr>
        <w:spacing w:line="360" w:lineRule="auto"/>
        <w:rPr>
          <w:rFonts w:ascii="宋体" w:hAnsi="宋体" w:cs="宋体"/>
          <w:sz w:val="24"/>
          <w:szCs w:val="24"/>
        </w:rPr>
      </w:pPr>
      <w:r>
        <w:rPr>
          <w:rFonts w:hint="eastAsia" w:ascii="宋体" w:hAnsi="宋体" w:cs="宋体"/>
          <w:sz w:val="24"/>
          <w:szCs w:val="24"/>
        </w:rPr>
        <w:t>开户名称：</w:t>
      </w:r>
      <w:r>
        <w:rPr>
          <w:rFonts w:hint="eastAsia" w:ascii="宋体" w:hAnsi="宋体" w:cs="宋体"/>
          <w:sz w:val="24"/>
          <w:szCs w:val="24"/>
          <w:lang w:val="en-US" w:eastAsia="zh-CN"/>
        </w:rPr>
        <w:t xml:space="preserve">                              </w:t>
      </w:r>
      <w:r>
        <w:rPr>
          <w:rFonts w:hint="eastAsia" w:ascii="宋体" w:hAnsi="宋体" w:cs="宋体"/>
          <w:sz w:val="24"/>
          <w:szCs w:val="24"/>
        </w:rPr>
        <w:t>开户名称；</w:t>
      </w:r>
    </w:p>
    <w:p>
      <w:pPr>
        <w:spacing w:line="360" w:lineRule="auto"/>
        <w:rPr>
          <w:rFonts w:ascii="宋体" w:hAnsi="宋体" w:cs="宋体"/>
          <w:sz w:val="24"/>
          <w:szCs w:val="24"/>
        </w:rPr>
      </w:pPr>
      <w:r>
        <w:rPr>
          <w:rFonts w:hint="eastAsia" w:ascii="宋体" w:hAnsi="宋体" w:cs="宋体"/>
          <w:sz w:val="24"/>
          <w:szCs w:val="24"/>
        </w:rPr>
        <w:t>账     号：</w:t>
      </w:r>
      <w:r>
        <w:rPr>
          <w:rFonts w:hint="eastAsia" w:ascii="宋体" w:hAnsi="宋体" w:cs="宋体"/>
          <w:sz w:val="24"/>
          <w:szCs w:val="24"/>
          <w:lang w:val="en-US" w:eastAsia="zh-CN"/>
        </w:rPr>
        <w:t xml:space="preserve">                             </w:t>
      </w:r>
      <w:r>
        <w:rPr>
          <w:rFonts w:hint="eastAsia" w:ascii="宋体" w:hAnsi="宋体" w:cs="宋体"/>
          <w:sz w:val="24"/>
          <w:szCs w:val="24"/>
        </w:rPr>
        <w:t>账号；</w:t>
      </w:r>
    </w:p>
    <w:p>
      <w:pPr>
        <w:spacing w:line="360" w:lineRule="auto"/>
        <w:rPr>
          <w:rFonts w:ascii="宋体" w:hAnsi="宋体" w:cs="宋体"/>
          <w:sz w:val="24"/>
          <w:szCs w:val="24"/>
        </w:rPr>
      </w:pPr>
    </w:p>
    <w:p>
      <w:pPr>
        <w:spacing w:line="360" w:lineRule="auto"/>
        <w:ind w:left="4440" w:firstLine="420"/>
        <w:rPr>
          <w:rFonts w:ascii="宋体" w:hAnsi="宋体" w:cs="宋体"/>
          <w:sz w:val="24"/>
          <w:szCs w:val="24"/>
        </w:rPr>
      </w:pPr>
      <w:r>
        <w:rPr>
          <w:rFonts w:hint="eastAsia" w:ascii="宋体" w:hAnsi="宋体" w:cs="宋体"/>
          <w:sz w:val="24"/>
          <w:szCs w:val="24"/>
        </w:rPr>
        <w:t>签约日期：</w:t>
      </w:r>
    </w:p>
    <w:p>
      <w:pPr>
        <w:spacing w:line="360" w:lineRule="auto"/>
        <w:ind w:left="4440" w:firstLine="420"/>
        <w:rPr>
          <w:rFonts w:ascii="宋体" w:hAnsi="宋体" w:cs="宋体"/>
          <w:sz w:val="24"/>
          <w:szCs w:val="24"/>
        </w:rPr>
      </w:pPr>
      <w:r>
        <w:rPr>
          <w:rFonts w:hint="eastAsia" w:ascii="宋体" w:hAnsi="宋体" w:cs="宋体"/>
          <w:sz w:val="24"/>
          <w:szCs w:val="24"/>
        </w:rPr>
        <w:t>签约地点：</w:t>
      </w:r>
    </w:p>
    <w:p>
      <w:pPr>
        <w:widowControl/>
        <w:spacing w:line="360" w:lineRule="auto"/>
        <w:jc w:val="left"/>
        <w:rPr>
          <w:rFonts w:ascii="宋体" w:eastAsia="宋体"/>
          <w:sz w:val="24"/>
          <w:szCs w:val="24"/>
        </w:rPr>
      </w:pPr>
      <w:r>
        <w:rPr>
          <w:rFonts w:ascii="宋体"/>
          <w:sz w:val="24"/>
          <w:szCs w:val="24"/>
        </w:rPr>
        <w:br w:type="page"/>
      </w:r>
      <w:r>
        <w:rPr>
          <w:rFonts w:hint="eastAsia" w:ascii="宋体" w:eastAsia="宋体"/>
          <w:sz w:val="24"/>
          <w:szCs w:val="24"/>
        </w:rPr>
        <w:t>附件一：采购内容清单</w:t>
      </w:r>
    </w:p>
    <w:p>
      <w:pPr>
        <w:pStyle w:val="6"/>
        <w:tabs>
          <w:tab w:val="left" w:pos="482"/>
          <w:tab w:val="left" w:pos="2183"/>
          <w:tab w:val="left" w:pos="3884"/>
          <w:tab w:val="left" w:pos="5585"/>
          <w:tab w:val="clear" w:pos="576"/>
        </w:tabs>
        <w:spacing w:line="480" w:lineRule="exact"/>
        <w:jc w:val="both"/>
        <w:rPr>
          <w:rFonts w:ascii="宋体" w:eastAsia="宋体"/>
          <w:sz w:val="24"/>
          <w:szCs w:val="24"/>
        </w:rPr>
      </w:pPr>
      <w:r>
        <w:rPr>
          <w:rFonts w:hint="eastAsia" w:ascii="宋体" w:eastAsia="宋体"/>
          <w:sz w:val="24"/>
          <w:szCs w:val="24"/>
        </w:rPr>
        <w:t>附件二：装修加固工程质量保修书</w:t>
      </w:r>
    </w:p>
    <w:p>
      <w:pPr>
        <w:spacing w:line="360" w:lineRule="auto"/>
        <w:rPr>
          <w:rFonts w:ascii="宋体"/>
          <w:sz w:val="24"/>
          <w:szCs w:val="24"/>
        </w:rPr>
      </w:pPr>
      <w:r>
        <w:rPr>
          <w:rFonts w:hint="eastAsia" w:ascii="宋体"/>
          <w:sz w:val="24"/>
          <w:szCs w:val="24"/>
        </w:rPr>
        <w:t>甲方（全称）：</w:t>
      </w:r>
    </w:p>
    <w:p>
      <w:pPr>
        <w:spacing w:line="360" w:lineRule="auto"/>
        <w:rPr>
          <w:rFonts w:ascii="宋体"/>
          <w:sz w:val="24"/>
          <w:szCs w:val="24"/>
        </w:rPr>
      </w:pPr>
      <w:r>
        <w:rPr>
          <w:rFonts w:hint="eastAsia" w:ascii="宋体"/>
          <w:sz w:val="24"/>
          <w:szCs w:val="24"/>
        </w:rPr>
        <w:t>乙方（全称）：</w:t>
      </w:r>
    </w:p>
    <w:p>
      <w:pPr>
        <w:spacing w:line="360" w:lineRule="auto"/>
        <w:ind w:firstLine="480" w:firstLineChars="200"/>
        <w:rPr>
          <w:rFonts w:ascii="宋体"/>
          <w:sz w:val="24"/>
          <w:szCs w:val="24"/>
        </w:rPr>
      </w:pPr>
      <w:r>
        <w:rPr>
          <w:rFonts w:hint="eastAsia" w:ascii="宋体"/>
          <w:sz w:val="24"/>
          <w:szCs w:val="24"/>
        </w:rPr>
        <w:t>甲方和乙方根据《中华人民共和国建筑法》和《建设工程质量管理条例》，经协商一致就</w:t>
      </w:r>
      <w:r>
        <w:rPr>
          <w:rFonts w:hint="eastAsia" w:ascii="宋体"/>
          <w:sz w:val="24"/>
          <w:szCs w:val="24"/>
          <w:u w:val="single"/>
        </w:rPr>
        <w:t>苍南县公安局**数据中心机房项目</w:t>
      </w:r>
      <w:r>
        <w:rPr>
          <w:rFonts w:hint="eastAsia" w:ascii="宋体"/>
          <w:sz w:val="24"/>
          <w:szCs w:val="24"/>
        </w:rPr>
        <w:t>签订工程质量保修书。</w:t>
      </w:r>
    </w:p>
    <w:p>
      <w:pPr>
        <w:spacing w:line="360" w:lineRule="auto"/>
        <w:rPr>
          <w:rFonts w:ascii="宋体"/>
          <w:sz w:val="24"/>
          <w:szCs w:val="24"/>
        </w:rPr>
      </w:pPr>
      <w:r>
        <w:rPr>
          <w:rFonts w:hint="eastAsia" w:ascii="宋体"/>
          <w:sz w:val="24"/>
          <w:szCs w:val="24"/>
        </w:rPr>
        <w:t>一、 工程质量保修范围和内容</w:t>
      </w:r>
    </w:p>
    <w:p>
      <w:pPr>
        <w:spacing w:line="360" w:lineRule="auto"/>
        <w:ind w:firstLine="600" w:firstLineChars="250"/>
        <w:rPr>
          <w:rFonts w:ascii="宋体"/>
          <w:sz w:val="24"/>
          <w:szCs w:val="24"/>
        </w:rPr>
      </w:pPr>
      <w:r>
        <w:rPr>
          <w:rFonts w:hint="eastAsia" w:ascii="宋体"/>
          <w:sz w:val="24"/>
          <w:szCs w:val="24"/>
        </w:rPr>
        <w:t>乙方在质量保修期内，按照有关法律规定和合同约定，承担工程质量保修责任。</w:t>
      </w:r>
    </w:p>
    <w:p>
      <w:pPr>
        <w:spacing w:line="360" w:lineRule="auto"/>
        <w:ind w:left="546" w:leftChars="260"/>
        <w:rPr>
          <w:rFonts w:ascii="宋体"/>
          <w:sz w:val="24"/>
          <w:szCs w:val="24"/>
        </w:rPr>
      </w:pPr>
      <w:r>
        <w:rPr>
          <w:rFonts w:hint="eastAsia" w:ascii="宋体"/>
          <w:sz w:val="24"/>
          <w:szCs w:val="24"/>
        </w:rPr>
        <w:t>具体保修的内容，双方约定如下：</w:t>
      </w:r>
    </w:p>
    <w:p>
      <w:pPr>
        <w:spacing w:line="360" w:lineRule="auto"/>
        <w:ind w:firstLine="600" w:firstLineChars="250"/>
        <w:rPr>
          <w:rFonts w:ascii="宋体"/>
          <w:sz w:val="24"/>
          <w:szCs w:val="24"/>
        </w:rPr>
      </w:pPr>
      <w:r>
        <w:rPr>
          <w:rFonts w:hint="eastAsia" w:ascii="宋体"/>
          <w:sz w:val="24"/>
          <w:szCs w:val="24"/>
        </w:rPr>
        <w:t>苍南县公安局**数据中心机房范围内全部内容 。</w:t>
      </w:r>
    </w:p>
    <w:p>
      <w:pPr>
        <w:spacing w:line="360" w:lineRule="auto"/>
        <w:rPr>
          <w:rFonts w:ascii="宋体"/>
          <w:sz w:val="24"/>
          <w:szCs w:val="24"/>
        </w:rPr>
      </w:pPr>
      <w:r>
        <w:rPr>
          <w:rFonts w:hint="eastAsia" w:ascii="宋体"/>
          <w:sz w:val="24"/>
          <w:szCs w:val="24"/>
        </w:rPr>
        <w:t>二、 质量保修期</w:t>
      </w:r>
    </w:p>
    <w:p>
      <w:pPr>
        <w:spacing w:line="360" w:lineRule="auto"/>
        <w:ind w:firstLine="600" w:firstLineChars="250"/>
        <w:rPr>
          <w:rFonts w:ascii="宋体"/>
          <w:sz w:val="24"/>
          <w:szCs w:val="24"/>
        </w:rPr>
      </w:pPr>
      <w:r>
        <w:rPr>
          <w:rFonts w:hint="eastAsia" w:ascii="宋体"/>
          <w:sz w:val="24"/>
          <w:szCs w:val="24"/>
        </w:rPr>
        <w:t>根据《建设工程质量管理条例》及有关规定，工程的质量保修期如下：</w:t>
      </w:r>
    </w:p>
    <w:p>
      <w:pPr>
        <w:spacing w:line="360" w:lineRule="auto"/>
        <w:ind w:firstLine="240" w:firstLineChars="100"/>
        <w:rPr>
          <w:rFonts w:ascii="宋体"/>
          <w:sz w:val="24"/>
          <w:szCs w:val="24"/>
        </w:rPr>
      </w:pPr>
      <w:r>
        <w:rPr>
          <w:rFonts w:hint="eastAsia" w:ascii="宋体"/>
          <w:sz w:val="24"/>
          <w:szCs w:val="24"/>
        </w:rPr>
        <w:t>1. 地基基础工程和主体结构工程为设计文件规定的工程合理使用年限；</w:t>
      </w:r>
    </w:p>
    <w:p>
      <w:pPr>
        <w:spacing w:line="360" w:lineRule="auto"/>
        <w:ind w:firstLine="240" w:firstLineChars="100"/>
        <w:rPr>
          <w:rFonts w:ascii="宋体"/>
          <w:sz w:val="24"/>
          <w:szCs w:val="24"/>
        </w:rPr>
      </w:pPr>
      <w:r>
        <w:rPr>
          <w:rFonts w:hint="eastAsia" w:ascii="宋体"/>
          <w:sz w:val="24"/>
          <w:szCs w:val="24"/>
        </w:rPr>
        <w:t>2. 屋面防水工程、有防水要求的卫生间、房间和外墙面的防渗为</w:t>
      </w:r>
      <w:r>
        <w:rPr>
          <w:rFonts w:hint="eastAsia" w:ascii="宋体"/>
          <w:sz w:val="24"/>
          <w:szCs w:val="24"/>
          <w:u w:val="single"/>
        </w:rPr>
        <w:t xml:space="preserve">  伍  </w:t>
      </w:r>
      <w:r>
        <w:rPr>
          <w:rFonts w:hint="eastAsia" w:ascii="宋体"/>
          <w:sz w:val="24"/>
          <w:szCs w:val="24"/>
        </w:rPr>
        <w:t>年；</w:t>
      </w:r>
    </w:p>
    <w:p>
      <w:pPr>
        <w:spacing w:line="360" w:lineRule="auto"/>
        <w:ind w:firstLine="240" w:firstLineChars="100"/>
        <w:rPr>
          <w:rFonts w:ascii="宋体"/>
          <w:sz w:val="24"/>
          <w:szCs w:val="24"/>
        </w:rPr>
      </w:pPr>
      <w:r>
        <w:rPr>
          <w:rFonts w:hint="eastAsia" w:ascii="宋体"/>
          <w:sz w:val="24"/>
          <w:szCs w:val="24"/>
        </w:rPr>
        <w:t>3. 装修工程为</w:t>
      </w:r>
      <w:r>
        <w:rPr>
          <w:rFonts w:hint="eastAsia" w:ascii="宋体"/>
          <w:sz w:val="24"/>
          <w:szCs w:val="24"/>
          <w:u w:val="single"/>
        </w:rPr>
        <w:t xml:space="preserve"> 叁  </w:t>
      </w:r>
      <w:r>
        <w:rPr>
          <w:rFonts w:hint="eastAsia" w:ascii="宋体"/>
          <w:sz w:val="24"/>
          <w:szCs w:val="24"/>
        </w:rPr>
        <w:t>年；</w:t>
      </w:r>
    </w:p>
    <w:p>
      <w:pPr>
        <w:spacing w:line="360" w:lineRule="auto"/>
        <w:ind w:firstLine="240" w:firstLineChars="100"/>
        <w:rPr>
          <w:rFonts w:ascii="宋体"/>
          <w:sz w:val="24"/>
          <w:szCs w:val="24"/>
        </w:rPr>
      </w:pPr>
      <w:r>
        <w:rPr>
          <w:rFonts w:hint="eastAsia" w:ascii="宋体"/>
          <w:sz w:val="24"/>
          <w:szCs w:val="24"/>
        </w:rPr>
        <w:t>4. 电气管线、给排水管道、设备安装工程为</w:t>
      </w:r>
      <w:r>
        <w:rPr>
          <w:rFonts w:hint="eastAsia" w:ascii="宋体"/>
          <w:sz w:val="24"/>
          <w:szCs w:val="24"/>
          <w:u w:val="single"/>
        </w:rPr>
        <w:t xml:space="preserve"> 叁 </w:t>
      </w:r>
      <w:r>
        <w:rPr>
          <w:rFonts w:hint="eastAsia" w:ascii="宋体"/>
          <w:sz w:val="24"/>
          <w:szCs w:val="24"/>
        </w:rPr>
        <w:t>年；</w:t>
      </w:r>
    </w:p>
    <w:p>
      <w:pPr>
        <w:spacing w:line="360" w:lineRule="auto"/>
        <w:ind w:firstLine="240" w:firstLineChars="100"/>
        <w:rPr>
          <w:rFonts w:ascii="宋体"/>
          <w:sz w:val="24"/>
          <w:szCs w:val="24"/>
        </w:rPr>
      </w:pPr>
      <w:r>
        <w:rPr>
          <w:rFonts w:hint="eastAsia" w:ascii="宋体"/>
          <w:sz w:val="24"/>
          <w:szCs w:val="24"/>
        </w:rPr>
        <w:t>5. 供热与供冷系统为</w:t>
      </w:r>
      <w:r>
        <w:rPr>
          <w:rFonts w:hint="eastAsia" w:ascii="宋体"/>
          <w:sz w:val="24"/>
          <w:szCs w:val="24"/>
          <w:u w:val="single"/>
        </w:rPr>
        <w:t xml:space="preserve"> 叁 </w:t>
      </w:r>
      <w:r>
        <w:rPr>
          <w:rFonts w:hint="eastAsia" w:ascii="宋体"/>
          <w:sz w:val="24"/>
          <w:szCs w:val="24"/>
        </w:rPr>
        <w:t>个采暖期、供冷期；</w:t>
      </w:r>
    </w:p>
    <w:p>
      <w:pPr>
        <w:spacing w:line="360" w:lineRule="auto"/>
        <w:ind w:firstLine="240" w:firstLineChars="100"/>
        <w:rPr>
          <w:rFonts w:ascii="宋体"/>
          <w:sz w:val="24"/>
          <w:szCs w:val="24"/>
        </w:rPr>
      </w:pPr>
      <w:r>
        <w:rPr>
          <w:rFonts w:hint="eastAsia" w:ascii="宋体"/>
          <w:sz w:val="24"/>
          <w:szCs w:val="24"/>
        </w:rPr>
        <w:t>6. 给排水设施、道路等配套工程为</w:t>
      </w:r>
      <w:r>
        <w:rPr>
          <w:rFonts w:hint="eastAsia" w:ascii="宋体"/>
          <w:sz w:val="24"/>
          <w:szCs w:val="24"/>
          <w:u w:val="single"/>
        </w:rPr>
        <w:t>叁</w:t>
      </w:r>
      <w:r>
        <w:rPr>
          <w:rFonts w:hint="eastAsia" w:ascii="宋体"/>
          <w:sz w:val="24"/>
          <w:szCs w:val="24"/>
        </w:rPr>
        <w:t>年；</w:t>
      </w:r>
    </w:p>
    <w:p>
      <w:pPr>
        <w:spacing w:line="360" w:lineRule="auto"/>
        <w:ind w:firstLine="240" w:firstLineChars="100"/>
        <w:rPr>
          <w:rFonts w:ascii="宋体"/>
          <w:sz w:val="24"/>
          <w:szCs w:val="24"/>
        </w:rPr>
      </w:pPr>
      <w:r>
        <w:rPr>
          <w:rFonts w:hint="eastAsia" w:ascii="宋体"/>
          <w:sz w:val="24"/>
          <w:szCs w:val="24"/>
        </w:rPr>
        <w:t>7. 其他项目保修期限约定如下：</w:t>
      </w:r>
    </w:p>
    <w:p>
      <w:pPr>
        <w:spacing w:line="360" w:lineRule="auto"/>
        <w:ind w:firstLine="480" w:firstLineChars="200"/>
        <w:rPr>
          <w:rFonts w:ascii="宋体"/>
          <w:sz w:val="24"/>
          <w:szCs w:val="24"/>
        </w:rPr>
      </w:pPr>
      <w:r>
        <w:rPr>
          <w:rFonts w:hint="eastAsia" w:ascii="宋体"/>
          <w:sz w:val="24"/>
          <w:szCs w:val="24"/>
          <w:u w:val="single"/>
        </w:rPr>
        <w:t xml:space="preserve">按《建筑工程质量管理条例》和《房屋建筑工程质量保修办法》执行       </w:t>
      </w:r>
    </w:p>
    <w:p>
      <w:pPr>
        <w:spacing w:line="360" w:lineRule="auto"/>
        <w:ind w:firstLine="480" w:firstLineChars="200"/>
        <w:rPr>
          <w:rFonts w:ascii="宋体"/>
          <w:sz w:val="24"/>
          <w:szCs w:val="24"/>
        </w:rPr>
      </w:pPr>
      <w:r>
        <w:rPr>
          <w:rFonts w:hint="eastAsia" w:ascii="宋体"/>
          <w:sz w:val="24"/>
          <w:szCs w:val="24"/>
        </w:rPr>
        <w:t>质量保修期自工程竣工验收合格之日起计算。</w:t>
      </w:r>
    </w:p>
    <w:p>
      <w:pPr>
        <w:spacing w:line="360" w:lineRule="auto"/>
        <w:rPr>
          <w:rFonts w:ascii="宋体"/>
          <w:sz w:val="24"/>
          <w:szCs w:val="24"/>
        </w:rPr>
      </w:pPr>
      <w:r>
        <w:rPr>
          <w:rFonts w:hint="eastAsia" w:ascii="宋体"/>
          <w:sz w:val="24"/>
          <w:szCs w:val="24"/>
        </w:rPr>
        <w:t>三、 缺陷责任期</w:t>
      </w:r>
    </w:p>
    <w:p>
      <w:pPr>
        <w:spacing w:line="360" w:lineRule="auto"/>
        <w:ind w:left="546" w:leftChars="260"/>
        <w:rPr>
          <w:rFonts w:ascii="宋体"/>
          <w:sz w:val="24"/>
          <w:szCs w:val="24"/>
        </w:rPr>
      </w:pPr>
      <w:r>
        <w:rPr>
          <w:rFonts w:hint="eastAsia" w:ascii="宋体"/>
          <w:sz w:val="24"/>
          <w:szCs w:val="24"/>
        </w:rPr>
        <w:t>工程缺陷责任期为</w:t>
      </w:r>
      <w:r>
        <w:rPr>
          <w:rFonts w:hint="eastAsia" w:ascii="宋体"/>
          <w:sz w:val="24"/>
          <w:szCs w:val="24"/>
          <w:u w:val="single"/>
        </w:rPr>
        <w:t>36</w:t>
      </w:r>
      <w:r>
        <w:rPr>
          <w:rFonts w:hint="eastAsia" w:ascii="宋体"/>
          <w:sz w:val="24"/>
          <w:szCs w:val="24"/>
        </w:rPr>
        <w:t>个月，缺陷责任期自工程竣工验收合格之日起计算。</w:t>
      </w:r>
    </w:p>
    <w:p>
      <w:pPr>
        <w:spacing w:line="360" w:lineRule="auto"/>
        <w:ind w:firstLine="600" w:firstLineChars="250"/>
        <w:rPr>
          <w:rFonts w:ascii="宋体"/>
          <w:sz w:val="24"/>
          <w:szCs w:val="24"/>
        </w:rPr>
      </w:pPr>
      <w:r>
        <w:rPr>
          <w:rFonts w:hint="eastAsia" w:ascii="宋体"/>
          <w:sz w:val="24"/>
          <w:szCs w:val="24"/>
        </w:rPr>
        <w:t>缺陷责任期终止后，甲方应退还剩余的质量保证金。</w:t>
      </w:r>
    </w:p>
    <w:p>
      <w:pPr>
        <w:spacing w:line="360" w:lineRule="auto"/>
        <w:rPr>
          <w:rFonts w:ascii="宋体"/>
          <w:sz w:val="24"/>
          <w:szCs w:val="24"/>
        </w:rPr>
      </w:pPr>
      <w:r>
        <w:rPr>
          <w:rFonts w:hint="eastAsia" w:ascii="宋体"/>
          <w:sz w:val="24"/>
          <w:szCs w:val="24"/>
        </w:rPr>
        <w:t>四、 质量保修责任</w:t>
      </w:r>
    </w:p>
    <w:p>
      <w:pPr>
        <w:spacing w:line="360" w:lineRule="auto"/>
        <w:ind w:left="578" w:leftChars="104" w:hanging="360" w:hangingChars="150"/>
        <w:rPr>
          <w:rFonts w:ascii="宋体"/>
          <w:sz w:val="24"/>
          <w:szCs w:val="24"/>
        </w:rPr>
      </w:pPr>
      <w:r>
        <w:rPr>
          <w:rFonts w:hint="eastAsia" w:ascii="宋体"/>
          <w:sz w:val="24"/>
          <w:szCs w:val="24"/>
        </w:rPr>
        <w:t>1. 属于保修范围、内容的项目，乙方应当在接到保修通知之日起7天内派人保修。乙方不在约定期限内派人保修的，甲方可以委托他人修理。</w:t>
      </w:r>
    </w:p>
    <w:p>
      <w:pPr>
        <w:spacing w:line="360" w:lineRule="auto"/>
        <w:ind w:firstLine="240" w:firstLineChars="100"/>
        <w:rPr>
          <w:rFonts w:ascii="宋体"/>
          <w:sz w:val="24"/>
          <w:szCs w:val="24"/>
        </w:rPr>
      </w:pPr>
      <w:r>
        <w:rPr>
          <w:rFonts w:hint="eastAsia" w:ascii="宋体"/>
          <w:sz w:val="24"/>
          <w:szCs w:val="24"/>
        </w:rPr>
        <w:t>2. 发生紧急事故需抢修的，乙方在接到事故通知后，应当立即到达事故现场抢修。</w:t>
      </w:r>
    </w:p>
    <w:p>
      <w:pPr>
        <w:spacing w:line="360" w:lineRule="auto"/>
        <w:ind w:left="578" w:leftChars="104" w:hanging="360" w:hangingChars="150"/>
        <w:rPr>
          <w:rFonts w:ascii="宋体"/>
          <w:sz w:val="24"/>
          <w:szCs w:val="24"/>
        </w:rPr>
      </w:pPr>
      <w:r>
        <w:rPr>
          <w:rFonts w:hint="eastAsia" w:ascii="宋体"/>
          <w:sz w:val="24"/>
          <w:szCs w:val="24"/>
        </w:rPr>
        <w:t>3. 对于涉及结构安全的质量问题，应当按照《建设工程质量管理条例》的规定，立即向当地建设行政主管部门和有关部门报告，采取安全防范措施，并由原设计人或者具有相应资质等级的设计人提出保修方案，乙方实施保修。</w:t>
      </w:r>
    </w:p>
    <w:p>
      <w:pPr>
        <w:spacing w:line="360" w:lineRule="auto"/>
        <w:ind w:firstLine="240" w:firstLineChars="100"/>
        <w:rPr>
          <w:rFonts w:ascii="宋体"/>
          <w:sz w:val="24"/>
          <w:szCs w:val="24"/>
        </w:rPr>
      </w:pPr>
      <w:r>
        <w:rPr>
          <w:rFonts w:hint="eastAsia" w:ascii="宋体"/>
          <w:sz w:val="24"/>
          <w:szCs w:val="24"/>
        </w:rPr>
        <w:t>4. 质量保修完成后，由甲方组织验收。</w:t>
      </w:r>
    </w:p>
    <w:p>
      <w:pPr>
        <w:spacing w:line="360" w:lineRule="auto"/>
        <w:rPr>
          <w:rFonts w:ascii="宋体"/>
          <w:sz w:val="24"/>
          <w:szCs w:val="24"/>
        </w:rPr>
      </w:pPr>
      <w:r>
        <w:rPr>
          <w:rFonts w:hint="eastAsia" w:ascii="宋体"/>
          <w:sz w:val="24"/>
          <w:szCs w:val="24"/>
        </w:rPr>
        <w:t>五、 保修费用</w:t>
      </w:r>
    </w:p>
    <w:p>
      <w:pPr>
        <w:spacing w:line="360" w:lineRule="auto"/>
        <w:ind w:firstLine="600" w:firstLineChars="250"/>
        <w:rPr>
          <w:rFonts w:ascii="宋体"/>
          <w:sz w:val="24"/>
          <w:szCs w:val="24"/>
        </w:rPr>
      </w:pPr>
      <w:r>
        <w:rPr>
          <w:rFonts w:hint="eastAsia" w:ascii="宋体"/>
          <w:sz w:val="24"/>
          <w:szCs w:val="24"/>
        </w:rPr>
        <w:t>保修费用由造成质量缺陷的责任方承担。</w:t>
      </w:r>
    </w:p>
    <w:p>
      <w:pPr>
        <w:spacing w:line="360" w:lineRule="auto"/>
        <w:jc w:val="left"/>
        <w:rPr>
          <w:rFonts w:ascii="宋体"/>
          <w:sz w:val="24"/>
          <w:szCs w:val="24"/>
        </w:rPr>
      </w:pPr>
      <w:r>
        <w:rPr>
          <w:rFonts w:hint="eastAsia" w:ascii="宋体"/>
          <w:sz w:val="24"/>
          <w:szCs w:val="24"/>
        </w:rPr>
        <w:t>六、双方约定的其他工程质量保修事项</w:t>
      </w:r>
      <w:r>
        <w:rPr>
          <w:rFonts w:hint="eastAsia" w:ascii="宋体"/>
          <w:sz w:val="24"/>
          <w:szCs w:val="24"/>
          <w:u w:val="single"/>
        </w:rPr>
        <w:t xml:space="preserve">：                  </w:t>
      </w:r>
      <w:r>
        <w:rPr>
          <w:rFonts w:hint="eastAsia" w:ascii="宋体"/>
          <w:sz w:val="24"/>
          <w:szCs w:val="24"/>
        </w:rPr>
        <w:t>。</w:t>
      </w:r>
    </w:p>
    <w:p>
      <w:pPr>
        <w:spacing w:line="360" w:lineRule="auto"/>
        <w:ind w:left="525" w:leftChars="250"/>
        <w:rPr>
          <w:rFonts w:ascii="宋体"/>
          <w:sz w:val="24"/>
          <w:szCs w:val="24"/>
        </w:rPr>
      </w:pPr>
      <w:r>
        <w:rPr>
          <w:rFonts w:hint="eastAsia" w:ascii="宋体"/>
          <w:sz w:val="24"/>
          <w:szCs w:val="24"/>
        </w:rPr>
        <w:t>工程质量保修书由甲方、乙方在工程竣工验收前共同签署，作为施工合同附件，其有效期限至保修期满。</w:t>
      </w:r>
    </w:p>
    <w:p>
      <w:pPr>
        <w:spacing w:line="360" w:lineRule="auto"/>
        <w:ind w:firstLine="420"/>
        <w:rPr>
          <w:rFonts w:ascii="宋体"/>
          <w:sz w:val="24"/>
          <w:szCs w:val="24"/>
        </w:rPr>
      </w:pPr>
    </w:p>
    <w:p>
      <w:pPr>
        <w:spacing w:line="360" w:lineRule="auto"/>
        <w:rPr>
          <w:rFonts w:ascii="宋体"/>
          <w:sz w:val="24"/>
          <w:szCs w:val="24"/>
        </w:rPr>
      </w:pPr>
      <w:r>
        <w:rPr>
          <w:rFonts w:hint="eastAsia" w:ascii="宋体"/>
          <w:sz w:val="24"/>
          <w:szCs w:val="24"/>
        </w:rPr>
        <w:t>甲方(公章)：                                乙方(公章)：</w:t>
      </w:r>
    </w:p>
    <w:p>
      <w:pPr>
        <w:spacing w:line="360" w:lineRule="auto"/>
        <w:rPr>
          <w:rFonts w:ascii="宋体"/>
          <w:sz w:val="24"/>
          <w:szCs w:val="24"/>
        </w:rPr>
      </w:pPr>
      <w:r>
        <w:rPr>
          <w:rFonts w:hint="eastAsia" w:ascii="宋体"/>
          <w:sz w:val="24"/>
          <w:szCs w:val="24"/>
        </w:rPr>
        <w:t>地  址：                                        地  址：</w:t>
      </w:r>
    </w:p>
    <w:p>
      <w:pPr>
        <w:spacing w:line="360" w:lineRule="auto"/>
        <w:rPr>
          <w:rFonts w:ascii="宋体"/>
          <w:sz w:val="24"/>
          <w:szCs w:val="24"/>
        </w:rPr>
      </w:pPr>
      <w:r>
        <w:rPr>
          <w:rFonts w:hint="eastAsia" w:ascii="宋体"/>
          <w:sz w:val="24"/>
          <w:szCs w:val="24"/>
        </w:rPr>
        <w:t>法定代表人</w:t>
      </w:r>
      <w:r>
        <w:rPr>
          <w:rFonts w:hint="eastAsia" w:ascii="宋体" w:hAnsi="宋体" w:cs="宋体"/>
          <w:sz w:val="24"/>
          <w:szCs w:val="24"/>
        </w:rPr>
        <w:t>或授权代表</w:t>
      </w:r>
      <w:r>
        <w:rPr>
          <w:rFonts w:hint="eastAsia" w:ascii="宋体"/>
          <w:sz w:val="24"/>
          <w:szCs w:val="24"/>
        </w:rPr>
        <w:t>(签字)：                法定代表人</w:t>
      </w:r>
      <w:r>
        <w:rPr>
          <w:rFonts w:hint="eastAsia" w:ascii="宋体" w:hAnsi="宋体" w:cs="宋体"/>
          <w:sz w:val="24"/>
          <w:szCs w:val="24"/>
        </w:rPr>
        <w:t>或授权代表</w:t>
      </w:r>
      <w:r>
        <w:rPr>
          <w:rFonts w:hint="eastAsia" w:ascii="宋体"/>
          <w:sz w:val="24"/>
          <w:szCs w:val="24"/>
        </w:rPr>
        <w:t>(签字)：</w:t>
      </w:r>
    </w:p>
    <w:p>
      <w:pPr>
        <w:widowControl/>
        <w:snapToGrid w:val="0"/>
        <w:spacing w:line="420" w:lineRule="atLeast"/>
        <w:jc w:val="center"/>
        <w:rPr>
          <w:rFonts w:hint="eastAsia" w:ascii="宋体" w:hAnsi="宋体" w:cs="宋体"/>
          <w:sz w:val="52"/>
          <w:szCs w:val="52"/>
        </w:rPr>
      </w:pPr>
    </w:p>
    <w:p>
      <w:pPr>
        <w:pStyle w:val="24"/>
        <w:tabs>
          <w:tab w:val="left" w:pos="900"/>
        </w:tabs>
        <w:snapToGrid w:val="0"/>
        <w:spacing w:line="360" w:lineRule="auto"/>
        <w:ind w:firstLine="329" w:firstLineChars="100"/>
        <w:jc w:val="center"/>
        <w:rPr>
          <w:rStyle w:val="98"/>
          <w:rFonts w:hint="eastAsia" w:ascii="宋体" w:hAnsi="宋体" w:eastAsia="宋体" w:cs="宋体"/>
          <w:b/>
          <w:bCs/>
          <w:sz w:val="28"/>
          <w:szCs w:val="28"/>
        </w:rPr>
      </w:pPr>
      <w:r>
        <w:rPr>
          <w:rStyle w:val="98"/>
          <w:rFonts w:hint="eastAsia" w:ascii="宋体" w:hAnsi="宋体" w:eastAsia="宋体" w:cs="宋体"/>
          <w:b/>
          <w:bCs/>
          <w:sz w:val="28"/>
          <w:szCs w:val="28"/>
        </w:rPr>
        <w:br w:type="page"/>
      </w:r>
      <w:r>
        <w:rPr>
          <w:rStyle w:val="98"/>
          <w:rFonts w:hint="eastAsia" w:ascii="宋体" w:hAnsi="宋体" w:eastAsia="宋体" w:cs="宋体"/>
          <w:b/>
          <w:bCs/>
          <w:sz w:val="28"/>
          <w:szCs w:val="28"/>
        </w:rPr>
        <w:t>第五部分    投标文件格式</w:t>
      </w:r>
    </w:p>
    <w:bookmarkEnd w:id="109"/>
    <w:p>
      <w:pPr>
        <w:pStyle w:val="24"/>
        <w:adjustRightInd w:val="0"/>
        <w:snapToGrid w:val="0"/>
        <w:spacing w:line="360" w:lineRule="auto"/>
        <w:rPr>
          <w:rFonts w:hint="eastAsia" w:hAnsi="宋体" w:cs="宋体"/>
          <w:sz w:val="22"/>
          <w:szCs w:val="22"/>
        </w:rPr>
      </w:pPr>
      <w:r>
        <w:rPr>
          <w:rFonts w:hint="eastAsia" w:hAnsi="宋体" w:cs="宋体"/>
          <w:sz w:val="22"/>
          <w:szCs w:val="22"/>
        </w:rPr>
        <w:t>附件一</w:t>
      </w:r>
      <w:r>
        <w:rPr>
          <w:rFonts w:hint="eastAsia" w:hAnsi="宋体" w:cs="宋体"/>
          <w:sz w:val="22"/>
          <w:szCs w:val="22"/>
        </w:rPr>
        <w:cr/>
      </w:r>
      <w:r>
        <w:rPr>
          <w:rFonts w:hint="eastAsia" w:hAnsi="宋体" w:cs="宋体"/>
          <w:sz w:val="22"/>
          <w:szCs w:val="22"/>
        </w:rPr>
        <w:t xml:space="preserve">                                        投  标  函</w:t>
      </w:r>
    </w:p>
    <w:p>
      <w:pPr>
        <w:pStyle w:val="24"/>
        <w:adjustRightInd w:val="0"/>
        <w:snapToGrid w:val="0"/>
        <w:spacing w:line="360" w:lineRule="auto"/>
        <w:ind w:firstLine="552" w:firstLineChars="251"/>
        <w:rPr>
          <w:rFonts w:hint="eastAsia" w:hAnsi="宋体" w:cs="宋体"/>
          <w:sz w:val="22"/>
          <w:szCs w:val="22"/>
          <w:u w:val="single"/>
        </w:rPr>
      </w:pPr>
      <w:bookmarkStart w:id="129" w:name="_Toc10630"/>
      <w:r>
        <w:rPr>
          <w:rFonts w:hint="eastAsia" w:hAnsi="宋体" w:cs="宋体"/>
          <w:sz w:val="22"/>
          <w:szCs w:val="22"/>
          <w:u w:val="single"/>
        </w:rPr>
        <w:t>苍南县公安局：</w:t>
      </w:r>
    </w:p>
    <w:p>
      <w:pPr>
        <w:autoSpaceDE w:val="0"/>
        <w:autoSpaceDN w:val="0"/>
        <w:adjustRightInd w:val="0"/>
        <w:spacing w:line="360" w:lineRule="auto"/>
        <w:rPr>
          <w:rFonts w:hint="eastAsia" w:ascii="宋体" w:hAnsi="宋体" w:cs="宋体"/>
          <w:color w:val="000000"/>
          <w:sz w:val="22"/>
          <w:szCs w:val="22"/>
          <w:lang w:val="zh-CN"/>
        </w:rPr>
      </w:pPr>
      <w:r>
        <w:rPr>
          <w:rFonts w:hint="eastAsia" w:ascii="宋体" w:hAnsi="宋体" w:cs="宋体"/>
          <w:sz w:val="22"/>
          <w:szCs w:val="22"/>
        </w:rPr>
        <w:t xml:space="preserve">    </w:t>
      </w:r>
      <w:r>
        <w:rPr>
          <w:rFonts w:hint="eastAsia" w:ascii="宋体" w:hAnsi="宋体" w:cs="宋体"/>
          <w:sz w:val="22"/>
          <w:szCs w:val="22"/>
          <w:lang w:val="zh-CN"/>
        </w:rPr>
        <w:t xml:space="preserve"> </w:t>
      </w:r>
      <w:r>
        <w:rPr>
          <w:rFonts w:hint="eastAsia" w:ascii="宋体" w:hAnsi="宋体" w:cs="宋体"/>
          <w:sz w:val="22"/>
          <w:szCs w:val="22"/>
          <w:u w:val="single"/>
          <w:lang w:val="zh-CN"/>
        </w:rPr>
        <w:t xml:space="preserve">                    </w:t>
      </w:r>
      <w:r>
        <w:rPr>
          <w:rFonts w:hint="eastAsia" w:ascii="宋体" w:hAnsi="宋体" w:cs="宋体"/>
          <w:sz w:val="22"/>
          <w:szCs w:val="22"/>
          <w:lang w:val="zh-CN"/>
        </w:rPr>
        <w:t>（供应商全称）授权</w:t>
      </w:r>
      <w:r>
        <w:rPr>
          <w:rFonts w:hint="eastAsia" w:ascii="宋体" w:hAnsi="宋体" w:cs="宋体"/>
          <w:sz w:val="22"/>
          <w:szCs w:val="22"/>
          <w:u w:val="single"/>
          <w:lang w:val="zh-CN"/>
        </w:rPr>
        <w:t xml:space="preserve">              </w:t>
      </w:r>
      <w:r>
        <w:rPr>
          <w:rFonts w:hint="eastAsia" w:ascii="宋体" w:hAnsi="宋体" w:cs="宋体"/>
          <w:sz w:val="22"/>
          <w:szCs w:val="22"/>
          <w:lang w:val="zh-CN"/>
        </w:rPr>
        <w:t xml:space="preserve"> （授权代表名称）</w:t>
      </w:r>
      <w:r>
        <w:rPr>
          <w:rFonts w:hint="eastAsia" w:ascii="宋体" w:hAnsi="宋体" w:cs="宋体"/>
          <w:sz w:val="22"/>
          <w:szCs w:val="22"/>
          <w:u w:val="single"/>
          <w:lang w:val="zh-CN"/>
        </w:rPr>
        <w:t xml:space="preserve">         </w:t>
      </w:r>
      <w:r>
        <w:rPr>
          <w:rFonts w:hint="eastAsia" w:ascii="宋体" w:hAnsi="宋体" w:cs="宋体"/>
          <w:sz w:val="22"/>
          <w:szCs w:val="22"/>
          <w:lang w:val="zh-CN"/>
        </w:rPr>
        <w:t>（职务、职称）为授权代表，参加贵方组织的</w:t>
      </w:r>
      <w:r>
        <w:rPr>
          <w:rFonts w:hint="eastAsia" w:ascii="宋体" w:hAnsi="宋体" w:cs="宋体"/>
          <w:sz w:val="22"/>
          <w:szCs w:val="22"/>
          <w:u w:val="single"/>
          <w:lang w:val="zh-CN"/>
        </w:rPr>
        <w:t xml:space="preserve">           </w:t>
      </w:r>
      <w:r>
        <w:rPr>
          <w:rFonts w:hint="eastAsia" w:ascii="宋体" w:hAnsi="宋体" w:cs="宋体"/>
          <w:sz w:val="22"/>
          <w:szCs w:val="22"/>
          <w:lang w:val="zh-CN"/>
        </w:rPr>
        <w:t>（招标项目名称）（括号内填投标编号）招标的有关活动，为此：</w:t>
      </w:r>
      <w:r>
        <w:rPr>
          <w:rFonts w:hint="eastAsia" w:ascii="宋体" w:hAnsi="宋体" w:cs="宋体"/>
          <w:color w:val="000000"/>
          <w:sz w:val="22"/>
          <w:szCs w:val="22"/>
          <w:lang w:val="zh-CN"/>
        </w:rPr>
        <w:t>并对</w:t>
      </w:r>
      <w:r>
        <w:rPr>
          <w:rFonts w:hint="eastAsia" w:ascii="宋体" w:hAnsi="宋体" w:cs="宋体"/>
          <w:color w:val="000000"/>
          <w:sz w:val="22"/>
          <w:szCs w:val="22"/>
          <w:u w:val="single"/>
          <w:lang w:val="zh-CN"/>
        </w:rPr>
        <w:t xml:space="preserve">            </w:t>
      </w:r>
      <w:r>
        <w:rPr>
          <w:rFonts w:hint="eastAsia" w:ascii="宋体" w:hAnsi="宋体" w:cs="宋体"/>
          <w:color w:val="000000"/>
          <w:sz w:val="22"/>
          <w:szCs w:val="22"/>
          <w:lang w:val="zh-CN"/>
        </w:rPr>
        <w:t xml:space="preserve">项目（采购项目名称）进行投标。   </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1、我方同意在供应商</w:t>
      </w:r>
      <w:r>
        <w:rPr>
          <w:rFonts w:hint="eastAsia" w:ascii="宋体" w:hAnsi="宋体" w:cs="宋体"/>
          <w:color w:val="000000"/>
          <w:kern w:val="44"/>
          <w:sz w:val="22"/>
          <w:szCs w:val="22"/>
        </w:rPr>
        <w:t>编制和提交投标文件须知</w:t>
      </w:r>
      <w:r>
        <w:rPr>
          <w:rFonts w:hint="eastAsia" w:ascii="宋体" w:hAnsi="宋体" w:cs="宋体"/>
          <w:color w:val="000000"/>
          <w:sz w:val="22"/>
          <w:szCs w:val="22"/>
        </w:rPr>
        <w:t>规定的开标日期起遵守本投标书中的承诺且在投标有效期满之前均具有约束力。</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2、我方承诺已经具备《中华人民共和国政府采购法》中规定的参加政府采购活动的供应商应当具备的条件：</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(1)具有独立承担民事责任的能力；</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(2)遵守国家法律、行政法规，具有良好的信誉和商业道德；</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(3)具有履行合同的能力和良好的履行合同记录；</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(4)良好的资金、财务状况；</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(5)提供的产品和服务符合中国政府规定的相应标准和环保标准；</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(6)没有违反政府采购法规、政策的记录；</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(7)没有发生重大经济纠纷和走私犯罪记录。</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3、提供</w:t>
      </w:r>
      <w:r>
        <w:rPr>
          <w:rFonts w:hint="eastAsia" w:ascii="宋体" w:hAnsi="宋体" w:cs="宋体"/>
          <w:color w:val="000000"/>
          <w:kern w:val="44"/>
          <w:sz w:val="22"/>
          <w:szCs w:val="22"/>
        </w:rPr>
        <w:t>编制和提交投标文件须知</w:t>
      </w:r>
      <w:r>
        <w:rPr>
          <w:rFonts w:hint="eastAsia" w:ascii="宋体" w:hAnsi="宋体" w:cs="宋体"/>
          <w:color w:val="000000"/>
          <w:sz w:val="22"/>
          <w:szCs w:val="22"/>
        </w:rPr>
        <w:t>规定的全部投标文件，包括资格文件、报价文件、商务技术文件。具体内容为：</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(1)资格文件</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(2)报价文件；</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(3)</w:t>
      </w:r>
      <w:r>
        <w:rPr>
          <w:rFonts w:hint="eastAsia" w:ascii="宋体" w:hAnsi="宋体" w:cs="宋体"/>
          <w:color w:val="000000"/>
          <w:sz w:val="22"/>
          <w:szCs w:val="22"/>
          <w:lang w:val="zh-CN"/>
        </w:rPr>
        <w:t>商务</w:t>
      </w:r>
      <w:r>
        <w:rPr>
          <w:rFonts w:hint="eastAsia" w:ascii="宋体" w:hAnsi="宋体" w:cs="宋体"/>
          <w:color w:val="000000"/>
          <w:kern w:val="0"/>
          <w:sz w:val="22"/>
          <w:szCs w:val="22"/>
          <w:lang w:val="zh-CN"/>
        </w:rPr>
        <w:t>技术文件</w:t>
      </w:r>
      <w:r>
        <w:rPr>
          <w:rFonts w:hint="eastAsia" w:ascii="宋体" w:hAnsi="宋体" w:cs="宋体"/>
          <w:color w:val="000000"/>
          <w:sz w:val="22"/>
          <w:szCs w:val="22"/>
        </w:rPr>
        <w:t>；</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(4)</w:t>
      </w:r>
      <w:r>
        <w:rPr>
          <w:rFonts w:hint="eastAsia" w:ascii="宋体" w:hAnsi="宋体" w:cs="宋体"/>
          <w:color w:val="000000"/>
          <w:kern w:val="44"/>
          <w:sz w:val="22"/>
          <w:szCs w:val="22"/>
        </w:rPr>
        <w:t>编制和提交投标文件须知</w:t>
      </w:r>
      <w:r>
        <w:rPr>
          <w:rFonts w:hint="eastAsia" w:ascii="宋体" w:hAnsi="宋体" w:cs="宋体"/>
          <w:color w:val="000000"/>
          <w:sz w:val="22"/>
          <w:szCs w:val="22"/>
        </w:rPr>
        <w:t>要求供应商提交的全部文件；</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(5)按招标文件要求提供和交付的货物和服务的投标报价详见开标一览表；</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(6)保证忠实地执行双方所签订的合同，并承担合同规定的责任和义务；</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(7)保证遵守招标文件中的其他有关规定。</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4、投标有效期内不撤销投标文件；强行撤销的，承诺按本项目预算金额（最高限价）的2%赔偿对招标代理机构造成的损失。</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5、我方完全理解贵方不一定要接受最低价的投标。</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6、如中标，按招标文件规定与招标人签订合同。如拒绝签订合同，承诺按本项目预算金额（最高限价）的2%对招标人进行赔偿；赔偿金额不足以弥补招标人损失的，承诺继续承担超过部分的损失。</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7、如中标，按招标文件规定的招标代理服务费标准，承诺在签订合同前向招标代理机构支付招标代理服务费。</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8、我方愿意向贵方提供任何与该项投标有关的数据、情况和服务资料。若贵方需要，我方愿意提供我方作出的一切承诺的证明材料。</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9、我方已详细审核全部招标文件，包括招标文件修改书（如有的话）、参考资料及有关附件，确认无误。我方完全理解并接受招标文件的各项规定和要求，对招标文件的合理性、合法性不再有异议。</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10、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(1)提供虚假材料谋取中标、成交的；</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(2)采取不正当手段诋毁、排挤其他供应商的；</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(3)与采购人、其它供应商或者招标代理机构恶意串通的；</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(4)向采购人、招标代理机构行贿或者提供其他不正当利益的；</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(5)在招标采购过程中与采购人进行协商谈判的；</w:t>
      </w:r>
    </w:p>
    <w:p>
      <w:pPr>
        <w:shd w:val="clear" w:color="auto" w:fill="FFFFFF"/>
        <w:snapToGrid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(6)拒绝有关部门监督检查或提供虚假情况的。</w:t>
      </w:r>
    </w:p>
    <w:p>
      <w:pPr>
        <w:shd w:val="clear" w:color="auto" w:fill="FFFFFF"/>
        <w:snapToGrid w:val="0"/>
        <w:spacing w:line="360" w:lineRule="auto"/>
        <w:ind w:firstLine="440" w:firstLineChars="200"/>
        <w:rPr>
          <w:rFonts w:hint="eastAsia" w:ascii="宋体" w:hAnsi="宋体" w:cs="宋体"/>
          <w:color w:val="000000"/>
          <w:kern w:val="0"/>
          <w:sz w:val="22"/>
          <w:szCs w:val="22"/>
          <w:lang w:val="zh-CN"/>
        </w:rPr>
      </w:pPr>
      <w:r>
        <w:rPr>
          <w:rFonts w:hint="eastAsia" w:ascii="宋体" w:hAnsi="宋体" w:cs="宋体"/>
          <w:color w:val="000000"/>
          <w:sz w:val="22"/>
          <w:szCs w:val="22"/>
        </w:rPr>
        <w:t>供应商有前款第(1)至(5)项情形之一的，中标、成交无效。</w:t>
      </w:r>
    </w:p>
    <w:p>
      <w:pPr>
        <w:shd w:val="clear" w:color="auto" w:fill="FFFFFF"/>
        <w:snapToGrid w:val="0"/>
        <w:spacing w:line="360" w:lineRule="auto"/>
        <w:ind w:firstLine="440" w:firstLineChars="200"/>
        <w:rPr>
          <w:rFonts w:hint="eastAsia" w:ascii="宋体" w:hAnsi="宋体" w:cs="宋体"/>
          <w:color w:val="000000"/>
          <w:kern w:val="0"/>
          <w:sz w:val="22"/>
          <w:szCs w:val="22"/>
        </w:rPr>
      </w:pPr>
      <w:r>
        <w:rPr>
          <w:rFonts w:hint="eastAsia" w:ascii="宋体" w:hAnsi="宋体" w:cs="宋体"/>
          <w:color w:val="000000"/>
          <w:kern w:val="0"/>
          <w:sz w:val="22"/>
          <w:szCs w:val="22"/>
          <w:lang w:val="zh-CN"/>
        </w:rPr>
        <w:t>法定（授权）代表人（签字）：</w:t>
      </w:r>
      <w:r>
        <w:rPr>
          <w:rFonts w:hint="eastAsia" w:ascii="宋体" w:hAnsi="宋体" w:cs="宋体"/>
          <w:color w:val="000000"/>
          <w:kern w:val="0"/>
          <w:sz w:val="22"/>
          <w:szCs w:val="22"/>
          <w:u w:val="single"/>
          <w:lang w:val="zh-CN"/>
        </w:rPr>
        <w:t xml:space="preserve">                    </w:t>
      </w:r>
      <w:r>
        <w:rPr>
          <w:rFonts w:hint="eastAsia" w:ascii="宋体" w:hAnsi="宋体" w:cs="宋体"/>
          <w:color w:val="000000"/>
          <w:kern w:val="0"/>
          <w:sz w:val="22"/>
          <w:szCs w:val="22"/>
        </w:rPr>
        <w:tab/>
      </w:r>
    </w:p>
    <w:p>
      <w:pPr>
        <w:shd w:val="clear" w:color="auto" w:fill="FFFFFF"/>
        <w:snapToGrid w:val="0"/>
        <w:spacing w:line="360" w:lineRule="auto"/>
        <w:ind w:firstLine="440" w:firstLineChars="200"/>
        <w:rPr>
          <w:rFonts w:hint="eastAsia" w:ascii="宋体" w:hAnsi="宋体" w:cs="宋体"/>
          <w:color w:val="000000"/>
          <w:kern w:val="0"/>
          <w:sz w:val="22"/>
          <w:szCs w:val="22"/>
          <w:u w:val="single"/>
          <w:lang w:val="zh-CN"/>
        </w:rPr>
      </w:pPr>
      <w:r>
        <w:rPr>
          <w:rFonts w:hint="eastAsia" w:ascii="宋体" w:hAnsi="宋体" w:cs="宋体"/>
          <w:color w:val="000000"/>
          <w:kern w:val="0"/>
          <w:sz w:val="22"/>
          <w:szCs w:val="22"/>
          <w:lang w:val="zh-CN"/>
        </w:rPr>
        <w:t>供应商</w:t>
      </w:r>
      <w:r>
        <w:rPr>
          <w:rFonts w:hint="eastAsia" w:ascii="宋体" w:hAnsi="宋体" w:cs="宋体"/>
          <w:color w:val="000000"/>
          <w:kern w:val="0"/>
          <w:sz w:val="22"/>
          <w:szCs w:val="22"/>
        </w:rPr>
        <w:t>电子签章</w:t>
      </w:r>
      <w:r>
        <w:rPr>
          <w:rFonts w:hint="eastAsia" w:ascii="宋体" w:hAnsi="宋体" w:cs="宋体"/>
          <w:color w:val="000000"/>
          <w:kern w:val="0"/>
          <w:sz w:val="22"/>
          <w:szCs w:val="22"/>
          <w:lang w:val="zh-CN"/>
        </w:rPr>
        <w:t>：</w:t>
      </w:r>
      <w:r>
        <w:rPr>
          <w:rFonts w:hint="eastAsia" w:ascii="宋体" w:hAnsi="宋体" w:cs="宋体"/>
          <w:color w:val="000000"/>
          <w:kern w:val="0"/>
          <w:sz w:val="22"/>
          <w:szCs w:val="22"/>
          <w:u w:val="single"/>
          <w:lang w:val="zh-CN"/>
        </w:rPr>
        <w:t xml:space="preserve">                     </w:t>
      </w:r>
      <w:r>
        <w:rPr>
          <w:rFonts w:hint="eastAsia" w:ascii="宋体" w:hAnsi="宋体" w:cs="宋体"/>
          <w:color w:val="000000"/>
          <w:kern w:val="0"/>
          <w:sz w:val="22"/>
          <w:szCs w:val="22"/>
        </w:rPr>
        <w:tab/>
      </w:r>
      <w:r>
        <w:rPr>
          <w:rFonts w:hint="eastAsia" w:ascii="宋体" w:hAnsi="宋体" w:cs="宋体"/>
          <w:color w:val="000000"/>
          <w:kern w:val="0"/>
          <w:sz w:val="22"/>
          <w:szCs w:val="22"/>
          <w:u w:val="single"/>
          <w:lang w:val="zh-CN"/>
        </w:rPr>
        <w:t xml:space="preserve">                      </w:t>
      </w:r>
    </w:p>
    <w:p>
      <w:pPr>
        <w:shd w:val="clear" w:color="auto" w:fill="FFFFFF"/>
        <w:snapToGrid w:val="0"/>
        <w:spacing w:line="360" w:lineRule="auto"/>
        <w:ind w:firstLine="440" w:firstLineChars="200"/>
        <w:rPr>
          <w:rFonts w:hint="eastAsia" w:ascii="宋体" w:hAnsi="宋体" w:cs="宋体"/>
          <w:color w:val="000000"/>
          <w:kern w:val="0"/>
          <w:sz w:val="22"/>
          <w:szCs w:val="22"/>
        </w:rPr>
      </w:pPr>
      <w:r>
        <w:rPr>
          <w:rFonts w:hint="eastAsia" w:ascii="宋体" w:hAnsi="宋体" w:cs="宋体"/>
          <w:color w:val="000000"/>
          <w:kern w:val="0"/>
          <w:sz w:val="22"/>
          <w:szCs w:val="22"/>
          <w:lang w:val="zh-CN"/>
        </w:rPr>
        <w:t xml:space="preserve">联系电话： </w:t>
      </w:r>
      <w:r>
        <w:rPr>
          <w:rFonts w:hint="eastAsia" w:ascii="宋体" w:hAnsi="宋体" w:cs="宋体"/>
          <w:color w:val="000000"/>
          <w:kern w:val="0"/>
          <w:sz w:val="22"/>
          <w:szCs w:val="22"/>
          <w:u w:val="single"/>
          <w:lang w:val="zh-CN"/>
        </w:rPr>
        <w:t xml:space="preserve">          </w:t>
      </w:r>
      <w:r>
        <w:rPr>
          <w:rFonts w:hint="eastAsia" w:ascii="宋体" w:hAnsi="宋体" w:cs="宋体"/>
          <w:color w:val="000000"/>
          <w:kern w:val="0"/>
          <w:sz w:val="22"/>
          <w:szCs w:val="22"/>
          <w:lang w:val="zh-CN"/>
        </w:rPr>
        <w:t xml:space="preserve">传真：  </w:t>
      </w:r>
      <w:r>
        <w:rPr>
          <w:rFonts w:hint="eastAsia" w:ascii="宋体" w:hAnsi="宋体" w:cs="宋体"/>
          <w:color w:val="000000"/>
          <w:kern w:val="0"/>
          <w:sz w:val="22"/>
          <w:szCs w:val="22"/>
          <w:u w:val="single"/>
          <w:lang w:val="zh-CN"/>
        </w:rPr>
        <w:t xml:space="preserve">           </w:t>
      </w:r>
      <w:r>
        <w:rPr>
          <w:rFonts w:hint="eastAsia" w:ascii="宋体" w:hAnsi="宋体" w:cs="宋体"/>
          <w:color w:val="000000"/>
          <w:kern w:val="0"/>
          <w:sz w:val="22"/>
          <w:szCs w:val="22"/>
          <w:lang w:val="zh-CN"/>
        </w:rPr>
        <w:t xml:space="preserve">电子邮件： </w:t>
      </w:r>
      <w:r>
        <w:rPr>
          <w:rFonts w:hint="eastAsia" w:ascii="宋体" w:hAnsi="宋体" w:cs="宋体"/>
          <w:color w:val="000000"/>
          <w:kern w:val="0"/>
          <w:sz w:val="22"/>
          <w:szCs w:val="22"/>
          <w:u w:val="single"/>
          <w:lang w:val="zh-CN"/>
        </w:rPr>
        <w:t xml:space="preserve">                     </w:t>
      </w:r>
      <w:r>
        <w:rPr>
          <w:rFonts w:hint="eastAsia" w:ascii="宋体" w:hAnsi="宋体" w:cs="宋体"/>
          <w:color w:val="000000"/>
          <w:kern w:val="0"/>
          <w:sz w:val="22"/>
          <w:szCs w:val="22"/>
          <w:lang w:val="zh-CN"/>
        </w:rPr>
        <w:t xml:space="preserve"> </w:t>
      </w:r>
      <w:r>
        <w:rPr>
          <w:rFonts w:hint="eastAsia" w:ascii="宋体" w:hAnsi="宋体" w:cs="宋体"/>
          <w:color w:val="000000"/>
          <w:kern w:val="0"/>
          <w:sz w:val="22"/>
          <w:szCs w:val="22"/>
          <w:u w:val="single"/>
          <w:lang w:val="zh-CN"/>
        </w:rPr>
        <w:t xml:space="preserve">              </w:t>
      </w:r>
    </w:p>
    <w:p>
      <w:pPr>
        <w:shd w:val="clear" w:color="auto" w:fill="FFFFFF"/>
        <w:snapToGrid w:val="0"/>
        <w:spacing w:line="360" w:lineRule="auto"/>
        <w:ind w:firstLine="440" w:firstLineChars="200"/>
        <w:rPr>
          <w:rFonts w:hint="eastAsia" w:ascii="宋体" w:hAnsi="宋体" w:cs="宋体"/>
          <w:color w:val="000000"/>
          <w:kern w:val="0"/>
          <w:sz w:val="22"/>
          <w:szCs w:val="22"/>
        </w:rPr>
      </w:pPr>
      <w:r>
        <w:rPr>
          <w:rFonts w:hint="eastAsia" w:ascii="宋体" w:hAnsi="宋体" w:cs="宋体"/>
          <w:color w:val="000000"/>
          <w:kern w:val="0"/>
          <w:sz w:val="22"/>
          <w:szCs w:val="22"/>
          <w:lang w:val="zh-CN"/>
        </w:rPr>
        <w:t>联系地址：</w:t>
      </w:r>
      <w:r>
        <w:rPr>
          <w:rFonts w:hint="eastAsia" w:ascii="宋体" w:hAnsi="宋体" w:cs="宋体"/>
          <w:color w:val="000000"/>
          <w:kern w:val="0"/>
          <w:sz w:val="22"/>
          <w:szCs w:val="22"/>
          <w:u w:val="single"/>
          <w:lang w:val="zh-CN"/>
        </w:rPr>
        <w:t xml:space="preserve">                    </w:t>
      </w:r>
      <w:r>
        <w:rPr>
          <w:rFonts w:hint="eastAsia" w:ascii="宋体" w:hAnsi="宋体" w:cs="宋体"/>
          <w:color w:val="000000"/>
          <w:kern w:val="0"/>
          <w:sz w:val="22"/>
          <w:szCs w:val="22"/>
        </w:rPr>
        <w:tab/>
      </w:r>
      <w:r>
        <w:rPr>
          <w:rFonts w:hint="eastAsia" w:ascii="宋体" w:hAnsi="宋体" w:cs="宋体"/>
          <w:color w:val="000000"/>
          <w:kern w:val="0"/>
          <w:sz w:val="22"/>
          <w:szCs w:val="22"/>
          <w:u w:val="single"/>
          <w:lang w:val="zh-CN"/>
        </w:rPr>
        <w:t xml:space="preserve">                                                    </w:t>
      </w:r>
    </w:p>
    <w:p>
      <w:pPr>
        <w:shd w:val="clear" w:color="auto" w:fill="FFFFFF"/>
        <w:snapToGrid w:val="0"/>
        <w:spacing w:line="360" w:lineRule="auto"/>
        <w:ind w:firstLine="440" w:firstLineChars="200"/>
        <w:rPr>
          <w:rFonts w:hint="eastAsia" w:ascii="宋体" w:hAnsi="宋体" w:cs="宋体"/>
          <w:color w:val="000000"/>
          <w:kern w:val="0"/>
          <w:sz w:val="22"/>
          <w:szCs w:val="22"/>
        </w:rPr>
      </w:pPr>
      <w:r>
        <w:rPr>
          <w:rFonts w:hint="eastAsia" w:ascii="宋体" w:hAnsi="宋体" w:cs="宋体"/>
          <w:color w:val="000000"/>
          <w:kern w:val="0"/>
          <w:sz w:val="22"/>
          <w:szCs w:val="22"/>
          <w:lang w:val="zh-CN"/>
        </w:rPr>
        <w:t>邮政编码：</w:t>
      </w:r>
      <w:r>
        <w:rPr>
          <w:rFonts w:hint="eastAsia" w:ascii="宋体" w:hAnsi="宋体" w:cs="宋体"/>
          <w:color w:val="000000"/>
          <w:kern w:val="0"/>
          <w:sz w:val="22"/>
          <w:szCs w:val="22"/>
          <w:u w:val="single"/>
          <w:lang w:val="zh-CN"/>
        </w:rPr>
        <w:t xml:space="preserve">                     </w:t>
      </w:r>
      <w:r>
        <w:rPr>
          <w:rFonts w:hint="eastAsia" w:ascii="宋体" w:hAnsi="宋体" w:cs="宋体"/>
          <w:color w:val="000000"/>
          <w:kern w:val="0"/>
          <w:sz w:val="22"/>
          <w:szCs w:val="22"/>
          <w:lang w:val="zh-CN"/>
        </w:rPr>
        <w:t>传真号码：</w:t>
      </w:r>
      <w:r>
        <w:rPr>
          <w:rFonts w:hint="eastAsia" w:ascii="宋体" w:hAnsi="宋体" w:cs="宋体"/>
          <w:color w:val="000000"/>
          <w:kern w:val="0"/>
          <w:sz w:val="22"/>
          <w:szCs w:val="22"/>
          <w:u w:val="single"/>
          <w:lang w:val="zh-CN"/>
        </w:rPr>
        <w:t xml:space="preserve">                     </w:t>
      </w:r>
    </w:p>
    <w:p>
      <w:pPr>
        <w:shd w:val="clear" w:color="auto" w:fill="FFFFFF"/>
        <w:snapToGrid w:val="0"/>
        <w:spacing w:line="360" w:lineRule="auto"/>
        <w:ind w:firstLine="440" w:firstLineChars="200"/>
        <w:rPr>
          <w:rFonts w:hint="eastAsia" w:ascii="宋体" w:hAnsi="宋体" w:cs="宋体"/>
          <w:color w:val="000000"/>
          <w:kern w:val="0"/>
          <w:sz w:val="22"/>
          <w:szCs w:val="22"/>
          <w:u w:val="single"/>
        </w:rPr>
      </w:pPr>
      <w:r>
        <w:rPr>
          <w:rFonts w:hint="eastAsia" w:ascii="宋体" w:hAnsi="宋体" w:cs="宋体"/>
          <w:color w:val="000000"/>
          <w:kern w:val="0"/>
          <w:sz w:val="22"/>
          <w:szCs w:val="22"/>
          <w:lang w:val="zh-CN"/>
        </w:rPr>
        <w:t>日</w:t>
      </w:r>
      <w:r>
        <w:rPr>
          <w:rFonts w:hint="eastAsia" w:ascii="宋体" w:hAnsi="宋体" w:cs="宋体"/>
          <w:color w:val="000000"/>
          <w:kern w:val="0"/>
          <w:sz w:val="22"/>
          <w:szCs w:val="22"/>
        </w:rPr>
        <w:t xml:space="preserve">    </w:t>
      </w:r>
      <w:r>
        <w:rPr>
          <w:rFonts w:hint="eastAsia" w:ascii="宋体" w:hAnsi="宋体" w:cs="宋体"/>
          <w:color w:val="000000"/>
          <w:kern w:val="0"/>
          <w:sz w:val="22"/>
          <w:szCs w:val="22"/>
          <w:lang w:val="zh-CN"/>
        </w:rPr>
        <w:t>期</w:t>
      </w:r>
      <w:r>
        <w:rPr>
          <w:rFonts w:hint="eastAsia" w:ascii="宋体" w:hAnsi="宋体" w:cs="宋体"/>
          <w:color w:val="000000"/>
          <w:kern w:val="0"/>
          <w:sz w:val="22"/>
          <w:szCs w:val="22"/>
        </w:rPr>
        <w:t xml:space="preserve">： </w:t>
      </w:r>
      <w:r>
        <w:rPr>
          <w:rFonts w:hint="eastAsia" w:ascii="宋体" w:hAnsi="宋体" w:cs="宋体"/>
          <w:color w:val="000000"/>
          <w:kern w:val="0"/>
          <w:sz w:val="22"/>
          <w:szCs w:val="22"/>
          <w:u w:val="single"/>
        </w:rPr>
        <w:t xml:space="preserve">       </w:t>
      </w:r>
      <w:r>
        <w:rPr>
          <w:rFonts w:hint="eastAsia" w:ascii="宋体" w:hAnsi="宋体" w:cs="宋体"/>
          <w:color w:val="000000"/>
          <w:kern w:val="0"/>
          <w:sz w:val="22"/>
          <w:szCs w:val="22"/>
          <w:lang w:val="zh-CN"/>
        </w:rPr>
        <w:t>年</w:t>
      </w:r>
      <w:r>
        <w:rPr>
          <w:rFonts w:hint="eastAsia" w:ascii="宋体" w:hAnsi="宋体" w:cs="宋体"/>
          <w:color w:val="000000"/>
          <w:kern w:val="0"/>
          <w:sz w:val="22"/>
          <w:szCs w:val="22"/>
          <w:u w:val="single"/>
        </w:rPr>
        <w:t xml:space="preserve">  </w:t>
      </w:r>
      <w:r>
        <w:rPr>
          <w:rFonts w:hint="eastAsia" w:ascii="宋体" w:hAnsi="宋体" w:cs="宋体"/>
          <w:color w:val="000000"/>
          <w:kern w:val="0"/>
          <w:sz w:val="22"/>
          <w:szCs w:val="22"/>
          <w:u w:val="single"/>
        </w:rPr>
        <w:tab/>
      </w:r>
      <w:r>
        <w:rPr>
          <w:rFonts w:hint="eastAsia" w:ascii="宋体" w:hAnsi="宋体" w:cs="宋体"/>
          <w:color w:val="000000"/>
          <w:kern w:val="0"/>
          <w:sz w:val="22"/>
          <w:szCs w:val="22"/>
          <w:lang w:val="zh-CN"/>
        </w:rPr>
        <w:t>月</w:t>
      </w:r>
      <w:r>
        <w:rPr>
          <w:rFonts w:hint="eastAsia" w:ascii="宋体" w:hAnsi="宋体" w:cs="宋体"/>
          <w:color w:val="000000"/>
          <w:kern w:val="0"/>
          <w:sz w:val="22"/>
          <w:szCs w:val="22"/>
          <w:u w:val="single"/>
          <w:lang w:val="zh-CN"/>
        </w:rPr>
        <w:t xml:space="preserve">    </w:t>
      </w:r>
      <w:r>
        <w:rPr>
          <w:rFonts w:hint="eastAsia" w:ascii="宋体" w:hAnsi="宋体" w:cs="宋体"/>
          <w:color w:val="000000"/>
          <w:kern w:val="0"/>
          <w:sz w:val="22"/>
          <w:szCs w:val="22"/>
          <w:lang w:val="zh-CN"/>
        </w:rPr>
        <w:t>日</w:t>
      </w:r>
    </w:p>
    <w:p>
      <w:pPr>
        <w:autoSpaceDE w:val="0"/>
        <w:autoSpaceDN w:val="0"/>
        <w:adjustRightInd w:val="0"/>
        <w:spacing w:line="360" w:lineRule="auto"/>
        <w:rPr>
          <w:rFonts w:hint="eastAsia" w:ascii="宋体" w:hAnsi="宋体" w:cs="宋体"/>
          <w:b/>
          <w:bCs/>
          <w:sz w:val="22"/>
          <w:szCs w:val="22"/>
        </w:rPr>
      </w:pPr>
      <w:r>
        <w:rPr>
          <w:rFonts w:hint="eastAsia" w:ascii="宋体" w:hAnsi="宋体" w:cs="宋体"/>
          <w:b/>
          <w:bCs/>
          <w:color w:val="000000"/>
          <w:kern w:val="0"/>
          <w:sz w:val="22"/>
          <w:szCs w:val="22"/>
          <w:lang w:val="zh-CN"/>
        </w:rPr>
        <w:t>注：未按照本投标响应函要求填报的将被视为非实质性响应，从而可能导致该投标文件被拒绝</w:t>
      </w:r>
      <w:r>
        <w:rPr>
          <w:rFonts w:hint="eastAsia" w:ascii="宋体" w:hAnsi="宋体" w:cs="宋体"/>
          <w:b/>
          <w:bCs/>
          <w:sz w:val="22"/>
          <w:szCs w:val="22"/>
        </w:rPr>
        <w:t>。</w:t>
      </w:r>
      <w:bookmarkEnd w:id="129"/>
    </w:p>
    <w:p>
      <w:pPr>
        <w:pStyle w:val="24"/>
        <w:adjustRightInd w:val="0"/>
        <w:snapToGrid w:val="0"/>
        <w:spacing w:line="400" w:lineRule="exact"/>
        <w:rPr>
          <w:rFonts w:hint="eastAsia" w:hAnsi="宋体" w:cs="宋体"/>
          <w:sz w:val="22"/>
          <w:szCs w:val="22"/>
        </w:rPr>
      </w:pPr>
      <w:r>
        <w:rPr>
          <w:rFonts w:hint="eastAsia" w:hAnsi="宋体" w:cs="宋体"/>
          <w:sz w:val="22"/>
          <w:szCs w:val="22"/>
        </w:rPr>
        <w:br w:type="page"/>
      </w:r>
      <w:r>
        <w:rPr>
          <w:rFonts w:hint="eastAsia" w:hAnsi="宋体" w:cs="宋体"/>
          <w:sz w:val="22"/>
          <w:szCs w:val="22"/>
        </w:rPr>
        <w:t xml:space="preserve">附件二（一）     </w:t>
      </w:r>
    </w:p>
    <w:p>
      <w:pPr>
        <w:pStyle w:val="24"/>
        <w:adjustRightInd w:val="0"/>
        <w:snapToGrid w:val="0"/>
        <w:spacing w:line="400" w:lineRule="exact"/>
        <w:jc w:val="center"/>
        <w:rPr>
          <w:rFonts w:hint="eastAsia" w:hAnsi="宋体" w:cs="宋体"/>
          <w:sz w:val="22"/>
          <w:szCs w:val="22"/>
        </w:rPr>
      </w:pPr>
      <w:r>
        <w:rPr>
          <w:rFonts w:hint="eastAsia" w:hAnsi="宋体" w:cs="宋体"/>
          <w:sz w:val="22"/>
          <w:szCs w:val="22"/>
        </w:rPr>
        <w:t>开标一览表</w:t>
      </w:r>
    </w:p>
    <w:p>
      <w:pPr>
        <w:pStyle w:val="24"/>
        <w:adjustRightInd w:val="0"/>
        <w:snapToGrid w:val="0"/>
        <w:spacing w:line="400" w:lineRule="exact"/>
        <w:rPr>
          <w:rFonts w:hint="eastAsia" w:hAnsi="宋体" w:cs="宋体"/>
          <w:sz w:val="22"/>
          <w:szCs w:val="22"/>
        </w:rPr>
      </w:pPr>
    </w:p>
    <w:p>
      <w:pPr>
        <w:pStyle w:val="24"/>
        <w:adjustRightInd w:val="0"/>
        <w:snapToGrid w:val="0"/>
        <w:spacing w:line="400" w:lineRule="exact"/>
        <w:ind w:firstLine="880" w:firstLineChars="400"/>
        <w:rPr>
          <w:rFonts w:hint="eastAsia" w:hAnsi="宋体" w:cs="宋体"/>
          <w:sz w:val="22"/>
          <w:szCs w:val="22"/>
        </w:rPr>
      </w:pPr>
      <w:r>
        <w:rPr>
          <w:rFonts w:hint="eastAsia" w:hAnsi="宋体" w:cs="宋体"/>
          <w:sz w:val="22"/>
          <w:szCs w:val="22"/>
        </w:rPr>
        <w:t>供应商名称：                  招标编号：             报价单位：人民币元</w:t>
      </w:r>
    </w:p>
    <w:tbl>
      <w:tblPr>
        <w:tblStyle w:val="43"/>
        <w:tblW w:w="0" w:type="auto"/>
        <w:jc w:val="center"/>
        <w:tblLayout w:type="fixed"/>
        <w:tblCellMar>
          <w:top w:w="0" w:type="dxa"/>
          <w:left w:w="108" w:type="dxa"/>
          <w:bottom w:w="0" w:type="dxa"/>
          <w:right w:w="108" w:type="dxa"/>
        </w:tblCellMar>
      </w:tblPr>
      <w:tblGrid>
        <w:gridCol w:w="2200"/>
        <w:gridCol w:w="7105"/>
      </w:tblGrid>
      <w:tr>
        <w:tblPrEx>
          <w:tblCellMar>
            <w:top w:w="0" w:type="dxa"/>
            <w:left w:w="108" w:type="dxa"/>
            <w:bottom w:w="0" w:type="dxa"/>
            <w:right w:w="108" w:type="dxa"/>
          </w:tblCellMar>
        </w:tblPrEx>
        <w:trPr>
          <w:trHeight w:val="908" w:hRule="atLeast"/>
          <w:jc w:val="center"/>
        </w:trPr>
        <w:tc>
          <w:tcPr>
            <w:tcW w:w="220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sz w:val="22"/>
                <w:szCs w:val="22"/>
              </w:rPr>
            </w:pPr>
            <w:r>
              <w:rPr>
                <w:rFonts w:hint="eastAsia" w:ascii="宋体" w:hAnsi="宋体" w:cs="宋体"/>
                <w:sz w:val="22"/>
                <w:szCs w:val="22"/>
              </w:rPr>
              <w:t>项目名称</w:t>
            </w:r>
          </w:p>
        </w:tc>
        <w:tc>
          <w:tcPr>
            <w:tcW w:w="7105"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ascii="宋体" w:hAnsi="宋体" w:cs="宋体"/>
                <w:sz w:val="22"/>
                <w:szCs w:val="22"/>
              </w:rPr>
            </w:pPr>
            <w:r>
              <w:rPr>
                <w:rFonts w:hint="eastAsia" w:ascii="宋体" w:hAnsi="宋体" w:cs="宋体"/>
                <w:bCs/>
                <w:sz w:val="22"/>
                <w:szCs w:val="22"/>
              </w:rPr>
              <w:t>苍南县公安局**数据中心机房</w:t>
            </w:r>
          </w:p>
        </w:tc>
      </w:tr>
      <w:tr>
        <w:tblPrEx>
          <w:tblCellMar>
            <w:top w:w="0" w:type="dxa"/>
            <w:left w:w="108" w:type="dxa"/>
            <w:bottom w:w="0" w:type="dxa"/>
            <w:right w:w="108" w:type="dxa"/>
          </w:tblCellMar>
        </w:tblPrEx>
        <w:trPr>
          <w:trHeight w:val="773" w:hRule="atLeast"/>
          <w:jc w:val="center"/>
        </w:trPr>
        <w:tc>
          <w:tcPr>
            <w:tcW w:w="2200" w:type="dxa"/>
            <w:vMerge w:val="restart"/>
            <w:tcBorders>
              <w:top w:val="nil"/>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sz w:val="22"/>
                <w:szCs w:val="22"/>
              </w:rPr>
            </w:pPr>
            <w:r>
              <w:rPr>
                <w:rFonts w:hint="eastAsia" w:ascii="宋体" w:hAnsi="宋体" w:cs="宋体"/>
                <w:sz w:val="22"/>
                <w:szCs w:val="22"/>
              </w:rPr>
              <w:t>投标报价</w:t>
            </w:r>
          </w:p>
        </w:tc>
        <w:tc>
          <w:tcPr>
            <w:tcW w:w="7105" w:type="dxa"/>
            <w:tcBorders>
              <w:top w:val="single" w:color="auto" w:sz="4" w:space="0"/>
              <w:left w:val="nil"/>
              <w:bottom w:val="single" w:color="auto" w:sz="4" w:space="0"/>
              <w:right w:val="single" w:color="auto" w:sz="4" w:space="0"/>
            </w:tcBorders>
            <w:noWrap w:val="0"/>
            <w:vAlign w:val="center"/>
          </w:tcPr>
          <w:p>
            <w:pPr>
              <w:spacing w:line="360" w:lineRule="auto"/>
              <w:rPr>
                <w:rFonts w:hint="eastAsia" w:ascii="宋体" w:hAnsi="宋体" w:cs="宋体"/>
                <w:sz w:val="22"/>
                <w:szCs w:val="22"/>
              </w:rPr>
            </w:pPr>
            <w:r>
              <w:rPr>
                <w:rFonts w:hint="eastAsia" w:ascii="宋体" w:hAnsi="宋体" w:cs="宋体"/>
                <w:sz w:val="22"/>
                <w:szCs w:val="22"/>
              </w:rPr>
              <w:t>（人民币，小写）：</w:t>
            </w:r>
          </w:p>
        </w:tc>
      </w:tr>
      <w:tr>
        <w:tblPrEx>
          <w:tblCellMar>
            <w:top w:w="0" w:type="dxa"/>
            <w:left w:w="108" w:type="dxa"/>
            <w:bottom w:w="0" w:type="dxa"/>
            <w:right w:w="108" w:type="dxa"/>
          </w:tblCellMar>
        </w:tblPrEx>
        <w:trPr>
          <w:trHeight w:val="781" w:hRule="atLeast"/>
          <w:jc w:val="center"/>
        </w:trPr>
        <w:tc>
          <w:tcPr>
            <w:tcW w:w="2200"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hint="eastAsia" w:ascii="宋体" w:hAnsi="宋体" w:cs="宋体"/>
                <w:sz w:val="22"/>
                <w:szCs w:val="22"/>
              </w:rPr>
            </w:pPr>
          </w:p>
        </w:tc>
        <w:tc>
          <w:tcPr>
            <w:tcW w:w="7105" w:type="dxa"/>
            <w:tcBorders>
              <w:top w:val="single" w:color="auto" w:sz="4" w:space="0"/>
              <w:left w:val="nil"/>
              <w:bottom w:val="single" w:color="auto" w:sz="4" w:space="0"/>
              <w:right w:val="single" w:color="auto" w:sz="4" w:space="0"/>
            </w:tcBorders>
            <w:noWrap w:val="0"/>
            <w:vAlign w:val="center"/>
          </w:tcPr>
          <w:p>
            <w:pPr>
              <w:spacing w:line="360" w:lineRule="auto"/>
              <w:rPr>
                <w:rFonts w:hint="eastAsia" w:ascii="宋体" w:hAnsi="宋体" w:cs="宋体"/>
                <w:sz w:val="22"/>
                <w:szCs w:val="22"/>
              </w:rPr>
            </w:pPr>
            <w:r>
              <w:rPr>
                <w:rFonts w:hint="eastAsia" w:ascii="宋体" w:hAnsi="宋体" w:cs="宋体"/>
                <w:sz w:val="22"/>
                <w:szCs w:val="22"/>
              </w:rPr>
              <w:t>（人民币，大写）：</w:t>
            </w:r>
          </w:p>
        </w:tc>
      </w:tr>
      <w:tr>
        <w:tblPrEx>
          <w:tblCellMar>
            <w:top w:w="0" w:type="dxa"/>
            <w:left w:w="108" w:type="dxa"/>
            <w:bottom w:w="0" w:type="dxa"/>
            <w:right w:w="108" w:type="dxa"/>
          </w:tblCellMar>
        </w:tblPrEx>
        <w:trPr>
          <w:trHeight w:val="781" w:hRule="atLeast"/>
          <w:jc w:val="center"/>
        </w:trPr>
        <w:tc>
          <w:tcPr>
            <w:tcW w:w="2200" w:type="dxa"/>
            <w:tcBorders>
              <w:top w:val="nil"/>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sz w:val="22"/>
                <w:szCs w:val="22"/>
              </w:rPr>
            </w:pPr>
            <w:r>
              <w:rPr>
                <w:rFonts w:hint="eastAsia" w:ascii="宋体" w:hAnsi="宋体" w:cs="宋体"/>
                <w:sz w:val="22"/>
                <w:szCs w:val="22"/>
              </w:rPr>
              <w:t>工期</w:t>
            </w:r>
          </w:p>
        </w:tc>
        <w:tc>
          <w:tcPr>
            <w:tcW w:w="7105" w:type="dxa"/>
            <w:tcBorders>
              <w:top w:val="single" w:color="auto" w:sz="4" w:space="0"/>
              <w:left w:val="nil"/>
              <w:bottom w:val="single" w:color="auto" w:sz="4" w:space="0"/>
              <w:right w:val="single" w:color="auto" w:sz="4" w:space="0"/>
            </w:tcBorders>
            <w:noWrap w:val="0"/>
            <w:vAlign w:val="center"/>
          </w:tcPr>
          <w:p>
            <w:pPr>
              <w:spacing w:line="360" w:lineRule="auto"/>
              <w:rPr>
                <w:rFonts w:hint="eastAsia" w:ascii="宋体" w:hAnsi="宋体" w:cs="宋体"/>
                <w:sz w:val="22"/>
                <w:szCs w:val="22"/>
              </w:rPr>
            </w:pPr>
            <w:r>
              <w:rPr>
                <w:rFonts w:hint="eastAsia" w:ascii="宋体" w:hAnsi="宋体" w:cs="宋体"/>
                <w:sz w:val="22"/>
                <w:szCs w:val="22"/>
              </w:rPr>
              <w:t xml:space="preserve">         日历天</w:t>
            </w:r>
          </w:p>
        </w:tc>
      </w:tr>
      <w:tr>
        <w:tblPrEx>
          <w:tblCellMar>
            <w:top w:w="0" w:type="dxa"/>
            <w:left w:w="108" w:type="dxa"/>
            <w:bottom w:w="0" w:type="dxa"/>
            <w:right w:w="108" w:type="dxa"/>
          </w:tblCellMar>
        </w:tblPrEx>
        <w:trPr>
          <w:trHeight w:val="774" w:hRule="atLeast"/>
          <w:jc w:val="center"/>
        </w:trPr>
        <w:tc>
          <w:tcPr>
            <w:tcW w:w="2200" w:type="dxa"/>
            <w:tcBorders>
              <w:top w:val="nil"/>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sz w:val="22"/>
                <w:szCs w:val="22"/>
              </w:rPr>
            </w:pPr>
            <w:r>
              <w:rPr>
                <w:rFonts w:hint="eastAsia" w:ascii="宋体" w:hAnsi="宋体" w:cs="宋体"/>
                <w:sz w:val="22"/>
                <w:szCs w:val="22"/>
              </w:rPr>
              <w:t>项目负责人</w:t>
            </w:r>
          </w:p>
        </w:tc>
        <w:tc>
          <w:tcPr>
            <w:tcW w:w="7105" w:type="dxa"/>
            <w:tcBorders>
              <w:top w:val="single" w:color="auto" w:sz="4" w:space="0"/>
              <w:left w:val="nil"/>
              <w:bottom w:val="single" w:color="auto" w:sz="4" w:space="0"/>
              <w:right w:val="single" w:color="auto" w:sz="4" w:space="0"/>
            </w:tcBorders>
            <w:noWrap w:val="0"/>
            <w:vAlign w:val="center"/>
          </w:tcPr>
          <w:p>
            <w:pPr>
              <w:spacing w:line="360" w:lineRule="auto"/>
              <w:rPr>
                <w:rFonts w:hint="eastAsia" w:ascii="宋体" w:hAnsi="宋体" w:cs="宋体"/>
                <w:sz w:val="22"/>
                <w:szCs w:val="22"/>
              </w:rPr>
            </w:pPr>
          </w:p>
        </w:tc>
      </w:tr>
      <w:tr>
        <w:tblPrEx>
          <w:tblCellMar>
            <w:top w:w="0" w:type="dxa"/>
            <w:left w:w="108" w:type="dxa"/>
            <w:bottom w:w="0" w:type="dxa"/>
            <w:right w:w="108" w:type="dxa"/>
          </w:tblCellMar>
        </w:tblPrEx>
        <w:trPr>
          <w:trHeight w:val="619" w:hRule="atLeast"/>
          <w:jc w:val="center"/>
        </w:trPr>
        <w:tc>
          <w:tcPr>
            <w:tcW w:w="220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sz w:val="22"/>
                <w:szCs w:val="22"/>
              </w:rPr>
            </w:pPr>
            <w:r>
              <w:rPr>
                <w:rFonts w:hint="eastAsia" w:ascii="宋体" w:hAnsi="宋体" w:cs="宋体"/>
                <w:sz w:val="22"/>
                <w:szCs w:val="22"/>
              </w:rPr>
              <w:t>备     注</w:t>
            </w:r>
          </w:p>
        </w:tc>
        <w:tc>
          <w:tcPr>
            <w:tcW w:w="7105" w:type="dxa"/>
            <w:tcBorders>
              <w:top w:val="single" w:color="auto" w:sz="4" w:space="0"/>
              <w:left w:val="nil"/>
              <w:bottom w:val="single" w:color="auto" w:sz="4" w:space="0"/>
              <w:right w:val="single" w:color="auto" w:sz="4" w:space="0"/>
            </w:tcBorders>
            <w:noWrap w:val="0"/>
            <w:vAlign w:val="center"/>
          </w:tcPr>
          <w:p>
            <w:pPr>
              <w:spacing w:line="360" w:lineRule="auto"/>
              <w:rPr>
                <w:rFonts w:hint="eastAsia" w:ascii="宋体" w:hAnsi="宋体" w:cs="宋体"/>
                <w:sz w:val="22"/>
                <w:szCs w:val="22"/>
              </w:rPr>
            </w:pPr>
          </w:p>
        </w:tc>
      </w:tr>
    </w:tbl>
    <w:p>
      <w:pPr>
        <w:spacing w:line="360" w:lineRule="auto"/>
        <w:rPr>
          <w:rFonts w:hint="eastAsia" w:ascii="宋体" w:hAnsi="宋体" w:cs="宋体"/>
          <w:sz w:val="22"/>
          <w:szCs w:val="22"/>
        </w:rPr>
      </w:pPr>
      <w:r>
        <w:rPr>
          <w:rFonts w:hint="eastAsia" w:ascii="宋体" w:hAnsi="宋体" w:cs="宋体"/>
          <w:sz w:val="22"/>
          <w:szCs w:val="22"/>
        </w:rPr>
        <w:t>注：1、报价一经涂改，应在涂改处加盖单位公章或者由法定代表人或授权委托人签字或盖章，</w:t>
      </w:r>
      <w:r>
        <w:rPr>
          <w:rFonts w:hint="eastAsia" w:ascii="宋体" w:hAnsi="宋体" w:cs="宋体"/>
          <w:bCs/>
          <w:sz w:val="22"/>
          <w:szCs w:val="22"/>
        </w:rPr>
        <w:t>否则响应无效。</w:t>
      </w:r>
    </w:p>
    <w:p>
      <w:pPr>
        <w:autoSpaceDE w:val="0"/>
        <w:autoSpaceDN w:val="0"/>
        <w:adjustRightInd w:val="0"/>
        <w:spacing w:line="440" w:lineRule="atLeast"/>
        <w:ind w:firstLine="440" w:firstLineChars="200"/>
        <w:rPr>
          <w:rFonts w:hint="eastAsia" w:ascii="宋体" w:hAnsi="宋体" w:cs="宋体"/>
          <w:sz w:val="22"/>
          <w:szCs w:val="22"/>
        </w:rPr>
      </w:pPr>
      <w:r>
        <w:rPr>
          <w:rFonts w:hint="eastAsia" w:ascii="宋体" w:hAnsi="宋体" w:cs="宋体"/>
          <w:sz w:val="22"/>
          <w:szCs w:val="22"/>
        </w:rPr>
        <w:t>2、</w:t>
      </w:r>
      <w:r>
        <w:rPr>
          <w:rFonts w:hint="eastAsia" w:ascii="宋体" w:hAnsi="宋体" w:cs="宋体"/>
          <w:bCs/>
          <w:sz w:val="22"/>
          <w:szCs w:val="22"/>
          <w:u w:val="single"/>
        </w:rPr>
        <w:t>本表中的报价为总报价，包含项目实施全过程所涉及的全部费用以及合理的利润、税金、招标代理服务费、风险等其他一切费用。最后报价为履行合同的最终报价，投标人不得再要求追加任何费用。</w:t>
      </w:r>
    </w:p>
    <w:p>
      <w:pPr>
        <w:autoSpaceDE w:val="0"/>
        <w:autoSpaceDN w:val="0"/>
        <w:adjustRightInd w:val="0"/>
        <w:spacing w:line="440" w:lineRule="atLeast"/>
        <w:rPr>
          <w:rFonts w:hint="eastAsia" w:ascii="宋体" w:hAnsi="宋体" w:cs="宋体"/>
          <w:sz w:val="22"/>
          <w:szCs w:val="22"/>
        </w:rPr>
      </w:pPr>
    </w:p>
    <w:p>
      <w:pPr>
        <w:autoSpaceDE w:val="0"/>
        <w:autoSpaceDN w:val="0"/>
        <w:adjustRightInd w:val="0"/>
        <w:spacing w:line="440" w:lineRule="atLeast"/>
        <w:rPr>
          <w:rFonts w:hint="eastAsia" w:ascii="宋体" w:hAnsi="宋体" w:cs="宋体"/>
          <w:sz w:val="22"/>
          <w:szCs w:val="22"/>
          <w:lang w:val="zh-CN"/>
        </w:rPr>
      </w:pPr>
      <w:r>
        <w:rPr>
          <w:rFonts w:hint="eastAsia" w:ascii="宋体" w:hAnsi="宋体" w:cs="宋体"/>
          <w:sz w:val="22"/>
          <w:szCs w:val="22"/>
          <w:lang w:val="zh-CN"/>
        </w:rPr>
        <w:t>供应商全称（</w:t>
      </w:r>
      <w:r>
        <w:rPr>
          <w:rFonts w:hint="eastAsia" w:ascii="宋体" w:hAnsi="宋体" w:cs="宋体"/>
          <w:sz w:val="22"/>
          <w:szCs w:val="22"/>
        </w:rPr>
        <w:t>电子签章</w:t>
      </w:r>
      <w:r>
        <w:rPr>
          <w:rFonts w:hint="eastAsia" w:ascii="宋体" w:hAnsi="宋体" w:cs="宋体"/>
          <w:sz w:val="22"/>
          <w:szCs w:val="22"/>
          <w:lang w:val="zh-CN"/>
        </w:rPr>
        <w:t>）：</w:t>
      </w:r>
    </w:p>
    <w:p>
      <w:pPr>
        <w:autoSpaceDE w:val="0"/>
        <w:autoSpaceDN w:val="0"/>
        <w:adjustRightInd w:val="0"/>
        <w:spacing w:line="440" w:lineRule="atLeast"/>
        <w:rPr>
          <w:rFonts w:hint="eastAsia" w:ascii="宋体" w:hAnsi="宋体" w:cs="宋体"/>
          <w:sz w:val="22"/>
          <w:szCs w:val="22"/>
          <w:lang w:val="zh-CN"/>
        </w:rPr>
      </w:pPr>
    </w:p>
    <w:p>
      <w:pPr>
        <w:snapToGrid w:val="0"/>
        <w:spacing w:line="500" w:lineRule="atLeast"/>
        <w:rPr>
          <w:rFonts w:hint="eastAsia" w:ascii="宋体" w:hAnsi="宋体" w:cs="宋体"/>
          <w:color w:val="000000"/>
          <w:sz w:val="22"/>
          <w:szCs w:val="22"/>
        </w:rPr>
      </w:pPr>
      <w:r>
        <w:rPr>
          <w:rFonts w:hint="eastAsia" w:ascii="宋体" w:hAnsi="宋体" w:cs="宋体"/>
          <w:sz w:val="22"/>
          <w:szCs w:val="22"/>
          <w:lang w:val="zh-CN"/>
        </w:rPr>
        <w:t>法定代表人或授权代表（签字或盖章）：</w:t>
      </w:r>
    </w:p>
    <w:p>
      <w:pPr>
        <w:autoSpaceDE w:val="0"/>
        <w:autoSpaceDN w:val="0"/>
        <w:adjustRightInd w:val="0"/>
        <w:spacing w:line="440" w:lineRule="atLeast"/>
        <w:rPr>
          <w:rFonts w:hint="eastAsia" w:ascii="宋体" w:hAnsi="宋体" w:cs="宋体"/>
          <w:sz w:val="22"/>
          <w:szCs w:val="22"/>
          <w:lang w:val="zh-CN"/>
        </w:rPr>
      </w:pPr>
    </w:p>
    <w:p>
      <w:pPr>
        <w:autoSpaceDE w:val="0"/>
        <w:autoSpaceDN w:val="0"/>
        <w:adjustRightInd w:val="0"/>
        <w:spacing w:line="440" w:lineRule="atLeast"/>
        <w:rPr>
          <w:rFonts w:hint="eastAsia" w:ascii="宋体" w:hAnsi="宋体" w:cs="宋体"/>
          <w:sz w:val="22"/>
          <w:szCs w:val="22"/>
        </w:rPr>
      </w:pPr>
      <w:r>
        <w:rPr>
          <w:rFonts w:hint="eastAsia" w:ascii="宋体" w:hAnsi="宋体" w:cs="宋体"/>
          <w:sz w:val="22"/>
          <w:szCs w:val="22"/>
          <w:lang w:val="zh-CN"/>
        </w:rPr>
        <w:t>日           期：</w:t>
      </w:r>
    </w:p>
    <w:p>
      <w:pPr>
        <w:rPr>
          <w:rFonts w:hint="eastAsia" w:ascii="宋体" w:hAnsi="宋体" w:cs="宋体"/>
          <w:sz w:val="22"/>
          <w:szCs w:val="22"/>
        </w:rPr>
        <w:sectPr>
          <w:headerReference r:id="rId8" w:type="default"/>
          <w:footerReference r:id="rId9" w:type="default"/>
          <w:pgSz w:w="11911" w:h="16838"/>
          <w:pgMar w:top="1417" w:right="1417" w:bottom="1417" w:left="1417" w:header="709" w:footer="1134" w:gutter="0"/>
          <w:cols w:space="720" w:num="1"/>
          <w:docGrid w:linePitch="324" w:charSpace="0"/>
        </w:sectPr>
      </w:pPr>
    </w:p>
    <w:p>
      <w:pPr>
        <w:autoSpaceDE w:val="0"/>
        <w:autoSpaceDN w:val="0"/>
        <w:adjustRightInd w:val="0"/>
        <w:spacing w:line="360" w:lineRule="atLeast"/>
        <w:textAlignment w:val="baseline"/>
        <w:rPr>
          <w:rFonts w:hint="eastAsia" w:ascii="宋体" w:hAnsi="宋体" w:cs="宋体"/>
          <w:sz w:val="22"/>
          <w:szCs w:val="22"/>
          <w:lang w:val="zh-CN"/>
        </w:rPr>
      </w:pPr>
      <w:r>
        <w:rPr>
          <w:rFonts w:hint="eastAsia" w:ascii="宋体" w:hAnsi="宋体" w:cs="宋体"/>
          <w:color w:val="000000"/>
          <w:sz w:val="22"/>
          <w:szCs w:val="22"/>
        </w:rPr>
        <w:t xml:space="preserve">附件二（二）     </w:t>
      </w:r>
      <w:r>
        <w:rPr>
          <w:rFonts w:hint="eastAsia" w:ascii="宋体" w:hAnsi="宋体" w:cs="宋体"/>
          <w:sz w:val="22"/>
          <w:szCs w:val="22"/>
        </w:rPr>
        <w:t>分项报价表</w:t>
      </w:r>
    </w:p>
    <w:p>
      <w:pPr>
        <w:spacing w:line="360" w:lineRule="exact"/>
        <w:jc w:val="center"/>
        <w:rPr>
          <w:rFonts w:hint="eastAsia" w:ascii="宋体" w:hAnsi="宋体" w:cs="宋体"/>
          <w:sz w:val="22"/>
          <w:szCs w:val="22"/>
        </w:rPr>
      </w:pPr>
      <w:r>
        <w:rPr>
          <w:rFonts w:hint="eastAsia" w:ascii="宋体" w:hAnsi="宋体" w:cs="宋体"/>
          <w:sz w:val="22"/>
          <w:szCs w:val="22"/>
        </w:rPr>
        <w:t xml:space="preserve">                                             （价格单位：元）</w:t>
      </w:r>
    </w:p>
    <w:tbl>
      <w:tblPr>
        <w:tblStyle w:val="43"/>
        <w:tblW w:w="96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1"/>
        <w:gridCol w:w="1602"/>
        <w:gridCol w:w="2398"/>
        <w:gridCol w:w="1552"/>
        <w:gridCol w:w="846"/>
        <w:gridCol w:w="987"/>
        <w:gridCol w:w="1311"/>
        <w:gridCol w:w="3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621" w:type="dxa"/>
            <w:tcBorders>
              <w:top w:val="single" w:color="auto" w:sz="12" w:space="0"/>
              <w:left w:val="single" w:color="auto" w:sz="12" w:space="0"/>
              <w:bottom w:val="single" w:color="auto" w:sz="12" w:space="0"/>
            </w:tcBorders>
            <w:noWrap w:val="0"/>
            <w:vAlign w:val="center"/>
          </w:tcPr>
          <w:p>
            <w:pPr>
              <w:ind w:right="-11"/>
              <w:jc w:val="center"/>
              <w:rPr>
                <w:rFonts w:hint="eastAsia" w:ascii="宋体" w:hAnsi="宋体" w:cs="宋体"/>
                <w:sz w:val="22"/>
                <w:szCs w:val="22"/>
              </w:rPr>
            </w:pPr>
            <w:r>
              <w:rPr>
                <w:rFonts w:hint="eastAsia" w:ascii="宋体" w:hAnsi="宋体" w:cs="宋体"/>
                <w:sz w:val="22"/>
                <w:szCs w:val="22"/>
              </w:rPr>
              <w:t>序号</w:t>
            </w:r>
          </w:p>
        </w:tc>
        <w:tc>
          <w:tcPr>
            <w:tcW w:w="1602" w:type="dxa"/>
            <w:tcBorders>
              <w:top w:val="single" w:color="auto" w:sz="12" w:space="0"/>
              <w:bottom w:val="single" w:color="auto" w:sz="12" w:space="0"/>
            </w:tcBorders>
            <w:noWrap w:val="0"/>
            <w:vAlign w:val="center"/>
          </w:tcPr>
          <w:p>
            <w:pPr>
              <w:ind w:right="-11"/>
              <w:jc w:val="center"/>
              <w:rPr>
                <w:rFonts w:hint="eastAsia" w:ascii="宋体" w:hAnsi="宋体" w:cs="宋体"/>
                <w:sz w:val="22"/>
                <w:szCs w:val="22"/>
              </w:rPr>
            </w:pPr>
            <w:r>
              <w:rPr>
                <w:rFonts w:hint="eastAsia" w:ascii="宋体" w:hAnsi="宋体" w:cs="宋体"/>
                <w:sz w:val="22"/>
                <w:szCs w:val="22"/>
              </w:rPr>
              <w:t>货物名称</w:t>
            </w:r>
          </w:p>
        </w:tc>
        <w:tc>
          <w:tcPr>
            <w:tcW w:w="2398" w:type="dxa"/>
            <w:tcBorders>
              <w:top w:val="single" w:color="auto" w:sz="12" w:space="0"/>
              <w:bottom w:val="single" w:color="auto" w:sz="12" w:space="0"/>
            </w:tcBorders>
            <w:noWrap w:val="0"/>
            <w:vAlign w:val="center"/>
          </w:tcPr>
          <w:p>
            <w:pPr>
              <w:ind w:right="-11"/>
              <w:jc w:val="center"/>
              <w:rPr>
                <w:rFonts w:hint="eastAsia" w:ascii="宋体" w:hAnsi="宋体" w:cs="宋体"/>
                <w:sz w:val="22"/>
                <w:szCs w:val="22"/>
              </w:rPr>
            </w:pPr>
            <w:r>
              <w:rPr>
                <w:rFonts w:hint="eastAsia" w:ascii="宋体" w:hAnsi="宋体" w:cs="宋体"/>
                <w:sz w:val="22"/>
                <w:szCs w:val="22"/>
              </w:rPr>
              <w:t>品牌、型号规格、产地</w:t>
            </w:r>
          </w:p>
        </w:tc>
        <w:tc>
          <w:tcPr>
            <w:tcW w:w="1552" w:type="dxa"/>
            <w:tcBorders>
              <w:top w:val="single" w:color="auto" w:sz="12" w:space="0"/>
              <w:bottom w:val="single" w:color="auto" w:sz="12" w:space="0"/>
            </w:tcBorders>
            <w:noWrap w:val="0"/>
            <w:vAlign w:val="center"/>
          </w:tcPr>
          <w:p>
            <w:pPr>
              <w:ind w:right="-11"/>
              <w:jc w:val="center"/>
              <w:rPr>
                <w:rFonts w:hint="eastAsia" w:ascii="宋体" w:hAnsi="宋体" w:cs="宋体"/>
                <w:sz w:val="22"/>
                <w:szCs w:val="22"/>
              </w:rPr>
            </w:pPr>
            <w:r>
              <w:rPr>
                <w:rFonts w:hint="eastAsia" w:ascii="宋体" w:hAnsi="宋体" w:cs="宋体"/>
                <w:sz w:val="22"/>
                <w:szCs w:val="22"/>
              </w:rPr>
              <w:t>制造厂商名称</w:t>
            </w:r>
          </w:p>
        </w:tc>
        <w:tc>
          <w:tcPr>
            <w:tcW w:w="846" w:type="dxa"/>
            <w:tcBorders>
              <w:top w:val="single" w:color="auto" w:sz="12" w:space="0"/>
              <w:bottom w:val="single" w:color="auto" w:sz="12" w:space="0"/>
            </w:tcBorders>
            <w:noWrap w:val="0"/>
            <w:vAlign w:val="center"/>
          </w:tcPr>
          <w:p>
            <w:pPr>
              <w:ind w:right="-11"/>
              <w:jc w:val="center"/>
              <w:rPr>
                <w:rFonts w:hint="eastAsia" w:ascii="宋体" w:hAnsi="宋体" w:cs="宋体"/>
                <w:sz w:val="22"/>
                <w:szCs w:val="22"/>
              </w:rPr>
            </w:pPr>
            <w:r>
              <w:rPr>
                <w:rFonts w:hint="eastAsia" w:ascii="宋体" w:hAnsi="宋体" w:cs="宋体"/>
                <w:sz w:val="22"/>
                <w:szCs w:val="22"/>
              </w:rPr>
              <w:t>单价</w:t>
            </w:r>
          </w:p>
        </w:tc>
        <w:tc>
          <w:tcPr>
            <w:tcW w:w="987" w:type="dxa"/>
            <w:tcBorders>
              <w:top w:val="single" w:color="auto" w:sz="12" w:space="0"/>
              <w:bottom w:val="single" w:color="auto" w:sz="12" w:space="0"/>
            </w:tcBorders>
            <w:noWrap w:val="0"/>
            <w:vAlign w:val="center"/>
          </w:tcPr>
          <w:p>
            <w:pPr>
              <w:ind w:right="-11"/>
              <w:jc w:val="center"/>
              <w:rPr>
                <w:rFonts w:hint="eastAsia" w:ascii="宋体" w:hAnsi="宋体" w:cs="宋体"/>
                <w:sz w:val="22"/>
                <w:szCs w:val="22"/>
              </w:rPr>
            </w:pPr>
            <w:r>
              <w:rPr>
                <w:rFonts w:hint="eastAsia" w:ascii="宋体" w:hAnsi="宋体" w:cs="宋体"/>
                <w:sz w:val="22"/>
                <w:szCs w:val="22"/>
              </w:rPr>
              <w:t>数量</w:t>
            </w:r>
          </w:p>
        </w:tc>
        <w:tc>
          <w:tcPr>
            <w:tcW w:w="1311" w:type="dxa"/>
            <w:tcBorders>
              <w:top w:val="single" w:color="auto" w:sz="12" w:space="0"/>
              <w:bottom w:val="single" w:color="auto" w:sz="12" w:space="0"/>
            </w:tcBorders>
            <w:noWrap w:val="0"/>
            <w:vAlign w:val="center"/>
          </w:tcPr>
          <w:p>
            <w:pPr>
              <w:ind w:right="-11"/>
              <w:jc w:val="center"/>
              <w:rPr>
                <w:rFonts w:hint="eastAsia" w:ascii="宋体" w:hAnsi="宋体" w:cs="宋体"/>
                <w:sz w:val="22"/>
                <w:szCs w:val="22"/>
              </w:rPr>
            </w:pPr>
            <w:r>
              <w:rPr>
                <w:rFonts w:hint="eastAsia" w:ascii="宋体" w:hAnsi="宋体" w:cs="宋体"/>
                <w:sz w:val="22"/>
                <w:szCs w:val="22"/>
              </w:rPr>
              <w:t>总价</w:t>
            </w:r>
          </w:p>
        </w:tc>
        <w:tc>
          <w:tcPr>
            <w:tcW w:w="360" w:type="dxa"/>
            <w:tcBorders>
              <w:top w:val="single" w:color="auto" w:sz="12" w:space="0"/>
              <w:bottom w:val="single" w:color="auto" w:sz="12" w:space="0"/>
              <w:right w:val="single" w:color="auto" w:sz="12" w:space="0"/>
            </w:tcBorders>
            <w:noWrap w:val="0"/>
            <w:vAlign w:val="center"/>
          </w:tcPr>
          <w:p>
            <w:pPr>
              <w:ind w:right="-11"/>
              <w:jc w:val="center"/>
              <w:rPr>
                <w:rFonts w:hint="eastAsia" w:ascii="宋体" w:hAnsi="宋体" w:cs="宋体"/>
                <w:sz w:val="22"/>
                <w:szCs w:val="22"/>
              </w:rPr>
            </w:pPr>
            <w:r>
              <w:rPr>
                <w:rFonts w:hint="eastAsia" w:ascii="宋体" w:hAnsi="宋体" w:cs="宋体"/>
                <w:sz w:val="22"/>
                <w:szCs w:val="2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621" w:type="dxa"/>
            <w:tcBorders>
              <w:left w:val="single" w:color="auto" w:sz="12" w:space="0"/>
            </w:tcBorders>
            <w:noWrap w:val="0"/>
            <w:vAlign w:val="center"/>
          </w:tcPr>
          <w:p>
            <w:pPr>
              <w:ind w:right="-11"/>
              <w:jc w:val="center"/>
              <w:rPr>
                <w:rFonts w:hint="eastAsia" w:ascii="宋体" w:hAnsi="宋体" w:cs="宋体"/>
                <w:sz w:val="22"/>
                <w:szCs w:val="22"/>
              </w:rPr>
            </w:pPr>
            <w:r>
              <w:rPr>
                <w:rFonts w:hint="eastAsia" w:ascii="宋体" w:hAnsi="宋体" w:cs="宋体"/>
                <w:sz w:val="22"/>
                <w:szCs w:val="22"/>
              </w:rPr>
              <w:t>1</w:t>
            </w:r>
          </w:p>
        </w:tc>
        <w:tc>
          <w:tcPr>
            <w:tcW w:w="1602" w:type="dxa"/>
            <w:noWrap w:val="0"/>
            <w:vAlign w:val="center"/>
          </w:tcPr>
          <w:p>
            <w:pPr>
              <w:widowControl/>
              <w:jc w:val="center"/>
              <w:rPr>
                <w:rFonts w:hint="eastAsia" w:ascii="宋体" w:hAnsi="宋体" w:cs="宋体"/>
                <w:sz w:val="22"/>
                <w:szCs w:val="22"/>
              </w:rPr>
            </w:pPr>
          </w:p>
        </w:tc>
        <w:tc>
          <w:tcPr>
            <w:tcW w:w="2398" w:type="dxa"/>
            <w:noWrap w:val="0"/>
            <w:vAlign w:val="center"/>
          </w:tcPr>
          <w:p>
            <w:pPr>
              <w:jc w:val="center"/>
              <w:rPr>
                <w:rFonts w:hint="eastAsia" w:ascii="宋体" w:hAnsi="宋体" w:cs="宋体"/>
                <w:sz w:val="22"/>
                <w:szCs w:val="22"/>
              </w:rPr>
            </w:pPr>
          </w:p>
        </w:tc>
        <w:tc>
          <w:tcPr>
            <w:tcW w:w="1552" w:type="dxa"/>
            <w:noWrap w:val="0"/>
            <w:vAlign w:val="center"/>
          </w:tcPr>
          <w:p>
            <w:pPr>
              <w:ind w:right="-11"/>
              <w:jc w:val="center"/>
              <w:rPr>
                <w:rFonts w:hint="eastAsia" w:ascii="宋体" w:hAnsi="宋体" w:cs="宋体"/>
                <w:sz w:val="22"/>
                <w:szCs w:val="22"/>
              </w:rPr>
            </w:pPr>
          </w:p>
        </w:tc>
        <w:tc>
          <w:tcPr>
            <w:tcW w:w="846" w:type="dxa"/>
            <w:noWrap w:val="0"/>
            <w:vAlign w:val="center"/>
          </w:tcPr>
          <w:p>
            <w:pPr>
              <w:ind w:right="-11"/>
              <w:jc w:val="center"/>
              <w:rPr>
                <w:rFonts w:hint="eastAsia" w:ascii="宋体" w:hAnsi="宋体" w:cs="宋体"/>
                <w:sz w:val="22"/>
                <w:szCs w:val="22"/>
              </w:rPr>
            </w:pPr>
          </w:p>
        </w:tc>
        <w:tc>
          <w:tcPr>
            <w:tcW w:w="987" w:type="dxa"/>
            <w:noWrap w:val="0"/>
            <w:vAlign w:val="center"/>
          </w:tcPr>
          <w:p>
            <w:pPr>
              <w:widowControl/>
              <w:jc w:val="center"/>
              <w:rPr>
                <w:rFonts w:hint="eastAsia" w:ascii="宋体" w:hAnsi="宋体" w:cs="宋体"/>
                <w:sz w:val="22"/>
                <w:szCs w:val="22"/>
              </w:rPr>
            </w:pPr>
          </w:p>
        </w:tc>
        <w:tc>
          <w:tcPr>
            <w:tcW w:w="1311" w:type="dxa"/>
            <w:noWrap w:val="0"/>
            <w:vAlign w:val="top"/>
          </w:tcPr>
          <w:p>
            <w:pPr>
              <w:ind w:right="-11"/>
              <w:jc w:val="center"/>
              <w:rPr>
                <w:rFonts w:hint="eastAsia" w:ascii="宋体" w:hAnsi="宋体" w:cs="宋体"/>
                <w:sz w:val="22"/>
                <w:szCs w:val="22"/>
              </w:rPr>
            </w:pPr>
          </w:p>
        </w:tc>
        <w:tc>
          <w:tcPr>
            <w:tcW w:w="360" w:type="dxa"/>
            <w:tcBorders>
              <w:right w:val="single" w:color="auto" w:sz="12" w:space="0"/>
            </w:tcBorders>
            <w:noWrap w:val="0"/>
            <w:vAlign w:val="center"/>
          </w:tcPr>
          <w:p>
            <w:pPr>
              <w:ind w:right="-11"/>
              <w:jc w:val="center"/>
              <w:rPr>
                <w:rFonts w:hint="eastAsia" w:ascii="宋体" w:hAnsi="宋体" w:cs="宋体"/>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621" w:type="dxa"/>
            <w:tcBorders>
              <w:left w:val="single" w:color="auto" w:sz="12" w:space="0"/>
            </w:tcBorders>
            <w:noWrap w:val="0"/>
            <w:vAlign w:val="center"/>
          </w:tcPr>
          <w:p>
            <w:pPr>
              <w:ind w:right="-11"/>
              <w:jc w:val="center"/>
              <w:rPr>
                <w:rFonts w:hint="eastAsia" w:ascii="宋体" w:hAnsi="宋体" w:cs="宋体"/>
                <w:sz w:val="22"/>
                <w:szCs w:val="22"/>
              </w:rPr>
            </w:pPr>
            <w:r>
              <w:rPr>
                <w:rFonts w:hint="eastAsia" w:ascii="宋体" w:hAnsi="宋体" w:cs="宋体"/>
                <w:sz w:val="22"/>
                <w:szCs w:val="22"/>
              </w:rPr>
              <w:t>2</w:t>
            </w:r>
          </w:p>
        </w:tc>
        <w:tc>
          <w:tcPr>
            <w:tcW w:w="1602" w:type="dxa"/>
            <w:noWrap w:val="0"/>
            <w:vAlign w:val="center"/>
          </w:tcPr>
          <w:p>
            <w:pPr>
              <w:widowControl/>
              <w:jc w:val="center"/>
              <w:rPr>
                <w:rFonts w:hint="eastAsia" w:ascii="宋体" w:hAnsi="宋体" w:cs="宋体"/>
                <w:sz w:val="22"/>
                <w:szCs w:val="22"/>
              </w:rPr>
            </w:pPr>
          </w:p>
        </w:tc>
        <w:tc>
          <w:tcPr>
            <w:tcW w:w="2398" w:type="dxa"/>
            <w:noWrap w:val="0"/>
            <w:vAlign w:val="center"/>
          </w:tcPr>
          <w:p>
            <w:pPr>
              <w:jc w:val="center"/>
              <w:rPr>
                <w:rFonts w:hint="eastAsia" w:ascii="宋体" w:hAnsi="宋体" w:cs="宋体"/>
                <w:sz w:val="22"/>
                <w:szCs w:val="22"/>
              </w:rPr>
            </w:pPr>
          </w:p>
        </w:tc>
        <w:tc>
          <w:tcPr>
            <w:tcW w:w="1552" w:type="dxa"/>
            <w:noWrap w:val="0"/>
            <w:vAlign w:val="center"/>
          </w:tcPr>
          <w:p>
            <w:pPr>
              <w:ind w:right="-11"/>
              <w:jc w:val="center"/>
              <w:rPr>
                <w:rFonts w:hint="eastAsia" w:ascii="宋体" w:hAnsi="宋体" w:cs="宋体"/>
                <w:sz w:val="22"/>
                <w:szCs w:val="22"/>
              </w:rPr>
            </w:pPr>
          </w:p>
        </w:tc>
        <w:tc>
          <w:tcPr>
            <w:tcW w:w="846" w:type="dxa"/>
            <w:noWrap w:val="0"/>
            <w:vAlign w:val="center"/>
          </w:tcPr>
          <w:p>
            <w:pPr>
              <w:ind w:right="-11"/>
              <w:jc w:val="center"/>
              <w:rPr>
                <w:rFonts w:hint="eastAsia" w:ascii="宋体" w:hAnsi="宋体" w:cs="宋体"/>
                <w:sz w:val="22"/>
                <w:szCs w:val="22"/>
              </w:rPr>
            </w:pPr>
          </w:p>
        </w:tc>
        <w:tc>
          <w:tcPr>
            <w:tcW w:w="987" w:type="dxa"/>
            <w:noWrap w:val="0"/>
            <w:vAlign w:val="center"/>
          </w:tcPr>
          <w:p>
            <w:pPr>
              <w:widowControl/>
              <w:jc w:val="center"/>
              <w:rPr>
                <w:rFonts w:hint="eastAsia" w:ascii="宋体" w:hAnsi="宋体" w:cs="宋体"/>
                <w:sz w:val="22"/>
                <w:szCs w:val="22"/>
              </w:rPr>
            </w:pPr>
          </w:p>
        </w:tc>
        <w:tc>
          <w:tcPr>
            <w:tcW w:w="1311" w:type="dxa"/>
            <w:noWrap w:val="0"/>
            <w:vAlign w:val="top"/>
          </w:tcPr>
          <w:p>
            <w:pPr>
              <w:ind w:right="-11"/>
              <w:jc w:val="center"/>
              <w:rPr>
                <w:rFonts w:hint="eastAsia" w:ascii="宋体" w:hAnsi="宋体" w:cs="宋体"/>
                <w:sz w:val="22"/>
                <w:szCs w:val="22"/>
              </w:rPr>
            </w:pPr>
          </w:p>
        </w:tc>
        <w:tc>
          <w:tcPr>
            <w:tcW w:w="360" w:type="dxa"/>
            <w:tcBorders>
              <w:right w:val="single" w:color="auto" w:sz="12" w:space="0"/>
            </w:tcBorders>
            <w:noWrap w:val="0"/>
            <w:vAlign w:val="center"/>
          </w:tcPr>
          <w:p>
            <w:pPr>
              <w:ind w:right="-11"/>
              <w:jc w:val="center"/>
              <w:rPr>
                <w:rFonts w:hint="eastAsia" w:ascii="宋体" w:hAnsi="宋体" w:cs="宋体"/>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621" w:type="dxa"/>
            <w:tcBorders>
              <w:left w:val="single" w:color="auto" w:sz="12" w:space="0"/>
            </w:tcBorders>
            <w:noWrap w:val="0"/>
            <w:vAlign w:val="center"/>
          </w:tcPr>
          <w:p>
            <w:pPr>
              <w:ind w:right="-11"/>
              <w:jc w:val="center"/>
              <w:rPr>
                <w:rFonts w:hint="eastAsia" w:ascii="宋体" w:hAnsi="宋体" w:cs="宋体"/>
                <w:sz w:val="22"/>
                <w:szCs w:val="22"/>
              </w:rPr>
            </w:pPr>
            <w:r>
              <w:rPr>
                <w:rFonts w:hint="eastAsia" w:ascii="宋体" w:hAnsi="宋体" w:cs="宋体"/>
                <w:sz w:val="22"/>
                <w:szCs w:val="22"/>
              </w:rPr>
              <w:t>3</w:t>
            </w:r>
          </w:p>
        </w:tc>
        <w:tc>
          <w:tcPr>
            <w:tcW w:w="1602" w:type="dxa"/>
            <w:noWrap w:val="0"/>
            <w:vAlign w:val="center"/>
          </w:tcPr>
          <w:p>
            <w:pPr>
              <w:widowControl/>
              <w:jc w:val="center"/>
              <w:rPr>
                <w:rFonts w:hint="eastAsia" w:ascii="宋体" w:hAnsi="宋体" w:cs="宋体"/>
                <w:sz w:val="22"/>
                <w:szCs w:val="22"/>
              </w:rPr>
            </w:pPr>
          </w:p>
        </w:tc>
        <w:tc>
          <w:tcPr>
            <w:tcW w:w="2398" w:type="dxa"/>
            <w:noWrap w:val="0"/>
            <w:vAlign w:val="center"/>
          </w:tcPr>
          <w:p>
            <w:pPr>
              <w:jc w:val="center"/>
              <w:rPr>
                <w:rFonts w:hint="eastAsia" w:ascii="宋体" w:hAnsi="宋体" w:cs="宋体"/>
                <w:sz w:val="22"/>
                <w:szCs w:val="22"/>
              </w:rPr>
            </w:pPr>
          </w:p>
        </w:tc>
        <w:tc>
          <w:tcPr>
            <w:tcW w:w="1552" w:type="dxa"/>
            <w:noWrap w:val="0"/>
            <w:vAlign w:val="center"/>
          </w:tcPr>
          <w:p>
            <w:pPr>
              <w:ind w:right="-11"/>
              <w:jc w:val="center"/>
              <w:rPr>
                <w:rFonts w:hint="eastAsia" w:ascii="宋体" w:hAnsi="宋体" w:cs="宋体"/>
                <w:sz w:val="22"/>
                <w:szCs w:val="22"/>
              </w:rPr>
            </w:pPr>
          </w:p>
        </w:tc>
        <w:tc>
          <w:tcPr>
            <w:tcW w:w="846" w:type="dxa"/>
            <w:noWrap w:val="0"/>
            <w:vAlign w:val="center"/>
          </w:tcPr>
          <w:p>
            <w:pPr>
              <w:ind w:right="-11"/>
              <w:jc w:val="center"/>
              <w:rPr>
                <w:rFonts w:hint="eastAsia" w:ascii="宋体" w:hAnsi="宋体" w:cs="宋体"/>
                <w:sz w:val="22"/>
                <w:szCs w:val="22"/>
              </w:rPr>
            </w:pPr>
          </w:p>
        </w:tc>
        <w:tc>
          <w:tcPr>
            <w:tcW w:w="987" w:type="dxa"/>
            <w:noWrap w:val="0"/>
            <w:vAlign w:val="center"/>
          </w:tcPr>
          <w:p>
            <w:pPr>
              <w:widowControl/>
              <w:jc w:val="center"/>
              <w:rPr>
                <w:rFonts w:hint="eastAsia" w:ascii="宋体" w:hAnsi="宋体" w:cs="宋体"/>
                <w:sz w:val="22"/>
                <w:szCs w:val="22"/>
              </w:rPr>
            </w:pPr>
          </w:p>
        </w:tc>
        <w:tc>
          <w:tcPr>
            <w:tcW w:w="1311" w:type="dxa"/>
            <w:noWrap w:val="0"/>
            <w:vAlign w:val="top"/>
          </w:tcPr>
          <w:p>
            <w:pPr>
              <w:ind w:right="-11"/>
              <w:jc w:val="center"/>
              <w:rPr>
                <w:rFonts w:hint="eastAsia" w:ascii="宋体" w:hAnsi="宋体" w:cs="宋体"/>
                <w:sz w:val="22"/>
                <w:szCs w:val="22"/>
              </w:rPr>
            </w:pPr>
          </w:p>
        </w:tc>
        <w:tc>
          <w:tcPr>
            <w:tcW w:w="360" w:type="dxa"/>
            <w:tcBorders>
              <w:right w:val="single" w:color="auto" w:sz="12" w:space="0"/>
            </w:tcBorders>
            <w:noWrap w:val="0"/>
            <w:vAlign w:val="center"/>
          </w:tcPr>
          <w:p>
            <w:pPr>
              <w:ind w:right="-11"/>
              <w:jc w:val="center"/>
              <w:rPr>
                <w:rFonts w:hint="eastAsia" w:ascii="宋体" w:hAnsi="宋体" w:cs="宋体"/>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621" w:type="dxa"/>
            <w:tcBorders>
              <w:left w:val="single" w:color="auto" w:sz="12" w:space="0"/>
            </w:tcBorders>
            <w:noWrap w:val="0"/>
            <w:vAlign w:val="center"/>
          </w:tcPr>
          <w:p>
            <w:pPr>
              <w:ind w:right="-11"/>
              <w:jc w:val="center"/>
              <w:rPr>
                <w:rFonts w:hint="eastAsia" w:ascii="宋体" w:hAnsi="宋体" w:cs="宋体"/>
                <w:sz w:val="22"/>
                <w:szCs w:val="22"/>
              </w:rPr>
            </w:pPr>
            <w:r>
              <w:rPr>
                <w:rFonts w:hint="eastAsia" w:ascii="宋体" w:hAnsi="宋体" w:cs="宋体"/>
                <w:sz w:val="22"/>
                <w:szCs w:val="22"/>
              </w:rPr>
              <w:t>4</w:t>
            </w:r>
          </w:p>
        </w:tc>
        <w:tc>
          <w:tcPr>
            <w:tcW w:w="1602" w:type="dxa"/>
            <w:noWrap w:val="0"/>
            <w:vAlign w:val="center"/>
          </w:tcPr>
          <w:p>
            <w:pPr>
              <w:widowControl/>
              <w:jc w:val="center"/>
              <w:rPr>
                <w:rFonts w:hint="eastAsia" w:ascii="宋体" w:hAnsi="宋体" w:cs="宋体"/>
                <w:sz w:val="22"/>
                <w:szCs w:val="22"/>
              </w:rPr>
            </w:pPr>
          </w:p>
        </w:tc>
        <w:tc>
          <w:tcPr>
            <w:tcW w:w="2398" w:type="dxa"/>
            <w:noWrap w:val="0"/>
            <w:vAlign w:val="center"/>
          </w:tcPr>
          <w:p>
            <w:pPr>
              <w:jc w:val="center"/>
              <w:rPr>
                <w:rFonts w:hint="eastAsia" w:ascii="宋体" w:hAnsi="宋体" w:cs="宋体"/>
                <w:sz w:val="22"/>
                <w:szCs w:val="22"/>
              </w:rPr>
            </w:pPr>
          </w:p>
        </w:tc>
        <w:tc>
          <w:tcPr>
            <w:tcW w:w="1552" w:type="dxa"/>
            <w:noWrap w:val="0"/>
            <w:vAlign w:val="center"/>
          </w:tcPr>
          <w:p>
            <w:pPr>
              <w:ind w:right="-11"/>
              <w:jc w:val="center"/>
              <w:rPr>
                <w:rFonts w:hint="eastAsia" w:ascii="宋体" w:hAnsi="宋体" w:cs="宋体"/>
                <w:sz w:val="22"/>
                <w:szCs w:val="22"/>
              </w:rPr>
            </w:pPr>
          </w:p>
        </w:tc>
        <w:tc>
          <w:tcPr>
            <w:tcW w:w="846" w:type="dxa"/>
            <w:noWrap w:val="0"/>
            <w:vAlign w:val="center"/>
          </w:tcPr>
          <w:p>
            <w:pPr>
              <w:ind w:right="-11"/>
              <w:jc w:val="center"/>
              <w:rPr>
                <w:rFonts w:hint="eastAsia" w:ascii="宋体" w:hAnsi="宋体" w:cs="宋体"/>
                <w:sz w:val="22"/>
                <w:szCs w:val="22"/>
              </w:rPr>
            </w:pPr>
          </w:p>
        </w:tc>
        <w:tc>
          <w:tcPr>
            <w:tcW w:w="987" w:type="dxa"/>
            <w:noWrap w:val="0"/>
            <w:vAlign w:val="center"/>
          </w:tcPr>
          <w:p>
            <w:pPr>
              <w:widowControl/>
              <w:jc w:val="center"/>
              <w:rPr>
                <w:rFonts w:hint="eastAsia" w:ascii="宋体" w:hAnsi="宋体" w:cs="宋体"/>
                <w:sz w:val="22"/>
                <w:szCs w:val="22"/>
              </w:rPr>
            </w:pPr>
          </w:p>
        </w:tc>
        <w:tc>
          <w:tcPr>
            <w:tcW w:w="1311" w:type="dxa"/>
            <w:noWrap w:val="0"/>
            <w:vAlign w:val="top"/>
          </w:tcPr>
          <w:p>
            <w:pPr>
              <w:ind w:right="-11"/>
              <w:jc w:val="center"/>
              <w:rPr>
                <w:rFonts w:hint="eastAsia" w:ascii="宋体" w:hAnsi="宋体" w:cs="宋体"/>
                <w:sz w:val="22"/>
                <w:szCs w:val="22"/>
              </w:rPr>
            </w:pPr>
          </w:p>
        </w:tc>
        <w:tc>
          <w:tcPr>
            <w:tcW w:w="360" w:type="dxa"/>
            <w:tcBorders>
              <w:right w:val="single" w:color="auto" w:sz="12" w:space="0"/>
            </w:tcBorders>
            <w:noWrap w:val="0"/>
            <w:vAlign w:val="center"/>
          </w:tcPr>
          <w:p>
            <w:pPr>
              <w:ind w:right="-11"/>
              <w:jc w:val="center"/>
              <w:rPr>
                <w:rFonts w:hint="eastAsia" w:ascii="宋体" w:hAnsi="宋体" w:cs="宋体"/>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5" w:hRule="atLeast"/>
        </w:trPr>
        <w:tc>
          <w:tcPr>
            <w:tcW w:w="4621" w:type="dxa"/>
            <w:gridSpan w:val="3"/>
            <w:tcBorders>
              <w:top w:val="single" w:color="auto" w:sz="12" w:space="0"/>
              <w:left w:val="single" w:color="auto" w:sz="12" w:space="0"/>
            </w:tcBorders>
            <w:noWrap w:val="0"/>
            <w:vAlign w:val="center"/>
          </w:tcPr>
          <w:p>
            <w:pPr>
              <w:ind w:right="-11"/>
              <w:rPr>
                <w:rFonts w:hint="eastAsia" w:ascii="宋体" w:hAnsi="宋体" w:cs="宋体"/>
                <w:sz w:val="22"/>
                <w:szCs w:val="22"/>
              </w:rPr>
            </w:pPr>
            <w:r>
              <w:rPr>
                <w:rFonts w:hint="eastAsia" w:ascii="宋体" w:hAnsi="宋体" w:cs="宋体"/>
                <w:sz w:val="22"/>
                <w:szCs w:val="22"/>
              </w:rPr>
              <w:t>运杂及保险费（含卸货）</w:t>
            </w:r>
          </w:p>
        </w:tc>
        <w:tc>
          <w:tcPr>
            <w:tcW w:w="5056" w:type="dxa"/>
            <w:gridSpan w:val="5"/>
            <w:tcBorders>
              <w:top w:val="single" w:color="auto" w:sz="12" w:space="0"/>
              <w:right w:val="single" w:color="auto" w:sz="12" w:space="0"/>
            </w:tcBorders>
            <w:noWrap w:val="0"/>
            <w:vAlign w:val="top"/>
          </w:tcPr>
          <w:p>
            <w:pPr>
              <w:ind w:right="-11"/>
              <w:rPr>
                <w:rFonts w:hint="eastAsia" w:ascii="宋体" w:hAnsi="宋体" w:cs="宋体"/>
                <w:sz w:val="22"/>
                <w:szCs w:val="22"/>
              </w:rPr>
            </w:pPr>
            <w:r>
              <w:rPr>
                <w:rFonts w:hint="eastAsia" w:ascii="宋体" w:hAnsi="宋体" w:cs="宋体"/>
                <w:sz w:val="22"/>
                <w:szCs w:val="22"/>
              </w:rPr>
              <w:t>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9" w:hRule="atLeast"/>
        </w:trPr>
        <w:tc>
          <w:tcPr>
            <w:tcW w:w="4621" w:type="dxa"/>
            <w:gridSpan w:val="3"/>
            <w:tcBorders>
              <w:left w:val="single" w:color="auto" w:sz="12" w:space="0"/>
            </w:tcBorders>
            <w:noWrap w:val="0"/>
            <w:vAlign w:val="center"/>
          </w:tcPr>
          <w:p>
            <w:pPr>
              <w:ind w:right="-11"/>
              <w:rPr>
                <w:rFonts w:hint="eastAsia" w:ascii="宋体" w:hAnsi="宋体" w:cs="宋体"/>
                <w:sz w:val="22"/>
                <w:szCs w:val="22"/>
              </w:rPr>
            </w:pPr>
            <w:r>
              <w:rPr>
                <w:rFonts w:hint="eastAsia" w:ascii="宋体" w:hAnsi="宋体" w:cs="宋体"/>
                <w:sz w:val="22"/>
                <w:szCs w:val="22"/>
              </w:rPr>
              <w:t>安装调试费（包括设备的测试、调试、验收等费用）</w:t>
            </w:r>
          </w:p>
        </w:tc>
        <w:tc>
          <w:tcPr>
            <w:tcW w:w="5056" w:type="dxa"/>
            <w:gridSpan w:val="5"/>
            <w:tcBorders>
              <w:right w:val="single" w:color="auto" w:sz="12" w:space="0"/>
            </w:tcBorders>
            <w:noWrap w:val="0"/>
            <w:vAlign w:val="top"/>
          </w:tcPr>
          <w:p>
            <w:pPr>
              <w:ind w:right="-11"/>
              <w:rPr>
                <w:rFonts w:hint="eastAsia" w:ascii="宋体" w:hAnsi="宋体" w:cs="宋体"/>
                <w:sz w:val="22"/>
                <w:szCs w:val="22"/>
              </w:rPr>
            </w:pPr>
            <w:r>
              <w:rPr>
                <w:rFonts w:hint="eastAsia" w:ascii="宋体" w:hAnsi="宋体" w:cs="宋体"/>
                <w:sz w:val="22"/>
                <w:szCs w:val="22"/>
              </w:rPr>
              <w:t>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4" w:hRule="atLeast"/>
        </w:trPr>
        <w:tc>
          <w:tcPr>
            <w:tcW w:w="4621" w:type="dxa"/>
            <w:gridSpan w:val="3"/>
            <w:tcBorders>
              <w:left w:val="single" w:color="auto" w:sz="12" w:space="0"/>
            </w:tcBorders>
            <w:noWrap w:val="0"/>
            <w:vAlign w:val="center"/>
          </w:tcPr>
          <w:p>
            <w:pPr>
              <w:ind w:right="-11"/>
              <w:rPr>
                <w:rFonts w:hint="eastAsia" w:ascii="宋体" w:hAnsi="宋体" w:cs="宋体"/>
                <w:sz w:val="22"/>
                <w:szCs w:val="22"/>
              </w:rPr>
            </w:pPr>
            <w:r>
              <w:rPr>
                <w:rFonts w:hint="eastAsia" w:ascii="宋体" w:hAnsi="宋体" w:cs="宋体"/>
                <w:sz w:val="22"/>
                <w:szCs w:val="22"/>
              </w:rPr>
              <w:t>培训费、技术服务费、售后服务费等</w:t>
            </w:r>
          </w:p>
        </w:tc>
        <w:tc>
          <w:tcPr>
            <w:tcW w:w="5056" w:type="dxa"/>
            <w:gridSpan w:val="5"/>
            <w:tcBorders>
              <w:right w:val="single" w:color="auto" w:sz="12" w:space="0"/>
            </w:tcBorders>
            <w:noWrap w:val="0"/>
            <w:vAlign w:val="top"/>
          </w:tcPr>
          <w:p>
            <w:pPr>
              <w:ind w:right="-11"/>
              <w:rPr>
                <w:rFonts w:hint="eastAsia" w:ascii="宋体" w:hAnsi="宋体" w:cs="宋体"/>
                <w:sz w:val="22"/>
                <w:szCs w:val="22"/>
              </w:rPr>
            </w:pPr>
            <w:r>
              <w:rPr>
                <w:rFonts w:hint="eastAsia" w:ascii="宋体" w:hAnsi="宋体" w:cs="宋体"/>
                <w:sz w:val="22"/>
                <w:szCs w:val="22"/>
              </w:rPr>
              <w:t>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4" w:hRule="atLeast"/>
        </w:trPr>
        <w:tc>
          <w:tcPr>
            <w:tcW w:w="4621" w:type="dxa"/>
            <w:gridSpan w:val="3"/>
            <w:tcBorders>
              <w:left w:val="single" w:color="auto" w:sz="12" w:space="0"/>
            </w:tcBorders>
            <w:noWrap w:val="0"/>
            <w:vAlign w:val="center"/>
          </w:tcPr>
          <w:p>
            <w:pPr>
              <w:ind w:right="-11"/>
              <w:rPr>
                <w:rFonts w:hint="eastAsia" w:ascii="宋体" w:hAnsi="宋体" w:cs="宋体"/>
                <w:sz w:val="22"/>
                <w:szCs w:val="22"/>
              </w:rPr>
            </w:pPr>
            <w:r>
              <w:rPr>
                <w:rFonts w:hint="eastAsia" w:ascii="宋体" w:hAnsi="宋体" w:cs="宋体"/>
                <w:sz w:val="22"/>
                <w:szCs w:val="22"/>
              </w:rPr>
              <w:t>税金</w:t>
            </w:r>
          </w:p>
        </w:tc>
        <w:tc>
          <w:tcPr>
            <w:tcW w:w="5056" w:type="dxa"/>
            <w:gridSpan w:val="5"/>
            <w:tcBorders>
              <w:right w:val="single" w:color="auto" w:sz="12" w:space="0"/>
            </w:tcBorders>
            <w:noWrap w:val="0"/>
            <w:vAlign w:val="top"/>
          </w:tcPr>
          <w:p>
            <w:pPr>
              <w:ind w:right="-11"/>
              <w:rPr>
                <w:rFonts w:hint="eastAsia" w:ascii="宋体" w:hAnsi="宋体" w:cs="宋体"/>
                <w:sz w:val="22"/>
                <w:szCs w:val="22"/>
              </w:rPr>
            </w:pPr>
            <w:r>
              <w:rPr>
                <w:rFonts w:hint="eastAsia" w:ascii="宋体" w:hAnsi="宋体" w:cs="宋体"/>
                <w:sz w:val="22"/>
                <w:szCs w:val="22"/>
              </w:rPr>
              <w:t>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4" w:hRule="atLeast"/>
        </w:trPr>
        <w:tc>
          <w:tcPr>
            <w:tcW w:w="4621" w:type="dxa"/>
            <w:gridSpan w:val="3"/>
            <w:tcBorders>
              <w:left w:val="single" w:color="auto" w:sz="12" w:space="0"/>
            </w:tcBorders>
            <w:noWrap w:val="0"/>
            <w:vAlign w:val="center"/>
          </w:tcPr>
          <w:p>
            <w:pPr>
              <w:ind w:right="-11"/>
              <w:rPr>
                <w:rFonts w:hint="eastAsia" w:ascii="宋体" w:hAnsi="宋体" w:cs="宋体"/>
                <w:sz w:val="22"/>
                <w:szCs w:val="22"/>
              </w:rPr>
            </w:pPr>
            <w:r>
              <w:rPr>
                <w:rFonts w:hint="eastAsia" w:ascii="宋体" w:hAnsi="宋体" w:cs="宋体"/>
                <w:sz w:val="22"/>
                <w:szCs w:val="22"/>
              </w:rPr>
              <w:t>其他相关费用</w:t>
            </w:r>
          </w:p>
        </w:tc>
        <w:tc>
          <w:tcPr>
            <w:tcW w:w="5056" w:type="dxa"/>
            <w:gridSpan w:val="5"/>
            <w:tcBorders>
              <w:right w:val="single" w:color="auto" w:sz="12" w:space="0"/>
            </w:tcBorders>
            <w:noWrap w:val="0"/>
            <w:vAlign w:val="top"/>
          </w:tcPr>
          <w:p>
            <w:pPr>
              <w:ind w:right="-11"/>
              <w:rPr>
                <w:rFonts w:hint="eastAsia" w:ascii="宋体" w:hAnsi="宋体" w:cs="宋体"/>
                <w:sz w:val="22"/>
                <w:szCs w:val="22"/>
              </w:rPr>
            </w:pPr>
            <w:r>
              <w:rPr>
                <w:rFonts w:hint="eastAsia" w:ascii="宋体" w:hAnsi="宋体" w:cs="宋体"/>
                <w:sz w:val="22"/>
                <w:szCs w:val="22"/>
              </w:rPr>
              <w:t>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2" w:hRule="atLeast"/>
        </w:trPr>
        <w:tc>
          <w:tcPr>
            <w:tcW w:w="4621" w:type="dxa"/>
            <w:gridSpan w:val="3"/>
            <w:tcBorders>
              <w:left w:val="single" w:color="auto" w:sz="12" w:space="0"/>
              <w:bottom w:val="single" w:color="auto" w:sz="12" w:space="0"/>
            </w:tcBorders>
            <w:noWrap w:val="0"/>
            <w:vAlign w:val="center"/>
          </w:tcPr>
          <w:p>
            <w:pPr>
              <w:ind w:right="-11"/>
              <w:rPr>
                <w:rFonts w:hint="eastAsia" w:ascii="宋体" w:hAnsi="宋体" w:cs="宋体"/>
                <w:sz w:val="22"/>
                <w:szCs w:val="22"/>
              </w:rPr>
            </w:pPr>
            <w:r>
              <w:rPr>
                <w:rFonts w:hint="eastAsia" w:ascii="宋体" w:hAnsi="宋体" w:cs="宋体"/>
                <w:sz w:val="22"/>
                <w:szCs w:val="22"/>
              </w:rPr>
              <w:t>总价</w:t>
            </w:r>
          </w:p>
          <w:p>
            <w:pPr>
              <w:ind w:right="-11"/>
              <w:rPr>
                <w:rFonts w:hint="eastAsia" w:ascii="宋体" w:hAnsi="宋体" w:cs="宋体"/>
                <w:sz w:val="22"/>
                <w:szCs w:val="22"/>
              </w:rPr>
            </w:pPr>
            <w:r>
              <w:rPr>
                <w:rFonts w:hint="eastAsia" w:ascii="宋体" w:hAnsi="宋体" w:cs="宋体"/>
                <w:sz w:val="22"/>
                <w:szCs w:val="22"/>
              </w:rPr>
              <w:t>（应与开标一览表中投标总价相一致）</w:t>
            </w:r>
          </w:p>
        </w:tc>
        <w:tc>
          <w:tcPr>
            <w:tcW w:w="5056" w:type="dxa"/>
            <w:gridSpan w:val="5"/>
            <w:tcBorders>
              <w:bottom w:val="single" w:color="auto" w:sz="12" w:space="0"/>
              <w:right w:val="single" w:color="auto" w:sz="12" w:space="0"/>
            </w:tcBorders>
            <w:noWrap w:val="0"/>
            <w:vAlign w:val="top"/>
          </w:tcPr>
          <w:p>
            <w:pPr>
              <w:spacing w:line="340" w:lineRule="exact"/>
              <w:rPr>
                <w:rFonts w:hint="eastAsia" w:ascii="宋体" w:hAnsi="宋体" w:cs="宋体"/>
                <w:sz w:val="22"/>
                <w:szCs w:val="22"/>
              </w:rPr>
            </w:pPr>
          </w:p>
        </w:tc>
      </w:tr>
    </w:tbl>
    <w:p>
      <w:pPr>
        <w:rPr>
          <w:rFonts w:hint="eastAsia" w:ascii="宋体" w:hAnsi="宋体" w:cs="宋体"/>
          <w:sz w:val="22"/>
          <w:szCs w:val="22"/>
        </w:rPr>
      </w:pPr>
      <w:r>
        <w:rPr>
          <w:rFonts w:hint="eastAsia" w:ascii="宋体" w:hAnsi="宋体" w:cs="宋体"/>
          <w:sz w:val="22"/>
          <w:szCs w:val="22"/>
        </w:rPr>
        <w:t>附注：1. 不提供详细分项报价表将视为没有实质性响应招标文件，货物名称按采购设备清单内容。</w:t>
      </w:r>
    </w:p>
    <w:p>
      <w:pPr>
        <w:ind w:firstLine="630"/>
        <w:rPr>
          <w:rFonts w:hint="eastAsia" w:ascii="宋体" w:hAnsi="宋体" w:cs="宋体"/>
          <w:sz w:val="22"/>
          <w:szCs w:val="22"/>
        </w:rPr>
      </w:pPr>
      <w:r>
        <w:rPr>
          <w:rFonts w:hint="eastAsia" w:ascii="宋体" w:hAnsi="宋体" w:cs="宋体"/>
          <w:sz w:val="22"/>
          <w:szCs w:val="22"/>
        </w:rPr>
        <w:t>2.“分项报价表”中的单价不得超出“单价最高限价”，超出做无效标处理。</w:t>
      </w:r>
    </w:p>
    <w:p>
      <w:pPr>
        <w:ind w:firstLine="630"/>
        <w:rPr>
          <w:rFonts w:hint="eastAsia" w:ascii="宋体" w:hAnsi="宋体" w:cs="宋体"/>
          <w:sz w:val="22"/>
          <w:szCs w:val="22"/>
        </w:rPr>
      </w:pPr>
      <w:r>
        <w:rPr>
          <w:rFonts w:hint="eastAsia" w:ascii="宋体" w:hAnsi="宋体" w:cs="宋体"/>
          <w:sz w:val="22"/>
          <w:szCs w:val="22"/>
        </w:rPr>
        <w:t>3. 如果免费请在该备注栏内注明“免”，如果含在产品价格中则填“含”，如无此项内容则填“无”，不留空白。</w:t>
      </w:r>
    </w:p>
    <w:p>
      <w:pPr>
        <w:ind w:firstLine="630"/>
        <w:rPr>
          <w:rFonts w:hint="eastAsia" w:ascii="宋体" w:hAnsi="宋体" w:cs="宋体"/>
          <w:sz w:val="22"/>
          <w:szCs w:val="22"/>
        </w:rPr>
      </w:pPr>
      <w:r>
        <w:rPr>
          <w:rFonts w:hint="eastAsia" w:ascii="宋体" w:hAnsi="宋体" w:cs="宋体"/>
          <w:sz w:val="22"/>
          <w:szCs w:val="22"/>
        </w:rPr>
        <w:t>4.  根据《中华人民共和国政府采购法实施条例 》第四十三条规定，在中标或者成交公告的内容中可能增加本表，请各供应商认真填写，确保报价数据的真实性、完整性和合理性。</w:t>
      </w:r>
    </w:p>
    <w:p>
      <w:pPr>
        <w:ind w:firstLine="630"/>
        <w:rPr>
          <w:rFonts w:hint="eastAsia" w:ascii="宋体" w:hAnsi="宋体" w:cs="宋体"/>
          <w:color w:val="000000"/>
          <w:sz w:val="22"/>
          <w:szCs w:val="22"/>
        </w:rPr>
      </w:pPr>
      <w:r>
        <w:rPr>
          <w:rFonts w:hint="eastAsia" w:ascii="宋体" w:hAnsi="宋体" w:cs="宋体"/>
          <w:sz w:val="22"/>
          <w:szCs w:val="22"/>
        </w:rPr>
        <w:t xml:space="preserve">5、表格可以延续。 </w:t>
      </w:r>
    </w:p>
    <w:p>
      <w:pPr>
        <w:pStyle w:val="4"/>
        <w:rPr>
          <w:rFonts w:hint="eastAsia" w:ascii="宋体" w:hAnsi="宋体" w:cs="宋体"/>
          <w:sz w:val="22"/>
          <w:szCs w:val="22"/>
        </w:rPr>
      </w:pPr>
    </w:p>
    <w:p>
      <w:pPr>
        <w:snapToGrid w:val="0"/>
        <w:spacing w:line="500" w:lineRule="atLeast"/>
        <w:ind w:firstLine="550" w:firstLineChars="250"/>
        <w:rPr>
          <w:rFonts w:hint="eastAsia" w:ascii="宋体" w:hAnsi="宋体" w:cs="宋体"/>
          <w:color w:val="000000"/>
          <w:sz w:val="22"/>
          <w:szCs w:val="22"/>
        </w:rPr>
      </w:pPr>
      <w:r>
        <w:rPr>
          <w:rFonts w:hint="eastAsia" w:ascii="宋体" w:hAnsi="宋体" w:cs="宋体"/>
          <w:color w:val="000000"/>
          <w:sz w:val="22"/>
          <w:szCs w:val="22"/>
        </w:rPr>
        <w:t>供应商（电子签章）：</w:t>
      </w:r>
    </w:p>
    <w:p>
      <w:pPr>
        <w:snapToGrid w:val="0"/>
        <w:spacing w:line="500" w:lineRule="atLeast"/>
        <w:ind w:firstLine="550" w:firstLineChars="250"/>
        <w:rPr>
          <w:rFonts w:hint="eastAsia" w:ascii="宋体" w:hAnsi="宋体" w:cs="宋体"/>
          <w:color w:val="000000"/>
          <w:sz w:val="22"/>
          <w:szCs w:val="22"/>
        </w:rPr>
      </w:pPr>
      <w:r>
        <w:rPr>
          <w:rFonts w:hint="eastAsia" w:ascii="宋体" w:hAnsi="宋体" w:cs="宋体"/>
          <w:sz w:val="22"/>
          <w:szCs w:val="22"/>
          <w:lang w:val="zh-CN"/>
        </w:rPr>
        <w:t>法定代表人或授权代表（签字或盖章）：</w:t>
      </w:r>
    </w:p>
    <w:p>
      <w:pPr>
        <w:snapToGrid w:val="0"/>
        <w:spacing w:line="500" w:lineRule="atLeast"/>
        <w:ind w:firstLine="550" w:firstLineChars="250"/>
        <w:rPr>
          <w:rFonts w:hint="eastAsia" w:ascii="宋体" w:hAnsi="宋体" w:cs="宋体"/>
          <w:color w:val="000000"/>
          <w:sz w:val="22"/>
          <w:szCs w:val="22"/>
        </w:rPr>
      </w:pPr>
      <w:r>
        <w:rPr>
          <w:rFonts w:hint="eastAsia" w:ascii="宋体" w:hAnsi="宋体" w:cs="宋体"/>
          <w:color w:val="000000"/>
          <w:sz w:val="22"/>
          <w:szCs w:val="22"/>
        </w:rPr>
        <w:t>日期：</w:t>
      </w:r>
    </w:p>
    <w:p>
      <w:pPr>
        <w:pStyle w:val="2"/>
        <w:rPr>
          <w:rFonts w:hint="eastAsia"/>
        </w:rPr>
      </w:pPr>
    </w:p>
    <w:p>
      <w:pPr>
        <w:pStyle w:val="3"/>
        <w:ind w:firstLine="210"/>
        <w:rPr>
          <w:rFonts w:hint="eastAsia"/>
        </w:rPr>
      </w:pPr>
    </w:p>
    <w:p>
      <w:pPr>
        <w:snapToGrid w:val="0"/>
        <w:spacing w:line="500" w:lineRule="atLeast"/>
        <w:rPr>
          <w:rFonts w:hint="eastAsia" w:ascii="宋体" w:hAnsi="宋体" w:cs="宋体"/>
          <w:sz w:val="22"/>
          <w:szCs w:val="22"/>
        </w:rPr>
      </w:pPr>
      <w:r>
        <w:rPr>
          <w:rFonts w:hint="eastAsia" w:ascii="宋体" w:hAnsi="宋体" w:cs="宋体"/>
          <w:sz w:val="22"/>
          <w:szCs w:val="22"/>
        </w:rPr>
        <w:br w:type="page"/>
      </w:r>
      <w:r>
        <w:rPr>
          <w:rFonts w:hint="eastAsia" w:ascii="宋体" w:hAnsi="宋体" w:cs="宋体"/>
          <w:sz w:val="22"/>
          <w:szCs w:val="22"/>
        </w:rPr>
        <w:t>附件三（一）</w:t>
      </w:r>
    </w:p>
    <w:p>
      <w:pPr>
        <w:pStyle w:val="24"/>
        <w:adjustRightInd w:val="0"/>
        <w:snapToGrid w:val="0"/>
        <w:spacing w:line="400" w:lineRule="exact"/>
        <w:jc w:val="center"/>
        <w:rPr>
          <w:rFonts w:hint="eastAsia" w:hAnsi="宋体" w:cs="宋体"/>
          <w:sz w:val="22"/>
          <w:szCs w:val="22"/>
        </w:rPr>
      </w:pPr>
      <w:r>
        <w:rPr>
          <w:rFonts w:hint="eastAsia" w:hAnsi="宋体" w:cs="宋体"/>
          <w:sz w:val="22"/>
          <w:szCs w:val="22"/>
        </w:rPr>
        <w:t>商 务 偏 离 表</w:t>
      </w:r>
    </w:p>
    <w:tbl>
      <w:tblPr>
        <w:tblStyle w:val="43"/>
        <w:tblW w:w="0" w:type="auto"/>
        <w:jc w:val="center"/>
        <w:tblLayout w:type="fixed"/>
        <w:tblCellMar>
          <w:top w:w="0" w:type="dxa"/>
          <w:left w:w="108" w:type="dxa"/>
          <w:bottom w:w="0" w:type="dxa"/>
          <w:right w:w="108" w:type="dxa"/>
        </w:tblCellMar>
      </w:tblPr>
      <w:tblGrid>
        <w:gridCol w:w="900"/>
        <w:gridCol w:w="1800"/>
        <w:gridCol w:w="2387"/>
        <w:gridCol w:w="2387"/>
        <w:gridCol w:w="2126"/>
      </w:tblGrid>
      <w:tr>
        <w:tblPrEx>
          <w:tblCellMar>
            <w:top w:w="0" w:type="dxa"/>
            <w:left w:w="108" w:type="dxa"/>
            <w:bottom w:w="0" w:type="dxa"/>
            <w:right w:w="108" w:type="dxa"/>
          </w:tblCellMar>
        </w:tblPrEx>
        <w:trPr>
          <w:trHeight w:val="936" w:hRule="atLeast"/>
          <w:jc w:val="center"/>
        </w:trPr>
        <w:tc>
          <w:tcPr>
            <w:tcW w:w="900" w:type="dxa"/>
            <w:tcBorders>
              <w:top w:val="single" w:color="auto" w:sz="6" w:space="0"/>
              <w:left w:val="single" w:color="auto" w:sz="6" w:space="0"/>
              <w:bottom w:val="single" w:color="auto" w:sz="6" w:space="0"/>
              <w:right w:val="single" w:color="auto" w:sz="6" w:space="0"/>
            </w:tcBorders>
            <w:noWrap w:val="0"/>
            <w:vAlign w:val="center"/>
          </w:tcPr>
          <w:p>
            <w:pPr>
              <w:pStyle w:val="24"/>
              <w:adjustRightInd w:val="0"/>
              <w:snapToGrid w:val="0"/>
              <w:spacing w:line="400" w:lineRule="exact"/>
              <w:rPr>
                <w:rFonts w:hint="eastAsia" w:hAnsi="宋体" w:cs="宋体"/>
                <w:sz w:val="22"/>
                <w:szCs w:val="22"/>
              </w:rPr>
            </w:pPr>
            <w:r>
              <w:rPr>
                <w:rFonts w:hint="eastAsia" w:hAnsi="宋体" w:cs="宋体"/>
                <w:sz w:val="22"/>
                <w:szCs w:val="22"/>
              </w:rPr>
              <w:t>序 号</w:t>
            </w:r>
          </w:p>
        </w:tc>
        <w:tc>
          <w:tcPr>
            <w:tcW w:w="1800" w:type="dxa"/>
            <w:tcBorders>
              <w:top w:val="single" w:color="auto" w:sz="6" w:space="0"/>
              <w:left w:val="single" w:color="auto" w:sz="6" w:space="0"/>
              <w:bottom w:val="single" w:color="auto" w:sz="6" w:space="0"/>
              <w:right w:val="single" w:color="auto" w:sz="6" w:space="0"/>
            </w:tcBorders>
            <w:noWrap w:val="0"/>
            <w:vAlign w:val="center"/>
          </w:tcPr>
          <w:p>
            <w:pPr>
              <w:pStyle w:val="24"/>
              <w:adjustRightInd w:val="0"/>
              <w:snapToGrid w:val="0"/>
              <w:spacing w:line="400" w:lineRule="exact"/>
              <w:rPr>
                <w:rFonts w:hint="eastAsia" w:hAnsi="宋体" w:cs="宋体"/>
                <w:sz w:val="22"/>
                <w:szCs w:val="22"/>
              </w:rPr>
            </w:pPr>
            <w:r>
              <w:rPr>
                <w:rFonts w:hint="eastAsia" w:hAnsi="宋体" w:cs="宋体"/>
                <w:sz w:val="22"/>
                <w:szCs w:val="22"/>
              </w:rPr>
              <w:t>内容</w:t>
            </w:r>
          </w:p>
        </w:tc>
        <w:tc>
          <w:tcPr>
            <w:tcW w:w="2387" w:type="dxa"/>
            <w:tcBorders>
              <w:top w:val="single" w:color="auto" w:sz="6" w:space="0"/>
              <w:left w:val="single" w:color="auto" w:sz="6" w:space="0"/>
              <w:bottom w:val="single" w:color="auto" w:sz="6" w:space="0"/>
              <w:right w:val="single" w:color="auto" w:sz="6" w:space="0"/>
            </w:tcBorders>
            <w:noWrap w:val="0"/>
            <w:vAlign w:val="center"/>
          </w:tcPr>
          <w:p>
            <w:pPr>
              <w:pStyle w:val="24"/>
              <w:adjustRightInd w:val="0"/>
              <w:snapToGrid w:val="0"/>
              <w:spacing w:line="400" w:lineRule="exact"/>
              <w:rPr>
                <w:rFonts w:hint="eastAsia" w:hAnsi="宋体" w:cs="宋体"/>
                <w:sz w:val="22"/>
                <w:szCs w:val="22"/>
              </w:rPr>
            </w:pPr>
            <w:r>
              <w:rPr>
                <w:rFonts w:hint="eastAsia" w:hAnsi="宋体" w:cs="宋体"/>
                <w:sz w:val="22"/>
                <w:szCs w:val="22"/>
              </w:rPr>
              <w:t>招标文件规范要求</w:t>
            </w:r>
          </w:p>
        </w:tc>
        <w:tc>
          <w:tcPr>
            <w:tcW w:w="2387" w:type="dxa"/>
            <w:tcBorders>
              <w:top w:val="single" w:color="auto" w:sz="6" w:space="0"/>
              <w:left w:val="single" w:color="auto" w:sz="6" w:space="0"/>
              <w:bottom w:val="single" w:color="auto" w:sz="6" w:space="0"/>
              <w:right w:val="single" w:color="auto" w:sz="6" w:space="0"/>
            </w:tcBorders>
            <w:noWrap w:val="0"/>
            <w:vAlign w:val="center"/>
          </w:tcPr>
          <w:p>
            <w:pPr>
              <w:pStyle w:val="24"/>
              <w:adjustRightInd w:val="0"/>
              <w:snapToGrid w:val="0"/>
              <w:spacing w:line="400" w:lineRule="exact"/>
              <w:rPr>
                <w:rFonts w:hint="eastAsia" w:hAnsi="宋体" w:cs="宋体"/>
                <w:sz w:val="22"/>
                <w:szCs w:val="22"/>
              </w:rPr>
            </w:pPr>
            <w:r>
              <w:rPr>
                <w:rFonts w:hint="eastAsia" w:hAnsi="宋体" w:cs="宋体"/>
                <w:sz w:val="22"/>
                <w:szCs w:val="22"/>
              </w:rPr>
              <w:t>投标文件对应规范</w:t>
            </w:r>
          </w:p>
        </w:tc>
        <w:tc>
          <w:tcPr>
            <w:tcW w:w="2126" w:type="dxa"/>
            <w:tcBorders>
              <w:top w:val="single" w:color="auto" w:sz="6" w:space="0"/>
              <w:left w:val="single" w:color="auto" w:sz="6" w:space="0"/>
              <w:bottom w:val="single" w:color="auto" w:sz="6" w:space="0"/>
              <w:right w:val="single" w:color="auto" w:sz="6" w:space="0"/>
            </w:tcBorders>
            <w:noWrap w:val="0"/>
            <w:vAlign w:val="center"/>
          </w:tcPr>
          <w:p>
            <w:pPr>
              <w:pStyle w:val="24"/>
              <w:adjustRightInd w:val="0"/>
              <w:snapToGrid w:val="0"/>
              <w:spacing w:line="400" w:lineRule="exact"/>
              <w:rPr>
                <w:rFonts w:hint="eastAsia" w:hAnsi="宋体" w:cs="宋体"/>
                <w:sz w:val="22"/>
                <w:szCs w:val="22"/>
              </w:rPr>
            </w:pPr>
            <w:r>
              <w:rPr>
                <w:rFonts w:hint="eastAsia" w:hAnsi="宋体" w:cs="宋体"/>
                <w:sz w:val="22"/>
                <w:szCs w:val="22"/>
              </w:rPr>
              <w:t>备 注</w:t>
            </w:r>
          </w:p>
        </w:tc>
      </w:tr>
      <w:tr>
        <w:tblPrEx>
          <w:tblCellMar>
            <w:top w:w="0" w:type="dxa"/>
            <w:left w:w="108" w:type="dxa"/>
            <w:bottom w:w="0" w:type="dxa"/>
            <w:right w:w="108" w:type="dxa"/>
          </w:tblCellMar>
        </w:tblPrEx>
        <w:trPr>
          <w:trHeight w:val="424" w:hRule="atLeast"/>
          <w:jc w:val="center"/>
        </w:trPr>
        <w:tc>
          <w:tcPr>
            <w:tcW w:w="900"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1800"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12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r>
      <w:tr>
        <w:tblPrEx>
          <w:tblCellMar>
            <w:top w:w="0" w:type="dxa"/>
            <w:left w:w="108" w:type="dxa"/>
            <w:bottom w:w="0" w:type="dxa"/>
            <w:right w:w="108" w:type="dxa"/>
          </w:tblCellMar>
        </w:tblPrEx>
        <w:trPr>
          <w:trHeight w:val="424" w:hRule="atLeast"/>
          <w:jc w:val="center"/>
        </w:trPr>
        <w:tc>
          <w:tcPr>
            <w:tcW w:w="900"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1800"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12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r>
      <w:tr>
        <w:tblPrEx>
          <w:tblCellMar>
            <w:top w:w="0" w:type="dxa"/>
            <w:left w:w="108" w:type="dxa"/>
            <w:bottom w:w="0" w:type="dxa"/>
            <w:right w:w="108" w:type="dxa"/>
          </w:tblCellMar>
        </w:tblPrEx>
        <w:trPr>
          <w:trHeight w:val="424" w:hRule="atLeast"/>
          <w:jc w:val="center"/>
        </w:trPr>
        <w:tc>
          <w:tcPr>
            <w:tcW w:w="900"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1800"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12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r>
      <w:tr>
        <w:tblPrEx>
          <w:tblCellMar>
            <w:top w:w="0" w:type="dxa"/>
            <w:left w:w="108" w:type="dxa"/>
            <w:bottom w:w="0" w:type="dxa"/>
            <w:right w:w="108" w:type="dxa"/>
          </w:tblCellMar>
        </w:tblPrEx>
        <w:trPr>
          <w:trHeight w:val="436" w:hRule="atLeast"/>
          <w:jc w:val="center"/>
        </w:trPr>
        <w:tc>
          <w:tcPr>
            <w:tcW w:w="900"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1800"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12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r>
      <w:tr>
        <w:tblPrEx>
          <w:tblCellMar>
            <w:top w:w="0" w:type="dxa"/>
            <w:left w:w="108" w:type="dxa"/>
            <w:bottom w:w="0" w:type="dxa"/>
            <w:right w:w="108" w:type="dxa"/>
          </w:tblCellMar>
        </w:tblPrEx>
        <w:trPr>
          <w:trHeight w:val="424" w:hRule="atLeast"/>
          <w:jc w:val="center"/>
        </w:trPr>
        <w:tc>
          <w:tcPr>
            <w:tcW w:w="900"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1800"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12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r>
      <w:tr>
        <w:tblPrEx>
          <w:tblCellMar>
            <w:top w:w="0" w:type="dxa"/>
            <w:left w:w="108" w:type="dxa"/>
            <w:bottom w:w="0" w:type="dxa"/>
            <w:right w:w="108" w:type="dxa"/>
          </w:tblCellMar>
        </w:tblPrEx>
        <w:trPr>
          <w:trHeight w:val="424" w:hRule="atLeast"/>
          <w:jc w:val="center"/>
        </w:trPr>
        <w:tc>
          <w:tcPr>
            <w:tcW w:w="900"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1800"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12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r>
    </w:tbl>
    <w:p>
      <w:pPr>
        <w:pStyle w:val="24"/>
        <w:adjustRightInd w:val="0"/>
        <w:snapToGrid w:val="0"/>
        <w:spacing w:line="400" w:lineRule="exact"/>
        <w:ind w:firstLine="330" w:firstLineChars="150"/>
        <w:rPr>
          <w:rFonts w:hint="eastAsia" w:hAnsi="宋体" w:cs="宋体"/>
          <w:sz w:val="22"/>
          <w:szCs w:val="22"/>
        </w:rPr>
      </w:pPr>
      <w:r>
        <w:rPr>
          <w:rFonts w:hint="eastAsia" w:hAnsi="宋体" w:cs="宋体"/>
          <w:iCs/>
          <w:sz w:val="22"/>
          <w:szCs w:val="22"/>
        </w:rPr>
        <w:t>注：供应商须如实填写上表，</w:t>
      </w:r>
      <w:r>
        <w:rPr>
          <w:rFonts w:hint="eastAsia" w:hAnsi="宋体" w:cs="宋体"/>
          <w:sz w:val="22"/>
          <w:szCs w:val="22"/>
        </w:rPr>
        <w:t>没有填写此表或未提供视为完全响应招标文件要求。</w:t>
      </w:r>
    </w:p>
    <w:p>
      <w:pPr>
        <w:pStyle w:val="24"/>
        <w:adjustRightInd w:val="0"/>
        <w:snapToGrid w:val="0"/>
        <w:spacing w:line="400" w:lineRule="exact"/>
        <w:rPr>
          <w:rFonts w:hint="eastAsia" w:hAnsi="宋体" w:cs="宋体"/>
          <w:sz w:val="22"/>
          <w:szCs w:val="22"/>
        </w:rPr>
      </w:pPr>
    </w:p>
    <w:p>
      <w:pPr>
        <w:pStyle w:val="24"/>
        <w:adjustRightInd w:val="0"/>
        <w:snapToGrid w:val="0"/>
        <w:spacing w:line="400" w:lineRule="exact"/>
        <w:rPr>
          <w:rFonts w:hint="eastAsia" w:hAnsi="宋体" w:cs="宋体"/>
          <w:sz w:val="22"/>
          <w:szCs w:val="22"/>
        </w:rPr>
      </w:pPr>
      <w:r>
        <w:rPr>
          <w:rFonts w:hint="eastAsia" w:hAnsi="宋体" w:cs="宋体"/>
          <w:sz w:val="22"/>
          <w:szCs w:val="22"/>
        </w:rPr>
        <w:t>供应商电子签章：</w:t>
      </w:r>
    </w:p>
    <w:p>
      <w:pPr>
        <w:pStyle w:val="24"/>
        <w:adjustRightInd w:val="0"/>
        <w:snapToGrid w:val="0"/>
        <w:spacing w:line="400" w:lineRule="exact"/>
        <w:rPr>
          <w:rFonts w:hint="eastAsia" w:hAnsi="宋体" w:cs="宋体"/>
          <w:sz w:val="22"/>
          <w:szCs w:val="22"/>
        </w:rPr>
      </w:pPr>
    </w:p>
    <w:p>
      <w:pPr>
        <w:pStyle w:val="24"/>
        <w:adjustRightInd w:val="0"/>
        <w:snapToGrid w:val="0"/>
        <w:spacing w:line="400" w:lineRule="exact"/>
        <w:rPr>
          <w:rFonts w:hint="eastAsia" w:hAnsi="宋体" w:cs="宋体"/>
          <w:sz w:val="22"/>
          <w:szCs w:val="22"/>
        </w:rPr>
      </w:pPr>
      <w:r>
        <w:rPr>
          <w:rFonts w:hint="eastAsia" w:hAnsi="宋体" w:cs="宋体"/>
          <w:sz w:val="22"/>
          <w:szCs w:val="22"/>
        </w:rPr>
        <w:br w:type="page"/>
      </w:r>
      <w:r>
        <w:rPr>
          <w:rFonts w:hint="eastAsia" w:hAnsi="宋体" w:cs="宋体"/>
          <w:sz w:val="22"/>
          <w:szCs w:val="22"/>
        </w:rPr>
        <w:t>附件三（二）</w:t>
      </w:r>
    </w:p>
    <w:p>
      <w:pPr>
        <w:pStyle w:val="24"/>
        <w:adjustRightInd w:val="0"/>
        <w:snapToGrid w:val="0"/>
        <w:spacing w:line="400" w:lineRule="exact"/>
        <w:ind w:firstLine="2200" w:firstLineChars="1000"/>
        <w:rPr>
          <w:rFonts w:hint="eastAsia" w:hAnsi="宋体" w:cs="宋体"/>
          <w:sz w:val="22"/>
          <w:szCs w:val="22"/>
        </w:rPr>
      </w:pPr>
      <w:r>
        <w:rPr>
          <w:rFonts w:hint="eastAsia" w:hAnsi="宋体" w:cs="宋体"/>
          <w:sz w:val="22"/>
          <w:szCs w:val="22"/>
        </w:rPr>
        <w:t>技术偏离表</w:t>
      </w:r>
    </w:p>
    <w:tbl>
      <w:tblPr>
        <w:tblStyle w:val="43"/>
        <w:tblW w:w="0" w:type="auto"/>
        <w:jc w:val="center"/>
        <w:tblLayout w:type="fixed"/>
        <w:tblCellMar>
          <w:top w:w="0" w:type="dxa"/>
          <w:left w:w="108" w:type="dxa"/>
          <w:bottom w:w="0" w:type="dxa"/>
          <w:right w:w="108" w:type="dxa"/>
        </w:tblCellMar>
      </w:tblPr>
      <w:tblGrid>
        <w:gridCol w:w="896"/>
        <w:gridCol w:w="1806"/>
        <w:gridCol w:w="2386"/>
        <w:gridCol w:w="2387"/>
        <w:gridCol w:w="2137"/>
      </w:tblGrid>
      <w:tr>
        <w:tblPrEx>
          <w:tblCellMar>
            <w:top w:w="0" w:type="dxa"/>
            <w:left w:w="108" w:type="dxa"/>
            <w:bottom w:w="0" w:type="dxa"/>
            <w:right w:w="108" w:type="dxa"/>
          </w:tblCellMar>
        </w:tblPrEx>
        <w:trPr>
          <w:trHeight w:val="918" w:hRule="atLeast"/>
          <w:jc w:val="center"/>
        </w:trPr>
        <w:tc>
          <w:tcPr>
            <w:tcW w:w="896" w:type="dxa"/>
            <w:tcBorders>
              <w:top w:val="single" w:color="auto" w:sz="6" w:space="0"/>
              <w:left w:val="single" w:color="auto" w:sz="6" w:space="0"/>
              <w:bottom w:val="single" w:color="auto" w:sz="6" w:space="0"/>
              <w:right w:val="single" w:color="auto" w:sz="6" w:space="0"/>
            </w:tcBorders>
            <w:noWrap w:val="0"/>
            <w:vAlign w:val="center"/>
          </w:tcPr>
          <w:p>
            <w:pPr>
              <w:pStyle w:val="24"/>
              <w:adjustRightInd w:val="0"/>
              <w:snapToGrid w:val="0"/>
              <w:spacing w:line="400" w:lineRule="exact"/>
              <w:rPr>
                <w:rFonts w:hint="eastAsia" w:hAnsi="宋体" w:cs="宋体"/>
                <w:sz w:val="22"/>
                <w:szCs w:val="22"/>
              </w:rPr>
            </w:pPr>
            <w:r>
              <w:rPr>
                <w:rFonts w:hint="eastAsia" w:hAnsi="宋体" w:cs="宋体"/>
                <w:sz w:val="22"/>
                <w:szCs w:val="22"/>
              </w:rPr>
              <w:t>序 号</w:t>
            </w:r>
          </w:p>
        </w:tc>
        <w:tc>
          <w:tcPr>
            <w:tcW w:w="1806" w:type="dxa"/>
            <w:tcBorders>
              <w:top w:val="single" w:color="auto" w:sz="6" w:space="0"/>
              <w:left w:val="single" w:color="auto" w:sz="6" w:space="0"/>
              <w:bottom w:val="single" w:color="auto" w:sz="6" w:space="0"/>
              <w:right w:val="single" w:color="auto" w:sz="6" w:space="0"/>
            </w:tcBorders>
            <w:noWrap w:val="0"/>
            <w:vAlign w:val="center"/>
          </w:tcPr>
          <w:p>
            <w:pPr>
              <w:pStyle w:val="24"/>
              <w:adjustRightInd w:val="0"/>
              <w:snapToGrid w:val="0"/>
              <w:spacing w:line="400" w:lineRule="exact"/>
              <w:rPr>
                <w:rFonts w:hint="eastAsia" w:hAnsi="宋体" w:cs="宋体"/>
                <w:sz w:val="22"/>
                <w:szCs w:val="22"/>
              </w:rPr>
            </w:pPr>
            <w:r>
              <w:rPr>
                <w:rFonts w:hint="eastAsia" w:hAnsi="宋体" w:cs="宋体"/>
                <w:sz w:val="22"/>
                <w:szCs w:val="22"/>
              </w:rPr>
              <w:t>内容</w:t>
            </w:r>
          </w:p>
        </w:tc>
        <w:tc>
          <w:tcPr>
            <w:tcW w:w="2386" w:type="dxa"/>
            <w:tcBorders>
              <w:top w:val="single" w:color="auto" w:sz="6" w:space="0"/>
              <w:left w:val="single" w:color="auto" w:sz="6" w:space="0"/>
              <w:bottom w:val="single" w:color="auto" w:sz="6" w:space="0"/>
              <w:right w:val="single" w:color="auto" w:sz="6" w:space="0"/>
            </w:tcBorders>
            <w:noWrap w:val="0"/>
            <w:vAlign w:val="center"/>
          </w:tcPr>
          <w:p>
            <w:pPr>
              <w:pStyle w:val="24"/>
              <w:adjustRightInd w:val="0"/>
              <w:snapToGrid w:val="0"/>
              <w:spacing w:line="400" w:lineRule="exact"/>
              <w:rPr>
                <w:rFonts w:hint="eastAsia" w:hAnsi="宋体" w:cs="宋体"/>
                <w:sz w:val="22"/>
                <w:szCs w:val="22"/>
              </w:rPr>
            </w:pPr>
            <w:r>
              <w:rPr>
                <w:rFonts w:hint="eastAsia" w:hAnsi="宋体" w:cs="宋体"/>
                <w:sz w:val="22"/>
                <w:szCs w:val="22"/>
              </w:rPr>
              <w:t>招标文件规范要求</w:t>
            </w:r>
          </w:p>
        </w:tc>
        <w:tc>
          <w:tcPr>
            <w:tcW w:w="2387" w:type="dxa"/>
            <w:tcBorders>
              <w:top w:val="single" w:color="auto" w:sz="6" w:space="0"/>
              <w:left w:val="single" w:color="auto" w:sz="6" w:space="0"/>
              <w:bottom w:val="single" w:color="auto" w:sz="6" w:space="0"/>
              <w:right w:val="single" w:color="auto" w:sz="6" w:space="0"/>
            </w:tcBorders>
            <w:noWrap w:val="0"/>
            <w:vAlign w:val="center"/>
          </w:tcPr>
          <w:p>
            <w:pPr>
              <w:pStyle w:val="24"/>
              <w:adjustRightInd w:val="0"/>
              <w:snapToGrid w:val="0"/>
              <w:spacing w:line="400" w:lineRule="exact"/>
              <w:rPr>
                <w:rFonts w:hint="eastAsia" w:hAnsi="宋体" w:cs="宋体"/>
                <w:sz w:val="22"/>
                <w:szCs w:val="22"/>
              </w:rPr>
            </w:pPr>
            <w:r>
              <w:rPr>
                <w:rFonts w:hint="eastAsia" w:hAnsi="宋体" w:cs="宋体"/>
                <w:sz w:val="22"/>
                <w:szCs w:val="22"/>
              </w:rPr>
              <w:t>投标文件对应规范</w:t>
            </w:r>
          </w:p>
        </w:tc>
        <w:tc>
          <w:tcPr>
            <w:tcW w:w="2137" w:type="dxa"/>
            <w:tcBorders>
              <w:top w:val="single" w:color="auto" w:sz="6" w:space="0"/>
              <w:left w:val="single" w:color="auto" w:sz="6" w:space="0"/>
              <w:bottom w:val="single" w:color="auto" w:sz="6" w:space="0"/>
              <w:right w:val="single" w:color="auto" w:sz="6" w:space="0"/>
            </w:tcBorders>
            <w:noWrap w:val="0"/>
            <w:vAlign w:val="center"/>
          </w:tcPr>
          <w:p>
            <w:pPr>
              <w:pStyle w:val="24"/>
              <w:adjustRightInd w:val="0"/>
              <w:snapToGrid w:val="0"/>
              <w:spacing w:line="400" w:lineRule="exact"/>
              <w:rPr>
                <w:rFonts w:hint="eastAsia" w:hAnsi="宋体" w:cs="宋体"/>
                <w:sz w:val="22"/>
                <w:szCs w:val="22"/>
              </w:rPr>
            </w:pPr>
            <w:r>
              <w:rPr>
                <w:rFonts w:hint="eastAsia" w:hAnsi="宋体" w:cs="宋体"/>
                <w:sz w:val="22"/>
                <w:szCs w:val="22"/>
              </w:rPr>
              <w:t>备 注</w:t>
            </w:r>
          </w:p>
        </w:tc>
      </w:tr>
      <w:tr>
        <w:tblPrEx>
          <w:tblCellMar>
            <w:top w:w="0" w:type="dxa"/>
            <w:left w:w="108" w:type="dxa"/>
            <w:bottom w:w="0" w:type="dxa"/>
            <w:right w:w="108" w:type="dxa"/>
          </w:tblCellMar>
        </w:tblPrEx>
        <w:trPr>
          <w:jc w:val="center"/>
        </w:trPr>
        <w:tc>
          <w:tcPr>
            <w:tcW w:w="89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180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13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r>
      <w:tr>
        <w:tblPrEx>
          <w:tblCellMar>
            <w:top w:w="0" w:type="dxa"/>
            <w:left w:w="108" w:type="dxa"/>
            <w:bottom w:w="0" w:type="dxa"/>
            <w:right w:w="108" w:type="dxa"/>
          </w:tblCellMar>
        </w:tblPrEx>
        <w:trPr>
          <w:jc w:val="center"/>
        </w:trPr>
        <w:tc>
          <w:tcPr>
            <w:tcW w:w="89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180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13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r>
      <w:tr>
        <w:tblPrEx>
          <w:tblCellMar>
            <w:top w:w="0" w:type="dxa"/>
            <w:left w:w="108" w:type="dxa"/>
            <w:bottom w:w="0" w:type="dxa"/>
            <w:right w:w="108" w:type="dxa"/>
          </w:tblCellMar>
        </w:tblPrEx>
        <w:trPr>
          <w:jc w:val="center"/>
        </w:trPr>
        <w:tc>
          <w:tcPr>
            <w:tcW w:w="89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180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13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r>
      <w:tr>
        <w:tblPrEx>
          <w:tblCellMar>
            <w:top w:w="0" w:type="dxa"/>
            <w:left w:w="108" w:type="dxa"/>
            <w:bottom w:w="0" w:type="dxa"/>
            <w:right w:w="108" w:type="dxa"/>
          </w:tblCellMar>
        </w:tblPrEx>
        <w:trPr>
          <w:jc w:val="center"/>
        </w:trPr>
        <w:tc>
          <w:tcPr>
            <w:tcW w:w="89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180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13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r>
      <w:tr>
        <w:tblPrEx>
          <w:tblCellMar>
            <w:top w:w="0" w:type="dxa"/>
            <w:left w:w="108" w:type="dxa"/>
            <w:bottom w:w="0" w:type="dxa"/>
            <w:right w:w="108" w:type="dxa"/>
          </w:tblCellMar>
        </w:tblPrEx>
        <w:trPr>
          <w:jc w:val="center"/>
        </w:trPr>
        <w:tc>
          <w:tcPr>
            <w:tcW w:w="89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180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13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r>
      <w:tr>
        <w:tblPrEx>
          <w:tblCellMar>
            <w:top w:w="0" w:type="dxa"/>
            <w:left w:w="108" w:type="dxa"/>
            <w:bottom w:w="0" w:type="dxa"/>
            <w:right w:w="108" w:type="dxa"/>
          </w:tblCellMar>
        </w:tblPrEx>
        <w:trPr>
          <w:jc w:val="center"/>
        </w:trPr>
        <w:tc>
          <w:tcPr>
            <w:tcW w:w="89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180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13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r>
      <w:tr>
        <w:tblPrEx>
          <w:tblCellMar>
            <w:top w:w="0" w:type="dxa"/>
            <w:left w:w="108" w:type="dxa"/>
            <w:bottom w:w="0" w:type="dxa"/>
            <w:right w:w="108" w:type="dxa"/>
          </w:tblCellMar>
        </w:tblPrEx>
        <w:trPr>
          <w:jc w:val="center"/>
        </w:trPr>
        <w:tc>
          <w:tcPr>
            <w:tcW w:w="89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180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13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r>
      <w:tr>
        <w:tblPrEx>
          <w:tblCellMar>
            <w:top w:w="0" w:type="dxa"/>
            <w:left w:w="108" w:type="dxa"/>
            <w:bottom w:w="0" w:type="dxa"/>
            <w:right w:w="108" w:type="dxa"/>
          </w:tblCellMar>
        </w:tblPrEx>
        <w:trPr>
          <w:jc w:val="center"/>
        </w:trPr>
        <w:tc>
          <w:tcPr>
            <w:tcW w:w="89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180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6"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38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c>
          <w:tcPr>
            <w:tcW w:w="2137" w:type="dxa"/>
            <w:tcBorders>
              <w:top w:val="single" w:color="auto" w:sz="6" w:space="0"/>
              <w:left w:val="single" w:color="auto" w:sz="6" w:space="0"/>
              <w:bottom w:val="single" w:color="auto" w:sz="6" w:space="0"/>
              <w:right w:val="single" w:color="auto" w:sz="6" w:space="0"/>
            </w:tcBorders>
            <w:noWrap w:val="0"/>
            <w:vAlign w:val="top"/>
          </w:tcPr>
          <w:p>
            <w:pPr>
              <w:pStyle w:val="24"/>
              <w:adjustRightInd w:val="0"/>
              <w:snapToGrid w:val="0"/>
              <w:spacing w:line="400" w:lineRule="exact"/>
              <w:rPr>
                <w:rFonts w:hint="eastAsia" w:hAnsi="宋体" w:cs="宋体"/>
                <w:sz w:val="22"/>
                <w:szCs w:val="22"/>
              </w:rPr>
            </w:pPr>
          </w:p>
        </w:tc>
      </w:tr>
    </w:tbl>
    <w:p>
      <w:pPr>
        <w:pStyle w:val="24"/>
        <w:adjustRightInd w:val="0"/>
        <w:snapToGrid w:val="0"/>
        <w:spacing w:line="400" w:lineRule="exact"/>
        <w:ind w:firstLine="330" w:firstLineChars="150"/>
        <w:rPr>
          <w:rFonts w:hint="eastAsia" w:hAnsi="宋体" w:cs="宋体"/>
          <w:sz w:val="22"/>
          <w:szCs w:val="22"/>
        </w:rPr>
      </w:pPr>
      <w:r>
        <w:rPr>
          <w:rFonts w:hint="eastAsia" w:hAnsi="宋体" w:cs="宋体"/>
          <w:iCs/>
          <w:sz w:val="22"/>
          <w:szCs w:val="22"/>
        </w:rPr>
        <w:t>注：供应商须如实填写上表，</w:t>
      </w:r>
      <w:r>
        <w:rPr>
          <w:rFonts w:hint="eastAsia" w:hAnsi="宋体" w:cs="宋体"/>
          <w:sz w:val="22"/>
          <w:szCs w:val="22"/>
        </w:rPr>
        <w:t>没有填写此表或未提供视为完全响应招标文件要求。</w:t>
      </w:r>
    </w:p>
    <w:p>
      <w:pPr>
        <w:pStyle w:val="24"/>
        <w:adjustRightInd w:val="0"/>
        <w:snapToGrid w:val="0"/>
        <w:spacing w:line="400" w:lineRule="exact"/>
        <w:rPr>
          <w:rFonts w:hint="eastAsia" w:hAnsi="宋体" w:cs="宋体"/>
          <w:sz w:val="22"/>
          <w:szCs w:val="22"/>
        </w:rPr>
      </w:pPr>
    </w:p>
    <w:p>
      <w:pPr>
        <w:pStyle w:val="24"/>
        <w:adjustRightInd w:val="0"/>
        <w:snapToGrid w:val="0"/>
        <w:spacing w:line="400" w:lineRule="exact"/>
        <w:rPr>
          <w:rFonts w:hint="eastAsia" w:hAnsi="宋体" w:cs="宋体"/>
          <w:sz w:val="22"/>
          <w:szCs w:val="22"/>
        </w:rPr>
      </w:pPr>
      <w:r>
        <w:rPr>
          <w:rFonts w:hint="eastAsia" w:hAnsi="宋体" w:cs="宋体"/>
          <w:sz w:val="22"/>
          <w:szCs w:val="22"/>
        </w:rPr>
        <w:t>供应商电子签章：</w:t>
      </w:r>
    </w:p>
    <w:p>
      <w:pPr>
        <w:pStyle w:val="24"/>
        <w:adjustRightInd w:val="0"/>
        <w:snapToGrid w:val="0"/>
        <w:spacing w:line="400" w:lineRule="exact"/>
        <w:rPr>
          <w:rFonts w:hint="eastAsia" w:hAnsi="宋体" w:cs="宋体"/>
          <w:sz w:val="22"/>
          <w:szCs w:val="22"/>
        </w:rPr>
      </w:pPr>
      <w:r>
        <w:rPr>
          <w:rFonts w:hint="eastAsia" w:hAnsi="宋体" w:cs="宋体"/>
          <w:sz w:val="22"/>
          <w:szCs w:val="22"/>
        </w:rPr>
        <w:br w:type="page"/>
      </w:r>
      <w:r>
        <w:rPr>
          <w:rFonts w:hint="eastAsia" w:hAnsi="宋体" w:cs="宋体"/>
          <w:sz w:val="22"/>
          <w:szCs w:val="22"/>
        </w:rPr>
        <w:t>附件四</w:t>
      </w:r>
    </w:p>
    <w:p>
      <w:pPr>
        <w:pStyle w:val="24"/>
        <w:adjustRightInd w:val="0"/>
        <w:snapToGrid w:val="0"/>
        <w:spacing w:line="400" w:lineRule="exact"/>
        <w:ind w:firstLine="3520" w:firstLineChars="1600"/>
        <w:rPr>
          <w:rFonts w:hint="eastAsia" w:hAnsi="宋体" w:cs="宋体"/>
          <w:sz w:val="22"/>
          <w:szCs w:val="22"/>
        </w:rPr>
      </w:pPr>
      <w:r>
        <w:rPr>
          <w:rFonts w:hint="eastAsia" w:hAnsi="宋体" w:cs="宋体"/>
          <w:sz w:val="22"/>
          <w:szCs w:val="22"/>
        </w:rPr>
        <w:t>资格、资质证明文件</w:t>
      </w:r>
    </w:p>
    <w:p>
      <w:pPr>
        <w:pStyle w:val="24"/>
        <w:adjustRightInd w:val="0"/>
        <w:snapToGrid w:val="0"/>
        <w:spacing w:line="400" w:lineRule="exact"/>
        <w:ind w:firstLine="1540" w:firstLineChars="700"/>
        <w:rPr>
          <w:rFonts w:hint="eastAsia" w:hAnsi="宋体" w:cs="宋体"/>
          <w:sz w:val="22"/>
          <w:szCs w:val="22"/>
        </w:rPr>
      </w:pPr>
    </w:p>
    <w:p>
      <w:pPr>
        <w:pStyle w:val="21"/>
        <w:ind w:left="440" w:hanging="440"/>
        <w:jc w:val="center"/>
        <w:rPr>
          <w:rFonts w:hint="eastAsia" w:ascii="宋体" w:hAnsi="宋体" w:cs="宋体"/>
          <w:sz w:val="22"/>
          <w:szCs w:val="22"/>
        </w:rPr>
      </w:pPr>
      <w:bookmarkStart w:id="130" w:name="_Toc31978"/>
      <w:r>
        <w:rPr>
          <w:rFonts w:hint="eastAsia" w:ascii="宋体" w:hAnsi="宋体" w:cs="宋体"/>
          <w:sz w:val="22"/>
          <w:szCs w:val="22"/>
        </w:rPr>
        <w:t>（一）法定代表人授权书</w:t>
      </w:r>
      <w:bookmarkEnd w:id="130"/>
    </w:p>
    <w:p>
      <w:pPr>
        <w:spacing w:line="360" w:lineRule="auto"/>
        <w:rPr>
          <w:rFonts w:hint="eastAsia" w:ascii="宋体" w:hAnsi="宋体" w:cs="宋体"/>
          <w:sz w:val="22"/>
          <w:szCs w:val="22"/>
          <w:u w:val="single"/>
        </w:rPr>
      </w:pPr>
    </w:p>
    <w:p>
      <w:pPr>
        <w:pStyle w:val="24"/>
        <w:adjustRightInd w:val="0"/>
        <w:snapToGrid w:val="0"/>
        <w:spacing w:line="500" w:lineRule="exact"/>
        <w:rPr>
          <w:rFonts w:hint="eastAsia" w:hAnsi="宋体" w:cs="宋体"/>
          <w:sz w:val="22"/>
          <w:szCs w:val="22"/>
          <w:u w:val="single"/>
        </w:rPr>
      </w:pPr>
      <w:r>
        <w:rPr>
          <w:rFonts w:hint="eastAsia" w:hAnsi="宋体" w:cs="宋体"/>
          <w:sz w:val="22"/>
          <w:szCs w:val="22"/>
        </w:rPr>
        <w:t>苍南县公安局：</w:t>
      </w:r>
    </w:p>
    <w:p>
      <w:pPr>
        <w:spacing w:line="360" w:lineRule="auto"/>
        <w:ind w:firstLine="440" w:firstLineChars="200"/>
        <w:rPr>
          <w:rFonts w:hint="eastAsia" w:ascii="宋体" w:hAnsi="宋体" w:cs="宋体"/>
          <w:sz w:val="22"/>
          <w:szCs w:val="22"/>
        </w:rPr>
      </w:pPr>
      <w:r>
        <w:rPr>
          <w:rFonts w:hint="eastAsia" w:ascii="宋体" w:hAnsi="宋体" w:cs="宋体"/>
          <w:sz w:val="22"/>
          <w:szCs w:val="22"/>
        </w:rPr>
        <w:t>本授权委托书声明：我</w:t>
      </w:r>
      <w:r>
        <w:rPr>
          <w:rFonts w:hint="eastAsia" w:ascii="宋体" w:hAnsi="宋体" w:cs="宋体"/>
          <w:sz w:val="22"/>
          <w:szCs w:val="22"/>
          <w:u w:val="single"/>
        </w:rPr>
        <w:t xml:space="preserve">   （法定代表人姓名）   </w:t>
      </w:r>
      <w:r>
        <w:rPr>
          <w:rFonts w:hint="eastAsia" w:ascii="宋体" w:hAnsi="宋体" w:cs="宋体"/>
          <w:sz w:val="22"/>
          <w:szCs w:val="22"/>
        </w:rPr>
        <w:t>系</w:t>
      </w:r>
      <w:r>
        <w:rPr>
          <w:rFonts w:hint="eastAsia" w:ascii="宋体" w:hAnsi="宋体" w:cs="宋体"/>
          <w:sz w:val="22"/>
          <w:szCs w:val="22"/>
          <w:u w:val="single"/>
        </w:rPr>
        <w:t xml:space="preserve">   （供 应 商 名 称）  </w:t>
      </w:r>
      <w:r>
        <w:rPr>
          <w:rFonts w:hint="eastAsia" w:ascii="宋体" w:hAnsi="宋体" w:cs="宋体"/>
          <w:sz w:val="22"/>
          <w:szCs w:val="22"/>
        </w:rPr>
        <w:t>的法定代表人，现授权委托</w:t>
      </w:r>
      <w:r>
        <w:rPr>
          <w:rFonts w:hint="eastAsia" w:ascii="宋体" w:hAnsi="宋体" w:cs="宋体"/>
          <w:sz w:val="22"/>
          <w:szCs w:val="22"/>
          <w:u w:val="single"/>
        </w:rPr>
        <w:t xml:space="preserve">  （单 位 名 称）   </w:t>
      </w:r>
      <w:r>
        <w:rPr>
          <w:rFonts w:hint="eastAsia" w:ascii="宋体" w:hAnsi="宋体" w:cs="宋体"/>
          <w:sz w:val="22"/>
          <w:szCs w:val="22"/>
        </w:rPr>
        <w:t>的</w:t>
      </w:r>
      <w:r>
        <w:rPr>
          <w:rFonts w:hint="eastAsia" w:ascii="宋体" w:hAnsi="宋体" w:cs="宋体"/>
          <w:sz w:val="22"/>
          <w:szCs w:val="22"/>
          <w:u w:val="single"/>
        </w:rPr>
        <w:t xml:space="preserve">  （授权代表姓名）  </w:t>
      </w:r>
      <w:r>
        <w:rPr>
          <w:rFonts w:hint="eastAsia" w:ascii="宋体" w:hAnsi="宋体" w:cs="宋体"/>
          <w:sz w:val="22"/>
          <w:szCs w:val="22"/>
        </w:rPr>
        <w:t>为我公司法定代表人授权代表，参加贵处组织的</w:t>
      </w:r>
      <w:r>
        <w:rPr>
          <w:rFonts w:hint="eastAsia" w:ascii="宋体" w:hAnsi="宋体" w:cs="宋体"/>
          <w:sz w:val="22"/>
          <w:szCs w:val="22"/>
          <w:u w:val="single"/>
        </w:rPr>
        <w:t xml:space="preserve">  （招标项目名称，括号中填写项目编号）  </w:t>
      </w:r>
      <w:r>
        <w:rPr>
          <w:rFonts w:hint="eastAsia" w:ascii="宋体" w:hAnsi="宋体" w:cs="宋体"/>
          <w:sz w:val="22"/>
          <w:szCs w:val="22"/>
        </w:rPr>
        <w:t>项目投标，全权处理本次招投标活动中的一切事宜，我承认授权代表全权代表我所签署的本项目的投标文件的内容。</w:t>
      </w:r>
    </w:p>
    <w:p>
      <w:pPr>
        <w:spacing w:line="360" w:lineRule="auto"/>
        <w:ind w:firstLine="440" w:firstLineChars="200"/>
        <w:rPr>
          <w:rFonts w:hint="eastAsia" w:ascii="宋体" w:hAnsi="宋体" w:cs="宋体"/>
          <w:sz w:val="22"/>
          <w:szCs w:val="22"/>
        </w:rPr>
      </w:pPr>
      <w:r>
        <w:rPr>
          <w:rFonts w:hint="eastAsia" w:ascii="宋体" w:hAnsi="宋体" w:cs="宋体"/>
          <w:sz w:val="22"/>
          <w:szCs w:val="22"/>
        </w:rPr>
        <w:t>授权代表无转授权，特此授权</w:t>
      </w:r>
    </w:p>
    <w:p>
      <w:pPr>
        <w:spacing w:line="360" w:lineRule="auto"/>
        <w:ind w:left="1260"/>
        <w:rPr>
          <w:rFonts w:hint="eastAsia" w:ascii="宋体" w:hAnsi="宋体" w:cs="宋体"/>
          <w:sz w:val="22"/>
          <w:szCs w:val="22"/>
        </w:rPr>
      </w:pPr>
    </w:p>
    <w:p>
      <w:pPr>
        <w:spacing w:line="360" w:lineRule="auto"/>
        <w:ind w:right="440"/>
        <w:rPr>
          <w:rFonts w:hint="eastAsia" w:ascii="宋体" w:hAnsi="宋体" w:cs="宋体"/>
          <w:sz w:val="22"/>
          <w:szCs w:val="22"/>
        </w:rPr>
      </w:pPr>
      <w:r>
        <w:rPr>
          <w:rFonts w:hint="eastAsia" w:ascii="宋体" w:hAnsi="宋体" w:cs="宋体"/>
          <w:sz w:val="22"/>
          <w:szCs w:val="22"/>
        </w:rPr>
        <w:t>供应商：</w:t>
      </w:r>
      <w:r>
        <w:rPr>
          <w:rFonts w:hint="eastAsia" w:ascii="宋体" w:hAnsi="宋体" w:cs="宋体"/>
          <w:sz w:val="22"/>
          <w:szCs w:val="22"/>
          <w:u w:val="single"/>
        </w:rPr>
        <w:t xml:space="preserve">                                   （电子签章）</w:t>
      </w:r>
    </w:p>
    <w:p>
      <w:pPr>
        <w:spacing w:line="360" w:lineRule="auto"/>
        <w:ind w:right="440"/>
        <w:rPr>
          <w:rFonts w:hint="eastAsia" w:ascii="宋体" w:hAnsi="宋体" w:cs="宋体"/>
          <w:sz w:val="22"/>
          <w:szCs w:val="22"/>
        </w:rPr>
      </w:pPr>
      <w:r>
        <w:rPr>
          <w:rFonts w:hint="eastAsia" w:ascii="宋体" w:hAnsi="宋体" w:cs="宋体"/>
          <w:sz w:val="22"/>
          <w:szCs w:val="22"/>
        </w:rPr>
        <w:t>法定代表人：</w:t>
      </w:r>
      <w:r>
        <w:rPr>
          <w:rFonts w:hint="eastAsia" w:ascii="宋体" w:hAnsi="宋体" w:cs="宋体"/>
          <w:sz w:val="22"/>
          <w:szCs w:val="22"/>
          <w:u w:val="single"/>
        </w:rPr>
        <w:t xml:space="preserve">                           （签字或盖章）</w:t>
      </w:r>
    </w:p>
    <w:p>
      <w:pPr>
        <w:spacing w:line="360" w:lineRule="auto"/>
        <w:rPr>
          <w:rFonts w:hint="eastAsia" w:ascii="宋体" w:hAnsi="宋体" w:cs="宋体"/>
          <w:sz w:val="22"/>
          <w:szCs w:val="22"/>
          <w:u w:val="single"/>
        </w:rPr>
      </w:pPr>
      <w:r>
        <w:rPr>
          <w:rFonts w:hint="eastAsia" w:ascii="宋体" w:hAnsi="宋体" w:cs="宋体"/>
          <w:sz w:val="22"/>
          <w:szCs w:val="22"/>
        </w:rPr>
        <w:t>详细通讯地址：</w:t>
      </w:r>
      <w:r>
        <w:rPr>
          <w:rFonts w:hint="eastAsia" w:ascii="宋体" w:hAnsi="宋体" w:cs="宋体"/>
          <w:sz w:val="22"/>
          <w:szCs w:val="22"/>
          <w:u w:val="single"/>
        </w:rPr>
        <w:t xml:space="preserve">                 </w:t>
      </w:r>
      <w:r>
        <w:rPr>
          <w:rFonts w:hint="eastAsia" w:ascii="宋体" w:hAnsi="宋体" w:cs="宋体"/>
          <w:sz w:val="22"/>
          <w:szCs w:val="22"/>
        </w:rPr>
        <w:t xml:space="preserve"> 邮政编码：</w:t>
      </w:r>
      <w:r>
        <w:rPr>
          <w:rFonts w:hint="eastAsia" w:ascii="宋体" w:hAnsi="宋体" w:cs="宋体"/>
          <w:sz w:val="22"/>
          <w:szCs w:val="22"/>
          <w:u w:val="single"/>
        </w:rPr>
        <w:t xml:space="preserve">           </w:t>
      </w:r>
    </w:p>
    <w:p>
      <w:pPr>
        <w:rPr>
          <w:rFonts w:hint="eastAsia" w:ascii="宋体" w:hAnsi="宋体" w:cs="宋体"/>
          <w:sz w:val="22"/>
          <w:szCs w:val="22"/>
          <w:u w:val="single"/>
        </w:rPr>
      </w:pPr>
      <w:r>
        <w:rPr>
          <w:rFonts w:hint="eastAsia" w:ascii="宋体" w:hAnsi="宋体" w:cs="宋体"/>
          <w:sz w:val="22"/>
          <w:szCs w:val="22"/>
        </w:rPr>
        <w:t>电话：</w:t>
      </w:r>
      <w:r>
        <w:rPr>
          <w:rFonts w:hint="eastAsia" w:ascii="宋体" w:hAnsi="宋体" w:cs="宋体"/>
          <w:sz w:val="22"/>
          <w:szCs w:val="22"/>
          <w:u w:val="single"/>
        </w:rPr>
        <w:t xml:space="preserve">                   </w:t>
      </w:r>
      <w:r>
        <w:rPr>
          <w:rFonts w:hint="eastAsia" w:ascii="宋体" w:hAnsi="宋体" w:cs="宋体"/>
          <w:sz w:val="22"/>
          <w:szCs w:val="22"/>
        </w:rPr>
        <w:t xml:space="preserve"> 传真：</w:t>
      </w:r>
      <w:r>
        <w:rPr>
          <w:rFonts w:hint="eastAsia" w:ascii="宋体" w:hAnsi="宋体" w:cs="宋体"/>
          <w:sz w:val="22"/>
          <w:szCs w:val="22"/>
          <w:u w:val="single"/>
        </w:rPr>
        <w:t xml:space="preserve">                    </w:t>
      </w:r>
    </w:p>
    <w:p>
      <w:pPr>
        <w:ind w:left="2098" w:leftChars="999" w:firstLine="959" w:firstLineChars="436"/>
        <w:rPr>
          <w:rFonts w:hint="eastAsia" w:ascii="宋体" w:hAnsi="宋体" w:cs="宋体"/>
          <w:sz w:val="22"/>
          <w:szCs w:val="22"/>
        </w:rPr>
      </w:pPr>
      <w:r>
        <w:rPr>
          <w:rFonts w:hint="eastAsia" w:ascii="宋体" w:hAnsi="宋体" w:cs="宋体"/>
          <w:sz w:val="22"/>
          <w:szCs w:val="22"/>
        </w:rPr>
        <w:t xml:space="preserve">                                </w:t>
      </w:r>
    </w:p>
    <w:p>
      <w:pPr>
        <w:spacing w:line="360" w:lineRule="auto"/>
        <w:rPr>
          <w:rFonts w:hint="eastAsia" w:ascii="宋体" w:hAnsi="宋体" w:cs="宋体"/>
          <w:sz w:val="22"/>
          <w:szCs w:val="22"/>
        </w:rPr>
      </w:pPr>
    </w:p>
    <w:p>
      <w:pPr>
        <w:spacing w:line="360" w:lineRule="auto"/>
        <w:ind w:left="2098" w:leftChars="999" w:right="440" w:firstLine="959" w:firstLineChars="436"/>
        <w:rPr>
          <w:rFonts w:hint="eastAsia" w:ascii="宋体" w:hAnsi="宋体" w:cs="宋体"/>
          <w:sz w:val="22"/>
          <w:szCs w:val="22"/>
        </w:rPr>
      </w:pPr>
      <w:r>
        <w:rPr>
          <w:rFonts w:hint="eastAsia" w:ascii="宋体" w:hAnsi="宋体" w:cs="宋体"/>
          <w:sz w:val="22"/>
          <w:szCs w:val="22"/>
        </w:rPr>
        <w:t>授权委托日期：</w:t>
      </w:r>
      <w:r>
        <w:rPr>
          <w:rFonts w:hint="eastAsia" w:ascii="宋体" w:hAnsi="宋体" w:cs="宋体"/>
          <w:sz w:val="22"/>
          <w:szCs w:val="22"/>
          <w:u w:val="single"/>
        </w:rPr>
        <w:t xml:space="preserve">     </w:t>
      </w:r>
      <w:r>
        <w:rPr>
          <w:rFonts w:hint="eastAsia" w:ascii="宋体" w:hAnsi="宋体" w:cs="宋体"/>
          <w:sz w:val="22"/>
          <w:szCs w:val="22"/>
        </w:rPr>
        <w:t xml:space="preserve">年 </w:t>
      </w:r>
      <w:r>
        <w:rPr>
          <w:rFonts w:hint="eastAsia" w:ascii="宋体" w:hAnsi="宋体" w:cs="宋体"/>
          <w:sz w:val="22"/>
          <w:szCs w:val="22"/>
          <w:u w:val="single"/>
        </w:rPr>
        <w:t xml:space="preserve">    </w:t>
      </w:r>
      <w:r>
        <w:rPr>
          <w:rFonts w:hint="eastAsia" w:ascii="宋体" w:hAnsi="宋体" w:cs="宋体"/>
          <w:sz w:val="22"/>
          <w:szCs w:val="22"/>
        </w:rPr>
        <w:t>月</w:t>
      </w:r>
      <w:r>
        <w:rPr>
          <w:rFonts w:hint="eastAsia" w:ascii="宋体" w:hAnsi="宋体" w:cs="宋体"/>
          <w:sz w:val="22"/>
          <w:szCs w:val="22"/>
          <w:u w:val="single"/>
        </w:rPr>
        <w:t xml:space="preserve">     </w:t>
      </w:r>
      <w:r>
        <w:rPr>
          <w:rFonts w:hint="eastAsia" w:ascii="宋体" w:hAnsi="宋体" w:cs="宋体"/>
          <w:sz w:val="22"/>
          <w:szCs w:val="22"/>
        </w:rPr>
        <w:t>日</w:t>
      </w:r>
    </w:p>
    <w:p>
      <w:pPr>
        <w:spacing w:line="360" w:lineRule="auto"/>
        <w:ind w:firstLine="3300" w:firstLineChars="1500"/>
        <w:jc w:val="right"/>
        <w:rPr>
          <w:rFonts w:hint="eastAsia" w:ascii="宋体" w:hAnsi="宋体" w:cs="宋体"/>
          <w:sz w:val="22"/>
          <w:szCs w:val="22"/>
        </w:rPr>
      </w:pP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1" w:hRule="atLeast"/>
          <w:jc w:val="center"/>
        </w:trPr>
        <w:tc>
          <w:tcPr>
            <w:tcW w:w="9000" w:type="dxa"/>
            <w:noWrap w:val="0"/>
            <w:vAlign w:val="top"/>
          </w:tcPr>
          <w:p>
            <w:pPr>
              <w:pStyle w:val="24"/>
              <w:adjustRightInd w:val="0"/>
              <w:snapToGrid w:val="0"/>
              <w:spacing w:line="400" w:lineRule="exact"/>
              <w:jc w:val="center"/>
              <w:rPr>
                <w:rFonts w:hint="eastAsia" w:hAnsi="宋体" w:cs="宋体"/>
                <w:sz w:val="22"/>
                <w:szCs w:val="22"/>
              </w:rPr>
            </w:pPr>
          </w:p>
          <w:p>
            <w:pPr>
              <w:pStyle w:val="24"/>
              <w:adjustRightInd w:val="0"/>
              <w:snapToGrid w:val="0"/>
              <w:spacing w:line="400" w:lineRule="exact"/>
              <w:jc w:val="center"/>
              <w:rPr>
                <w:rFonts w:hint="eastAsia" w:hAnsi="宋体" w:cs="宋体"/>
                <w:sz w:val="22"/>
                <w:szCs w:val="22"/>
              </w:rPr>
            </w:pPr>
          </w:p>
          <w:p>
            <w:pPr>
              <w:pStyle w:val="24"/>
              <w:adjustRightInd w:val="0"/>
              <w:snapToGrid w:val="0"/>
              <w:spacing w:line="400" w:lineRule="exact"/>
              <w:jc w:val="center"/>
              <w:rPr>
                <w:rFonts w:hint="eastAsia" w:hAnsi="宋体" w:cs="宋体"/>
                <w:sz w:val="22"/>
                <w:szCs w:val="22"/>
              </w:rPr>
            </w:pPr>
          </w:p>
          <w:p>
            <w:pPr>
              <w:pStyle w:val="24"/>
              <w:adjustRightInd w:val="0"/>
              <w:snapToGrid w:val="0"/>
              <w:spacing w:line="400" w:lineRule="exact"/>
              <w:jc w:val="center"/>
              <w:rPr>
                <w:rFonts w:hint="eastAsia" w:hAnsi="宋体" w:cs="宋体"/>
                <w:sz w:val="22"/>
                <w:szCs w:val="22"/>
              </w:rPr>
            </w:pPr>
          </w:p>
          <w:p>
            <w:pPr>
              <w:pStyle w:val="24"/>
              <w:adjustRightInd w:val="0"/>
              <w:snapToGrid w:val="0"/>
              <w:spacing w:line="320" w:lineRule="atLeast"/>
              <w:jc w:val="center"/>
              <w:rPr>
                <w:rFonts w:hint="eastAsia" w:hAnsi="宋体" w:cs="宋体"/>
                <w:sz w:val="22"/>
                <w:szCs w:val="22"/>
              </w:rPr>
            </w:pPr>
            <w:r>
              <w:rPr>
                <w:rFonts w:hint="eastAsia" w:hAnsi="宋体" w:cs="宋体"/>
                <w:sz w:val="22"/>
                <w:szCs w:val="22"/>
              </w:rPr>
              <w:t>授权代表身份证复印件与影印件粘贴处</w:t>
            </w:r>
          </w:p>
          <w:p>
            <w:pPr>
              <w:pStyle w:val="24"/>
              <w:adjustRightInd w:val="0"/>
              <w:snapToGrid w:val="0"/>
              <w:spacing w:line="400" w:lineRule="exact"/>
              <w:jc w:val="center"/>
              <w:rPr>
                <w:rFonts w:hint="eastAsia" w:hAnsi="宋体" w:cs="宋体"/>
                <w:sz w:val="22"/>
                <w:szCs w:val="22"/>
              </w:rPr>
            </w:pPr>
          </w:p>
          <w:p>
            <w:pPr>
              <w:pStyle w:val="24"/>
              <w:adjustRightInd w:val="0"/>
              <w:snapToGrid w:val="0"/>
              <w:spacing w:line="400" w:lineRule="exact"/>
              <w:jc w:val="center"/>
              <w:rPr>
                <w:rFonts w:hint="eastAsia" w:hAnsi="宋体" w:cs="宋体"/>
                <w:sz w:val="22"/>
                <w:szCs w:val="22"/>
              </w:rPr>
            </w:pPr>
          </w:p>
          <w:p>
            <w:pPr>
              <w:pStyle w:val="24"/>
              <w:adjustRightInd w:val="0"/>
              <w:snapToGrid w:val="0"/>
              <w:spacing w:line="400" w:lineRule="exact"/>
              <w:jc w:val="center"/>
              <w:rPr>
                <w:rFonts w:hint="eastAsia" w:hAnsi="宋体" w:cs="宋体"/>
                <w:sz w:val="22"/>
                <w:szCs w:val="22"/>
              </w:rPr>
            </w:pPr>
          </w:p>
        </w:tc>
      </w:tr>
    </w:tbl>
    <w:p>
      <w:pPr>
        <w:pStyle w:val="24"/>
        <w:adjustRightInd w:val="0"/>
        <w:snapToGrid w:val="0"/>
        <w:spacing w:line="400" w:lineRule="exact"/>
        <w:jc w:val="center"/>
        <w:rPr>
          <w:rFonts w:hint="eastAsia" w:hAnsi="宋体" w:cs="宋体"/>
          <w:sz w:val="22"/>
          <w:szCs w:val="22"/>
        </w:rPr>
      </w:pPr>
    </w:p>
    <w:p>
      <w:pPr>
        <w:rPr>
          <w:rFonts w:hint="eastAsia" w:ascii="宋体" w:hAnsi="宋体" w:cs="宋体"/>
          <w:sz w:val="22"/>
          <w:szCs w:val="22"/>
        </w:rPr>
        <w:sectPr>
          <w:pgSz w:w="11911" w:h="16838"/>
          <w:pgMar w:top="1417" w:right="1417" w:bottom="1417" w:left="1417" w:header="709" w:footer="1553" w:gutter="0"/>
          <w:cols w:space="720" w:num="1"/>
          <w:docGrid w:linePitch="324" w:charSpace="0"/>
        </w:sectPr>
      </w:pPr>
    </w:p>
    <w:p>
      <w:pPr>
        <w:pStyle w:val="24"/>
        <w:adjustRightInd w:val="0"/>
        <w:snapToGrid w:val="0"/>
        <w:spacing w:line="400" w:lineRule="exact"/>
        <w:jc w:val="center"/>
        <w:rPr>
          <w:rFonts w:hint="eastAsia" w:hAnsi="宋体" w:cs="宋体"/>
          <w:sz w:val="22"/>
          <w:szCs w:val="22"/>
        </w:rPr>
      </w:pPr>
    </w:p>
    <w:p>
      <w:pPr>
        <w:pStyle w:val="21"/>
        <w:ind w:left="440" w:hanging="440"/>
        <w:jc w:val="center"/>
        <w:rPr>
          <w:rFonts w:hint="eastAsia" w:ascii="宋体" w:hAnsi="宋体" w:cs="宋体"/>
          <w:sz w:val="22"/>
          <w:szCs w:val="22"/>
        </w:rPr>
      </w:pPr>
      <w:bookmarkStart w:id="131" w:name="_Toc21841"/>
      <w:r>
        <w:rPr>
          <w:rFonts w:hint="eastAsia" w:ascii="宋体" w:hAnsi="宋体" w:cs="宋体"/>
          <w:sz w:val="22"/>
          <w:szCs w:val="22"/>
        </w:rPr>
        <w:t>(二）投标供应商情况声明</w:t>
      </w:r>
      <w:bookmarkEnd w:id="131"/>
    </w:p>
    <w:p>
      <w:pPr>
        <w:rPr>
          <w:rFonts w:hint="eastAsia" w:ascii="宋体" w:hAnsi="宋体" w:cs="宋体"/>
          <w:sz w:val="22"/>
          <w:szCs w:val="22"/>
        </w:rPr>
      </w:pPr>
      <w:bookmarkStart w:id="132" w:name="_Toc22674"/>
      <w:r>
        <w:rPr>
          <w:rFonts w:hint="eastAsia" w:ascii="宋体" w:hAnsi="宋体" w:cs="宋体"/>
          <w:sz w:val="22"/>
          <w:szCs w:val="22"/>
        </w:rPr>
        <w:t>1. 名称及概况：</w:t>
      </w:r>
      <w:bookmarkEnd w:id="132"/>
    </w:p>
    <w:p>
      <w:pPr>
        <w:spacing w:line="400" w:lineRule="exact"/>
        <w:rPr>
          <w:rFonts w:hint="eastAsia" w:ascii="宋体" w:hAnsi="宋体" w:cs="宋体"/>
          <w:sz w:val="22"/>
          <w:szCs w:val="22"/>
          <w:u w:val="single"/>
        </w:rPr>
      </w:pPr>
      <w:r>
        <w:rPr>
          <w:rFonts w:hint="eastAsia" w:ascii="宋体" w:hAnsi="宋体" w:cs="宋体"/>
          <w:sz w:val="22"/>
          <w:szCs w:val="22"/>
        </w:rPr>
        <w:t>（1）投标供应商名称：</w:t>
      </w:r>
      <w:r>
        <w:rPr>
          <w:rFonts w:hint="eastAsia" w:ascii="宋体" w:hAnsi="宋体" w:cs="宋体"/>
          <w:sz w:val="22"/>
          <w:szCs w:val="22"/>
          <w:u w:val="single"/>
        </w:rPr>
        <w:t xml:space="preserve">                           </w:t>
      </w:r>
    </w:p>
    <w:p>
      <w:pPr>
        <w:spacing w:line="400" w:lineRule="exact"/>
        <w:rPr>
          <w:rFonts w:hint="eastAsia" w:ascii="宋体" w:hAnsi="宋体" w:cs="宋体"/>
          <w:sz w:val="22"/>
          <w:szCs w:val="22"/>
        </w:rPr>
      </w:pPr>
      <w:r>
        <w:rPr>
          <w:rFonts w:hint="eastAsia" w:ascii="宋体" w:hAnsi="宋体" w:cs="宋体"/>
          <w:sz w:val="22"/>
          <w:szCs w:val="22"/>
        </w:rPr>
        <w:t>（2）总部地址：</w:t>
      </w:r>
      <w:r>
        <w:rPr>
          <w:rFonts w:hint="eastAsia" w:ascii="宋体" w:hAnsi="宋体" w:cs="宋体"/>
          <w:sz w:val="22"/>
          <w:szCs w:val="22"/>
          <w:u w:val="single"/>
        </w:rPr>
        <w:t xml:space="preserve">                             </w:t>
      </w:r>
    </w:p>
    <w:p>
      <w:pPr>
        <w:spacing w:line="400" w:lineRule="exact"/>
        <w:ind w:firstLine="600"/>
        <w:rPr>
          <w:rFonts w:hint="eastAsia" w:ascii="宋体" w:hAnsi="宋体" w:cs="宋体"/>
          <w:sz w:val="22"/>
          <w:szCs w:val="22"/>
        </w:rPr>
      </w:pPr>
      <w:r>
        <w:rPr>
          <w:rFonts w:hint="eastAsia" w:ascii="宋体" w:hAnsi="宋体" w:cs="宋体"/>
          <w:sz w:val="22"/>
          <w:szCs w:val="22"/>
        </w:rPr>
        <w:t>传真/电话号码：</w:t>
      </w:r>
      <w:r>
        <w:rPr>
          <w:rFonts w:hint="eastAsia" w:ascii="宋体" w:hAnsi="宋体" w:cs="宋体"/>
          <w:sz w:val="22"/>
          <w:szCs w:val="22"/>
          <w:u w:val="single"/>
        </w:rPr>
        <w:t xml:space="preserve">                        </w:t>
      </w:r>
    </w:p>
    <w:p>
      <w:pPr>
        <w:spacing w:line="400" w:lineRule="exact"/>
        <w:rPr>
          <w:rFonts w:hint="eastAsia" w:ascii="宋体" w:hAnsi="宋体" w:cs="宋体"/>
          <w:sz w:val="22"/>
          <w:szCs w:val="22"/>
        </w:rPr>
      </w:pPr>
      <w:r>
        <w:rPr>
          <w:rFonts w:hint="eastAsia" w:ascii="宋体" w:hAnsi="宋体" w:cs="宋体"/>
          <w:sz w:val="22"/>
          <w:szCs w:val="22"/>
        </w:rPr>
        <w:t>（3）成立或注册日期：</w:t>
      </w:r>
      <w:r>
        <w:rPr>
          <w:rFonts w:hint="eastAsia" w:ascii="宋体" w:hAnsi="宋体" w:cs="宋体"/>
          <w:sz w:val="22"/>
          <w:szCs w:val="22"/>
          <w:u w:val="single"/>
        </w:rPr>
        <w:t xml:space="preserve">                        </w:t>
      </w:r>
    </w:p>
    <w:p>
      <w:pPr>
        <w:spacing w:line="400" w:lineRule="exact"/>
        <w:rPr>
          <w:rFonts w:hint="eastAsia" w:ascii="宋体" w:hAnsi="宋体" w:cs="宋体"/>
          <w:sz w:val="22"/>
          <w:szCs w:val="22"/>
        </w:rPr>
      </w:pPr>
      <w:r>
        <w:rPr>
          <w:rFonts w:hint="eastAsia" w:ascii="宋体" w:hAnsi="宋体" w:cs="宋体"/>
          <w:sz w:val="22"/>
          <w:szCs w:val="22"/>
        </w:rPr>
        <w:t>（4）实收资本：</w:t>
      </w:r>
      <w:r>
        <w:rPr>
          <w:rFonts w:hint="eastAsia" w:ascii="宋体" w:hAnsi="宋体" w:cs="宋体"/>
          <w:sz w:val="22"/>
          <w:szCs w:val="22"/>
          <w:u w:val="single"/>
        </w:rPr>
        <w:t xml:space="preserve">                              </w:t>
      </w:r>
    </w:p>
    <w:p>
      <w:pPr>
        <w:spacing w:line="400" w:lineRule="exact"/>
        <w:rPr>
          <w:rFonts w:hint="eastAsia" w:ascii="宋体" w:hAnsi="宋体" w:cs="宋体"/>
          <w:sz w:val="22"/>
          <w:szCs w:val="22"/>
        </w:rPr>
      </w:pPr>
      <w:r>
        <w:rPr>
          <w:rFonts w:hint="eastAsia" w:ascii="宋体" w:hAnsi="宋体" w:cs="宋体"/>
          <w:sz w:val="22"/>
          <w:szCs w:val="22"/>
        </w:rPr>
        <w:t>（5）近期资产负债表（到</w:t>
      </w:r>
      <w:r>
        <w:rPr>
          <w:rFonts w:hint="eastAsia" w:ascii="宋体" w:hAnsi="宋体" w:cs="宋体"/>
          <w:sz w:val="22"/>
          <w:szCs w:val="22"/>
          <w:u w:val="single"/>
        </w:rPr>
        <w:t xml:space="preserve">        </w:t>
      </w:r>
      <w:r>
        <w:rPr>
          <w:rFonts w:hint="eastAsia" w:ascii="宋体" w:hAnsi="宋体" w:cs="宋体"/>
          <w:sz w:val="22"/>
          <w:szCs w:val="22"/>
        </w:rPr>
        <w:t>年</w:t>
      </w:r>
      <w:r>
        <w:rPr>
          <w:rFonts w:hint="eastAsia" w:ascii="宋体" w:hAnsi="宋体" w:cs="宋体"/>
          <w:sz w:val="22"/>
          <w:szCs w:val="22"/>
          <w:u w:val="single"/>
        </w:rPr>
        <w:t xml:space="preserve">    </w:t>
      </w:r>
      <w:r>
        <w:rPr>
          <w:rFonts w:hint="eastAsia" w:ascii="宋体" w:hAnsi="宋体" w:cs="宋体"/>
          <w:sz w:val="22"/>
          <w:szCs w:val="22"/>
        </w:rPr>
        <w:t>月</w:t>
      </w:r>
      <w:r>
        <w:rPr>
          <w:rFonts w:hint="eastAsia" w:ascii="宋体" w:hAnsi="宋体" w:cs="宋体"/>
          <w:sz w:val="22"/>
          <w:szCs w:val="22"/>
          <w:u w:val="single"/>
        </w:rPr>
        <w:t xml:space="preserve">    </w:t>
      </w:r>
      <w:r>
        <w:rPr>
          <w:rFonts w:hint="eastAsia" w:ascii="宋体" w:hAnsi="宋体" w:cs="宋体"/>
          <w:sz w:val="22"/>
          <w:szCs w:val="22"/>
        </w:rPr>
        <w:t>日止）</w:t>
      </w:r>
    </w:p>
    <w:p>
      <w:pPr>
        <w:spacing w:line="400" w:lineRule="exact"/>
        <w:rPr>
          <w:rFonts w:hint="eastAsia" w:ascii="宋体" w:hAnsi="宋体" w:cs="宋体"/>
          <w:sz w:val="22"/>
          <w:szCs w:val="22"/>
        </w:rPr>
      </w:pPr>
      <w:r>
        <w:rPr>
          <w:rFonts w:hint="eastAsia" w:ascii="宋体" w:hAnsi="宋体" w:cs="宋体"/>
          <w:sz w:val="22"/>
          <w:szCs w:val="22"/>
        </w:rPr>
        <w:t xml:space="preserve">  1）固定资产：</w:t>
      </w:r>
      <w:r>
        <w:rPr>
          <w:rFonts w:hint="eastAsia" w:ascii="宋体" w:hAnsi="宋体" w:cs="宋体"/>
          <w:sz w:val="22"/>
          <w:szCs w:val="22"/>
          <w:u w:val="single"/>
        </w:rPr>
        <w:t xml:space="preserve">               </w:t>
      </w:r>
    </w:p>
    <w:p>
      <w:pPr>
        <w:spacing w:line="400" w:lineRule="exact"/>
        <w:rPr>
          <w:rFonts w:hint="eastAsia" w:ascii="宋体" w:hAnsi="宋体" w:cs="宋体"/>
          <w:sz w:val="22"/>
          <w:szCs w:val="22"/>
        </w:rPr>
      </w:pPr>
      <w:r>
        <w:rPr>
          <w:rFonts w:hint="eastAsia" w:ascii="宋体" w:hAnsi="宋体" w:cs="宋体"/>
          <w:sz w:val="22"/>
          <w:szCs w:val="22"/>
        </w:rPr>
        <w:t xml:space="preserve">  2）流动资产：</w:t>
      </w:r>
      <w:r>
        <w:rPr>
          <w:rFonts w:hint="eastAsia" w:ascii="宋体" w:hAnsi="宋体" w:cs="宋体"/>
          <w:sz w:val="22"/>
          <w:szCs w:val="22"/>
          <w:u w:val="single"/>
        </w:rPr>
        <w:t xml:space="preserve">               </w:t>
      </w:r>
    </w:p>
    <w:p>
      <w:pPr>
        <w:spacing w:line="400" w:lineRule="exact"/>
        <w:rPr>
          <w:rFonts w:hint="eastAsia" w:ascii="宋体" w:hAnsi="宋体" w:cs="宋体"/>
          <w:sz w:val="22"/>
          <w:szCs w:val="22"/>
        </w:rPr>
      </w:pPr>
      <w:r>
        <w:rPr>
          <w:rFonts w:hint="eastAsia" w:ascii="宋体" w:hAnsi="宋体" w:cs="宋体"/>
          <w:sz w:val="22"/>
          <w:szCs w:val="22"/>
        </w:rPr>
        <w:t xml:space="preserve">  3）长期负债：</w:t>
      </w:r>
      <w:r>
        <w:rPr>
          <w:rFonts w:hint="eastAsia" w:ascii="宋体" w:hAnsi="宋体" w:cs="宋体"/>
          <w:sz w:val="22"/>
          <w:szCs w:val="22"/>
          <w:u w:val="single"/>
        </w:rPr>
        <w:t xml:space="preserve">               </w:t>
      </w:r>
    </w:p>
    <w:p>
      <w:pPr>
        <w:spacing w:line="400" w:lineRule="exact"/>
        <w:rPr>
          <w:rFonts w:hint="eastAsia" w:ascii="宋体" w:hAnsi="宋体" w:cs="宋体"/>
          <w:sz w:val="22"/>
          <w:szCs w:val="22"/>
        </w:rPr>
      </w:pPr>
      <w:r>
        <w:rPr>
          <w:rFonts w:hint="eastAsia" w:ascii="宋体" w:hAnsi="宋体" w:cs="宋体"/>
          <w:sz w:val="22"/>
          <w:szCs w:val="22"/>
        </w:rPr>
        <w:t xml:space="preserve">  4）流动负债：</w:t>
      </w:r>
      <w:r>
        <w:rPr>
          <w:rFonts w:hint="eastAsia" w:ascii="宋体" w:hAnsi="宋体" w:cs="宋体"/>
          <w:sz w:val="22"/>
          <w:szCs w:val="22"/>
          <w:u w:val="single"/>
        </w:rPr>
        <w:t xml:space="preserve">               </w:t>
      </w:r>
    </w:p>
    <w:p>
      <w:pPr>
        <w:spacing w:line="400" w:lineRule="exact"/>
        <w:rPr>
          <w:rFonts w:hint="eastAsia" w:ascii="宋体" w:hAnsi="宋体" w:cs="宋体"/>
          <w:sz w:val="22"/>
          <w:szCs w:val="22"/>
        </w:rPr>
      </w:pPr>
      <w:r>
        <w:rPr>
          <w:rFonts w:hint="eastAsia" w:ascii="宋体" w:hAnsi="宋体" w:cs="宋体"/>
          <w:sz w:val="22"/>
          <w:szCs w:val="22"/>
        </w:rPr>
        <w:t xml:space="preserve">  5）净值：</w:t>
      </w:r>
      <w:r>
        <w:rPr>
          <w:rFonts w:hint="eastAsia" w:ascii="宋体" w:hAnsi="宋体" w:cs="宋体"/>
          <w:sz w:val="22"/>
          <w:szCs w:val="22"/>
          <w:u w:val="single"/>
        </w:rPr>
        <w:t xml:space="preserve">                   </w:t>
      </w:r>
    </w:p>
    <w:p>
      <w:pPr>
        <w:spacing w:line="400" w:lineRule="exact"/>
        <w:rPr>
          <w:rFonts w:hint="eastAsia" w:ascii="宋体" w:hAnsi="宋体" w:cs="宋体"/>
          <w:sz w:val="22"/>
          <w:szCs w:val="22"/>
        </w:rPr>
      </w:pPr>
      <w:r>
        <w:rPr>
          <w:rFonts w:hint="eastAsia" w:ascii="宋体" w:hAnsi="宋体" w:cs="宋体"/>
          <w:sz w:val="22"/>
          <w:szCs w:val="22"/>
        </w:rPr>
        <w:t>（6）主要负责人姓名：</w:t>
      </w:r>
      <w:r>
        <w:rPr>
          <w:rFonts w:hint="eastAsia" w:ascii="宋体" w:hAnsi="宋体" w:cs="宋体"/>
          <w:sz w:val="22"/>
          <w:szCs w:val="22"/>
          <w:u w:val="single"/>
        </w:rPr>
        <w:t xml:space="preserve">                      </w:t>
      </w:r>
    </w:p>
    <w:p>
      <w:pPr>
        <w:spacing w:line="360" w:lineRule="exact"/>
        <w:ind w:left="660" w:hanging="660" w:hangingChars="300"/>
        <w:jc w:val="left"/>
        <w:rPr>
          <w:rFonts w:hint="eastAsia" w:ascii="宋体" w:hAnsi="宋体" w:cs="宋体"/>
          <w:sz w:val="22"/>
          <w:szCs w:val="22"/>
        </w:rPr>
      </w:pPr>
      <w:r>
        <w:rPr>
          <w:rFonts w:hint="eastAsia" w:ascii="宋体" w:hAnsi="宋体" w:cs="宋体"/>
          <w:sz w:val="22"/>
          <w:szCs w:val="22"/>
        </w:rPr>
        <w:t>2．企业生产设备及规模：</w:t>
      </w:r>
      <w:bookmarkStart w:id="133" w:name="_Toc23773"/>
    </w:p>
    <w:p>
      <w:pPr>
        <w:spacing w:line="360" w:lineRule="exact"/>
        <w:ind w:left="660" w:hanging="660" w:hangingChars="300"/>
        <w:jc w:val="left"/>
        <w:rPr>
          <w:rFonts w:hint="eastAsia" w:ascii="宋体" w:hAnsi="宋体" w:cs="宋体"/>
          <w:sz w:val="22"/>
          <w:szCs w:val="22"/>
        </w:rPr>
      </w:pPr>
      <w:r>
        <w:rPr>
          <w:rFonts w:hint="eastAsia" w:ascii="宋体" w:hAnsi="宋体" w:cs="宋体"/>
          <w:sz w:val="22"/>
          <w:szCs w:val="22"/>
        </w:rPr>
        <w:t>3. 企业人员情况：</w:t>
      </w:r>
      <w:bookmarkEnd w:id="133"/>
    </w:p>
    <w:p>
      <w:pPr>
        <w:spacing w:line="400" w:lineRule="exact"/>
        <w:rPr>
          <w:rFonts w:hint="eastAsia" w:ascii="宋体" w:hAnsi="宋体" w:cs="宋体"/>
          <w:sz w:val="22"/>
          <w:szCs w:val="22"/>
        </w:rPr>
      </w:pPr>
      <w:r>
        <w:rPr>
          <w:rFonts w:hint="eastAsia" w:ascii="宋体" w:hAnsi="宋体" w:cs="宋体"/>
          <w:sz w:val="22"/>
          <w:szCs w:val="22"/>
        </w:rPr>
        <w:t>职工（在职）人数</w:t>
      </w:r>
      <w:r>
        <w:rPr>
          <w:rFonts w:hint="eastAsia" w:ascii="宋体" w:hAnsi="宋体" w:cs="宋体"/>
          <w:sz w:val="22"/>
          <w:szCs w:val="22"/>
          <w:u w:val="single"/>
        </w:rPr>
        <w:t xml:space="preserve">       </w:t>
      </w:r>
      <w:r>
        <w:rPr>
          <w:rFonts w:hint="eastAsia" w:ascii="宋体" w:hAnsi="宋体" w:cs="宋体"/>
          <w:sz w:val="22"/>
          <w:szCs w:val="22"/>
        </w:rPr>
        <w:t>人，其中技术人员</w:t>
      </w:r>
      <w:r>
        <w:rPr>
          <w:rFonts w:hint="eastAsia" w:ascii="宋体" w:hAnsi="宋体" w:cs="宋体"/>
          <w:sz w:val="22"/>
          <w:szCs w:val="22"/>
          <w:u w:val="single"/>
        </w:rPr>
        <w:t xml:space="preserve">       </w:t>
      </w:r>
      <w:r>
        <w:rPr>
          <w:rFonts w:hint="eastAsia" w:ascii="宋体" w:hAnsi="宋体" w:cs="宋体"/>
          <w:sz w:val="22"/>
          <w:szCs w:val="22"/>
        </w:rPr>
        <w:t>人，</w:t>
      </w:r>
      <w:bookmarkStart w:id="134" w:name="_Toc19332"/>
    </w:p>
    <w:p>
      <w:pPr>
        <w:numPr>
          <w:ilvl w:val="0"/>
          <w:numId w:val="19"/>
        </w:numPr>
        <w:spacing w:line="400" w:lineRule="exact"/>
        <w:rPr>
          <w:rFonts w:hint="eastAsia" w:ascii="宋体" w:hAnsi="宋体" w:cs="宋体"/>
          <w:sz w:val="22"/>
          <w:szCs w:val="22"/>
        </w:rPr>
      </w:pPr>
      <w:r>
        <w:rPr>
          <w:rFonts w:hint="eastAsia" w:ascii="宋体" w:hAnsi="宋体" w:cs="宋体"/>
          <w:sz w:val="22"/>
          <w:szCs w:val="22"/>
        </w:rPr>
        <w:t>近三年的年营业总额</w:t>
      </w:r>
      <w:bookmarkEnd w:id="134"/>
      <w:bookmarkStart w:id="135" w:name="_Toc23531"/>
    </w:p>
    <w:p>
      <w:pPr>
        <w:spacing w:line="400" w:lineRule="exact"/>
        <w:rPr>
          <w:rFonts w:hint="eastAsia" w:ascii="宋体" w:hAnsi="宋体" w:cs="宋体"/>
          <w:sz w:val="22"/>
          <w:szCs w:val="22"/>
        </w:rPr>
      </w:pPr>
      <w:r>
        <w:rPr>
          <w:rFonts w:hint="eastAsia" w:ascii="宋体" w:hAnsi="宋体" w:cs="宋体"/>
          <w:sz w:val="22"/>
          <w:szCs w:val="22"/>
        </w:rPr>
        <w:t>5. 我单位近三年内，在经营活动中没有重大违法记录，特此承诺。 若招标采购单位在本项目采购过程中发现我单位近三年内在经营活动中有重大违法记录，我单位将无条件地退出本项目的招标，并承担因此引起的一切后果。</w:t>
      </w:r>
      <w:bookmarkEnd w:id="135"/>
    </w:p>
    <w:p>
      <w:pPr>
        <w:spacing w:line="400" w:lineRule="exact"/>
        <w:ind w:firstLine="220" w:firstLineChars="100"/>
        <w:rPr>
          <w:rFonts w:hint="eastAsia" w:ascii="宋体" w:hAnsi="宋体" w:cs="宋体"/>
          <w:sz w:val="22"/>
          <w:szCs w:val="22"/>
        </w:rPr>
      </w:pPr>
      <w:r>
        <w:rPr>
          <w:rFonts w:hint="eastAsia" w:ascii="宋体" w:hAnsi="宋体" w:cs="宋体"/>
          <w:sz w:val="22"/>
          <w:szCs w:val="22"/>
        </w:rPr>
        <w:t>兹证明上述声明是真实、正确的、并提供了全部能提供的资料和数据，我们同意遵照贵方要求出示有关证明文件。</w:t>
      </w:r>
    </w:p>
    <w:p>
      <w:pPr>
        <w:spacing w:line="400" w:lineRule="exact"/>
        <w:rPr>
          <w:rFonts w:hint="eastAsia" w:ascii="宋体" w:hAnsi="宋体" w:cs="宋体"/>
          <w:sz w:val="22"/>
          <w:szCs w:val="22"/>
        </w:rPr>
      </w:pPr>
      <w:r>
        <w:rPr>
          <w:rFonts w:hint="eastAsia" w:ascii="宋体" w:hAnsi="宋体" w:cs="宋体"/>
          <w:sz w:val="22"/>
          <w:szCs w:val="22"/>
        </w:rPr>
        <w:t>投标供应商名称</w:t>
      </w:r>
      <w:r>
        <w:rPr>
          <w:rFonts w:hint="eastAsia" w:ascii="宋体" w:hAnsi="宋体" w:cs="宋体"/>
          <w:sz w:val="22"/>
          <w:szCs w:val="22"/>
          <w:u w:val="single"/>
        </w:rPr>
        <w:t xml:space="preserve">                               （电子签章）</w:t>
      </w:r>
    </w:p>
    <w:p>
      <w:pPr>
        <w:spacing w:line="400" w:lineRule="exact"/>
        <w:rPr>
          <w:rFonts w:hint="eastAsia" w:ascii="宋体" w:hAnsi="宋体" w:cs="宋体"/>
          <w:sz w:val="22"/>
          <w:szCs w:val="22"/>
        </w:rPr>
      </w:pPr>
      <w:r>
        <w:rPr>
          <w:rFonts w:hint="eastAsia" w:ascii="宋体" w:hAnsi="宋体" w:cs="宋体"/>
          <w:sz w:val="22"/>
          <w:szCs w:val="22"/>
        </w:rPr>
        <w:t>法定代表人姓名和职务</w:t>
      </w:r>
      <w:r>
        <w:rPr>
          <w:rFonts w:hint="eastAsia" w:ascii="宋体" w:hAnsi="宋体" w:cs="宋体"/>
          <w:sz w:val="22"/>
          <w:szCs w:val="22"/>
          <w:u w:val="single"/>
        </w:rPr>
        <w:t xml:space="preserve">                         </w:t>
      </w:r>
    </w:p>
    <w:p>
      <w:pPr>
        <w:spacing w:line="400" w:lineRule="exact"/>
        <w:rPr>
          <w:rFonts w:hint="eastAsia" w:ascii="宋体" w:hAnsi="宋体" w:cs="宋体"/>
          <w:sz w:val="22"/>
          <w:szCs w:val="22"/>
        </w:rPr>
      </w:pPr>
      <w:r>
        <w:rPr>
          <w:rFonts w:hint="eastAsia" w:ascii="宋体" w:hAnsi="宋体" w:cs="宋体"/>
          <w:sz w:val="22"/>
          <w:szCs w:val="22"/>
        </w:rPr>
        <w:t>授权代表人（签字）</w:t>
      </w:r>
      <w:r>
        <w:rPr>
          <w:rFonts w:hint="eastAsia" w:ascii="宋体" w:hAnsi="宋体" w:cs="宋体"/>
          <w:sz w:val="22"/>
          <w:szCs w:val="22"/>
          <w:u w:val="single"/>
        </w:rPr>
        <w:t xml:space="preserve">                           </w:t>
      </w:r>
    </w:p>
    <w:p>
      <w:pPr>
        <w:spacing w:line="400" w:lineRule="exact"/>
        <w:rPr>
          <w:rFonts w:hint="eastAsia" w:ascii="宋体" w:hAnsi="宋体" w:cs="宋体"/>
          <w:sz w:val="22"/>
          <w:szCs w:val="22"/>
        </w:rPr>
      </w:pPr>
      <w:r>
        <w:rPr>
          <w:rFonts w:hint="eastAsia" w:ascii="宋体" w:hAnsi="宋体" w:cs="宋体"/>
          <w:sz w:val="22"/>
          <w:szCs w:val="22"/>
        </w:rPr>
        <w:t>签字日期</w:t>
      </w:r>
      <w:r>
        <w:rPr>
          <w:rFonts w:hint="eastAsia" w:ascii="宋体" w:hAnsi="宋体" w:cs="宋体"/>
          <w:sz w:val="22"/>
          <w:szCs w:val="22"/>
          <w:u w:val="single"/>
        </w:rPr>
        <w:t xml:space="preserve">                                     </w:t>
      </w:r>
    </w:p>
    <w:p>
      <w:pPr>
        <w:spacing w:line="360" w:lineRule="exact"/>
        <w:jc w:val="left"/>
        <w:rPr>
          <w:rFonts w:hint="eastAsia" w:ascii="宋体" w:hAnsi="宋体" w:cs="宋体"/>
          <w:sz w:val="22"/>
          <w:szCs w:val="22"/>
        </w:rPr>
      </w:pPr>
      <w:r>
        <w:rPr>
          <w:rFonts w:hint="eastAsia" w:ascii="宋体" w:hAnsi="宋体" w:cs="宋体"/>
          <w:sz w:val="22"/>
          <w:szCs w:val="22"/>
        </w:rPr>
        <w:t>电子邮件</w:t>
      </w:r>
      <w:bookmarkStart w:id="136" w:name="_Toc26835"/>
    </w:p>
    <w:p>
      <w:pPr>
        <w:spacing w:line="360" w:lineRule="exact"/>
        <w:jc w:val="left"/>
        <w:rPr>
          <w:rFonts w:hint="eastAsia" w:ascii="宋体" w:hAnsi="宋体" w:cs="宋体"/>
          <w:sz w:val="22"/>
          <w:szCs w:val="22"/>
        </w:rPr>
      </w:pPr>
      <w:r>
        <w:rPr>
          <w:rFonts w:hint="eastAsia" w:ascii="宋体" w:hAnsi="宋体" w:cs="宋体"/>
          <w:sz w:val="22"/>
          <w:szCs w:val="22"/>
        </w:rPr>
        <w:t>6. 投标供应商有效营业执照副本和税务登记证（复印件，加盖单位电子签章）</w:t>
      </w:r>
      <w:bookmarkEnd w:id="136"/>
    </w:p>
    <w:p>
      <w:pPr>
        <w:pStyle w:val="24"/>
        <w:adjustRightInd w:val="0"/>
        <w:snapToGrid w:val="0"/>
        <w:spacing w:line="400" w:lineRule="exact"/>
        <w:rPr>
          <w:rFonts w:hint="eastAsia" w:hAnsi="宋体" w:cs="宋体"/>
          <w:sz w:val="22"/>
          <w:szCs w:val="22"/>
        </w:rPr>
      </w:pPr>
      <w:r>
        <w:rPr>
          <w:rFonts w:hint="eastAsia" w:hAnsi="宋体" w:cs="宋体"/>
          <w:sz w:val="22"/>
          <w:szCs w:val="22"/>
        </w:rPr>
        <w:t>7．投标供应商资格、资质及招标文件要求提供的资格证明、证书（复印件，加盖单位电子签章）</w:t>
      </w:r>
    </w:p>
    <w:p>
      <w:pPr>
        <w:pStyle w:val="24"/>
        <w:adjustRightInd w:val="0"/>
        <w:snapToGrid w:val="0"/>
        <w:spacing w:line="400" w:lineRule="exact"/>
        <w:rPr>
          <w:rFonts w:hint="eastAsia" w:hAnsi="宋体" w:cs="宋体"/>
          <w:b/>
          <w:sz w:val="22"/>
          <w:szCs w:val="22"/>
        </w:rPr>
      </w:pPr>
      <w:r>
        <w:rPr>
          <w:rFonts w:hint="eastAsia" w:hAnsi="宋体" w:cs="宋体"/>
          <w:sz w:val="22"/>
          <w:szCs w:val="22"/>
        </w:rPr>
        <w:br w:type="page"/>
      </w:r>
      <w:r>
        <w:rPr>
          <w:rFonts w:hint="eastAsia" w:hAnsi="宋体" w:cs="宋体"/>
          <w:b/>
          <w:sz w:val="22"/>
          <w:szCs w:val="22"/>
        </w:rPr>
        <w:t>附件五</w:t>
      </w:r>
      <w:bookmarkStart w:id="137" w:name="_Toc411166807"/>
    </w:p>
    <w:bookmarkEnd w:id="137"/>
    <w:p>
      <w:pPr>
        <w:pStyle w:val="6"/>
        <w:snapToGrid w:val="0"/>
        <w:spacing w:beforeLines="100" w:after="0" w:line="300" w:lineRule="auto"/>
        <w:jc w:val="center"/>
        <w:rPr>
          <w:rFonts w:hint="eastAsia" w:ascii="宋体" w:hAnsi="宋体" w:eastAsia="宋体" w:cs="宋体"/>
          <w:color w:val="000000"/>
          <w:sz w:val="22"/>
          <w:szCs w:val="22"/>
        </w:rPr>
      </w:pPr>
      <w:bookmarkStart w:id="138" w:name="_Toc29292"/>
      <w:r>
        <w:rPr>
          <w:rFonts w:hint="eastAsia" w:ascii="宋体" w:hAnsi="宋体" w:eastAsia="宋体" w:cs="宋体"/>
          <w:color w:val="000000"/>
          <w:sz w:val="22"/>
          <w:szCs w:val="22"/>
        </w:rPr>
        <w:t>设备详细配置清单（技术标）</w:t>
      </w:r>
      <w:bookmarkEnd w:id="138"/>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6"/>
        <w:gridCol w:w="1260"/>
        <w:gridCol w:w="1260"/>
        <w:gridCol w:w="4860"/>
        <w:gridCol w:w="900"/>
        <w:gridCol w:w="8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546" w:type="dxa"/>
            <w:noWrap w:val="0"/>
            <w:vAlign w:val="center"/>
          </w:tcPr>
          <w:p>
            <w:pPr>
              <w:ind w:left="-101" w:leftChars="-48" w:right="-99" w:rightChars="-47"/>
              <w:jc w:val="center"/>
              <w:rPr>
                <w:rFonts w:hint="eastAsia" w:ascii="宋体" w:hAnsi="宋体" w:cs="宋体"/>
                <w:b/>
                <w:bCs/>
                <w:color w:val="000000"/>
                <w:sz w:val="22"/>
                <w:szCs w:val="22"/>
              </w:rPr>
            </w:pPr>
            <w:r>
              <w:rPr>
                <w:rFonts w:hint="eastAsia" w:ascii="宋体" w:hAnsi="宋体" w:cs="宋体"/>
                <w:b/>
                <w:bCs/>
                <w:color w:val="000000"/>
                <w:sz w:val="22"/>
                <w:szCs w:val="22"/>
              </w:rPr>
              <w:t>序号</w:t>
            </w:r>
          </w:p>
        </w:tc>
        <w:tc>
          <w:tcPr>
            <w:tcW w:w="1260" w:type="dxa"/>
            <w:noWrap w:val="0"/>
            <w:vAlign w:val="center"/>
          </w:tcPr>
          <w:p>
            <w:pPr>
              <w:jc w:val="center"/>
              <w:rPr>
                <w:rFonts w:hint="eastAsia" w:ascii="宋体" w:hAnsi="宋体" w:cs="宋体"/>
                <w:b/>
                <w:bCs/>
                <w:color w:val="000000"/>
                <w:sz w:val="22"/>
                <w:szCs w:val="22"/>
              </w:rPr>
            </w:pPr>
            <w:r>
              <w:rPr>
                <w:rFonts w:hint="eastAsia" w:ascii="宋体" w:hAnsi="宋体" w:cs="宋体"/>
                <w:b/>
                <w:bCs/>
                <w:color w:val="000000"/>
                <w:sz w:val="22"/>
                <w:szCs w:val="22"/>
              </w:rPr>
              <w:t>货物名称</w:t>
            </w:r>
          </w:p>
        </w:tc>
        <w:tc>
          <w:tcPr>
            <w:tcW w:w="1260" w:type="dxa"/>
            <w:noWrap w:val="0"/>
            <w:vAlign w:val="center"/>
          </w:tcPr>
          <w:p>
            <w:pPr>
              <w:jc w:val="center"/>
              <w:rPr>
                <w:rFonts w:hint="eastAsia" w:ascii="宋体" w:hAnsi="宋体" w:cs="宋体"/>
                <w:b/>
                <w:bCs/>
                <w:color w:val="000000"/>
                <w:sz w:val="22"/>
                <w:szCs w:val="22"/>
              </w:rPr>
            </w:pPr>
            <w:r>
              <w:rPr>
                <w:rFonts w:hint="eastAsia" w:ascii="宋体" w:hAnsi="宋体" w:cs="宋体"/>
                <w:b/>
                <w:bCs/>
                <w:color w:val="000000"/>
                <w:sz w:val="22"/>
                <w:szCs w:val="22"/>
              </w:rPr>
              <w:t>品牌型号</w:t>
            </w:r>
          </w:p>
        </w:tc>
        <w:tc>
          <w:tcPr>
            <w:tcW w:w="4860" w:type="dxa"/>
            <w:noWrap w:val="0"/>
            <w:vAlign w:val="center"/>
          </w:tcPr>
          <w:p>
            <w:pPr>
              <w:jc w:val="center"/>
              <w:rPr>
                <w:rFonts w:hint="eastAsia" w:ascii="宋体" w:hAnsi="宋体" w:cs="宋体"/>
                <w:b/>
                <w:bCs/>
                <w:color w:val="000000"/>
                <w:sz w:val="22"/>
                <w:szCs w:val="22"/>
              </w:rPr>
            </w:pPr>
            <w:r>
              <w:rPr>
                <w:rFonts w:hint="eastAsia" w:ascii="宋体" w:hAnsi="宋体" w:cs="宋体"/>
                <w:b/>
                <w:bCs/>
                <w:color w:val="000000"/>
                <w:sz w:val="22"/>
                <w:szCs w:val="22"/>
              </w:rPr>
              <w:t>技术规格说明</w:t>
            </w:r>
          </w:p>
        </w:tc>
        <w:tc>
          <w:tcPr>
            <w:tcW w:w="900" w:type="dxa"/>
            <w:noWrap w:val="0"/>
            <w:vAlign w:val="center"/>
          </w:tcPr>
          <w:p>
            <w:pPr>
              <w:jc w:val="center"/>
              <w:rPr>
                <w:rFonts w:hint="eastAsia" w:ascii="宋体" w:hAnsi="宋体" w:cs="宋体"/>
                <w:b/>
                <w:bCs/>
                <w:color w:val="000000"/>
                <w:sz w:val="22"/>
                <w:szCs w:val="22"/>
              </w:rPr>
            </w:pPr>
            <w:r>
              <w:rPr>
                <w:rFonts w:hint="eastAsia" w:ascii="宋体" w:hAnsi="宋体" w:cs="宋体"/>
                <w:b/>
                <w:bCs/>
                <w:color w:val="000000"/>
                <w:sz w:val="22"/>
                <w:szCs w:val="22"/>
              </w:rPr>
              <w:t>数量</w:t>
            </w:r>
          </w:p>
        </w:tc>
        <w:tc>
          <w:tcPr>
            <w:tcW w:w="824" w:type="dxa"/>
            <w:noWrap w:val="0"/>
            <w:vAlign w:val="center"/>
          </w:tcPr>
          <w:p>
            <w:pPr>
              <w:jc w:val="center"/>
              <w:rPr>
                <w:rFonts w:hint="eastAsia" w:ascii="宋体" w:hAnsi="宋体" w:cs="宋体"/>
                <w:b/>
                <w:bCs/>
                <w:color w:val="000000"/>
                <w:sz w:val="22"/>
                <w:szCs w:val="22"/>
              </w:rPr>
            </w:pPr>
            <w:r>
              <w:rPr>
                <w:rFonts w:hint="eastAsia" w:ascii="宋体" w:hAnsi="宋体" w:cs="宋体"/>
                <w:b/>
                <w:bCs/>
                <w:color w:val="000000"/>
                <w:sz w:val="22"/>
                <w:szCs w:val="22"/>
              </w:rPr>
              <w:t>产地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jc w:val="center"/>
        </w:trPr>
        <w:tc>
          <w:tcPr>
            <w:tcW w:w="546" w:type="dxa"/>
            <w:noWrap w:val="0"/>
            <w:vAlign w:val="center"/>
          </w:tcPr>
          <w:p>
            <w:pPr>
              <w:widowControl/>
              <w:ind w:left="-101" w:leftChars="-48" w:right="-99" w:rightChars="-47"/>
              <w:jc w:val="left"/>
              <w:rPr>
                <w:rFonts w:hint="eastAsia" w:ascii="宋体" w:hAnsi="宋体" w:cs="宋体"/>
                <w:b/>
                <w:bCs/>
                <w:color w:val="000000"/>
                <w:sz w:val="22"/>
                <w:szCs w:val="22"/>
              </w:rPr>
            </w:pPr>
          </w:p>
        </w:tc>
        <w:tc>
          <w:tcPr>
            <w:tcW w:w="1260"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rPr>
                <w:rFonts w:hint="eastAsia" w:ascii="宋体" w:hAnsi="宋体" w:cs="宋体"/>
                <w:color w:val="000000"/>
                <w:sz w:val="22"/>
                <w:szCs w:val="22"/>
              </w:rPr>
            </w:pPr>
          </w:p>
        </w:tc>
        <w:tc>
          <w:tcPr>
            <w:tcW w:w="4860" w:type="dxa"/>
            <w:noWrap w:val="0"/>
            <w:vAlign w:val="center"/>
          </w:tcPr>
          <w:p>
            <w:pPr>
              <w:rPr>
                <w:rFonts w:hint="eastAsia" w:ascii="宋体" w:hAnsi="宋体" w:cs="宋体"/>
                <w:color w:val="000000"/>
                <w:sz w:val="22"/>
                <w:szCs w:val="22"/>
              </w:rPr>
            </w:pPr>
          </w:p>
        </w:tc>
        <w:tc>
          <w:tcPr>
            <w:tcW w:w="900" w:type="dxa"/>
            <w:noWrap w:val="0"/>
            <w:vAlign w:val="top"/>
          </w:tcPr>
          <w:p>
            <w:pPr>
              <w:rPr>
                <w:rFonts w:hint="eastAsia" w:ascii="宋体" w:hAnsi="宋体" w:cs="宋体"/>
                <w:color w:val="000000"/>
                <w:sz w:val="22"/>
                <w:szCs w:val="22"/>
              </w:rPr>
            </w:pPr>
          </w:p>
        </w:tc>
        <w:tc>
          <w:tcPr>
            <w:tcW w:w="824" w:type="dxa"/>
            <w:noWrap w:val="0"/>
            <w:vAlign w:val="center"/>
          </w:tcPr>
          <w:p>
            <w:pPr>
              <w:jc w:val="center"/>
              <w:rPr>
                <w:rFonts w:hint="eastAsia" w:ascii="宋体" w:hAnsi="宋体" w:cs="宋体"/>
                <w:b/>
                <w:bCs/>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jc w:val="center"/>
        </w:trPr>
        <w:tc>
          <w:tcPr>
            <w:tcW w:w="546"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rPr>
                <w:rFonts w:hint="eastAsia" w:ascii="宋体" w:hAnsi="宋体" w:cs="宋体"/>
                <w:color w:val="000000"/>
                <w:sz w:val="22"/>
                <w:szCs w:val="22"/>
              </w:rPr>
            </w:pPr>
          </w:p>
        </w:tc>
        <w:tc>
          <w:tcPr>
            <w:tcW w:w="4860" w:type="dxa"/>
            <w:noWrap w:val="0"/>
            <w:vAlign w:val="center"/>
          </w:tcPr>
          <w:p>
            <w:pPr>
              <w:rPr>
                <w:rFonts w:hint="eastAsia" w:ascii="宋体" w:hAnsi="宋体" w:cs="宋体"/>
                <w:color w:val="000000"/>
                <w:sz w:val="22"/>
                <w:szCs w:val="22"/>
              </w:rPr>
            </w:pPr>
          </w:p>
        </w:tc>
        <w:tc>
          <w:tcPr>
            <w:tcW w:w="900" w:type="dxa"/>
            <w:noWrap w:val="0"/>
            <w:vAlign w:val="top"/>
          </w:tcPr>
          <w:p>
            <w:pPr>
              <w:rPr>
                <w:rFonts w:hint="eastAsia" w:ascii="宋体" w:hAnsi="宋体" w:cs="宋体"/>
                <w:color w:val="000000"/>
                <w:sz w:val="22"/>
                <w:szCs w:val="22"/>
              </w:rPr>
            </w:pPr>
          </w:p>
        </w:tc>
        <w:tc>
          <w:tcPr>
            <w:tcW w:w="824" w:type="dxa"/>
            <w:noWrap w:val="0"/>
            <w:vAlign w:val="center"/>
          </w:tcPr>
          <w:p>
            <w:pPr>
              <w:jc w:val="center"/>
              <w:rPr>
                <w:rFonts w:hint="eastAsia" w:ascii="宋体" w:hAnsi="宋体" w:cs="宋体"/>
                <w:b/>
                <w:bCs/>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jc w:val="center"/>
        </w:trPr>
        <w:tc>
          <w:tcPr>
            <w:tcW w:w="546"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rPr>
                <w:rFonts w:hint="eastAsia" w:ascii="宋体" w:hAnsi="宋体" w:cs="宋体"/>
                <w:color w:val="000000"/>
                <w:sz w:val="22"/>
                <w:szCs w:val="22"/>
              </w:rPr>
            </w:pPr>
          </w:p>
        </w:tc>
        <w:tc>
          <w:tcPr>
            <w:tcW w:w="4860" w:type="dxa"/>
            <w:noWrap w:val="0"/>
            <w:vAlign w:val="center"/>
          </w:tcPr>
          <w:p>
            <w:pPr>
              <w:rPr>
                <w:rFonts w:hint="eastAsia" w:ascii="宋体" w:hAnsi="宋体" w:cs="宋体"/>
                <w:color w:val="000000"/>
                <w:sz w:val="22"/>
                <w:szCs w:val="22"/>
              </w:rPr>
            </w:pPr>
          </w:p>
        </w:tc>
        <w:tc>
          <w:tcPr>
            <w:tcW w:w="900" w:type="dxa"/>
            <w:noWrap w:val="0"/>
            <w:vAlign w:val="top"/>
          </w:tcPr>
          <w:p>
            <w:pPr>
              <w:rPr>
                <w:rFonts w:hint="eastAsia" w:ascii="宋体" w:hAnsi="宋体" w:cs="宋体"/>
                <w:color w:val="000000"/>
                <w:sz w:val="22"/>
                <w:szCs w:val="22"/>
              </w:rPr>
            </w:pPr>
          </w:p>
        </w:tc>
        <w:tc>
          <w:tcPr>
            <w:tcW w:w="824" w:type="dxa"/>
            <w:noWrap w:val="0"/>
            <w:vAlign w:val="center"/>
          </w:tcPr>
          <w:p>
            <w:pPr>
              <w:jc w:val="center"/>
              <w:rPr>
                <w:rFonts w:hint="eastAsia" w:ascii="宋体" w:hAnsi="宋体" w:cs="宋体"/>
                <w:b/>
                <w:bCs/>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jc w:val="center"/>
        </w:trPr>
        <w:tc>
          <w:tcPr>
            <w:tcW w:w="546"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rPr>
                <w:rFonts w:hint="eastAsia" w:ascii="宋体" w:hAnsi="宋体" w:cs="宋体"/>
                <w:color w:val="000000"/>
                <w:sz w:val="22"/>
                <w:szCs w:val="22"/>
              </w:rPr>
            </w:pPr>
          </w:p>
        </w:tc>
        <w:tc>
          <w:tcPr>
            <w:tcW w:w="4860" w:type="dxa"/>
            <w:noWrap w:val="0"/>
            <w:vAlign w:val="center"/>
          </w:tcPr>
          <w:p>
            <w:pPr>
              <w:rPr>
                <w:rFonts w:hint="eastAsia" w:ascii="宋体" w:hAnsi="宋体" w:cs="宋体"/>
                <w:color w:val="000000"/>
                <w:sz w:val="22"/>
                <w:szCs w:val="22"/>
              </w:rPr>
            </w:pPr>
          </w:p>
        </w:tc>
        <w:tc>
          <w:tcPr>
            <w:tcW w:w="900" w:type="dxa"/>
            <w:noWrap w:val="0"/>
            <w:vAlign w:val="top"/>
          </w:tcPr>
          <w:p>
            <w:pPr>
              <w:rPr>
                <w:rFonts w:hint="eastAsia" w:ascii="宋体" w:hAnsi="宋体" w:cs="宋体"/>
                <w:color w:val="000000"/>
                <w:sz w:val="22"/>
                <w:szCs w:val="22"/>
              </w:rPr>
            </w:pPr>
          </w:p>
        </w:tc>
        <w:tc>
          <w:tcPr>
            <w:tcW w:w="824" w:type="dxa"/>
            <w:noWrap w:val="0"/>
            <w:vAlign w:val="center"/>
          </w:tcPr>
          <w:p>
            <w:pPr>
              <w:jc w:val="center"/>
              <w:rPr>
                <w:rFonts w:hint="eastAsia" w:ascii="宋体" w:hAnsi="宋体" w:cs="宋体"/>
                <w:b/>
                <w:bCs/>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jc w:val="center"/>
        </w:trPr>
        <w:tc>
          <w:tcPr>
            <w:tcW w:w="546"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rPr>
                <w:rFonts w:hint="eastAsia" w:ascii="宋体" w:hAnsi="宋体" w:cs="宋体"/>
                <w:color w:val="000000"/>
                <w:sz w:val="22"/>
                <w:szCs w:val="22"/>
              </w:rPr>
            </w:pPr>
          </w:p>
        </w:tc>
        <w:tc>
          <w:tcPr>
            <w:tcW w:w="4860" w:type="dxa"/>
            <w:noWrap w:val="0"/>
            <w:vAlign w:val="center"/>
          </w:tcPr>
          <w:p>
            <w:pPr>
              <w:rPr>
                <w:rFonts w:hint="eastAsia" w:ascii="宋体" w:hAnsi="宋体" w:cs="宋体"/>
                <w:color w:val="000000"/>
                <w:sz w:val="22"/>
                <w:szCs w:val="22"/>
              </w:rPr>
            </w:pPr>
          </w:p>
        </w:tc>
        <w:tc>
          <w:tcPr>
            <w:tcW w:w="900" w:type="dxa"/>
            <w:noWrap w:val="0"/>
            <w:vAlign w:val="top"/>
          </w:tcPr>
          <w:p>
            <w:pPr>
              <w:rPr>
                <w:rFonts w:hint="eastAsia" w:ascii="宋体" w:hAnsi="宋体" w:cs="宋体"/>
                <w:color w:val="000000"/>
                <w:sz w:val="22"/>
                <w:szCs w:val="22"/>
              </w:rPr>
            </w:pPr>
          </w:p>
        </w:tc>
        <w:tc>
          <w:tcPr>
            <w:tcW w:w="824" w:type="dxa"/>
            <w:noWrap w:val="0"/>
            <w:vAlign w:val="center"/>
          </w:tcPr>
          <w:p>
            <w:pPr>
              <w:jc w:val="center"/>
              <w:rPr>
                <w:rFonts w:hint="eastAsia" w:ascii="宋体" w:hAnsi="宋体" w:cs="宋体"/>
                <w:b/>
                <w:bCs/>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jc w:val="center"/>
        </w:trPr>
        <w:tc>
          <w:tcPr>
            <w:tcW w:w="546"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rPr>
                <w:rFonts w:hint="eastAsia" w:ascii="宋体" w:hAnsi="宋体" w:cs="宋体"/>
                <w:color w:val="000000"/>
                <w:sz w:val="22"/>
                <w:szCs w:val="22"/>
              </w:rPr>
            </w:pPr>
          </w:p>
        </w:tc>
        <w:tc>
          <w:tcPr>
            <w:tcW w:w="4860" w:type="dxa"/>
            <w:noWrap w:val="0"/>
            <w:vAlign w:val="center"/>
          </w:tcPr>
          <w:p>
            <w:pPr>
              <w:rPr>
                <w:rFonts w:hint="eastAsia" w:ascii="宋体" w:hAnsi="宋体" w:cs="宋体"/>
                <w:color w:val="000000"/>
                <w:sz w:val="22"/>
                <w:szCs w:val="22"/>
              </w:rPr>
            </w:pPr>
          </w:p>
        </w:tc>
        <w:tc>
          <w:tcPr>
            <w:tcW w:w="900" w:type="dxa"/>
            <w:noWrap w:val="0"/>
            <w:vAlign w:val="top"/>
          </w:tcPr>
          <w:p>
            <w:pPr>
              <w:rPr>
                <w:rFonts w:hint="eastAsia" w:ascii="宋体" w:hAnsi="宋体" w:cs="宋体"/>
                <w:color w:val="000000"/>
                <w:sz w:val="22"/>
                <w:szCs w:val="22"/>
              </w:rPr>
            </w:pPr>
          </w:p>
        </w:tc>
        <w:tc>
          <w:tcPr>
            <w:tcW w:w="824" w:type="dxa"/>
            <w:noWrap w:val="0"/>
            <w:vAlign w:val="center"/>
          </w:tcPr>
          <w:p>
            <w:pPr>
              <w:jc w:val="center"/>
              <w:rPr>
                <w:rFonts w:hint="eastAsia" w:ascii="宋体" w:hAnsi="宋体" w:cs="宋体"/>
                <w:b/>
                <w:bCs/>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jc w:val="center"/>
        </w:trPr>
        <w:tc>
          <w:tcPr>
            <w:tcW w:w="546"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rPr>
                <w:rFonts w:hint="eastAsia" w:ascii="宋体" w:hAnsi="宋体" w:cs="宋体"/>
                <w:color w:val="000000"/>
                <w:sz w:val="22"/>
                <w:szCs w:val="22"/>
              </w:rPr>
            </w:pPr>
          </w:p>
        </w:tc>
        <w:tc>
          <w:tcPr>
            <w:tcW w:w="4860" w:type="dxa"/>
            <w:noWrap w:val="0"/>
            <w:vAlign w:val="center"/>
          </w:tcPr>
          <w:p>
            <w:pPr>
              <w:rPr>
                <w:rFonts w:hint="eastAsia" w:ascii="宋体" w:hAnsi="宋体" w:cs="宋体"/>
                <w:color w:val="000000"/>
                <w:sz w:val="22"/>
                <w:szCs w:val="22"/>
              </w:rPr>
            </w:pPr>
          </w:p>
        </w:tc>
        <w:tc>
          <w:tcPr>
            <w:tcW w:w="900" w:type="dxa"/>
            <w:noWrap w:val="0"/>
            <w:vAlign w:val="top"/>
          </w:tcPr>
          <w:p>
            <w:pPr>
              <w:rPr>
                <w:rFonts w:hint="eastAsia" w:ascii="宋体" w:hAnsi="宋体" w:cs="宋体"/>
                <w:color w:val="000000"/>
                <w:sz w:val="22"/>
                <w:szCs w:val="22"/>
              </w:rPr>
            </w:pPr>
          </w:p>
        </w:tc>
        <w:tc>
          <w:tcPr>
            <w:tcW w:w="824" w:type="dxa"/>
            <w:noWrap w:val="0"/>
            <w:vAlign w:val="center"/>
          </w:tcPr>
          <w:p>
            <w:pPr>
              <w:jc w:val="center"/>
              <w:rPr>
                <w:rFonts w:hint="eastAsia" w:ascii="宋体" w:hAnsi="宋体" w:cs="宋体"/>
                <w:b/>
                <w:bCs/>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jc w:val="center"/>
        </w:trPr>
        <w:tc>
          <w:tcPr>
            <w:tcW w:w="546"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rPr>
                <w:rFonts w:hint="eastAsia" w:ascii="宋体" w:hAnsi="宋体" w:cs="宋体"/>
                <w:color w:val="000000"/>
                <w:sz w:val="22"/>
                <w:szCs w:val="22"/>
              </w:rPr>
            </w:pPr>
          </w:p>
        </w:tc>
        <w:tc>
          <w:tcPr>
            <w:tcW w:w="4860" w:type="dxa"/>
            <w:noWrap w:val="0"/>
            <w:vAlign w:val="center"/>
          </w:tcPr>
          <w:p>
            <w:pPr>
              <w:rPr>
                <w:rFonts w:hint="eastAsia" w:ascii="宋体" w:hAnsi="宋体" w:cs="宋体"/>
                <w:color w:val="000000"/>
                <w:sz w:val="22"/>
                <w:szCs w:val="22"/>
              </w:rPr>
            </w:pPr>
          </w:p>
        </w:tc>
        <w:tc>
          <w:tcPr>
            <w:tcW w:w="900" w:type="dxa"/>
            <w:noWrap w:val="0"/>
            <w:vAlign w:val="top"/>
          </w:tcPr>
          <w:p>
            <w:pPr>
              <w:rPr>
                <w:rFonts w:hint="eastAsia" w:ascii="宋体" w:hAnsi="宋体" w:cs="宋体"/>
                <w:color w:val="000000"/>
                <w:sz w:val="22"/>
                <w:szCs w:val="22"/>
              </w:rPr>
            </w:pPr>
          </w:p>
        </w:tc>
        <w:tc>
          <w:tcPr>
            <w:tcW w:w="824" w:type="dxa"/>
            <w:noWrap w:val="0"/>
            <w:vAlign w:val="center"/>
          </w:tcPr>
          <w:p>
            <w:pPr>
              <w:jc w:val="center"/>
              <w:rPr>
                <w:rFonts w:hint="eastAsia" w:ascii="宋体" w:hAnsi="宋体" w:cs="宋体"/>
                <w:b/>
                <w:bCs/>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jc w:val="center"/>
        </w:trPr>
        <w:tc>
          <w:tcPr>
            <w:tcW w:w="546"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rPr>
                <w:rFonts w:hint="eastAsia" w:ascii="宋体" w:hAnsi="宋体" w:cs="宋体"/>
                <w:color w:val="000000"/>
                <w:sz w:val="22"/>
                <w:szCs w:val="22"/>
              </w:rPr>
            </w:pPr>
          </w:p>
        </w:tc>
        <w:tc>
          <w:tcPr>
            <w:tcW w:w="4860" w:type="dxa"/>
            <w:noWrap w:val="0"/>
            <w:vAlign w:val="center"/>
          </w:tcPr>
          <w:p>
            <w:pPr>
              <w:rPr>
                <w:rFonts w:hint="eastAsia" w:ascii="宋体" w:hAnsi="宋体" w:cs="宋体"/>
                <w:color w:val="000000"/>
                <w:sz w:val="22"/>
                <w:szCs w:val="22"/>
              </w:rPr>
            </w:pPr>
          </w:p>
        </w:tc>
        <w:tc>
          <w:tcPr>
            <w:tcW w:w="900" w:type="dxa"/>
            <w:noWrap w:val="0"/>
            <w:vAlign w:val="top"/>
          </w:tcPr>
          <w:p>
            <w:pPr>
              <w:rPr>
                <w:rFonts w:hint="eastAsia" w:ascii="宋体" w:hAnsi="宋体" w:cs="宋体"/>
                <w:color w:val="000000"/>
                <w:sz w:val="22"/>
                <w:szCs w:val="22"/>
              </w:rPr>
            </w:pPr>
          </w:p>
        </w:tc>
        <w:tc>
          <w:tcPr>
            <w:tcW w:w="824" w:type="dxa"/>
            <w:noWrap w:val="0"/>
            <w:vAlign w:val="center"/>
          </w:tcPr>
          <w:p>
            <w:pPr>
              <w:jc w:val="center"/>
              <w:rPr>
                <w:rFonts w:hint="eastAsia" w:ascii="宋体" w:hAnsi="宋体" w:cs="宋体"/>
                <w:b/>
                <w:bCs/>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jc w:val="center"/>
        </w:trPr>
        <w:tc>
          <w:tcPr>
            <w:tcW w:w="546"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rPr>
                <w:rFonts w:hint="eastAsia" w:ascii="宋体" w:hAnsi="宋体" w:cs="宋体"/>
                <w:color w:val="000000"/>
                <w:sz w:val="22"/>
                <w:szCs w:val="22"/>
              </w:rPr>
            </w:pPr>
          </w:p>
        </w:tc>
        <w:tc>
          <w:tcPr>
            <w:tcW w:w="4860" w:type="dxa"/>
            <w:noWrap w:val="0"/>
            <w:vAlign w:val="center"/>
          </w:tcPr>
          <w:p>
            <w:pPr>
              <w:rPr>
                <w:rFonts w:hint="eastAsia" w:ascii="宋体" w:hAnsi="宋体" w:cs="宋体"/>
                <w:color w:val="000000"/>
                <w:sz w:val="22"/>
                <w:szCs w:val="22"/>
              </w:rPr>
            </w:pPr>
          </w:p>
        </w:tc>
        <w:tc>
          <w:tcPr>
            <w:tcW w:w="900" w:type="dxa"/>
            <w:noWrap w:val="0"/>
            <w:vAlign w:val="top"/>
          </w:tcPr>
          <w:p>
            <w:pPr>
              <w:rPr>
                <w:rFonts w:hint="eastAsia" w:ascii="宋体" w:hAnsi="宋体" w:cs="宋体"/>
                <w:color w:val="000000"/>
                <w:sz w:val="22"/>
                <w:szCs w:val="22"/>
              </w:rPr>
            </w:pPr>
          </w:p>
        </w:tc>
        <w:tc>
          <w:tcPr>
            <w:tcW w:w="824" w:type="dxa"/>
            <w:noWrap w:val="0"/>
            <w:vAlign w:val="center"/>
          </w:tcPr>
          <w:p>
            <w:pPr>
              <w:jc w:val="center"/>
              <w:rPr>
                <w:rFonts w:hint="eastAsia" w:ascii="宋体" w:hAnsi="宋体" w:cs="宋体"/>
                <w:b/>
                <w:bCs/>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jc w:val="center"/>
        </w:trPr>
        <w:tc>
          <w:tcPr>
            <w:tcW w:w="546"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rPr>
                <w:rFonts w:hint="eastAsia" w:ascii="宋体" w:hAnsi="宋体" w:cs="宋体"/>
                <w:color w:val="000000"/>
                <w:sz w:val="22"/>
                <w:szCs w:val="22"/>
              </w:rPr>
            </w:pPr>
          </w:p>
        </w:tc>
        <w:tc>
          <w:tcPr>
            <w:tcW w:w="4860" w:type="dxa"/>
            <w:noWrap w:val="0"/>
            <w:vAlign w:val="center"/>
          </w:tcPr>
          <w:p>
            <w:pPr>
              <w:rPr>
                <w:rFonts w:hint="eastAsia" w:ascii="宋体" w:hAnsi="宋体" w:cs="宋体"/>
                <w:color w:val="000000"/>
                <w:sz w:val="22"/>
                <w:szCs w:val="22"/>
              </w:rPr>
            </w:pPr>
          </w:p>
        </w:tc>
        <w:tc>
          <w:tcPr>
            <w:tcW w:w="900" w:type="dxa"/>
            <w:noWrap w:val="0"/>
            <w:vAlign w:val="top"/>
          </w:tcPr>
          <w:p>
            <w:pPr>
              <w:rPr>
                <w:rFonts w:hint="eastAsia" w:ascii="宋体" w:hAnsi="宋体" w:cs="宋体"/>
                <w:color w:val="000000"/>
                <w:sz w:val="22"/>
                <w:szCs w:val="22"/>
              </w:rPr>
            </w:pPr>
          </w:p>
        </w:tc>
        <w:tc>
          <w:tcPr>
            <w:tcW w:w="824" w:type="dxa"/>
            <w:noWrap w:val="0"/>
            <w:vAlign w:val="center"/>
          </w:tcPr>
          <w:p>
            <w:pPr>
              <w:jc w:val="center"/>
              <w:rPr>
                <w:rFonts w:hint="eastAsia" w:ascii="宋体" w:hAnsi="宋体" w:cs="宋体"/>
                <w:b/>
                <w:bCs/>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jc w:val="center"/>
        </w:trPr>
        <w:tc>
          <w:tcPr>
            <w:tcW w:w="546"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rPr>
                <w:rFonts w:hint="eastAsia" w:ascii="宋体" w:hAnsi="宋体" w:cs="宋体"/>
                <w:color w:val="000000"/>
                <w:sz w:val="22"/>
                <w:szCs w:val="22"/>
              </w:rPr>
            </w:pPr>
          </w:p>
        </w:tc>
        <w:tc>
          <w:tcPr>
            <w:tcW w:w="4860" w:type="dxa"/>
            <w:noWrap w:val="0"/>
            <w:vAlign w:val="center"/>
          </w:tcPr>
          <w:p>
            <w:pPr>
              <w:rPr>
                <w:rFonts w:hint="eastAsia" w:ascii="宋体" w:hAnsi="宋体" w:cs="宋体"/>
                <w:color w:val="000000"/>
                <w:sz w:val="22"/>
                <w:szCs w:val="22"/>
              </w:rPr>
            </w:pPr>
          </w:p>
        </w:tc>
        <w:tc>
          <w:tcPr>
            <w:tcW w:w="900" w:type="dxa"/>
            <w:noWrap w:val="0"/>
            <w:vAlign w:val="top"/>
          </w:tcPr>
          <w:p>
            <w:pPr>
              <w:rPr>
                <w:rFonts w:hint="eastAsia" w:ascii="宋体" w:hAnsi="宋体" w:cs="宋体"/>
                <w:color w:val="000000"/>
                <w:sz w:val="22"/>
                <w:szCs w:val="22"/>
              </w:rPr>
            </w:pPr>
          </w:p>
        </w:tc>
        <w:tc>
          <w:tcPr>
            <w:tcW w:w="824" w:type="dxa"/>
            <w:noWrap w:val="0"/>
            <w:vAlign w:val="center"/>
          </w:tcPr>
          <w:p>
            <w:pPr>
              <w:jc w:val="center"/>
              <w:rPr>
                <w:rFonts w:hint="eastAsia" w:ascii="宋体" w:hAnsi="宋体" w:cs="宋体"/>
                <w:b/>
                <w:bCs/>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jc w:val="center"/>
        </w:trPr>
        <w:tc>
          <w:tcPr>
            <w:tcW w:w="546"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jc w:val="center"/>
              <w:rPr>
                <w:rFonts w:hint="eastAsia" w:ascii="宋体" w:hAnsi="宋体" w:cs="宋体"/>
                <w:b/>
                <w:bCs/>
                <w:color w:val="000000"/>
                <w:sz w:val="22"/>
                <w:szCs w:val="22"/>
              </w:rPr>
            </w:pPr>
          </w:p>
        </w:tc>
        <w:tc>
          <w:tcPr>
            <w:tcW w:w="1260" w:type="dxa"/>
            <w:noWrap w:val="0"/>
            <w:vAlign w:val="center"/>
          </w:tcPr>
          <w:p>
            <w:pPr>
              <w:rPr>
                <w:rFonts w:hint="eastAsia" w:ascii="宋体" w:hAnsi="宋体" w:cs="宋体"/>
                <w:color w:val="000000"/>
                <w:sz w:val="22"/>
                <w:szCs w:val="22"/>
              </w:rPr>
            </w:pPr>
          </w:p>
        </w:tc>
        <w:tc>
          <w:tcPr>
            <w:tcW w:w="4860" w:type="dxa"/>
            <w:noWrap w:val="0"/>
            <w:vAlign w:val="center"/>
          </w:tcPr>
          <w:p>
            <w:pPr>
              <w:rPr>
                <w:rFonts w:hint="eastAsia" w:ascii="宋体" w:hAnsi="宋体" w:cs="宋体"/>
                <w:color w:val="000000"/>
                <w:sz w:val="22"/>
                <w:szCs w:val="22"/>
              </w:rPr>
            </w:pPr>
          </w:p>
        </w:tc>
        <w:tc>
          <w:tcPr>
            <w:tcW w:w="900" w:type="dxa"/>
            <w:noWrap w:val="0"/>
            <w:vAlign w:val="top"/>
          </w:tcPr>
          <w:p>
            <w:pPr>
              <w:rPr>
                <w:rFonts w:hint="eastAsia" w:ascii="宋体" w:hAnsi="宋体" w:cs="宋体"/>
                <w:color w:val="000000"/>
                <w:sz w:val="22"/>
                <w:szCs w:val="22"/>
              </w:rPr>
            </w:pPr>
          </w:p>
        </w:tc>
        <w:tc>
          <w:tcPr>
            <w:tcW w:w="824" w:type="dxa"/>
            <w:noWrap w:val="0"/>
            <w:vAlign w:val="center"/>
          </w:tcPr>
          <w:p>
            <w:pPr>
              <w:jc w:val="center"/>
              <w:rPr>
                <w:rFonts w:hint="eastAsia" w:ascii="宋体" w:hAnsi="宋体" w:cs="宋体"/>
                <w:b/>
                <w:bCs/>
                <w:color w:val="000000"/>
                <w:sz w:val="22"/>
                <w:szCs w:val="22"/>
              </w:rPr>
            </w:pPr>
          </w:p>
        </w:tc>
      </w:tr>
    </w:tbl>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此表可在不改变格式的情况下自行制作</w:t>
      </w:r>
    </w:p>
    <w:p>
      <w:pPr>
        <w:spacing w:line="360" w:lineRule="auto"/>
        <w:rPr>
          <w:rFonts w:hint="eastAsia" w:ascii="宋体" w:hAnsi="宋体" w:cs="宋体"/>
          <w:b/>
          <w:bCs/>
          <w:sz w:val="22"/>
          <w:szCs w:val="22"/>
          <w:u w:val="single"/>
        </w:rPr>
      </w:pPr>
      <w:r>
        <w:rPr>
          <w:rFonts w:hint="eastAsia" w:ascii="宋体" w:hAnsi="宋体" w:cs="宋体"/>
          <w:color w:val="000000"/>
          <w:sz w:val="22"/>
          <w:szCs w:val="22"/>
        </w:rPr>
        <w:t>备注：该表需详细填写，提供相关资料，置于技术标中，用于技术评审</w:t>
      </w:r>
    </w:p>
    <w:p>
      <w:pPr>
        <w:pStyle w:val="24"/>
        <w:spacing w:line="440" w:lineRule="exact"/>
        <w:ind w:firstLine="440" w:firstLineChars="200"/>
        <w:rPr>
          <w:rFonts w:hint="eastAsia" w:hAnsi="宋体" w:cs="宋体"/>
          <w:sz w:val="22"/>
          <w:szCs w:val="22"/>
        </w:rPr>
      </w:pPr>
      <w:r>
        <w:rPr>
          <w:rFonts w:hint="eastAsia" w:hAnsi="宋体" w:cs="宋体"/>
          <w:sz w:val="22"/>
          <w:szCs w:val="22"/>
        </w:rPr>
        <w:t xml:space="preserve"> </w:t>
      </w:r>
    </w:p>
    <w:p>
      <w:pPr>
        <w:autoSpaceDE w:val="0"/>
        <w:autoSpaceDN w:val="0"/>
        <w:adjustRightInd w:val="0"/>
        <w:spacing w:line="440" w:lineRule="atLeast"/>
        <w:ind w:firstLine="627" w:firstLineChars="285"/>
        <w:rPr>
          <w:rFonts w:hint="eastAsia" w:ascii="宋体" w:hAnsi="宋体" w:cs="宋体"/>
          <w:sz w:val="22"/>
          <w:szCs w:val="22"/>
          <w:lang w:val="zh-CN"/>
        </w:rPr>
      </w:pPr>
      <w:r>
        <w:rPr>
          <w:rFonts w:hint="eastAsia" w:ascii="宋体" w:hAnsi="宋体" w:cs="宋体"/>
          <w:sz w:val="22"/>
          <w:szCs w:val="22"/>
          <w:lang w:val="zh-CN"/>
        </w:rPr>
        <w:t>供应商全称（电子签章）：</w:t>
      </w:r>
    </w:p>
    <w:p>
      <w:pPr>
        <w:autoSpaceDE w:val="0"/>
        <w:autoSpaceDN w:val="0"/>
        <w:adjustRightInd w:val="0"/>
        <w:spacing w:line="440" w:lineRule="atLeast"/>
        <w:ind w:firstLine="627" w:firstLineChars="285"/>
        <w:rPr>
          <w:rFonts w:hint="eastAsia" w:ascii="宋体" w:hAnsi="宋体" w:cs="宋体"/>
          <w:sz w:val="22"/>
          <w:szCs w:val="22"/>
          <w:lang w:val="zh-CN"/>
        </w:rPr>
      </w:pPr>
      <w:r>
        <w:rPr>
          <w:rFonts w:hint="eastAsia" w:ascii="宋体" w:hAnsi="宋体" w:cs="宋体"/>
          <w:sz w:val="22"/>
          <w:szCs w:val="22"/>
        </w:rPr>
        <w:t>法定代表人或授权代表人</w:t>
      </w:r>
      <w:r>
        <w:rPr>
          <w:rFonts w:hint="eastAsia" w:ascii="宋体" w:hAnsi="宋体" w:cs="宋体"/>
          <w:sz w:val="22"/>
          <w:szCs w:val="22"/>
          <w:lang w:val="zh-CN"/>
        </w:rPr>
        <w:t>（签字</w:t>
      </w:r>
      <w:r>
        <w:rPr>
          <w:rFonts w:hint="eastAsia" w:ascii="宋体" w:hAnsi="宋体" w:cs="宋体"/>
          <w:sz w:val="22"/>
          <w:szCs w:val="22"/>
        </w:rPr>
        <w:t>或盖章</w:t>
      </w:r>
      <w:r>
        <w:rPr>
          <w:rFonts w:hint="eastAsia" w:ascii="宋体" w:hAnsi="宋体" w:cs="宋体"/>
          <w:sz w:val="22"/>
          <w:szCs w:val="22"/>
          <w:lang w:val="zh-CN"/>
        </w:rPr>
        <w:t>）：</w:t>
      </w:r>
    </w:p>
    <w:p>
      <w:pPr>
        <w:pStyle w:val="24"/>
        <w:spacing w:line="460" w:lineRule="atLeast"/>
        <w:ind w:firstLine="660" w:firstLineChars="300"/>
        <w:rPr>
          <w:rFonts w:hint="eastAsia" w:hAnsi="宋体" w:cs="宋体"/>
          <w:kern w:val="0"/>
          <w:sz w:val="22"/>
          <w:szCs w:val="22"/>
        </w:rPr>
      </w:pPr>
      <w:r>
        <w:rPr>
          <w:rFonts w:hint="eastAsia" w:hAnsi="宋体" w:cs="宋体"/>
          <w:sz w:val="22"/>
          <w:szCs w:val="22"/>
          <w:lang w:val="zh-CN"/>
        </w:rPr>
        <w:t>日期：</w:t>
      </w:r>
    </w:p>
    <w:p>
      <w:pPr>
        <w:pStyle w:val="24"/>
        <w:spacing w:line="460" w:lineRule="atLeast"/>
        <w:rPr>
          <w:rFonts w:hint="eastAsia" w:hAnsi="宋体" w:cs="宋体"/>
          <w:b/>
          <w:sz w:val="22"/>
          <w:szCs w:val="22"/>
        </w:rPr>
      </w:pPr>
    </w:p>
    <w:p>
      <w:pPr>
        <w:pStyle w:val="24"/>
        <w:spacing w:line="460" w:lineRule="atLeast"/>
        <w:rPr>
          <w:rFonts w:hint="eastAsia" w:hAnsi="宋体" w:cs="宋体"/>
          <w:b/>
          <w:sz w:val="22"/>
          <w:szCs w:val="22"/>
        </w:rPr>
        <w:sectPr>
          <w:headerReference r:id="rId10" w:type="first"/>
          <w:footerReference r:id="rId11" w:type="first"/>
          <w:pgSz w:w="11911" w:h="16838"/>
          <w:pgMar w:top="1417" w:right="1417" w:bottom="1417" w:left="1417" w:header="709" w:footer="1553" w:gutter="0"/>
          <w:cols w:space="720" w:num="1"/>
          <w:docGrid w:linePitch="324" w:charSpace="0"/>
        </w:sectPr>
      </w:pPr>
    </w:p>
    <w:p>
      <w:pPr>
        <w:pStyle w:val="24"/>
        <w:spacing w:line="460" w:lineRule="atLeast"/>
        <w:rPr>
          <w:rFonts w:hint="eastAsia" w:hAnsi="宋体" w:cs="宋体"/>
          <w:b/>
          <w:sz w:val="22"/>
          <w:szCs w:val="22"/>
        </w:rPr>
      </w:pPr>
      <w:r>
        <w:rPr>
          <w:rFonts w:hint="eastAsia" w:hAnsi="宋体" w:cs="宋体"/>
          <w:b/>
          <w:sz w:val="22"/>
          <w:szCs w:val="22"/>
        </w:rPr>
        <w:t>附件六</w:t>
      </w:r>
    </w:p>
    <w:p>
      <w:pPr>
        <w:pStyle w:val="24"/>
        <w:adjustRightInd w:val="0"/>
        <w:snapToGrid w:val="0"/>
        <w:spacing w:line="440" w:lineRule="atLeast"/>
        <w:jc w:val="center"/>
        <w:rPr>
          <w:rFonts w:hint="eastAsia" w:hAnsi="宋体" w:cs="宋体"/>
          <w:b/>
          <w:sz w:val="22"/>
          <w:szCs w:val="22"/>
        </w:rPr>
      </w:pPr>
      <w:r>
        <w:rPr>
          <w:rFonts w:hint="eastAsia" w:hAnsi="宋体" w:cs="宋体"/>
          <w:b/>
          <w:sz w:val="22"/>
          <w:szCs w:val="22"/>
        </w:rPr>
        <w:t>供应商同类项目业绩一览表</w:t>
      </w:r>
    </w:p>
    <w:p>
      <w:pPr>
        <w:spacing w:line="360" w:lineRule="auto"/>
        <w:ind w:firstLine="330" w:firstLineChars="150"/>
        <w:rPr>
          <w:rFonts w:hint="eastAsia" w:ascii="宋体" w:hAnsi="宋体" w:cs="宋体"/>
          <w:b/>
          <w:kern w:val="0"/>
          <w:sz w:val="22"/>
          <w:szCs w:val="22"/>
          <w:u w:val="single"/>
        </w:rPr>
      </w:pPr>
      <w:r>
        <w:rPr>
          <w:rFonts w:hint="eastAsia" w:ascii="宋体" w:hAnsi="宋体" w:cs="宋体"/>
          <w:sz w:val="22"/>
          <w:szCs w:val="22"/>
        </w:rPr>
        <w:t>项目名称：</w:t>
      </w:r>
      <w:r>
        <w:rPr>
          <w:rFonts w:hint="eastAsia" w:ascii="宋体" w:hAnsi="宋体" w:cs="宋体"/>
          <w:b/>
          <w:kern w:val="0"/>
          <w:sz w:val="22"/>
          <w:szCs w:val="22"/>
          <w:u w:val="single"/>
        </w:rPr>
        <w:t xml:space="preserve">                                </w:t>
      </w:r>
    </w:p>
    <w:p>
      <w:pPr>
        <w:spacing w:line="360" w:lineRule="auto"/>
        <w:ind w:firstLine="330" w:firstLineChars="150"/>
        <w:rPr>
          <w:rFonts w:hint="eastAsia" w:ascii="宋体" w:hAnsi="宋体" w:cs="宋体"/>
          <w:sz w:val="22"/>
          <w:szCs w:val="22"/>
        </w:rPr>
      </w:pPr>
      <w:r>
        <w:rPr>
          <w:rFonts w:hint="eastAsia" w:ascii="宋体" w:hAnsi="宋体" w:cs="宋体"/>
          <w:sz w:val="22"/>
          <w:szCs w:val="22"/>
        </w:rPr>
        <w:t>项目编号：</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73"/>
        <w:gridCol w:w="2095"/>
        <w:gridCol w:w="1697"/>
        <w:gridCol w:w="1352"/>
        <w:gridCol w:w="14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2" w:hRule="atLeast"/>
          <w:jc w:val="center"/>
        </w:trPr>
        <w:tc>
          <w:tcPr>
            <w:tcW w:w="2673" w:type="dxa"/>
            <w:tcBorders>
              <w:top w:val="single" w:color="auto" w:sz="12" w:space="0"/>
              <w:left w:val="single" w:color="auto" w:sz="12" w:space="0"/>
              <w:bottom w:val="single" w:color="auto" w:sz="4" w:space="0"/>
              <w:right w:val="single" w:color="auto" w:sz="4" w:space="0"/>
            </w:tcBorders>
            <w:noWrap w:val="0"/>
            <w:vAlign w:val="center"/>
          </w:tcPr>
          <w:p>
            <w:pPr>
              <w:autoSpaceDE w:val="0"/>
              <w:autoSpaceDN w:val="0"/>
              <w:adjustRightInd w:val="0"/>
              <w:spacing w:line="360" w:lineRule="auto"/>
              <w:jc w:val="center"/>
              <w:rPr>
                <w:rFonts w:hint="eastAsia" w:ascii="宋体" w:hAnsi="宋体" w:cs="宋体"/>
                <w:bCs/>
                <w:sz w:val="22"/>
                <w:szCs w:val="22"/>
                <w:lang w:val="zh-CN"/>
              </w:rPr>
            </w:pPr>
            <w:r>
              <w:rPr>
                <w:rFonts w:hint="eastAsia" w:ascii="宋体" w:hAnsi="宋体" w:cs="宋体"/>
                <w:bCs/>
                <w:sz w:val="22"/>
                <w:szCs w:val="22"/>
                <w:lang w:val="zh-CN"/>
              </w:rPr>
              <w:t>用户名称</w:t>
            </w:r>
          </w:p>
        </w:tc>
        <w:tc>
          <w:tcPr>
            <w:tcW w:w="2095" w:type="dxa"/>
            <w:tcBorders>
              <w:top w:val="single" w:color="auto" w:sz="12" w:space="0"/>
              <w:left w:val="single" w:color="auto" w:sz="4" w:space="0"/>
              <w:right w:val="single" w:color="auto" w:sz="4" w:space="0"/>
            </w:tcBorders>
            <w:noWrap w:val="0"/>
            <w:vAlign w:val="center"/>
          </w:tcPr>
          <w:p>
            <w:pPr>
              <w:autoSpaceDE w:val="0"/>
              <w:autoSpaceDN w:val="0"/>
              <w:adjustRightInd w:val="0"/>
              <w:spacing w:line="360" w:lineRule="auto"/>
              <w:jc w:val="center"/>
              <w:rPr>
                <w:rFonts w:hint="eastAsia" w:ascii="宋体" w:hAnsi="宋体" w:cs="宋体"/>
                <w:bCs/>
                <w:sz w:val="22"/>
                <w:szCs w:val="22"/>
                <w:lang w:val="zh-CN"/>
              </w:rPr>
            </w:pPr>
            <w:r>
              <w:rPr>
                <w:rFonts w:hint="eastAsia" w:ascii="宋体" w:hAnsi="宋体" w:cs="宋体"/>
                <w:bCs/>
                <w:sz w:val="22"/>
                <w:szCs w:val="22"/>
                <w:lang w:val="zh-CN"/>
              </w:rPr>
              <w:t>地址、联系电话</w:t>
            </w:r>
          </w:p>
        </w:tc>
        <w:tc>
          <w:tcPr>
            <w:tcW w:w="1697" w:type="dxa"/>
            <w:tcBorders>
              <w:top w:val="single" w:color="auto" w:sz="12" w:space="0"/>
              <w:left w:val="single" w:color="auto" w:sz="4" w:space="0"/>
              <w:right w:val="single" w:color="auto" w:sz="4" w:space="0"/>
            </w:tcBorders>
            <w:noWrap w:val="0"/>
            <w:vAlign w:val="center"/>
          </w:tcPr>
          <w:p>
            <w:pPr>
              <w:autoSpaceDE w:val="0"/>
              <w:autoSpaceDN w:val="0"/>
              <w:adjustRightInd w:val="0"/>
              <w:spacing w:line="360" w:lineRule="auto"/>
              <w:jc w:val="center"/>
              <w:rPr>
                <w:rFonts w:hint="eastAsia" w:ascii="宋体" w:hAnsi="宋体" w:cs="宋体"/>
                <w:bCs/>
                <w:sz w:val="22"/>
                <w:szCs w:val="22"/>
                <w:lang w:val="zh-CN"/>
              </w:rPr>
            </w:pPr>
            <w:r>
              <w:rPr>
                <w:rFonts w:hint="eastAsia" w:ascii="宋体" w:hAnsi="宋体" w:cs="宋体"/>
                <w:bCs/>
                <w:sz w:val="22"/>
                <w:szCs w:val="22"/>
                <w:lang w:val="zh-CN"/>
              </w:rPr>
              <w:t>合同起止时间</w:t>
            </w:r>
          </w:p>
        </w:tc>
        <w:tc>
          <w:tcPr>
            <w:tcW w:w="1352" w:type="dxa"/>
            <w:tcBorders>
              <w:top w:val="single" w:color="auto" w:sz="12" w:space="0"/>
              <w:left w:val="single" w:color="auto" w:sz="4" w:space="0"/>
              <w:right w:val="single" w:color="auto" w:sz="4" w:space="0"/>
            </w:tcBorders>
            <w:noWrap w:val="0"/>
            <w:vAlign w:val="center"/>
          </w:tcPr>
          <w:p>
            <w:pPr>
              <w:autoSpaceDE w:val="0"/>
              <w:autoSpaceDN w:val="0"/>
              <w:adjustRightInd w:val="0"/>
              <w:spacing w:line="360" w:lineRule="auto"/>
              <w:jc w:val="center"/>
              <w:rPr>
                <w:rFonts w:hint="eastAsia" w:ascii="宋体" w:hAnsi="宋体" w:cs="宋体"/>
                <w:bCs/>
                <w:sz w:val="22"/>
                <w:szCs w:val="22"/>
                <w:lang w:val="zh-CN"/>
              </w:rPr>
            </w:pPr>
            <w:r>
              <w:rPr>
                <w:rFonts w:hint="eastAsia" w:ascii="宋体" w:hAnsi="宋体" w:cs="宋体"/>
                <w:bCs/>
                <w:sz w:val="22"/>
                <w:szCs w:val="22"/>
                <w:lang w:val="zh-CN"/>
              </w:rPr>
              <w:t>合同金额</w:t>
            </w:r>
          </w:p>
          <w:p>
            <w:pPr>
              <w:autoSpaceDE w:val="0"/>
              <w:autoSpaceDN w:val="0"/>
              <w:adjustRightInd w:val="0"/>
              <w:spacing w:line="360" w:lineRule="auto"/>
              <w:jc w:val="center"/>
              <w:rPr>
                <w:rFonts w:hint="eastAsia" w:ascii="宋体" w:hAnsi="宋体" w:cs="宋体"/>
                <w:bCs/>
                <w:sz w:val="22"/>
                <w:szCs w:val="22"/>
                <w:lang w:val="zh-CN"/>
              </w:rPr>
            </w:pPr>
            <w:r>
              <w:rPr>
                <w:rFonts w:hint="eastAsia" w:ascii="宋体" w:hAnsi="宋体" w:cs="宋体"/>
                <w:bCs/>
                <w:sz w:val="22"/>
                <w:szCs w:val="22"/>
                <w:lang w:val="zh-CN"/>
              </w:rPr>
              <w:t>（万元）</w:t>
            </w:r>
          </w:p>
        </w:tc>
        <w:tc>
          <w:tcPr>
            <w:tcW w:w="1479" w:type="dxa"/>
            <w:tcBorders>
              <w:top w:val="single" w:color="auto" w:sz="12" w:space="0"/>
              <w:left w:val="single" w:color="auto" w:sz="4" w:space="0"/>
              <w:bottom w:val="single" w:color="auto" w:sz="4" w:space="0"/>
              <w:right w:val="single" w:color="auto" w:sz="12" w:space="0"/>
            </w:tcBorders>
            <w:noWrap w:val="0"/>
            <w:vAlign w:val="center"/>
          </w:tcPr>
          <w:p>
            <w:pPr>
              <w:autoSpaceDE w:val="0"/>
              <w:autoSpaceDN w:val="0"/>
              <w:adjustRightInd w:val="0"/>
              <w:spacing w:line="360" w:lineRule="auto"/>
              <w:jc w:val="center"/>
              <w:rPr>
                <w:rFonts w:hint="eastAsia" w:ascii="宋体" w:hAnsi="宋体" w:cs="宋体"/>
                <w:bCs/>
                <w:sz w:val="22"/>
                <w:szCs w:val="22"/>
                <w:lang w:val="zh-CN"/>
              </w:rPr>
            </w:pPr>
            <w:r>
              <w:rPr>
                <w:rFonts w:hint="eastAsia" w:ascii="宋体" w:hAnsi="宋体" w:cs="宋体"/>
                <w:bCs/>
                <w:sz w:val="22"/>
                <w:szCs w:val="22"/>
                <w:lang w:val="zh-CN"/>
              </w:rPr>
              <w:t>服务内容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2" w:hRule="atLeast"/>
          <w:jc w:val="center"/>
        </w:trPr>
        <w:tc>
          <w:tcPr>
            <w:tcW w:w="2673" w:type="dxa"/>
            <w:tcBorders>
              <w:top w:val="single" w:color="auto" w:sz="4" w:space="0"/>
              <w:left w:val="single" w:color="auto" w:sz="12" w:space="0"/>
              <w:bottom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2095" w:type="dxa"/>
            <w:tcBorders>
              <w:left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1697" w:type="dxa"/>
            <w:tcBorders>
              <w:left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1352" w:type="dxa"/>
            <w:tcBorders>
              <w:left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1479" w:type="dxa"/>
            <w:tcBorders>
              <w:top w:val="single" w:color="auto" w:sz="4" w:space="0"/>
              <w:left w:val="single" w:color="auto" w:sz="4" w:space="0"/>
              <w:bottom w:val="single" w:color="auto" w:sz="4" w:space="0"/>
              <w:right w:val="single" w:color="auto" w:sz="12" w:space="0"/>
            </w:tcBorders>
            <w:noWrap w:val="0"/>
            <w:vAlign w:val="top"/>
          </w:tcPr>
          <w:p>
            <w:pPr>
              <w:autoSpaceDE w:val="0"/>
              <w:autoSpaceDN w:val="0"/>
              <w:adjustRightInd w:val="0"/>
              <w:spacing w:line="360" w:lineRule="auto"/>
              <w:rPr>
                <w:rFonts w:hint="eastAsia" w:ascii="宋体" w:hAnsi="宋体" w:cs="宋体"/>
                <w:sz w:val="22"/>
                <w:szCs w:val="22"/>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2" w:hRule="atLeast"/>
          <w:jc w:val="center"/>
        </w:trPr>
        <w:tc>
          <w:tcPr>
            <w:tcW w:w="2673" w:type="dxa"/>
            <w:tcBorders>
              <w:top w:val="single" w:color="auto" w:sz="4" w:space="0"/>
              <w:left w:val="single" w:color="auto" w:sz="12" w:space="0"/>
              <w:bottom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2095" w:type="dxa"/>
            <w:tcBorders>
              <w:left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1697" w:type="dxa"/>
            <w:tcBorders>
              <w:left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1352" w:type="dxa"/>
            <w:tcBorders>
              <w:left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1479" w:type="dxa"/>
            <w:tcBorders>
              <w:top w:val="single" w:color="auto" w:sz="4" w:space="0"/>
              <w:left w:val="single" w:color="auto" w:sz="4" w:space="0"/>
              <w:bottom w:val="single" w:color="auto" w:sz="4" w:space="0"/>
              <w:right w:val="single" w:color="auto" w:sz="12" w:space="0"/>
            </w:tcBorders>
            <w:noWrap w:val="0"/>
            <w:vAlign w:val="top"/>
          </w:tcPr>
          <w:p>
            <w:pPr>
              <w:autoSpaceDE w:val="0"/>
              <w:autoSpaceDN w:val="0"/>
              <w:adjustRightInd w:val="0"/>
              <w:spacing w:line="360" w:lineRule="auto"/>
              <w:rPr>
                <w:rFonts w:hint="eastAsia" w:ascii="宋体" w:hAnsi="宋体" w:cs="宋体"/>
                <w:sz w:val="22"/>
                <w:szCs w:val="22"/>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2" w:hRule="atLeast"/>
          <w:jc w:val="center"/>
        </w:trPr>
        <w:tc>
          <w:tcPr>
            <w:tcW w:w="2673" w:type="dxa"/>
            <w:tcBorders>
              <w:top w:val="single" w:color="auto" w:sz="4" w:space="0"/>
              <w:left w:val="single" w:color="auto" w:sz="12" w:space="0"/>
              <w:bottom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2095" w:type="dxa"/>
            <w:tcBorders>
              <w:left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1697" w:type="dxa"/>
            <w:tcBorders>
              <w:left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1352" w:type="dxa"/>
            <w:tcBorders>
              <w:left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1479" w:type="dxa"/>
            <w:tcBorders>
              <w:top w:val="single" w:color="auto" w:sz="4" w:space="0"/>
              <w:left w:val="single" w:color="auto" w:sz="4" w:space="0"/>
              <w:bottom w:val="single" w:color="auto" w:sz="4" w:space="0"/>
              <w:right w:val="single" w:color="auto" w:sz="12" w:space="0"/>
            </w:tcBorders>
            <w:noWrap w:val="0"/>
            <w:vAlign w:val="top"/>
          </w:tcPr>
          <w:p>
            <w:pPr>
              <w:autoSpaceDE w:val="0"/>
              <w:autoSpaceDN w:val="0"/>
              <w:adjustRightInd w:val="0"/>
              <w:spacing w:line="360" w:lineRule="auto"/>
              <w:rPr>
                <w:rFonts w:hint="eastAsia" w:ascii="宋体" w:hAnsi="宋体" w:cs="宋体"/>
                <w:sz w:val="22"/>
                <w:szCs w:val="22"/>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2" w:hRule="atLeast"/>
          <w:jc w:val="center"/>
        </w:trPr>
        <w:tc>
          <w:tcPr>
            <w:tcW w:w="2673" w:type="dxa"/>
            <w:tcBorders>
              <w:top w:val="single" w:color="auto" w:sz="4" w:space="0"/>
              <w:left w:val="single" w:color="auto" w:sz="12" w:space="0"/>
              <w:bottom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2095" w:type="dxa"/>
            <w:tcBorders>
              <w:left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1697" w:type="dxa"/>
            <w:tcBorders>
              <w:left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1352" w:type="dxa"/>
            <w:tcBorders>
              <w:left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1479" w:type="dxa"/>
            <w:tcBorders>
              <w:top w:val="single" w:color="auto" w:sz="4" w:space="0"/>
              <w:left w:val="single" w:color="auto" w:sz="4" w:space="0"/>
              <w:bottom w:val="single" w:color="auto" w:sz="4" w:space="0"/>
              <w:right w:val="single" w:color="auto" w:sz="12" w:space="0"/>
            </w:tcBorders>
            <w:noWrap w:val="0"/>
            <w:vAlign w:val="top"/>
          </w:tcPr>
          <w:p>
            <w:pPr>
              <w:autoSpaceDE w:val="0"/>
              <w:autoSpaceDN w:val="0"/>
              <w:adjustRightInd w:val="0"/>
              <w:spacing w:line="360" w:lineRule="auto"/>
              <w:rPr>
                <w:rFonts w:hint="eastAsia" w:ascii="宋体" w:hAnsi="宋体" w:cs="宋体"/>
                <w:sz w:val="22"/>
                <w:szCs w:val="22"/>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2" w:hRule="atLeast"/>
          <w:jc w:val="center"/>
        </w:trPr>
        <w:tc>
          <w:tcPr>
            <w:tcW w:w="2673" w:type="dxa"/>
            <w:tcBorders>
              <w:top w:val="single" w:color="auto" w:sz="4" w:space="0"/>
              <w:left w:val="single" w:color="auto" w:sz="12" w:space="0"/>
              <w:bottom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2095" w:type="dxa"/>
            <w:tcBorders>
              <w:left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1697" w:type="dxa"/>
            <w:tcBorders>
              <w:left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1352" w:type="dxa"/>
            <w:tcBorders>
              <w:left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1479" w:type="dxa"/>
            <w:tcBorders>
              <w:top w:val="single" w:color="auto" w:sz="4" w:space="0"/>
              <w:left w:val="single" w:color="auto" w:sz="4" w:space="0"/>
              <w:bottom w:val="single" w:color="auto" w:sz="4" w:space="0"/>
              <w:right w:val="single" w:color="auto" w:sz="12" w:space="0"/>
            </w:tcBorders>
            <w:noWrap w:val="0"/>
            <w:vAlign w:val="top"/>
          </w:tcPr>
          <w:p>
            <w:pPr>
              <w:autoSpaceDE w:val="0"/>
              <w:autoSpaceDN w:val="0"/>
              <w:adjustRightInd w:val="0"/>
              <w:spacing w:line="360" w:lineRule="auto"/>
              <w:rPr>
                <w:rFonts w:hint="eastAsia" w:ascii="宋体" w:hAnsi="宋体" w:cs="宋体"/>
                <w:sz w:val="22"/>
                <w:szCs w:val="22"/>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2" w:hRule="atLeast"/>
          <w:jc w:val="center"/>
        </w:trPr>
        <w:tc>
          <w:tcPr>
            <w:tcW w:w="2673" w:type="dxa"/>
            <w:tcBorders>
              <w:top w:val="single" w:color="auto" w:sz="4" w:space="0"/>
              <w:left w:val="single" w:color="auto" w:sz="12" w:space="0"/>
              <w:bottom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2095" w:type="dxa"/>
            <w:tcBorders>
              <w:left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1697" w:type="dxa"/>
            <w:tcBorders>
              <w:left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1352" w:type="dxa"/>
            <w:tcBorders>
              <w:left w:val="single" w:color="auto" w:sz="4" w:space="0"/>
              <w:right w:val="single" w:color="auto" w:sz="4" w:space="0"/>
            </w:tcBorders>
            <w:noWrap w:val="0"/>
            <w:vAlign w:val="top"/>
          </w:tcPr>
          <w:p>
            <w:pPr>
              <w:autoSpaceDE w:val="0"/>
              <w:autoSpaceDN w:val="0"/>
              <w:adjustRightInd w:val="0"/>
              <w:spacing w:line="360" w:lineRule="auto"/>
              <w:rPr>
                <w:rFonts w:hint="eastAsia" w:ascii="宋体" w:hAnsi="宋体" w:cs="宋体"/>
                <w:sz w:val="22"/>
                <w:szCs w:val="22"/>
                <w:lang w:val="zh-CN"/>
              </w:rPr>
            </w:pPr>
          </w:p>
        </w:tc>
        <w:tc>
          <w:tcPr>
            <w:tcW w:w="1479" w:type="dxa"/>
            <w:tcBorders>
              <w:top w:val="single" w:color="auto" w:sz="4" w:space="0"/>
              <w:left w:val="single" w:color="auto" w:sz="4" w:space="0"/>
              <w:bottom w:val="single" w:color="auto" w:sz="4" w:space="0"/>
              <w:right w:val="single" w:color="auto" w:sz="12" w:space="0"/>
            </w:tcBorders>
            <w:noWrap w:val="0"/>
            <w:vAlign w:val="top"/>
          </w:tcPr>
          <w:p>
            <w:pPr>
              <w:autoSpaceDE w:val="0"/>
              <w:autoSpaceDN w:val="0"/>
              <w:adjustRightInd w:val="0"/>
              <w:spacing w:line="360" w:lineRule="auto"/>
              <w:rPr>
                <w:rFonts w:hint="eastAsia" w:ascii="宋体" w:hAnsi="宋体" w:cs="宋体"/>
                <w:sz w:val="22"/>
                <w:szCs w:val="22"/>
                <w:lang w:val="zh-CN"/>
              </w:rPr>
            </w:pPr>
          </w:p>
        </w:tc>
      </w:tr>
    </w:tbl>
    <w:p>
      <w:pPr>
        <w:snapToGrid w:val="0"/>
        <w:spacing w:line="500" w:lineRule="atLeast"/>
        <w:ind w:firstLine="552" w:firstLineChars="250"/>
        <w:rPr>
          <w:rFonts w:hint="eastAsia" w:ascii="宋体" w:hAnsi="宋体" w:cs="宋体"/>
          <w:b/>
          <w:sz w:val="22"/>
          <w:szCs w:val="22"/>
        </w:rPr>
      </w:pPr>
    </w:p>
    <w:p>
      <w:pPr>
        <w:snapToGrid w:val="0"/>
        <w:spacing w:line="500" w:lineRule="atLeast"/>
        <w:ind w:firstLine="552" w:firstLineChars="250"/>
        <w:rPr>
          <w:rFonts w:hint="eastAsia" w:ascii="宋体" w:hAnsi="宋体" w:cs="宋体"/>
          <w:b/>
          <w:sz w:val="22"/>
          <w:szCs w:val="22"/>
        </w:rPr>
      </w:pPr>
      <w:r>
        <w:rPr>
          <w:rFonts w:hint="eastAsia" w:ascii="宋体" w:hAnsi="宋体" w:cs="宋体"/>
          <w:b/>
          <w:sz w:val="22"/>
          <w:szCs w:val="22"/>
        </w:rPr>
        <w:t>供应商（电子签章）：</w:t>
      </w:r>
    </w:p>
    <w:p>
      <w:pPr>
        <w:snapToGrid w:val="0"/>
        <w:spacing w:line="500" w:lineRule="atLeast"/>
        <w:ind w:firstLine="541" w:firstLineChars="245"/>
        <w:rPr>
          <w:rFonts w:hint="eastAsia" w:ascii="宋体" w:hAnsi="宋体" w:cs="宋体"/>
          <w:b/>
          <w:sz w:val="22"/>
          <w:szCs w:val="22"/>
        </w:rPr>
      </w:pPr>
      <w:r>
        <w:rPr>
          <w:rFonts w:hint="eastAsia" w:ascii="宋体" w:hAnsi="宋体" w:cs="宋体"/>
          <w:b/>
          <w:sz w:val="22"/>
          <w:szCs w:val="22"/>
        </w:rPr>
        <w:t>法定代表人或授权代表（签字或盖章）：</w:t>
      </w:r>
    </w:p>
    <w:p>
      <w:pPr>
        <w:snapToGrid w:val="0"/>
        <w:spacing w:line="500" w:lineRule="atLeast"/>
        <w:ind w:firstLine="541" w:firstLineChars="245"/>
        <w:rPr>
          <w:rFonts w:hint="eastAsia" w:ascii="宋体" w:hAnsi="宋体" w:cs="宋体"/>
          <w:sz w:val="22"/>
          <w:szCs w:val="22"/>
        </w:rPr>
      </w:pPr>
      <w:r>
        <w:rPr>
          <w:rFonts w:hint="eastAsia" w:ascii="宋体" w:hAnsi="宋体" w:cs="宋体"/>
          <w:b/>
          <w:sz w:val="22"/>
          <w:szCs w:val="22"/>
        </w:rPr>
        <w:t xml:space="preserve">日期：  </w:t>
      </w:r>
      <w:r>
        <w:rPr>
          <w:rFonts w:hint="eastAsia" w:ascii="宋体" w:hAnsi="宋体" w:cs="宋体"/>
          <w:sz w:val="22"/>
          <w:szCs w:val="22"/>
        </w:rPr>
        <w:t xml:space="preserve">  </w:t>
      </w:r>
    </w:p>
    <w:p>
      <w:pPr>
        <w:snapToGrid w:val="0"/>
        <w:spacing w:line="500" w:lineRule="atLeast"/>
        <w:ind w:firstLine="541" w:firstLineChars="245"/>
        <w:rPr>
          <w:rFonts w:hint="eastAsia" w:ascii="宋体" w:hAnsi="宋体" w:cs="宋体"/>
          <w:sz w:val="22"/>
          <w:szCs w:val="22"/>
        </w:rPr>
      </w:pPr>
      <w:r>
        <w:rPr>
          <w:rFonts w:hint="eastAsia" w:ascii="宋体" w:hAnsi="宋体" w:cs="宋体"/>
          <w:b/>
          <w:sz w:val="22"/>
          <w:szCs w:val="22"/>
        </w:rPr>
        <w:br w:type="page"/>
      </w:r>
      <w:r>
        <w:rPr>
          <w:rFonts w:hint="eastAsia" w:ascii="宋体" w:hAnsi="宋体" w:cs="宋体"/>
          <w:b/>
          <w:sz w:val="22"/>
          <w:szCs w:val="22"/>
        </w:rPr>
        <w:t>附件七-1</w:t>
      </w:r>
    </w:p>
    <w:p>
      <w:pPr>
        <w:spacing w:line="360" w:lineRule="auto"/>
        <w:jc w:val="center"/>
        <w:rPr>
          <w:rFonts w:hint="eastAsia" w:ascii="宋体" w:hAnsi="宋体" w:cs="宋体"/>
          <w:b/>
          <w:bCs/>
          <w:sz w:val="22"/>
          <w:szCs w:val="22"/>
        </w:rPr>
      </w:pPr>
      <w:r>
        <w:rPr>
          <w:rFonts w:hint="eastAsia" w:ascii="宋体" w:hAnsi="宋体" w:cs="宋体"/>
          <w:b/>
          <w:bCs/>
          <w:sz w:val="22"/>
          <w:szCs w:val="22"/>
        </w:rPr>
        <w:t>拟派项目负责人情况表</w:t>
      </w:r>
    </w:p>
    <w:tbl>
      <w:tblPr>
        <w:tblStyle w:val="43"/>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778"/>
        <w:gridCol w:w="1890"/>
        <w:gridCol w:w="462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778" w:type="dxa"/>
            <w:noWrap w:val="0"/>
            <w:vAlign w:val="center"/>
          </w:tcPr>
          <w:p>
            <w:pPr>
              <w:spacing w:line="360" w:lineRule="auto"/>
              <w:jc w:val="center"/>
              <w:rPr>
                <w:rFonts w:hint="eastAsia" w:ascii="宋体" w:hAnsi="宋体" w:cs="宋体"/>
                <w:sz w:val="22"/>
                <w:szCs w:val="22"/>
              </w:rPr>
            </w:pPr>
            <w:r>
              <w:rPr>
                <w:rFonts w:hint="eastAsia" w:ascii="宋体" w:hAnsi="宋体" w:cs="宋体"/>
                <w:sz w:val="22"/>
                <w:szCs w:val="22"/>
              </w:rPr>
              <w:t>姓名</w:t>
            </w:r>
          </w:p>
        </w:tc>
        <w:tc>
          <w:tcPr>
            <w:tcW w:w="1890" w:type="dxa"/>
            <w:noWrap w:val="0"/>
            <w:vAlign w:val="top"/>
          </w:tcPr>
          <w:p>
            <w:pPr>
              <w:spacing w:line="360" w:lineRule="auto"/>
              <w:rPr>
                <w:rFonts w:hint="eastAsia" w:ascii="宋体" w:hAnsi="宋体" w:cs="宋体"/>
                <w:sz w:val="22"/>
                <w:szCs w:val="22"/>
              </w:rPr>
            </w:pPr>
          </w:p>
        </w:tc>
        <w:tc>
          <w:tcPr>
            <w:tcW w:w="4620" w:type="dxa"/>
            <w:noWrap w:val="0"/>
            <w:vAlign w:val="center"/>
          </w:tcPr>
          <w:p>
            <w:pPr>
              <w:spacing w:line="360" w:lineRule="auto"/>
              <w:jc w:val="center"/>
              <w:rPr>
                <w:rFonts w:hint="eastAsia" w:ascii="宋体" w:hAnsi="宋体" w:cs="宋体"/>
                <w:sz w:val="22"/>
                <w:szCs w:val="22"/>
              </w:rPr>
            </w:pPr>
            <w:r>
              <w:rPr>
                <w:rFonts w:hint="eastAsia" w:ascii="宋体" w:hAnsi="宋体" w:cs="宋体"/>
                <w:sz w:val="22"/>
                <w:szCs w:val="22"/>
              </w:rPr>
              <w:t>近3年业绩及承担的主要工作情况（曾担任项目负责人的项目应列明细）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778" w:type="dxa"/>
            <w:noWrap w:val="0"/>
            <w:vAlign w:val="center"/>
          </w:tcPr>
          <w:p>
            <w:pPr>
              <w:spacing w:line="360" w:lineRule="auto"/>
              <w:jc w:val="center"/>
              <w:rPr>
                <w:rFonts w:hint="eastAsia" w:ascii="宋体" w:hAnsi="宋体" w:cs="宋体"/>
                <w:sz w:val="22"/>
                <w:szCs w:val="22"/>
              </w:rPr>
            </w:pPr>
            <w:r>
              <w:rPr>
                <w:rFonts w:hint="eastAsia" w:ascii="宋体" w:hAnsi="宋体" w:cs="宋体"/>
                <w:sz w:val="22"/>
                <w:szCs w:val="22"/>
              </w:rPr>
              <w:t>性别</w:t>
            </w:r>
          </w:p>
        </w:tc>
        <w:tc>
          <w:tcPr>
            <w:tcW w:w="1890" w:type="dxa"/>
            <w:noWrap w:val="0"/>
            <w:vAlign w:val="top"/>
          </w:tcPr>
          <w:p>
            <w:pPr>
              <w:spacing w:line="360" w:lineRule="auto"/>
              <w:rPr>
                <w:rFonts w:hint="eastAsia" w:ascii="宋体" w:hAnsi="宋体" w:cs="宋体"/>
                <w:sz w:val="22"/>
                <w:szCs w:val="22"/>
              </w:rPr>
            </w:pPr>
          </w:p>
        </w:tc>
        <w:tc>
          <w:tcPr>
            <w:tcW w:w="4620" w:type="dxa"/>
            <w:vMerge w:val="restart"/>
            <w:noWrap w:val="0"/>
            <w:vAlign w:val="top"/>
          </w:tcPr>
          <w:p>
            <w:pPr>
              <w:spacing w:line="360" w:lineRule="auto"/>
              <w:rPr>
                <w:rFonts w:hint="eastAsia" w:ascii="宋体" w:hAnsi="宋体" w:cs="宋体"/>
                <w:sz w:val="22"/>
                <w:szCs w:val="2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778" w:type="dxa"/>
            <w:noWrap w:val="0"/>
            <w:vAlign w:val="center"/>
          </w:tcPr>
          <w:p>
            <w:pPr>
              <w:spacing w:line="360" w:lineRule="auto"/>
              <w:jc w:val="center"/>
              <w:rPr>
                <w:rFonts w:hint="eastAsia" w:ascii="宋体" w:hAnsi="宋体" w:cs="宋体"/>
                <w:sz w:val="22"/>
                <w:szCs w:val="22"/>
              </w:rPr>
            </w:pPr>
            <w:r>
              <w:rPr>
                <w:rFonts w:hint="eastAsia" w:ascii="宋体" w:hAnsi="宋体" w:cs="宋体"/>
                <w:sz w:val="22"/>
                <w:szCs w:val="22"/>
              </w:rPr>
              <w:t>年龄</w:t>
            </w:r>
          </w:p>
        </w:tc>
        <w:tc>
          <w:tcPr>
            <w:tcW w:w="1890" w:type="dxa"/>
            <w:noWrap w:val="0"/>
            <w:vAlign w:val="top"/>
          </w:tcPr>
          <w:p>
            <w:pPr>
              <w:spacing w:line="360" w:lineRule="auto"/>
              <w:rPr>
                <w:rFonts w:hint="eastAsia" w:ascii="宋体" w:hAnsi="宋体" w:cs="宋体"/>
                <w:sz w:val="22"/>
                <w:szCs w:val="22"/>
              </w:rPr>
            </w:pPr>
          </w:p>
        </w:tc>
        <w:tc>
          <w:tcPr>
            <w:tcW w:w="4620" w:type="dxa"/>
            <w:vMerge w:val="continue"/>
            <w:noWrap w:val="0"/>
            <w:vAlign w:val="top"/>
          </w:tcPr>
          <w:p>
            <w:pPr>
              <w:spacing w:line="360" w:lineRule="auto"/>
              <w:rPr>
                <w:rFonts w:hint="eastAsia" w:ascii="宋体" w:hAnsi="宋体" w:cs="宋体"/>
                <w:sz w:val="22"/>
                <w:szCs w:val="2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778" w:type="dxa"/>
            <w:noWrap w:val="0"/>
            <w:vAlign w:val="center"/>
          </w:tcPr>
          <w:p>
            <w:pPr>
              <w:spacing w:line="360" w:lineRule="auto"/>
              <w:jc w:val="center"/>
              <w:rPr>
                <w:rFonts w:hint="eastAsia" w:ascii="宋体" w:hAnsi="宋体" w:cs="宋体"/>
                <w:sz w:val="22"/>
                <w:szCs w:val="22"/>
              </w:rPr>
            </w:pPr>
            <w:r>
              <w:rPr>
                <w:rFonts w:hint="eastAsia" w:ascii="宋体" w:hAnsi="宋体" w:cs="宋体"/>
                <w:sz w:val="22"/>
                <w:szCs w:val="22"/>
              </w:rPr>
              <w:t>职称</w:t>
            </w:r>
          </w:p>
        </w:tc>
        <w:tc>
          <w:tcPr>
            <w:tcW w:w="1890" w:type="dxa"/>
            <w:noWrap w:val="0"/>
            <w:vAlign w:val="top"/>
          </w:tcPr>
          <w:p>
            <w:pPr>
              <w:spacing w:line="360" w:lineRule="auto"/>
              <w:rPr>
                <w:rFonts w:hint="eastAsia" w:ascii="宋体" w:hAnsi="宋体" w:cs="宋体"/>
                <w:sz w:val="22"/>
                <w:szCs w:val="22"/>
              </w:rPr>
            </w:pPr>
          </w:p>
        </w:tc>
        <w:tc>
          <w:tcPr>
            <w:tcW w:w="4620" w:type="dxa"/>
            <w:vMerge w:val="continue"/>
            <w:noWrap w:val="0"/>
            <w:vAlign w:val="top"/>
          </w:tcPr>
          <w:p>
            <w:pPr>
              <w:spacing w:line="360" w:lineRule="auto"/>
              <w:rPr>
                <w:rFonts w:hint="eastAsia" w:ascii="宋体" w:hAnsi="宋体" w:cs="宋体"/>
                <w:sz w:val="22"/>
                <w:szCs w:val="2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778" w:type="dxa"/>
            <w:noWrap w:val="0"/>
            <w:vAlign w:val="center"/>
          </w:tcPr>
          <w:p>
            <w:pPr>
              <w:spacing w:line="360" w:lineRule="auto"/>
              <w:jc w:val="center"/>
              <w:rPr>
                <w:rFonts w:hint="eastAsia" w:ascii="宋体" w:hAnsi="宋体" w:cs="宋体"/>
                <w:sz w:val="22"/>
                <w:szCs w:val="22"/>
              </w:rPr>
            </w:pPr>
            <w:r>
              <w:rPr>
                <w:rFonts w:hint="eastAsia" w:ascii="宋体" w:hAnsi="宋体" w:cs="宋体"/>
                <w:sz w:val="22"/>
                <w:szCs w:val="22"/>
              </w:rPr>
              <w:t>毕业时间</w:t>
            </w:r>
          </w:p>
        </w:tc>
        <w:tc>
          <w:tcPr>
            <w:tcW w:w="1890" w:type="dxa"/>
            <w:noWrap w:val="0"/>
            <w:vAlign w:val="top"/>
          </w:tcPr>
          <w:p>
            <w:pPr>
              <w:spacing w:line="360" w:lineRule="auto"/>
              <w:rPr>
                <w:rFonts w:hint="eastAsia" w:ascii="宋体" w:hAnsi="宋体" w:cs="宋体"/>
                <w:sz w:val="22"/>
                <w:szCs w:val="22"/>
              </w:rPr>
            </w:pPr>
          </w:p>
        </w:tc>
        <w:tc>
          <w:tcPr>
            <w:tcW w:w="4620" w:type="dxa"/>
            <w:vMerge w:val="continue"/>
            <w:noWrap w:val="0"/>
            <w:vAlign w:val="top"/>
          </w:tcPr>
          <w:p>
            <w:pPr>
              <w:spacing w:line="360" w:lineRule="auto"/>
              <w:rPr>
                <w:rFonts w:hint="eastAsia" w:ascii="宋体" w:hAnsi="宋体" w:cs="宋体"/>
                <w:sz w:val="22"/>
                <w:szCs w:val="2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778" w:type="dxa"/>
            <w:noWrap w:val="0"/>
            <w:vAlign w:val="center"/>
          </w:tcPr>
          <w:p>
            <w:pPr>
              <w:spacing w:line="360" w:lineRule="auto"/>
              <w:jc w:val="center"/>
              <w:rPr>
                <w:rFonts w:hint="eastAsia" w:ascii="宋体" w:hAnsi="宋体" w:cs="宋体"/>
                <w:sz w:val="22"/>
                <w:szCs w:val="22"/>
              </w:rPr>
            </w:pPr>
            <w:r>
              <w:rPr>
                <w:rFonts w:hint="eastAsia" w:ascii="宋体" w:hAnsi="宋体" w:cs="宋体"/>
                <w:sz w:val="22"/>
                <w:szCs w:val="22"/>
              </w:rPr>
              <w:t>所学专业</w:t>
            </w:r>
          </w:p>
        </w:tc>
        <w:tc>
          <w:tcPr>
            <w:tcW w:w="1890" w:type="dxa"/>
            <w:noWrap w:val="0"/>
            <w:vAlign w:val="top"/>
          </w:tcPr>
          <w:p>
            <w:pPr>
              <w:spacing w:line="360" w:lineRule="auto"/>
              <w:rPr>
                <w:rFonts w:hint="eastAsia" w:ascii="宋体" w:hAnsi="宋体" w:cs="宋体"/>
                <w:sz w:val="22"/>
                <w:szCs w:val="22"/>
              </w:rPr>
            </w:pPr>
          </w:p>
        </w:tc>
        <w:tc>
          <w:tcPr>
            <w:tcW w:w="4620" w:type="dxa"/>
            <w:vMerge w:val="continue"/>
            <w:noWrap w:val="0"/>
            <w:vAlign w:val="top"/>
          </w:tcPr>
          <w:p>
            <w:pPr>
              <w:spacing w:line="360" w:lineRule="auto"/>
              <w:rPr>
                <w:rFonts w:hint="eastAsia" w:ascii="宋体" w:hAnsi="宋体" w:cs="宋体"/>
                <w:sz w:val="22"/>
                <w:szCs w:val="2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778" w:type="dxa"/>
            <w:noWrap w:val="0"/>
            <w:vAlign w:val="center"/>
          </w:tcPr>
          <w:p>
            <w:pPr>
              <w:spacing w:line="360" w:lineRule="auto"/>
              <w:jc w:val="center"/>
              <w:rPr>
                <w:rFonts w:hint="eastAsia" w:ascii="宋体" w:hAnsi="宋体" w:cs="宋体"/>
                <w:sz w:val="22"/>
                <w:szCs w:val="22"/>
              </w:rPr>
            </w:pPr>
            <w:r>
              <w:rPr>
                <w:rFonts w:hint="eastAsia" w:ascii="宋体" w:hAnsi="宋体" w:cs="宋体"/>
                <w:sz w:val="22"/>
                <w:szCs w:val="22"/>
              </w:rPr>
              <w:t>学历</w:t>
            </w:r>
          </w:p>
        </w:tc>
        <w:tc>
          <w:tcPr>
            <w:tcW w:w="1890" w:type="dxa"/>
            <w:noWrap w:val="0"/>
            <w:vAlign w:val="top"/>
          </w:tcPr>
          <w:p>
            <w:pPr>
              <w:spacing w:line="360" w:lineRule="auto"/>
              <w:rPr>
                <w:rFonts w:hint="eastAsia" w:ascii="宋体" w:hAnsi="宋体" w:cs="宋体"/>
                <w:sz w:val="22"/>
                <w:szCs w:val="22"/>
              </w:rPr>
            </w:pPr>
          </w:p>
        </w:tc>
        <w:tc>
          <w:tcPr>
            <w:tcW w:w="4620" w:type="dxa"/>
            <w:vMerge w:val="continue"/>
            <w:noWrap w:val="0"/>
            <w:vAlign w:val="top"/>
          </w:tcPr>
          <w:p>
            <w:pPr>
              <w:spacing w:line="360" w:lineRule="auto"/>
              <w:rPr>
                <w:rFonts w:hint="eastAsia" w:ascii="宋体" w:hAnsi="宋体" w:cs="宋体"/>
                <w:sz w:val="22"/>
                <w:szCs w:val="2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778" w:type="dxa"/>
            <w:noWrap w:val="0"/>
            <w:vAlign w:val="center"/>
          </w:tcPr>
          <w:p>
            <w:pPr>
              <w:spacing w:line="360" w:lineRule="auto"/>
              <w:jc w:val="center"/>
              <w:rPr>
                <w:rFonts w:hint="eastAsia" w:ascii="宋体" w:hAnsi="宋体" w:cs="宋体"/>
                <w:sz w:val="22"/>
                <w:szCs w:val="22"/>
              </w:rPr>
            </w:pPr>
            <w:r>
              <w:rPr>
                <w:rFonts w:hint="eastAsia" w:ascii="宋体" w:hAnsi="宋体" w:cs="宋体"/>
                <w:sz w:val="22"/>
                <w:szCs w:val="22"/>
              </w:rPr>
              <w:t>从业年限</w:t>
            </w:r>
          </w:p>
        </w:tc>
        <w:tc>
          <w:tcPr>
            <w:tcW w:w="1890" w:type="dxa"/>
            <w:noWrap w:val="0"/>
            <w:vAlign w:val="top"/>
          </w:tcPr>
          <w:p>
            <w:pPr>
              <w:spacing w:line="360" w:lineRule="auto"/>
              <w:rPr>
                <w:rFonts w:hint="eastAsia" w:ascii="宋体" w:hAnsi="宋体" w:cs="宋体"/>
                <w:sz w:val="22"/>
                <w:szCs w:val="22"/>
              </w:rPr>
            </w:pPr>
          </w:p>
        </w:tc>
        <w:tc>
          <w:tcPr>
            <w:tcW w:w="4620" w:type="dxa"/>
            <w:vMerge w:val="continue"/>
            <w:noWrap w:val="0"/>
            <w:vAlign w:val="top"/>
          </w:tcPr>
          <w:p>
            <w:pPr>
              <w:spacing w:line="360" w:lineRule="auto"/>
              <w:rPr>
                <w:rFonts w:hint="eastAsia" w:ascii="宋体" w:hAnsi="宋体" w:cs="宋体"/>
                <w:sz w:val="22"/>
                <w:szCs w:val="2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778" w:type="dxa"/>
            <w:noWrap w:val="0"/>
            <w:vAlign w:val="center"/>
          </w:tcPr>
          <w:p>
            <w:pPr>
              <w:spacing w:line="360" w:lineRule="auto"/>
              <w:jc w:val="center"/>
              <w:rPr>
                <w:rFonts w:hint="eastAsia" w:ascii="宋体" w:hAnsi="宋体" w:cs="宋体"/>
                <w:sz w:val="22"/>
                <w:szCs w:val="22"/>
              </w:rPr>
            </w:pPr>
            <w:r>
              <w:rPr>
                <w:rFonts w:hint="eastAsia" w:ascii="宋体" w:hAnsi="宋体" w:cs="宋体"/>
                <w:sz w:val="22"/>
                <w:szCs w:val="22"/>
              </w:rPr>
              <w:t>证书编号</w:t>
            </w:r>
          </w:p>
        </w:tc>
        <w:tc>
          <w:tcPr>
            <w:tcW w:w="1890" w:type="dxa"/>
            <w:noWrap w:val="0"/>
            <w:vAlign w:val="top"/>
          </w:tcPr>
          <w:p>
            <w:pPr>
              <w:spacing w:line="360" w:lineRule="auto"/>
              <w:rPr>
                <w:rFonts w:hint="eastAsia" w:ascii="宋体" w:hAnsi="宋体" w:cs="宋体"/>
                <w:sz w:val="22"/>
                <w:szCs w:val="22"/>
              </w:rPr>
            </w:pPr>
          </w:p>
        </w:tc>
        <w:tc>
          <w:tcPr>
            <w:tcW w:w="4620" w:type="dxa"/>
            <w:vMerge w:val="continue"/>
            <w:noWrap w:val="0"/>
            <w:vAlign w:val="top"/>
          </w:tcPr>
          <w:p>
            <w:pPr>
              <w:spacing w:line="360" w:lineRule="auto"/>
              <w:rPr>
                <w:rFonts w:hint="eastAsia" w:ascii="宋体" w:hAnsi="宋体" w:cs="宋体"/>
                <w:sz w:val="22"/>
                <w:szCs w:val="2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778" w:type="dxa"/>
            <w:noWrap w:val="0"/>
            <w:vAlign w:val="center"/>
          </w:tcPr>
          <w:p>
            <w:pPr>
              <w:spacing w:line="360" w:lineRule="auto"/>
              <w:jc w:val="center"/>
              <w:rPr>
                <w:rFonts w:hint="eastAsia" w:ascii="宋体" w:hAnsi="宋体" w:cs="宋体"/>
                <w:sz w:val="22"/>
                <w:szCs w:val="22"/>
              </w:rPr>
            </w:pPr>
            <w:r>
              <w:rPr>
                <w:rFonts w:hint="eastAsia" w:ascii="宋体" w:hAnsi="宋体" w:cs="宋体"/>
                <w:sz w:val="22"/>
                <w:szCs w:val="22"/>
              </w:rPr>
              <w:t>其他资质情况</w:t>
            </w:r>
          </w:p>
        </w:tc>
        <w:tc>
          <w:tcPr>
            <w:tcW w:w="1890" w:type="dxa"/>
            <w:noWrap w:val="0"/>
            <w:vAlign w:val="top"/>
          </w:tcPr>
          <w:p>
            <w:pPr>
              <w:spacing w:line="360" w:lineRule="auto"/>
              <w:rPr>
                <w:rFonts w:hint="eastAsia" w:ascii="宋体" w:hAnsi="宋体" w:cs="宋体"/>
                <w:sz w:val="22"/>
                <w:szCs w:val="22"/>
              </w:rPr>
            </w:pPr>
          </w:p>
        </w:tc>
        <w:tc>
          <w:tcPr>
            <w:tcW w:w="4620" w:type="dxa"/>
            <w:vMerge w:val="continue"/>
            <w:noWrap w:val="0"/>
            <w:vAlign w:val="top"/>
          </w:tcPr>
          <w:p>
            <w:pPr>
              <w:spacing w:line="360" w:lineRule="auto"/>
              <w:rPr>
                <w:rFonts w:hint="eastAsia" w:ascii="宋体" w:hAnsi="宋体" w:cs="宋体"/>
                <w:sz w:val="22"/>
                <w:szCs w:val="2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778" w:type="dxa"/>
            <w:noWrap w:val="0"/>
            <w:vAlign w:val="center"/>
          </w:tcPr>
          <w:p>
            <w:pPr>
              <w:spacing w:line="360" w:lineRule="auto"/>
              <w:jc w:val="center"/>
              <w:rPr>
                <w:rFonts w:hint="eastAsia" w:ascii="宋体" w:hAnsi="宋体" w:cs="宋体"/>
                <w:sz w:val="22"/>
                <w:szCs w:val="22"/>
              </w:rPr>
            </w:pPr>
            <w:r>
              <w:rPr>
                <w:rFonts w:hint="eastAsia" w:ascii="宋体" w:hAnsi="宋体" w:cs="宋体"/>
                <w:sz w:val="22"/>
                <w:szCs w:val="22"/>
              </w:rPr>
              <w:t>联系电话</w:t>
            </w:r>
          </w:p>
        </w:tc>
        <w:tc>
          <w:tcPr>
            <w:tcW w:w="1890" w:type="dxa"/>
            <w:noWrap w:val="0"/>
            <w:vAlign w:val="top"/>
          </w:tcPr>
          <w:p>
            <w:pPr>
              <w:spacing w:line="360" w:lineRule="auto"/>
              <w:rPr>
                <w:rFonts w:hint="eastAsia" w:ascii="宋体" w:hAnsi="宋体" w:cs="宋体"/>
                <w:sz w:val="22"/>
                <w:szCs w:val="22"/>
              </w:rPr>
            </w:pPr>
          </w:p>
        </w:tc>
        <w:tc>
          <w:tcPr>
            <w:tcW w:w="4620" w:type="dxa"/>
            <w:vMerge w:val="continue"/>
            <w:noWrap w:val="0"/>
            <w:vAlign w:val="top"/>
          </w:tcPr>
          <w:p>
            <w:pPr>
              <w:spacing w:line="360" w:lineRule="auto"/>
              <w:rPr>
                <w:rFonts w:hint="eastAsia" w:ascii="宋体" w:hAnsi="宋体" w:cs="宋体"/>
                <w:sz w:val="22"/>
                <w:szCs w:val="22"/>
              </w:rPr>
            </w:pPr>
          </w:p>
        </w:tc>
      </w:tr>
    </w:tbl>
    <w:p>
      <w:pPr>
        <w:spacing w:line="360" w:lineRule="auto"/>
        <w:ind w:firstLine="221" w:firstLineChars="100"/>
        <w:rPr>
          <w:rFonts w:hint="eastAsia" w:ascii="宋体" w:hAnsi="宋体" w:cs="宋体"/>
          <w:b/>
          <w:bCs/>
          <w:sz w:val="22"/>
          <w:szCs w:val="22"/>
          <w:u w:val="single"/>
        </w:rPr>
      </w:pPr>
      <w:r>
        <w:rPr>
          <w:rFonts w:hint="eastAsia" w:ascii="宋体" w:hAnsi="宋体" w:cs="宋体"/>
          <w:b/>
          <w:bCs/>
          <w:sz w:val="22"/>
          <w:szCs w:val="22"/>
          <w:u w:val="single"/>
        </w:rPr>
        <w:t>注：须随表提交相应的证书原件扫描件；</w:t>
      </w:r>
    </w:p>
    <w:p>
      <w:pPr>
        <w:pStyle w:val="24"/>
        <w:spacing w:line="440" w:lineRule="exact"/>
        <w:ind w:firstLine="440" w:firstLineChars="200"/>
        <w:rPr>
          <w:rFonts w:hint="eastAsia" w:hAnsi="宋体" w:cs="宋体"/>
          <w:sz w:val="22"/>
          <w:szCs w:val="22"/>
        </w:rPr>
      </w:pPr>
      <w:r>
        <w:rPr>
          <w:rFonts w:hint="eastAsia" w:hAnsi="宋体" w:cs="宋体"/>
          <w:sz w:val="22"/>
          <w:szCs w:val="22"/>
        </w:rPr>
        <w:t xml:space="preserve"> </w:t>
      </w:r>
    </w:p>
    <w:p>
      <w:pPr>
        <w:pStyle w:val="24"/>
        <w:spacing w:line="440" w:lineRule="exact"/>
        <w:ind w:firstLine="440" w:firstLineChars="200"/>
        <w:rPr>
          <w:rFonts w:hint="eastAsia" w:hAnsi="宋体" w:cs="宋体"/>
          <w:sz w:val="22"/>
          <w:szCs w:val="22"/>
        </w:rPr>
      </w:pPr>
    </w:p>
    <w:p>
      <w:pPr>
        <w:autoSpaceDE w:val="0"/>
        <w:autoSpaceDN w:val="0"/>
        <w:adjustRightInd w:val="0"/>
        <w:spacing w:line="440" w:lineRule="atLeast"/>
        <w:ind w:firstLine="627" w:firstLineChars="285"/>
        <w:rPr>
          <w:rFonts w:hint="eastAsia" w:ascii="宋体" w:hAnsi="宋体" w:cs="宋体"/>
          <w:sz w:val="22"/>
          <w:szCs w:val="22"/>
          <w:lang w:val="zh-CN"/>
        </w:rPr>
      </w:pPr>
      <w:r>
        <w:rPr>
          <w:rFonts w:hint="eastAsia" w:ascii="宋体" w:hAnsi="宋体" w:cs="宋体"/>
          <w:sz w:val="22"/>
          <w:szCs w:val="22"/>
          <w:lang w:val="zh-CN"/>
        </w:rPr>
        <w:t>供应商全称（</w:t>
      </w:r>
      <w:r>
        <w:rPr>
          <w:rFonts w:hint="eastAsia" w:ascii="宋体" w:hAnsi="宋体" w:cs="宋体"/>
          <w:sz w:val="22"/>
          <w:szCs w:val="22"/>
        </w:rPr>
        <w:t>电子签章</w:t>
      </w:r>
      <w:r>
        <w:rPr>
          <w:rFonts w:hint="eastAsia" w:ascii="宋体" w:hAnsi="宋体" w:cs="宋体"/>
          <w:sz w:val="22"/>
          <w:szCs w:val="22"/>
          <w:lang w:val="zh-CN"/>
        </w:rPr>
        <w:t>）：</w:t>
      </w:r>
    </w:p>
    <w:p>
      <w:pPr>
        <w:autoSpaceDE w:val="0"/>
        <w:autoSpaceDN w:val="0"/>
        <w:adjustRightInd w:val="0"/>
        <w:spacing w:line="440" w:lineRule="atLeast"/>
        <w:ind w:firstLine="627" w:firstLineChars="285"/>
        <w:rPr>
          <w:rFonts w:hint="eastAsia" w:ascii="宋体" w:hAnsi="宋体" w:cs="宋体"/>
          <w:sz w:val="22"/>
          <w:szCs w:val="22"/>
          <w:lang w:val="zh-CN"/>
        </w:rPr>
      </w:pPr>
      <w:r>
        <w:rPr>
          <w:rFonts w:hint="eastAsia" w:ascii="宋体" w:hAnsi="宋体" w:cs="宋体"/>
          <w:sz w:val="22"/>
          <w:szCs w:val="22"/>
        </w:rPr>
        <w:t>法定代表人或授权代表人</w:t>
      </w:r>
      <w:r>
        <w:rPr>
          <w:rFonts w:hint="eastAsia" w:ascii="宋体" w:hAnsi="宋体" w:cs="宋体"/>
          <w:sz w:val="22"/>
          <w:szCs w:val="22"/>
          <w:lang w:val="zh-CN"/>
        </w:rPr>
        <w:t>（签字</w:t>
      </w:r>
      <w:r>
        <w:rPr>
          <w:rFonts w:hint="eastAsia" w:ascii="宋体" w:hAnsi="宋体" w:cs="宋体"/>
          <w:sz w:val="22"/>
          <w:szCs w:val="22"/>
        </w:rPr>
        <w:t>或盖章</w:t>
      </w:r>
      <w:r>
        <w:rPr>
          <w:rFonts w:hint="eastAsia" w:ascii="宋体" w:hAnsi="宋体" w:cs="宋体"/>
          <w:sz w:val="22"/>
          <w:szCs w:val="22"/>
          <w:lang w:val="zh-CN"/>
        </w:rPr>
        <w:t>）：</w:t>
      </w:r>
    </w:p>
    <w:p>
      <w:pPr>
        <w:spacing w:line="360" w:lineRule="auto"/>
        <w:ind w:firstLine="660" w:firstLineChars="300"/>
        <w:rPr>
          <w:rFonts w:hint="eastAsia" w:ascii="宋体" w:hAnsi="宋体" w:cs="宋体"/>
          <w:sz w:val="22"/>
          <w:szCs w:val="22"/>
          <w:lang w:val="zh-CN"/>
        </w:rPr>
      </w:pPr>
      <w:r>
        <w:rPr>
          <w:rFonts w:hint="eastAsia" w:ascii="宋体" w:hAnsi="宋体" w:cs="宋体"/>
          <w:sz w:val="22"/>
          <w:szCs w:val="22"/>
          <w:lang w:val="zh-CN"/>
        </w:rPr>
        <w:t>日期：</w:t>
      </w:r>
    </w:p>
    <w:p>
      <w:pPr>
        <w:snapToGrid w:val="0"/>
        <w:spacing w:line="500" w:lineRule="atLeast"/>
        <w:ind w:firstLine="541" w:firstLineChars="245"/>
        <w:rPr>
          <w:rFonts w:hint="eastAsia" w:ascii="宋体" w:hAnsi="宋体" w:cs="宋体"/>
          <w:sz w:val="22"/>
          <w:szCs w:val="22"/>
        </w:rPr>
      </w:pPr>
      <w:r>
        <w:rPr>
          <w:rFonts w:hint="eastAsia" w:ascii="宋体" w:hAnsi="宋体" w:cs="宋体"/>
          <w:b/>
          <w:sz w:val="22"/>
          <w:szCs w:val="22"/>
        </w:rPr>
        <w:br w:type="page"/>
      </w:r>
      <w:r>
        <w:rPr>
          <w:rFonts w:hint="eastAsia" w:ascii="宋体" w:hAnsi="宋体" w:cs="宋体"/>
          <w:b/>
          <w:sz w:val="22"/>
          <w:szCs w:val="22"/>
        </w:rPr>
        <w:t>附件七-2</w:t>
      </w:r>
    </w:p>
    <w:p>
      <w:pPr>
        <w:spacing w:line="360" w:lineRule="auto"/>
        <w:jc w:val="center"/>
        <w:rPr>
          <w:rFonts w:hint="eastAsia" w:ascii="宋体" w:hAnsi="宋体" w:cs="宋体"/>
          <w:sz w:val="22"/>
          <w:szCs w:val="22"/>
        </w:rPr>
      </w:pPr>
      <w:r>
        <w:rPr>
          <w:rFonts w:hint="eastAsia" w:ascii="宋体" w:hAnsi="宋体" w:cs="宋体"/>
          <w:sz w:val="22"/>
          <w:szCs w:val="22"/>
        </w:rPr>
        <w:t>项目小组人员情况表</w:t>
      </w:r>
    </w:p>
    <w:tbl>
      <w:tblPr>
        <w:tblStyle w:val="43"/>
        <w:tblW w:w="0" w:type="auto"/>
        <w:tblInd w:w="194"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51"/>
        <w:gridCol w:w="851"/>
        <w:gridCol w:w="851"/>
        <w:gridCol w:w="851"/>
        <w:gridCol w:w="851"/>
        <w:gridCol w:w="851"/>
        <w:gridCol w:w="851"/>
        <w:gridCol w:w="1328"/>
        <w:gridCol w:w="1276"/>
        <w:gridCol w:w="127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18" w:hRule="atLeast"/>
        </w:trPr>
        <w:tc>
          <w:tcPr>
            <w:tcW w:w="851" w:type="dxa"/>
            <w:noWrap w:val="0"/>
            <w:vAlign w:val="center"/>
          </w:tcPr>
          <w:p>
            <w:pPr>
              <w:spacing w:line="320" w:lineRule="exact"/>
              <w:jc w:val="center"/>
              <w:rPr>
                <w:rFonts w:hint="eastAsia" w:ascii="宋体" w:hAnsi="宋体" w:cs="宋体"/>
                <w:sz w:val="22"/>
                <w:szCs w:val="22"/>
              </w:rPr>
            </w:pPr>
            <w:r>
              <w:rPr>
                <w:rFonts w:hint="eastAsia" w:ascii="宋体" w:hAnsi="宋体" w:cs="宋体"/>
                <w:sz w:val="22"/>
                <w:szCs w:val="22"/>
              </w:rPr>
              <w:t>序号</w:t>
            </w:r>
          </w:p>
        </w:tc>
        <w:tc>
          <w:tcPr>
            <w:tcW w:w="851" w:type="dxa"/>
            <w:noWrap w:val="0"/>
            <w:vAlign w:val="center"/>
          </w:tcPr>
          <w:p>
            <w:pPr>
              <w:spacing w:line="320" w:lineRule="exact"/>
              <w:jc w:val="center"/>
              <w:rPr>
                <w:rFonts w:hint="eastAsia" w:ascii="宋体" w:hAnsi="宋体" w:cs="宋体"/>
                <w:sz w:val="22"/>
                <w:szCs w:val="22"/>
              </w:rPr>
            </w:pPr>
            <w:r>
              <w:rPr>
                <w:rFonts w:hint="eastAsia" w:ascii="宋体" w:hAnsi="宋体" w:cs="宋体"/>
                <w:sz w:val="22"/>
                <w:szCs w:val="22"/>
              </w:rPr>
              <w:t>姓名</w:t>
            </w:r>
          </w:p>
        </w:tc>
        <w:tc>
          <w:tcPr>
            <w:tcW w:w="851" w:type="dxa"/>
            <w:noWrap w:val="0"/>
            <w:vAlign w:val="center"/>
          </w:tcPr>
          <w:p>
            <w:pPr>
              <w:spacing w:line="320" w:lineRule="exact"/>
              <w:jc w:val="center"/>
              <w:rPr>
                <w:rFonts w:hint="eastAsia" w:ascii="宋体" w:hAnsi="宋体" w:cs="宋体"/>
                <w:sz w:val="22"/>
                <w:szCs w:val="22"/>
              </w:rPr>
            </w:pPr>
            <w:r>
              <w:rPr>
                <w:rFonts w:hint="eastAsia" w:ascii="宋体" w:hAnsi="宋体" w:cs="宋体"/>
                <w:sz w:val="22"/>
                <w:szCs w:val="22"/>
              </w:rPr>
              <w:t>性别</w:t>
            </w:r>
          </w:p>
        </w:tc>
        <w:tc>
          <w:tcPr>
            <w:tcW w:w="851" w:type="dxa"/>
            <w:noWrap w:val="0"/>
            <w:vAlign w:val="center"/>
          </w:tcPr>
          <w:p>
            <w:pPr>
              <w:spacing w:line="320" w:lineRule="exact"/>
              <w:jc w:val="center"/>
              <w:rPr>
                <w:rFonts w:hint="eastAsia" w:ascii="宋体" w:hAnsi="宋体" w:cs="宋体"/>
                <w:sz w:val="22"/>
                <w:szCs w:val="22"/>
              </w:rPr>
            </w:pPr>
            <w:r>
              <w:rPr>
                <w:rFonts w:hint="eastAsia" w:ascii="宋体" w:hAnsi="宋体" w:cs="宋体"/>
                <w:sz w:val="22"/>
                <w:szCs w:val="22"/>
              </w:rPr>
              <w:t>年龄</w:t>
            </w:r>
          </w:p>
        </w:tc>
        <w:tc>
          <w:tcPr>
            <w:tcW w:w="851" w:type="dxa"/>
            <w:noWrap w:val="0"/>
            <w:vAlign w:val="center"/>
          </w:tcPr>
          <w:p>
            <w:pPr>
              <w:spacing w:line="320" w:lineRule="exact"/>
              <w:jc w:val="center"/>
              <w:rPr>
                <w:rFonts w:hint="eastAsia" w:ascii="宋体" w:hAnsi="宋体" w:cs="宋体"/>
                <w:sz w:val="22"/>
                <w:szCs w:val="22"/>
              </w:rPr>
            </w:pPr>
            <w:r>
              <w:rPr>
                <w:rFonts w:hint="eastAsia" w:ascii="宋体" w:hAnsi="宋体" w:cs="宋体"/>
                <w:sz w:val="22"/>
                <w:szCs w:val="22"/>
              </w:rPr>
              <w:t>学历</w:t>
            </w:r>
          </w:p>
        </w:tc>
        <w:tc>
          <w:tcPr>
            <w:tcW w:w="851" w:type="dxa"/>
            <w:noWrap w:val="0"/>
            <w:vAlign w:val="center"/>
          </w:tcPr>
          <w:p>
            <w:pPr>
              <w:spacing w:line="320" w:lineRule="exact"/>
              <w:jc w:val="center"/>
              <w:rPr>
                <w:rFonts w:hint="eastAsia" w:ascii="宋体" w:hAnsi="宋体" w:cs="宋体"/>
                <w:sz w:val="22"/>
                <w:szCs w:val="22"/>
              </w:rPr>
            </w:pPr>
            <w:r>
              <w:rPr>
                <w:rFonts w:hint="eastAsia" w:ascii="宋体" w:hAnsi="宋体" w:cs="宋体"/>
                <w:sz w:val="22"/>
                <w:szCs w:val="22"/>
              </w:rPr>
              <w:t>专业</w:t>
            </w:r>
          </w:p>
        </w:tc>
        <w:tc>
          <w:tcPr>
            <w:tcW w:w="851" w:type="dxa"/>
            <w:noWrap w:val="0"/>
            <w:vAlign w:val="center"/>
          </w:tcPr>
          <w:p>
            <w:pPr>
              <w:spacing w:line="320" w:lineRule="exact"/>
              <w:jc w:val="center"/>
              <w:rPr>
                <w:rFonts w:hint="eastAsia" w:ascii="宋体" w:hAnsi="宋体" w:cs="宋体"/>
                <w:sz w:val="22"/>
                <w:szCs w:val="22"/>
              </w:rPr>
            </w:pPr>
            <w:r>
              <w:rPr>
                <w:rFonts w:hint="eastAsia" w:ascii="宋体" w:hAnsi="宋体" w:cs="宋体"/>
                <w:sz w:val="22"/>
                <w:szCs w:val="22"/>
              </w:rPr>
              <w:t>职称</w:t>
            </w:r>
          </w:p>
        </w:tc>
        <w:tc>
          <w:tcPr>
            <w:tcW w:w="1328" w:type="dxa"/>
            <w:noWrap w:val="0"/>
            <w:vAlign w:val="center"/>
          </w:tcPr>
          <w:p>
            <w:pPr>
              <w:spacing w:line="320" w:lineRule="exact"/>
              <w:jc w:val="center"/>
              <w:rPr>
                <w:rFonts w:hint="eastAsia" w:ascii="宋体" w:hAnsi="宋体" w:cs="宋体"/>
                <w:sz w:val="22"/>
                <w:szCs w:val="22"/>
              </w:rPr>
            </w:pPr>
            <w:r>
              <w:rPr>
                <w:rFonts w:hint="eastAsia" w:ascii="宋体" w:hAnsi="宋体" w:cs="宋体"/>
                <w:sz w:val="22"/>
                <w:szCs w:val="22"/>
              </w:rPr>
              <w:t>本项目中的职责</w:t>
            </w:r>
          </w:p>
        </w:tc>
        <w:tc>
          <w:tcPr>
            <w:tcW w:w="1276" w:type="dxa"/>
            <w:noWrap w:val="0"/>
            <w:vAlign w:val="center"/>
          </w:tcPr>
          <w:p>
            <w:pPr>
              <w:spacing w:line="320" w:lineRule="exact"/>
              <w:jc w:val="center"/>
              <w:rPr>
                <w:rFonts w:hint="eastAsia" w:ascii="宋体" w:hAnsi="宋体" w:cs="宋体"/>
                <w:sz w:val="22"/>
                <w:szCs w:val="22"/>
              </w:rPr>
            </w:pPr>
            <w:r>
              <w:rPr>
                <w:rFonts w:hint="eastAsia" w:ascii="宋体" w:hAnsi="宋体" w:cs="宋体"/>
                <w:b/>
                <w:sz w:val="22"/>
                <w:szCs w:val="22"/>
              </w:rPr>
              <w:t>安排上岗起止时间</w:t>
            </w:r>
          </w:p>
        </w:tc>
        <w:tc>
          <w:tcPr>
            <w:tcW w:w="1276" w:type="dxa"/>
            <w:noWrap w:val="0"/>
            <w:vAlign w:val="center"/>
          </w:tcPr>
          <w:p>
            <w:pPr>
              <w:spacing w:line="320" w:lineRule="exact"/>
              <w:jc w:val="center"/>
              <w:rPr>
                <w:rFonts w:hint="eastAsia" w:ascii="宋体" w:hAnsi="宋体" w:cs="宋体"/>
                <w:sz w:val="22"/>
                <w:szCs w:val="22"/>
              </w:rPr>
            </w:pPr>
            <w:r>
              <w:rPr>
                <w:rFonts w:hint="eastAsia" w:ascii="宋体" w:hAnsi="宋体" w:cs="宋体"/>
                <w:sz w:val="22"/>
                <w:szCs w:val="22"/>
              </w:rPr>
              <w:t>从事专业年限</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1328"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1328"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1328"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1328"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1328"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1328"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1328"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1328"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1328"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1328"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1328"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851" w:type="dxa"/>
            <w:noWrap w:val="0"/>
            <w:vAlign w:val="top"/>
          </w:tcPr>
          <w:p>
            <w:pPr>
              <w:spacing w:line="360" w:lineRule="auto"/>
              <w:rPr>
                <w:rFonts w:hint="eastAsia" w:ascii="宋体" w:hAnsi="宋体" w:cs="宋体"/>
                <w:b/>
                <w:bCs/>
                <w:sz w:val="22"/>
                <w:szCs w:val="22"/>
              </w:rPr>
            </w:pPr>
          </w:p>
        </w:tc>
        <w:tc>
          <w:tcPr>
            <w:tcW w:w="1328"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c>
          <w:tcPr>
            <w:tcW w:w="1276" w:type="dxa"/>
            <w:noWrap w:val="0"/>
            <w:vAlign w:val="top"/>
          </w:tcPr>
          <w:p>
            <w:pPr>
              <w:spacing w:line="360" w:lineRule="auto"/>
              <w:rPr>
                <w:rFonts w:hint="eastAsia" w:ascii="宋体" w:hAnsi="宋体" w:cs="宋体"/>
                <w:b/>
                <w:bCs/>
                <w:sz w:val="22"/>
                <w:szCs w:val="22"/>
              </w:rPr>
            </w:pPr>
          </w:p>
        </w:tc>
      </w:tr>
    </w:tbl>
    <w:p>
      <w:pPr>
        <w:spacing w:line="360" w:lineRule="auto"/>
        <w:rPr>
          <w:rFonts w:hint="eastAsia" w:ascii="宋体" w:hAnsi="宋体" w:cs="宋体"/>
          <w:b/>
          <w:bCs/>
          <w:sz w:val="22"/>
          <w:szCs w:val="22"/>
        </w:rPr>
      </w:pPr>
    </w:p>
    <w:p>
      <w:pPr>
        <w:numPr>
          <w:ilvl w:val="0"/>
          <w:numId w:val="20"/>
        </w:numPr>
        <w:spacing w:line="360" w:lineRule="auto"/>
        <w:rPr>
          <w:rFonts w:hint="eastAsia" w:ascii="宋体" w:hAnsi="宋体" w:cs="宋体"/>
          <w:sz w:val="22"/>
          <w:szCs w:val="22"/>
        </w:rPr>
      </w:pPr>
      <w:r>
        <w:rPr>
          <w:rFonts w:hint="eastAsia" w:ascii="宋体" w:hAnsi="宋体" w:cs="宋体"/>
          <w:sz w:val="22"/>
          <w:szCs w:val="22"/>
        </w:rPr>
        <w:t>一旦我单位中标，将实行项目负责人负责制，并配备上述项目机构人员。我方保证上述填报内容真实，若不真实，愿按有关规定接受处理。</w:t>
      </w:r>
    </w:p>
    <w:p>
      <w:pPr>
        <w:spacing w:line="360" w:lineRule="auto"/>
        <w:jc w:val="left"/>
        <w:rPr>
          <w:rFonts w:hint="eastAsia" w:ascii="宋体" w:hAnsi="宋体" w:cs="宋体"/>
          <w:sz w:val="22"/>
          <w:szCs w:val="22"/>
        </w:rPr>
      </w:pPr>
    </w:p>
    <w:p>
      <w:pPr>
        <w:spacing w:line="360" w:lineRule="auto"/>
        <w:jc w:val="left"/>
        <w:rPr>
          <w:rFonts w:hint="eastAsia" w:ascii="宋体" w:hAnsi="宋体" w:cs="宋体"/>
          <w:sz w:val="22"/>
          <w:szCs w:val="22"/>
        </w:rPr>
      </w:pPr>
      <w:r>
        <w:rPr>
          <w:rFonts w:hint="eastAsia" w:ascii="宋体" w:hAnsi="宋体" w:cs="宋体"/>
          <w:sz w:val="22"/>
          <w:szCs w:val="22"/>
        </w:rPr>
        <w:t xml:space="preserve"> 供应商全称（电子签章）：</w:t>
      </w:r>
    </w:p>
    <w:p>
      <w:pPr>
        <w:spacing w:line="360" w:lineRule="auto"/>
        <w:jc w:val="left"/>
        <w:rPr>
          <w:rFonts w:hint="eastAsia" w:ascii="宋体" w:hAnsi="宋体" w:cs="宋体"/>
          <w:sz w:val="22"/>
          <w:szCs w:val="22"/>
        </w:rPr>
      </w:pPr>
      <w:r>
        <w:rPr>
          <w:rFonts w:hint="eastAsia" w:ascii="宋体" w:hAnsi="宋体" w:cs="宋体"/>
          <w:sz w:val="22"/>
          <w:szCs w:val="22"/>
        </w:rPr>
        <w:t xml:space="preserve"> </w:t>
      </w:r>
      <w:r>
        <w:rPr>
          <w:rFonts w:hint="eastAsia" w:ascii="宋体" w:hAnsi="宋体" w:cs="宋体"/>
          <w:sz w:val="22"/>
          <w:szCs w:val="22"/>
          <w:lang w:val="zh-CN"/>
        </w:rPr>
        <w:t>法定代表人或授权代表人</w:t>
      </w:r>
      <w:r>
        <w:rPr>
          <w:rFonts w:hint="eastAsia" w:ascii="宋体" w:hAnsi="宋体" w:cs="宋体"/>
          <w:sz w:val="22"/>
          <w:szCs w:val="22"/>
        </w:rPr>
        <w:t>签字</w:t>
      </w:r>
      <w:r>
        <w:rPr>
          <w:rFonts w:hint="eastAsia" w:ascii="宋体" w:hAnsi="宋体" w:cs="宋体"/>
          <w:sz w:val="22"/>
          <w:szCs w:val="22"/>
          <w:lang w:val="zh-CN"/>
        </w:rPr>
        <w:t>（或盖章）</w:t>
      </w:r>
      <w:r>
        <w:rPr>
          <w:rFonts w:hint="eastAsia" w:ascii="宋体" w:hAnsi="宋体" w:cs="宋体"/>
          <w:sz w:val="22"/>
          <w:szCs w:val="22"/>
        </w:rPr>
        <w:t>：</w:t>
      </w:r>
    </w:p>
    <w:p>
      <w:pPr>
        <w:pStyle w:val="24"/>
        <w:adjustRightInd w:val="0"/>
        <w:snapToGrid w:val="0"/>
        <w:spacing w:line="400" w:lineRule="exact"/>
        <w:jc w:val="left"/>
        <w:rPr>
          <w:rFonts w:hint="eastAsia" w:hAnsi="宋体" w:cs="宋体"/>
          <w:b/>
          <w:sz w:val="22"/>
          <w:szCs w:val="22"/>
        </w:rPr>
      </w:pPr>
      <w:r>
        <w:rPr>
          <w:rFonts w:hint="eastAsia" w:hAnsi="宋体" w:cs="宋体"/>
          <w:sz w:val="22"/>
          <w:szCs w:val="22"/>
        </w:rPr>
        <w:t xml:space="preserve"> 日 期：   年    月    日</w:t>
      </w:r>
    </w:p>
    <w:p>
      <w:pPr>
        <w:pStyle w:val="24"/>
        <w:adjustRightInd w:val="0"/>
        <w:snapToGrid w:val="0"/>
        <w:spacing w:line="400" w:lineRule="exact"/>
        <w:jc w:val="left"/>
        <w:rPr>
          <w:rFonts w:hint="eastAsia" w:hAnsi="宋体" w:cs="宋体"/>
          <w:b/>
          <w:sz w:val="22"/>
          <w:szCs w:val="22"/>
        </w:rPr>
      </w:pPr>
      <w:r>
        <w:rPr>
          <w:rFonts w:hint="eastAsia" w:hAnsi="宋体" w:cs="宋体"/>
          <w:b/>
          <w:sz w:val="22"/>
          <w:szCs w:val="22"/>
        </w:rPr>
        <w:br w:type="page"/>
      </w:r>
      <w:r>
        <w:rPr>
          <w:rFonts w:hint="eastAsia" w:hAnsi="宋体" w:cs="宋体"/>
          <w:b/>
          <w:sz w:val="22"/>
          <w:szCs w:val="22"/>
        </w:rPr>
        <w:t>附件八</w:t>
      </w:r>
    </w:p>
    <w:p>
      <w:pPr>
        <w:pStyle w:val="24"/>
        <w:adjustRightInd w:val="0"/>
        <w:snapToGrid w:val="0"/>
        <w:spacing w:line="400" w:lineRule="exact"/>
        <w:jc w:val="center"/>
        <w:rPr>
          <w:rFonts w:hint="eastAsia" w:hAnsi="宋体" w:cs="宋体"/>
          <w:b/>
          <w:sz w:val="22"/>
          <w:szCs w:val="22"/>
        </w:rPr>
      </w:pPr>
      <w:r>
        <w:rPr>
          <w:rFonts w:hint="eastAsia" w:hAnsi="宋体" w:cs="宋体"/>
          <w:b/>
          <w:sz w:val="22"/>
          <w:szCs w:val="22"/>
        </w:rPr>
        <w:t>投入设备清单（如有）</w:t>
      </w:r>
    </w:p>
    <w:tbl>
      <w:tblPr>
        <w:tblStyle w:val="43"/>
        <w:tblW w:w="0" w:type="auto"/>
        <w:tblInd w:w="-1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2161"/>
        <w:gridCol w:w="2664"/>
        <w:gridCol w:w="1386"/>
        <w:gridCol w:w="31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trPr>
        <w:tc>
          <w:tcPr>
            <w:tcW w:w="1080" w:type="dxa"/>
            <w:noWrap w:val="0"/>
            <w:vAlign w:val="center"/>
          </w:tcPr>
          <w:p>
            <w:pPr>
              <w:pStyle w:val="24"/>
              <w:adjustRightInd w:val="0"/>
              <w:snapToGrid w:val="0"/>
              <w:spacing w:line="400" w:lineRule="exact"/>
              <w:rPr>
                <w:rFonts w:hint="eastAsia" w:hAnsi="宋体" w:cs="宋体"/>
                <w:b/>
                <w:sz w:val="22"/>
                <w:szCs w:val="22"/>
              </w:rPr>
            </w:pPr>
            <w:r>
              <w:rPr>
                <w:rFonts w:hint="eastAsia" w:hAnsi="宋体" w:cs="宋体"/>
                <w:b/>
                <w:sz w:val="22"/>
                <w:szCs w:val="22"/>
              </w:rPr>
              <w:t>序 号</w:t>
            </w:r>
          </w:p>
        </w:tc>
        <w:tc>
          <w:tcPr>
            <w:tcW w:w="2161" w:type="dxa"/>
            <w:noWrap w:val="0"/>
            <w:vAlign w:val="center"/>
          </w:tcPr>
          <w:p>
            <w:pPr>
              <w:pStyle w:val="24"/>
              <w:adjustRightInd w:val="0"/>
              <w:snapToGrid w:val="0"/>
              <w:spacing w:line="400" w:lineRule="exact"/>
              <w:rPr>
                <w:rFonts w:hint="eastAsia" w:hAnsi="宋体" w:cs="宋体"/>
                <w:b/>
                <w:sz w:val="22"/>
                <w:szCs w:val="22"/>
              </w:rPr>
            </w:pPr>
            <w:r>
              <w:rPr>
                <w:rFonts w:hint="eastAsia" w:hAnsi="宋体" w:cs="宋体"/>
                <w:b/>
                <w:sz w:val="22"/>
                <w:szCs w:val="22"/>
              </w:rPr>
              <w:t>名称</w:t>
            </w:r>
          </w:p>
        </w:tc>
        <w:tc>
          <w:tcPr>
            <w:tcW w:w="2664" w:type="dxa"/>
            <w:noWrap w:val="0"/>
            <w:vAlign w:val="center"/>
          </w:tcPr>
          <w:p>
            <w:pPr>
              <w:pStyle w:val="24"/>
              <w:adjustRightInd w:val="0"/>
              <w:snapToGrid w:val="0"/>
              <w:spacing w:line="400" w:lineRule="exact"/>
              <w:rPr>
                <w:rFonts w:hint="eastAsia" w:hAnsi="宋体" w:cs="宋体"/>
                <w:b/>
                <w:sz w:val="22"/>
                <w:szCs w:val="22"/>
              </w:rPr>
            </w:pPr>
            <w:r>
              <w:rPr>
                <w:rFonts w:hint="eastAsia" w:hAnsi="宋体" w:cs="宋体"/>
                <w:b/>
                <w:sz w:val="22"/>
                <w:szCs w:val="22"/>
              </w:rPr>
              <w:t>产地/规格/型号</w:t>
            </w:r>
          </w:p>
        </w:tc>
        <w:tc>
          <w:tcPr>
            <w:tcW w:w="1386" w:type="dxa"/>
            <w:noWrap w:val="0"/>
            <w:vAlign w:val="center"/>
          </w:tcPr>
          <w:p>
            <w:pPr>
              <w:pStyle w:val="24"/>
              <w:adjustRightInd w:val="0"/>
              <w:snapToGrid w:val="0"/>
              <w:spacing w:line="400" w:lineRule="exact"/>
              <w:rPr>
                <w:rFonts w:hint="eastAsia" w:hAnsi="宋体" w:cs="宋体"/>
                <w:b/>
                <w:sz w:val="22"/>
                <w:szCs w:val="22"/>
              </w:rPr>
            </w:pPr>
            <w:r>
              <w:rPr>
                <w:rFonts w:hint="eastAsia" w:hAnsi="宋体" w:cs="宋体"/>
                <w:b/>
                <w:sz w:val="22"/>
                <w:szCs w:val="22"/>
              </w:rPr>
              <w:t>数量</w:t>
            </w:r>
          </w:p>
        </w:tc>
        <w:tc>
          <w:tcPr>
            <w:tcW w:w="3125" w:type="dxa"/>
            <w:noWrap w:val="0"/>
            <w:vAlign w:val="center"/>
          </w:tcPr>
          <w:p>
            <w:pPr>
              <w:pStyle w:val="24"/>
              <w:adjustRightInd w:val="0"/>
              <w:snapToGrid w:val="0"/>
              <w:spacing w:line="400" w:lineRule="exact"/>
              <w:rPr>
                <w:rFonts w:hint="eastAsia" w:hAnsi="宋体" w:cs="宋体"/>
                <w:b/>
                <w:sz w:val="22"/>
                <w:szCs w:val="22"/>
              </w:rPr>
            </w:pPr>
            <w:r>
              <w:rPr>
                <w:rFonts w:hint="eastAsia" w:hAnsi="宋体" w:cs="宋体"/>
                <w:b/>
                <w:sz w:val="22"/>
                <w:szCs w:val="22"/>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080" w:type="dxa"/>
            <w:noWrap w:val="0"/>
            <w:vAlign w:val="top"/>
          </w:tcPr>
          <w:p>
            <w:pPr>
              <w:pStyle w:val="24"/>
              <w:adjustRightInd w:val="0"/>
              <w:snapToGrid w:val="0"/>
              <w:spacing w:line="400" w:lineRule="exact"/>
              <w:rPr>
                <w:rFonts w:hint="eastAsia" w:hAnsi="宋体" w:cs="宋体"/>
                <w:b/>
                <w:sz w:val="22"/>
                <w:szCs w:val="22"/>
              </w:rPr>
            </w:pPr>
          </w:p>
        </w:tc>
        <w:tc>
          <w:tcPr>
            <w:tcW w:w="2161" w:type="dxa"/>
            <w:noWrap w:val="0"/>
            <w:vAlign w:val="top"/>
          </w:tcPr>
          <w:p>
            <w:pPr>
              <w:pStyle w:val="24"/>
              <w:adjustRightInd w:val="0"/>
              <w:snapToGrid w:val="0"/>
              <w:spacing w:line="400" w:lineRule="exact"/>
              <w:rPr>
                <w:rFonts w:hint="eastAsia" w:hAnsi="宋体" w:cs="宋体"/>
                <w:b/>
                <w:sz w:val="22"/>
                <w:szCs w:val="22"/>
              </w:rPr>
            </w:pPr>
          </w:p>
        </w:tc>
        <w:tc>
          <w:tcPr>
            <w:tcW w:w="2664" w:type="dxa"/>
            <w:noWrap w:val="0"/>
            <w:vAlign w:val="top"/>
          </w:tcPr>
          <w:p>
            <w:pPr>
              <w:pStyle w:val="24"/>
              <w:adjustRightInd w:val="0"/>
              <w:snapToGrid w:val="0"/>
              <w:spacing w:line="400" w:lineRule="exact"/>
              <w:rPr>
                <w:rFonts w:hint="eastAsia" w:hAnsi="宋体" w:cs="宋体"/>
                <w:b/>
                <w:sz w:val="22"/>
                <w:szCs w:val="22"/>
              </w:rPr>
            </w:pPr>
          </w:p>
        </w:tc>
        <w:tc>
          <w:tcPr>
            <w:tcW w:w="1386" w:type="dxa"/>
            <w:noWrap w:val="0"/>
            <w:vAlign w:val="top"/>
          </w:tcPr>
          <w:p>
            <w:pPr>
              <w:pStyle w:val="24"/>
              <w:adjustRightInd w:val="0"/>
              <w:snapToGrid w:val="0"/>
              <w:spacing w:line="400" w:lineRule="exact"/>
              <w:rPr>
                <w:rFonts w:hint="eastAsia" w:hAnsi="宋体" w:cs="宋体"/>
                <w:b/>
                <w:sz w:val="22"/>
                <w:szCs w:val="22"/>
              </w:rPr>
            </w:pPr>
          </w:p>
        </w:tc>
        <w:tc>
          <w:tcPr>
            <w:tcW w:w="3125" w:type="dxa"/>
            <w:noWrap w:val="0"/>
            <w:vAlign w:val="top"/>
          </w:tcPr>
          <w:p>
            <w:pPr>
              <w:pStyle w:val="24"/>
              <w:adjustRightInd w:val="0"/>
              <w:snapToGrid w:val="0"/>
              <w:spacing w:line="400" w:lineRule="exact"/>
              <w:rPr>
                <w:rFonts w:hint="eastAsia"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080" w:type="dxa"/>
            <w:noWrap w:val="0"/>
            <w:vAlign w:val="top"/>
          </w:tcPr>
          <w:p>
            <w:pPr>
              <w:pStyle w:val="24"/>
              <w:adjustRightInd w:val="0"/>
              <w:snapToGrid w:val="0"/>
              <w:spacing w:line="400" w:lineRule="exact"/>
              <w:rPr>
                <w:rFonts w:hint="eastAsia" w:hAnsi="宋体" w:cs="宋体"/>
                <w:b/>
                <w:sz w:val="22"/>
                <w:szCs w:val="22"/>
              </w:rPr>
            </w:pPr>
          </w:p>
        </w:tc>
        <w:tc>
          <w:tcPr>
            <w:tcW w:w="2161" w:type="dxa"/>
            <w:noWrap w:val="0"/>
            <w:vAlign w:val="top"/>
          </w:tcPr>
          <w:p>
            <w:pPr>
              <w:pStyle w:val="24"/>
              <w:adjustRightInd w:val="0"/>
              <w:snapToGrid w:val="0"/>
              <w:spacing w:line="400" w:lineRule="exact"/>
              <w:rPr>
                <w:rFonts w:hint="eastAsia" w:hAnsi="宋体" w:cs="宋体"/>
                <w:b/>
                <w:sz w:val="22"/>
                <w:szCs w:val="22"/>
              </w:rPr>
            </w:pPr>
          </w:p>
        </w:tc>
        <w:tc>
          <w:tcPr>
            <w:tcW w:w="2664" w:type="dxa"/>
            <w:noWrap w:val="0"/>
            <w:vAlign w:val="top"/>
          </w:tcPr>
          <w:p>
            <w:pPr>
              <w:pStyle w:val="24"/>
              <w:adjustRightInd w:val="0"/>
              <w:snapToGrid w:val="0"/>
              <w:spacing w:line="400" w:lineRule="exact"/>
              <w:rPr>
                <w:rFonts w:hint="eastAsia" w:hAnsi="宋体" w:cs="宋体"/>
                <w:b/>
                <w:sz w:val="22"/>
                <w:szCs w:val="22"/>
              </w:rPr>
            </w:pPr>
          </w:p>
        </w:tc>
        <w:tc>
          <w:tcPr>
            <w:tcW w:w="1386" w:type="dxa"/>
            <w:noWrap w:val="0"/>
            <w:vAlign w:val="top"/>
          </w:tcPr>
          <w:p>
            <w:pPr>
              <w:pStyle w:val="24"/>
              <w:adjustRightInd w:val="0"/>
              <w:snapToGrid w:val="0"/>
              <w:spacing w:line="400" w:lineRule="exact"/>
              <w:rPr>
                <w:rFonts w:hint="eastAsia" w:hAnsi="宋体" w:cs="宋体"/>
                <w:b/>
                <w:sz w:val="22"/>
                <w:szCs w:val="22"/>
              </w:rPr>
            </w:pPr>
          </w:p>
        </w:tc>
        <w:tc>
          <w:tcPr>
            <w:tcW w:w="3125" w:type="dxa"/>
            <w:noWrap w:val="0"/>
            <w:vAlign w:val="top"/>
          </w:tcPr>
          <w:p>
            <w:pPr>
              <w:pStyle w:val="24"/>
              <w:adjustRightInd w:val="0"/>
              <w:snapToGrid w:val="0"/>
              <w:spacing w:line="400" w:lineRule="exact"/>
              <w:rPr>
                <w:rFonts w:hint="eastAsia"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080" w:type="dxa"/>
            <w:noWrap w:val="0"/>
            <w:vAlign w:val="top"/>
          </w:tcPr>
          <w:p>
            <w:pPr>
              <w:pStyle w:val="24"/>
              <w:adjustRightInd w:val="0"/>
              <w:snapToGrid w:val="0"/>
              <w:spacing w:line="400" w:lineRule="exact"/>
              <w:rPr>
                <w:rFonts w:hint="eastAsia" w:hAnsi="宋体" w:cs="宋体"/>
                <w:b/>
                <w:sz w:val="22"/>
                <w:szCs w:val="22"/>
              </w:rPr>
            </w:pPr>
          </w:p>
        </w:tc>
        <w:tc>
          <w:tcPr>
            <w:tcW w:w="2161" w:type="dxa"/>
            <w:noWrap w:val="0"/>
            <w:vAlign w:val="top"/>
          </w:tcPr>
          <w:p>
            <w:pPr>
              <w:pStyle w:val="24"/>
              <w:adjustRightInd w:val="0"/>
              <w:snapToGrid w:val="0"/>
              <w:spacing w:line="400" w:lineRule="exact"/>
              <w:rPr>
                <w:rFonts w:hint="eastAsia" w:hAnsi="宋体" w:cs="宋体"/>
                <w:b/>
                <w:sz w:val="22"/>
                <w:szCs w:val="22"/>
              </w:rPr>
            </w:pPr>
          </w:p>
        </w:tc>
        <w:tc>
          <w:tcPr>
            <w:tcW w:w="2664" w:type="dxa"/>
            <w:noWrap w:val="0"/>
            <w:vAlign w:val="top"/>
          </w:tcPr>
          <w:p>
            <w:pPr>
              <w:pStyle w:val="24"/>
              <w:adjustRightInd w:val="0"/>
              <w:snapToGrid w:val="0"/>
              <w:spacing w:line="400" w:lineRule="exact"/>
              <w:rPr>
                <w:rFonts w:hint="eastAsia" w:hAnsi="宋体" w:cs="宋体"/>
                <w:b/>
                <w:sz w:val="22"/>
                <w:szCs w:val="22"/>
              </w:rPr>
            </w:pPr>
          </w:p>
        </w:tc>
        <w:tc>
          <w:tcPr>
            <w:tcW w:w="1386" w:type="dxa"/>
            <w:noWrap w:val="0"/>
            <w:vAlign w:val="top"/>
          </w:tcPr>
          <w:p>
            <w:pPr>
              <w:pStyle w:val="24"/>
              <w:adjustRightInd w:val="0"/>
              <w:snapToGrid w:val="0"/>
              <w:spacing w:line="400" w:lineRule="exact"/>
              <w:rPr>
                <w:rFonts w:hint="eastAsia" w:hAnsi="宋体" w:cs="宋体"/>
                <w:b/>
                <w:sz w:val="22"/>
                <w:szCs w:val="22"/>
              </w:rPr>
            </w:pPr>
          </w:p>
        </w:tc>
        <w:tc>
          <w:tcPr>
            <w:tcW w:w="3125" w:type="dxa"/>
            <w:noWrap w:val="0"/>
            <w:vAlign w:val="top"/>
          </w:tcPr>
          <w:p>
            <w:pPr>
              <w:pStyle w:val="24"/>
              <w:adjustRightInd w:val="0"/>
              <w:snapToGrid w:val="0"/>
              <w:spacing w:line="400" w:lineRule="exact"/>
              <w:rPr>
                <w:rFonts w:hint="eastAsia"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080" w:type="dxa"/>
            <w:noWrap w:val="0"/>
            <w:vAlign w:val="top"/>
          </w:tcPr>
          <w:p>
            <w:pPr>
              <w:pStyle w:val="24"/>
              <w:adjustRightInd w:val="0"/>
              <w:snapToGrid w:val="0"/>
              <w:spacing w:line="400" w:lineRule="exact"/>
              <w:rPr>
                <w:rFonts w:hint="eastAsia" w:hAnsi="宋体" w:cs="宋体"/>
                <w:b/>
                <w:sz w:val="22"/>
                <w:szCs w:val="22"/>
              </w:rPr>
            </w:pPr>
          </w:p>
        </w:tc>
        <w:tc>
          <w:tcPr>
            <w:tcW w:w="2161" w:type="dxa"/>
            <w:noWrap w:val="0"/>
            <w:vAlign w:val="top"/>
          </w:tcPr>
          <w:p>
            <w:pPr>
              <w:pStyle w:val="24"/>
              <w:adjustRightInd w:val="0"/>
              <w:snapToGrid w:val="0"/>
              <w:spacing w:line="400" w:lineRule="exact"/>
              <w:rPr>
                <w:rFonts w:hint="eastAsia" w:hAnsi="宋体" w:cs="宋体"/>
                <w:b/>
                <w:sz w:val="22"/>
                <w:szCs w:val="22"/>
              </w:rPr>
            </w:pPr>
          </w:p>
        </w:tc>
        <w:tc>
          <w:tcPr>
            <w:tcW w:w="2664" w:type="dxa"/>
            <w:noWrap w:val="0"/>
            <w:vAlign w:val="top"/>
          </w:tcPr>
          <w:p>
            <w:pPr>
              <w:pStyle w:val="24"/>
              <w:adjustRightInd w:val="0"/>
              <w:snapToGrid w:val="0"/>
              <w:spacing w:line="400" w:lineRule="exact"/>
              <w:rPr>
                <w:rFonts w:hint="eastAsia" w:hAnsi="宋体" w:cs="宋体"/>
                <w:b/>
                <w:sz w:val="22"/>
                <w:szCs w:val="22"/>
              </w:rPr>
            </w:pPr>
          </w:p>
        </w:tc>
        <w:tc>
          <w:tcPr>
            <w:tcW w:w="1386" w:type="dxa"/>
            <w:noWrap w:val="0"/>
            <w:vAlign w:val="top"/>
          </w:tcPr>
          <w:p>
            <w:pPr>
              <w:pStyle w:val="24"/>
              <w:adjustRightInd w:val="0"/>
              <w:snapToGrid w:val="0"/>
              <w:spacing w:line="400" w:lineRule="exact"/>
              <w:rPr>
                <w:rFonts w:hint="eastAsia" w:hAnsi="宋体" w:cs="宋体"/>
                <w:b/>
                <w:sz w:val="22"/>
                <w:szCs w:val="22"/>
              </w:rPr>
            </w:pPr>
          </w:p>
        </w:tc>
        <w:tc>
          <w:tcPr>
            <w:tcW w:w="3125" w:type="dxa"/>
            <w:noWrap w:val="0"/>
            <w:vAlign w:val="top"/>
          </w:tcPr>
          <w:p>
            <w:pPr>
              <w:pStyle w:val="24"/>
              <w:adjustRightInd w:val="0"/>
              <w:snapToGrid w:val="0"/>
              <w:spacing w:line="400" w:lineRule="exact"/>
              <w:rPr>
                <w:rFonts w:hint="eastAsia"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080" w:type="dxa"/>
            <w:noWrap w:val="0"/>
            <w:vAlign w:val="top"/>
          </w:tcPr>
          <w:p>
            <w:pPr>
              <w:pStyle w:val="24"/>
              <w:adjustRightInd w:val="0"/>
              <w:snapToGrid w:val="0"/>
              <w:spacing w:line="400" w:lineRule="exact"/>
              <w:rPr>
                <w:rFonts w:hint="eastAsia" w:hAnsi="宋体" w:cs="宋体"/>
                <w:b/>
                <w:sz w:val="22"/>
                <w:szCs w:val="22"/>
              </w:rPr>
            </w:pPr>
          </w:p>
        </w:tc>
        <w:tc>
          <w:tcPr>
            <w:tcW w:w="2161" w:type="dxa"/>
            <w:noWrap w:val="0"/>
            <w:vAlign w:val="top"/>
          </w:tcPr>
          <w:p>
            <w:pPr>
              <w:pStyle w:val="24"/>
              <w:adjustRightInd w:val="0"/>
              <w:snapToGrid w:val="0"/>
              <w:spacing w:line="400" w:lineRule="exact"/>
              <w:rPr>
                <w:rFonts w:hint="eastAsia" w:hAnsi="宋体" w:cs="宋体"/>
                <w:b/>
                <w:sz w:val="22"/>
                <w:szCs w:val="22"/>
              </w:rPr>
            </w:pPr>
          </w:p>
        </w:tc>
        <w:tc>
          <w:tcPr>
            <w:tcW w:w="2664" w:type="dxa"/>
            <w:noWrap w:val="0"/>
            <w:vAlign w:val="top"/>
          </w:tcPr>
          <w:p>
            <w:pPr>
              <w:pStyle w:val="24"/>
              <w:adjustRightInd w:val="0"/>
              <w:snapToGrid w:val="0"/>
              <w:spacing w:line="400" w:lineRule="exact"/>
              <w:rPr>
                <w:rFonts w:hint="eastAsia" w:hAnsi="宋体" w:cs="宋体"/>
                <w:b/>
                <w:sz w:val="22"/>
                <w:szCs w:val="22"/>
              </w:rPr>
            </w:pPr>
          </w:p>
        </w:tc>
        <w:tc>
          <w:tcPr>
            <w:tcW w:w="1386" w:type="dxa"/>
            <w:noWrap w:val="0"/>
            <w:vAlign w:val="top"/>
          </w:tcPr>
          <w:p>
            <w:pPr>
              <w:pStyle w:val="24"/>
              <w:adjustRightInd w:val="0"/>
              <w:snapToGrid w:val="0"/>
              <w:spacing w:line="400" w:lineRule="exact"/>
              <w:rPr>
                <w:rFonts w:hint="eastAsia" w:hAnsi="宋体" w:cs="宋体"/>
                <w:b/>
                <w:sz w:val="22"/>
                <w:szCs w:val="22"/>
              </w:rPr>
            </w:pPr>
          </w:p>
        </w:tc>
        <w:tc>
          <w:tcPr>
            <w:tcW w:w="3125" w:type="dxa"/>
            <w:noWrap w:val="0"/>
            <w:vAlign w:val="top"/>
          </w:tcPr>
          <w:p>
            <w:pPr>
              <w:pStyle w:val="24"/>
              <w:adjustRightInd w:val="0"/>
              <w:snapToGrid w:val="0"/>
              <w:spacing w:line="400" w:lineRule="exact"/>
              <w:rPr>
                <w:rFonts w:hint="eastAsia"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080" w:type="dxa"/>
            <w:noWrap w:val="0"/>
            <w:vAlign w:val="top"/>
          </w:tcPr>
          <w:p>
            <w:pPr>
              <w:pStyle w:val="24"/>
              <w:adjustRightInd w:val="0"/>
              <w:snapToGrid w:val="0"/>
              <w:spacing w:line="400" w:lineRule="exact"/>
              <w:rPr>
                <w:rFonts w:hint="eastAsia" w:hAnsi="宋体" w:cs="宋体"/>
                <w:b/>
                <w:sz w:val="22"/>
                <w:szCs w:val="22"/>
              </w:rPr>
            </w:pPr>
          </w:p>
        </w:tc>
        <w:tc>
          <w:tcPr>
            <w:tcW w:w="2161" w:type="dxa"/>
            <w:noWrap w:val="0"/>
            <w:vAlign w:val="top"/>
          </w:tcPr>
          <w:p>
            <w:pPr>
              <w:pStyle w:val="24"/>
              <w:adjustRightInd w:val="0"/>
              <w:snapToGrid w:val="0"/>
              <w:spacing w:line="400" w:lineRule="exact"/>
              <w:ind w:firstLine="442" w:firstLineChars="200"/>
              <w:rPr>
                <w:rFonts w:hint="eastAsia" w:hAnsi="宋体" w:cs="宋体"/>
                <w:b/>
                <w:sz w:val="22"/>
                <w:szCs w:val="22"/>
              </w:rPr>
            </w:pPr>
          </w:p>
        </w:tc>
        <w:tc>
          <w:tcPr>
            <w:tcW w:w="2664" w:type="dxa"/>
            <w:noWrap w:val="0"/>
            <w:vAlign w:val="top"/>
          </w:tcPr>
          <w:p>
            <w:pPr>
              <w:pStyle w:val="24"/>
              <w:adjustRightInd w:val="0"/>
              <w:snapToGrid w:val="0"/>
              <w:spacing w:line="400" w:lineRule="exact"/>
              <w:rPr>
                <w:rFonts w:hint="eastAsia" w:hAnsi="宋体" w:cs="宋体"/>
                <w:b/>
                <w:sz w:val="22"/>
                <w:szCs w:val="22"/>
              </w:rPr>
            </w:pPr>
          </w:p>
        </w:tc>
        <w:tc>
          <w:tcPr>
            <w:tcW w:w="1386" w:type="dxa"/>
            <w:noWrap w:val="0"/>
            <w:vAlign w:val="top"/>
          </w:tcPr>
          <w:p>
            <w:pPr>
              <w:pStyle w:val="24"/>
              <w:adjustRightInd w:val="0"/>
              <w:snapToGrid w:val="0"/>
              <w:spacing w:line="400" w:lineRule="exact"/>
              <w:rPr>
                <w:rFonts w:hint="eastAsia" w:hAnsi="宋体" w:cs="宋体"/>
                <w:b/>
                <w:sz w:val="22"/>
                <w:szCs w:val="22"/>
              </w:rPr>
            </w:pPr>
          </w:p>
        </w:tc>
        <w:tc>
          <w:tcPr>
            <w:tcW w:w="3125" w:type="dxa"/>
            <w:noWrap w:val="0"/>
            <w:vAlign w:val="top"/>
          </w:tcPr>
          <w:p>
            <w:pPr>
              <w:pStyle w:val="24"/>
              <w:adjustRightInd w:val="0"/>
              <w:snapToGrid w:val="0"/>
              <w:spacing w:line="400" w:lineRule="exact"/>
              <w:rPr>
                <w:rFonts w:hint="eastAsia"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080" w:type="dxa"/>
            <w:noWrap w:val="0"/>
            <w:vAlign w:val="top"/>
          </w:tcPr>
          <w:p>
            <w:pPr>
              <w:pStyle w:val="24"/>
              <w:adjustRightInd w:val="0"/>
              <w:snapToGrid w:val="0"/>
              <w:spacing w:line="400" w:lineRule="exact"/>
              <w:rPr>
                <w:rFonts w:hint="eastAsia" w:hAnsi="宋体" w:cs="宋体"/>
                <w:b/>
                <w:sz w:val="22"/>
                <w:szCs w:val="22"/>
              </w:rPr>
            </w:pPr>
          </w:p>
        </w:tc>
        <w:tc>
          <w:tcPr>
            <w:tcW w:w="2161" w:type="dxa"/>
            <w:noWrap w:val="0"/>
            <w:vAlign w:val="top"/>
          </w:tcPr>
          <w:p>
            <w:pPr>
              <w:pStyle w:val="24"/>
              <w:adjustRightInd w:val="0"/>
              <w:snapToGrid w:val="0"/>
              <w:spacing w:line="400" w:lineRule="exact"/>
              <w:rPr>
                <w:rFonts w:hint="eastAsia" w:hAnsi="宋体" w:cs="宋体"/>
                <w:b/>
                <w:sz w:val="22"/>
                <w:szCs w:val="22"/>
              </w:rPr>
            </w:pPr>
          </w:p>
        </w:tc>
        <w:tc>
          <w:tcPr>
            <w:tcW w:w="2664" w:type="dxa"/>
            <w:noWrap w:val="0"/>
            <w:vAlign w:val="top"/>
          </w:tcPr>
          <w:p>
            <w:pPr>
              <w:pStyle w:val="24"/>
              <w:adjustRightInd w:val="0"/>
              <w:snapToGrid w:val="0"/>
              <w:spacing w:line="400" w:lineRule="exact"/>
              <w:rPr>
                <w:rFonts w:hint="eastAsia" w:hAnsi="宋体" w:cs="宋体"/>
                <w:b/>
                <w:sz w:val="22"/>
                <w:szCs w:val="22"/>
              </w:rPr>
            </w:pPr>
          </w:p>
        </w:tc>
        <w:tc>
          <w:tcPr>
            <w:tcW w:w="1386" w:type="dxa"/>
            <w:noWrap w:val="0"/>
            <w:vAlign w:val="top"/>
          </w:tcPr>
          <w:p>
            <w:pPr>
              <w:pStyle w:val="24"/>
              <w:adjustRightInd w:val="0"/>
              <w:snapToGrid w:val="0"/>
              <w:spacing w:line="400" w:lineRule="exact"/>
              <w:rPr>
                <w:rFonts w:hint="eastAsia" w:hAnsi="宋体" w:cs="宋体"/>
                <w:b/>
                <w:sz w:val="22"/>
                <w:szCs w:val="22"/>
              </w:rPr>
            </w:pPr>
          </w:p>
        </w:tc>
        <w:tc>
          <w:tcPr>
            <w:tcW w:w="3125" w:type="dxa"/>
            <w:noWrap w:val="0"/>
            <w:vAlign w:val="top"/>
          </w:tcPr>
          <w:p>
            <w:pPr>
              <w:pStyle w:val="24"/>
              <w:adjustRightInd w:val="0"/>
              <w:snapToGrid w:val="0"/>
              <w:spacing w:line="400" w:lineRule="exact"/>
              <w:rPr>
                <w:rFonts w:hint="eastAsia"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080" w:type="dxa"/>
            <w:noWrap w:val="0"/>
            <w:vAlign w:val="top"/>
          </w:tcPr>
          <w:p>
            <w:pPr>
              <w:pStyle w:val="24"/>
              <w:adjustRightInd w:val="0"/>
              <w:snapToGrid w:val="0"/>
              <w:spacing w:line="400" w:lineRule="exact"/>
              <w:rPr>
                <w:rFonts w:hint="eastAsia" w:hAnsi="宋体" w:cs="宋体"/>
                <w:b/>
                <w:sz w:val="22"/>
                <w:szCs w:val="22"/>
              </w:rPr>
            </w:pPr>
          </w:p>
        </w:tc>
        <w:tc>
          <w:tcPr>
            <w:tcW w:w="2161" w:type="dxa"/>
            <w:noWrap w:val="0"/>
            <w:vAlign w:val="top"/>
          </w:tcPr>
          <w:p>
            <w:pPr>
              <w:pStyle w:val="24"/>
              <w:adjustRightInd w:val="0"/>
              <w:snapToGrid w:val="0"/>
              <w:spacing w:line="400" w:lineRule="exact"/>
              <w:rPr>
                <w:rFonts w:hint="eastAsia" w:hAnsi="宋体" w:cs="宋体"/>
                <w:b/>
                <w:sz w:val="22"/>
                <w:szCs w:val="22"/>
              </w:rPr>
            </w:pPr>
          </w:p>
        </w:tc>
        <w:tc>
          <w:tcPr>
            <w:tcW w:w="2664" w:type="dxa"/>
            <w:noWrap w:val="0"/>
            <w:vAlign w:val="top"/>
          </w:tcPr>
          <w:p>
            <w:pPr>
              <w:pStyle w:val="24"/>
              <w:adjustRightInd w:val="0"/>
              <w:snapToGrid w:val="0"/>
              <w:spacing w:line="400" w:lineRule="exact"/>
              <w:rPr>
                <w:rFonts w:hint="eastAsia" w:hAnsi="宋体" w:cs="宋体"/>
                <w:b/>
                <w:sz w:val="22"/>
                <w:szCs w:val="22"/>
              </w:rPr>
            </w:pPr>
          </w:p>
        </w:tc>
        <w:tc>
          <w:tcPr>
            <w:tcW w:w="1386" w:type="dxa"/>
            <w:noWrap w:val="0"/>
            <w:vAlign w:val="top"/>
          </w:tcPr>
          <w:p>
            <w:pPr>
              <w:pStyle w:val="24"/>
              <w:adjustRightInd w:val="0"/>
              <w:snapToGrid w:val="0"/>
              <w:spacing w:line="400" w:lineRule="exact"/>
              <w:rPr>
                <w:rFonts w:hint="eastAsia" w:hAnsi="宋体" w:cs="宋体"/>
                <w:b/>
                <w:sz w:val="22"/>
                <w:szCs w:val="22"/>
              </w:rPr>
            </w:pPr>
          </w:p>
        </w:tc>
        <w:tc>
          <w:tcPr>
            <w:tcW w:w="3125" w:type="dxa"/>
            <w:noWrap w:val="0"/>
            <w:vAlign w:val="top"/>
          </w:tcPr>
          <w:p>
            <w:pPr>
              <w:pStyle w:val="24"/>
              <w:adjustRightInd w:val="0"/>
              <w:snapToGrid w:val="0"/>
              <w:spacing w:line="400" w:lineRule="exact"/>
              <w:rPr>
                <w:rFonts w:hint="eastAsia"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080" w:type="dxa"/>
            <w:noWrap w:val="0"/>
            <w:vAlign w:val="top"/>
          </w:tcPr>
          <w:p>
            <w:pPr>
              <w:pStyle w:val="24"/>
              <w:adjustRightInd w:val="0"/>
              <w:snapToGrid w:val="0"/>
              <w:spacing w:line="400" w:lineRule="exact"/>
              <w:rPr>
                <w:rFonts w:hint="eastAsia" w:hAnsi="宋体" w:cs="宋体"/>
                <w:b/>
                <w:sz w:val="22"/>
                <w:szCs w:val="22"/>
              </w:rPr>
            </w:pPr>
          </w:p>
        </w:tc>
        <w:tc>
          <w:tcPr>
            <w:tcW w:w="2161" w:type="dxa"/>
            <w:noWrap w:val="0"/>
            <w:vAlign w:val="top"/>
          </w:tcPr>
          <w:p>
            <w:pPr>
              <w:pStyle w:val="24"/>
              <w:adjustRightInd w:val="0"/>
              <w:snapToGrid w:val="0"/>
              <w:spacing w:line="400" w:lineRule="exact"/>
              <w:rPr>
                <w:rFonts w:hint="eastAsia" w:hAnsi="宋体" w:cs="宋体"/>
                <w:b/>
                <w:sz w:val="22"/>
                <w:szCs w:val="22"/>
              </w:rPr>
            </w:pPr>
          </w:p>
        </w:tc>
        <w:tc>
          <w:tcPr>
            <w:tcW w:w="2664" w:type="dxa"/>
            <w:noWrap w:val="0"/>
            <w:vAlign w:val="top"/>
          </w:tcPr>
          <w:p>
            <w:pPr>
              <w:pStyle w:val="24"/>
              <w:adjustRightInd w:val="0"/>
              <w:snapToGrid w:val="0"/>
              <w:spacing w:line="400" w:lineRule="exact"/>
              <w:rPr>
                <w:rFonts w:hint="eastAsia" w:hAnsi="宋体" w:cs="宋体"/>
                <w:b/>
                <w:sz w:val="22"/>
                <w:szCs w:val="22"/>
              </w:rPr>
            </w:pPr>
          </w:p>
        </w:tc>
        <w:tc>
          <w:tcPr>
            <w:tcW w:w="1386" w:type="dxa"/>
            <w:noWrap w:val="0"/>
            <w:vAlign w:val="top"/>
          </w:tcPr>
          <w:p>
            <w:pPr>
              <w:pStyle w:val="24"/>
              <w:adjustRightInd w:val="0"/>
              <w:snapToGrid w:val="0"/>
              <w:spacing w:line="400" w:lineRule="exact"/>
              <w:rPr>
                <w:rFonts w:hint="eastAsia" w:hAnsi="宋体" w:cs="宋体"/>
                <w:b/>
                <w:sz w:val="22"/>
                <w:szCs w:val="22"/>
              </w:rPr>
            </w:pPr>
          </w:p>
        </w:tc>
        <w:tc>
          <w:tcPr>
            <w:tcW w:w="3125" w:type="dxa"/>
            <w:noWrap w:val="0"/>
            <w:vAlign w:val="top"/>
          </w:tcPr>
          <w:p>
            <w:pPr>
              <w:pStyle w:val="24"/>
              <w:adjustRightInd w:val="0"/>
              <w:snapToGrid w:val="0"/>
              <w:spacing w:line="400" w:lineRule="exact"/>
              <w:rPr>
                <w:rFonts w:hint="eastAsia"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080" w:type="dxa"/>
            <w:noWrap w:val="0"/>
            <w:vAlign w:val="top"/>
          </w:tcPr>
          <w:p>
            <w:pPr>
              <w:pStyle w:val="24"/>
              <w:adjustRightInd w:val="0"/>
              <w:snapToGrid w:val="0"/>
              <w:spacing w:line="400" w:lineRule="exact"/>
              <w:rPr>
                <w:rFonts w:hint="eastAsia" w:hAnsi="宋体" w:cs="宋体"/>
                <w:b/>
                <w:sz w:val="22"/>
                <w:szCs w:val="22"/>
              </w:rPr>
            </w:pPr>
          </w:p>
        </w:tc>
        <w:tc>
          <w:tcPr>
            <w:tcW w:w="2161" w:type="dxa"/>
            <w:noWrap w:val="0"/>
            <w:vAlign w:val="top"/>
          </w:tcPr>
          <w:p>
            <w:pPr>
              <w:pStyle w:val="24"/>
              <w:adjustRightInd w:val="0"/>
              <w:snapToGrid w:val="0"/>
              <w:spacing w:line="400" w:lineRule="exact"/>
              <w:rPr>
                <w:rFonts w:hint="eastAsia" w:hAnsi="宋体" w:cs="宋体"/>
                <w:b/>
                <w:sz w:val="22"/>
                <w:szCs w:val="22"/>
              </w:rPr>
            </w:pPr>
          </w:p>
        </w:tc>
        <w:tc>
          <w:tcPr>
            <w:tcW w:w="2664" w:type="dxa"/>
            <w:noWrap w:val="0"/>
            <w:vAlign w:val="top"/>
          </w:tcPr>
          <w:p>
            <w:pPr>
              <w:pStyle w:val="24"/>
              <w:adjustRightInd w:val="0"/>
              <w:snapToGrid w:val="0"/>
              <w:spacing w:line="400" w:lineRule="exact"/>
              <w:rPr>
                <w:rFonts w:hint="eastAsia" w:hAnsi="宋体" w:cs="宋体"/>
                <w:b/>
                <w:sz w:val="22"/>
                <w:szCs w:val="22"/>
              </w:rPr>
            </w:pPr>
          </w:p>
        </w:tc>
        <w:tc>
          <w:tcPr>
            <w:tcW w:w="1386" w:type="dxa"/>
            <w:noWrap w:val="0"/>
            <w:vAlign w:val="top"/>
          </w:tcPr>
          <w:p>
            <w:pPr>
              <w:pStyle w:val="24"/>
              <w:adjustRightInd w:val="0"/>
              <w:snapToGrid w:val="0"/>
              <w:spacing w:line="400" w:lineRule="exact"/>
              <w:rPr>
                <w:rFonts w:hint="eastAsia" w:hAnsi="宋体" w:cs="宋体"/>
                <w:b/>
                <w:sz w:val="22"/>
                <w:szCs w:val="22"/>
              </w:rPr>
            </w:pPr>
          </w:p>
        </w:tc>
        <w:tc>
          <w:tcPr>
            <w:tcW w:w="3125" w:type="dxa"/>
            <w:noWrap w:val="0"/>
            <w:vAlign w:val="top"/>
          </w:tcPr>
          <w:p>
            <w:pPr>
              <w:pStyle w:val="24"/>
              <w:adjustRightInd w:val="0"/>
              <w:snapToGrid w:val="0"/>
              <w:spacing w:line="400" w:lineRule="exact"/>
              <w:rPr>
                <w:rFonts w:hint="eastAsia"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080" w:type="dxa"/>
            <w:noWrap w:val="0"/>
            <w:vAlign w:val="top"/>
          </w:tcPr>
          <w:p>
            <w:pPr>
              <w:pStyle w:val="24"/>
              <w:adjustRightInd w:val="0"/>
              <w:snapToGrid w:val="0"/>
              <w:spacing w:line="400" w:lineRule="exact"/>
              <w:rPr>
                <w:rFonts w:hint="eastAsia" w:hAnsi="宋体" w:cs="宋体"/>
                <w:b/>
                <w:sz w:val="22"/>
                <w:szCs w:val="22"/>
              </w:rPr>
            </w:pPr>
          </w:p>
        </w:tc>
        <w:tc>
          <w:tcPr>
            <w:tcW w:w="2161" w:type="dxa"/>
            <w:noWrap w:val="0"/>
            <w:vAlign w:val="top"/>
          </w:tcPr>
          <w:p>
            <w:pPr>
              <w:pStyle w:val="24"/>
              <w:adjustRightInd w:val="0"/>
              <w:snapToGrid w:val="0"/>
              <w:spacing w:line="400" w:lineRule="exact"/>
              <w:rPr>
                <w:rFonts w:hint="eastAsia" w:hAnsi="宋体" w:cs="宋体"/>
                <w:b/>
                <w:sz w:val="22"/>
                <w:szCs w:val="22"/>
              </w:rPr>
            </w:pPr>
          </w:p>
        </w:tc>
        <w:tc>
          <w:tcPr>
            <w:tcW w:w="2664" w:type="dxa"/>
            <w:noWrap w:val="0"/>
            <w:vAlign w:val="top"/>
          </w:tcPr>
          <w:p>
            <w:pPr>
              <w:pStyle w:val="24"/>
              <w:adjustRightInd w:val="0"/>
              <w:snapToGrid w:val="0"/>
              <w:spacing w:line="400" w:lineRule="exact"/>
              <w:rPr>
                <w:rFonts w:hint="eastAsia" w:hAnsi="宋体" w:cs="宋体"/>
                <w:b/>
                <w:sz w:val="22"/>
                <w:szCs w:val="22"/>
              </w:rPr>
            </w:pPr>
          </w:p>
        </w:tc>
        <w:tc>
          <w:tcPr>
            <w:tcW w:w="1386" w:type="dxa"/>
            <w:noWrap w:val="0"/>
            <w:vAlign w:val="top"/>
          </w:tcPr>
          <w:p>
            <w:pPr>
              <w:pStyle w:val="24"/>
              <w:adjustRightInd w:val="0"/>
              <w:snapToGrid w:val="0"/>
              <w:spacing w:line="400" w:lineRule="exact"/>
              <w:rPr>
                <w:rFonts w:hint="eastAsia" w:hAnsi="宋体" w:cs="宋体"/>
                <w:b/>
                <w:sz w:val="22"/>
                <w:szCs w:val="22"/>
              </w:rPr>
            </w:pPr>
          </w:p>
        </w:tc>
        <w:tc>
          <w:tcPr>
            <w:tcW w:w="3125" w:type="dxa"/>
            <w:noWrap w:val="0"/>
            <w:vAlign w:val="top"/>
          </w:tcPr>
          <w:p>
            <w:pPr>
              <w:pStyle w:val="24"/>
              <w:adjustRightInd w:val="0"/>
              <w:snapToGrid w:val="0"/>
              <w:spacing w:line="400" w:lineRule="exact"/>
              <w:rPr>
                <w:rFonts w:hint="eastAsia"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080" w:type="dxa"/>
            <w:noWrap w:val="0"/>
            <w:vAlign w:val="top"/>
          </w:tcPr>
          <w:p>
            <w:pPr>
              <w:pStyle w:val="24"/>
              <w:adjustRightInd w:val="0"/>
              <w:snapToGrid w:val="0"/>
              <w:spacing w:line="400" w:lineRule="exact"/>
              <w:rPr>
                <w:rFonts w:hint="eastAsia" w:hAnsi="宋体" w:cs="宋体"/>
                <w:b/>
                <w:sz w:val="22"/>
                <w:szCs w:val="22"/>
              </w:rPr>
            </w:pPr>
          </w:p>
        </w:tc>
        <w:tc>
          <w:tcPr>
            <w:tcW w:w="2161" w:type="dxa"/>
            <w:noWrap w:val="0"/>
            <w:vAlign w:val="top"/>
          </w:tcPr>
          <w:p>
            <w:pPr>
              <w:pStyle w:val="24"/>
              <w:adjustRightInd w:val="0"/>
              <w:snapToGrid w:val="0"/>
              <w:spacing w:line="400" w:lineRule="exact"/>
              <w:rPr>
                <w:rFonts w:hint="eastAsia" w:hAnsi="宋体" w:cs="宋体"/>
                <w:b/>
                <w:sz w:val="22"/>
                <w:szCs w:val="22"/>
              </w:rPr>
            </w:pPr>
          </w:p>
        </w:tc>
        <w:tc>
          <w:tcPr>
            <w:tcW w:w="2664" w:type="dxa"/>
            <w:noWrap w:val="0"/>
            <w:vAlign w:val="top"/>
          </w:tcPr>
          <w:p>
            <w:pPr>
              <w:pStyle w:val="24"/>
              <w:adjustRightInd w:val="0"/>
              <w:snapToGrid w:val="0"/>
              <w:spacing w:line="400" w:lineRule="exact"/>
              <w:rPr>
                <w:rFonts w:hint="eastAsia" w:hAnsi="宋体" w:cs="宋体"/>
                <w:b/>
                <w:sz w:val="22"/>
                <w:szCs w:val="22"/>
              </w:rPr>
            </w:pPr>
          </w:p>
        </w:tc>
        <w:tc>
          <w:tcPr>
            <w:tcW w:w="1386" w:type="dxa"/>
            <w:noWrap w:val="0"/>
            <w:vAlign w:val="top"/>
          </w:tcPr>
          <w:p>
            <w:pPr>
              <w:pStyle w:val="24"/>
              <w:adjustRightInd w:val="0"/>
              <w:snapToGrid w:val="0"/>
              <w:spacing w:line="400" w:lineRule="exact"/>
              <w:rPr>
                <w:rFonts w:hint="eastAsia" w:hAnsi="宋体" w:cs="宋体"/>
                <w:b/>
                <w:sz w:val="22"/>
                <w:szCs w:val="22"/>
              </w:rPr>
            </w:pPr>
          </w:p>
        </w:tc>
        <w:tc>
          <w:tcPr>
            <w:tcW w:w="3125" w:type="dxa"/>
            <w:noWrap w:val="0"/>
            <w:vAlign w:val="top"/>
          </w:tcPr>
          <w:p>
            <w:pPr>
              <w:pStyle w:val="24"/>
              <w:adjustRightInd w:val="0"/>
              <w:snapToGrid w:val="0"/>
              <w:spacing w:line="400" w:lineRule="exact"/>
              <w:rPr>
                <w:rFonts w:hint="eastAsia"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080" w:type="dxa"/>
            <w:noWrap w:val="0"/>
            <w:vAlign w:val="top"/>
          </w:tcPr>
          <w:p>
            <w:pPr>
              <w:pStyle w:val="24"/>
              <w:adjustRightInd w:val="0"/>
              <w:snapToGrid w:val="0"/>
              <w:spacing w:line="400" w:lineRule="exact"/>
              <w:rPr>
                <w:rFonts w:hint="eastAsia" w:hAnsi="宋体" w:cs="宋体"/>
                <w:b/>
                <w:sz w:val="22"/>
                <w:szCs w:val="22"/>
              </w:rPr>
            </w:pPr>
          </w:p>
        </w:tc>
        <w:tc>
          <w:tcPr>
            <w:tcW w:w="2161" w:type="dxa"/>
            <w:noWrap w:val="0"/>
            <w:vAlign w:val="top"/>
          </w:tcPr>
          <w:p>
            <w:pPr>
              <w:pStyle w:val="24"/>
              <w:adjustRightInd w:val="0"/>
              <w:snapToGrid w:val="0"/>
              <w:spacing w:line="400" w:lineRule="exact"/>
              <w:rPr>
                <w:rFonts w:hint="eastAsia" w:hAnsi="宋体" w:cs="宋体"/>
                <w:b/>
                <w:sz w:val="22"/>
                <w:szCs w:val="22"/>
              </w:rPr>
            </w:pPr>
          </w:p>
        </w:tc>
        <w:tc>
          <w:tcPr>
            <w:tcW w:w="2664" w:type="dxa"/>
            <w:noWrap w:val="0"/>
            <w:vAlign w:val="top"/>
          </w:tcPr>
          <w:p>
            <w:pPr>
              <w:pStyle w:val="24"/>
              <w:adjustRightInd w:val="0"/>
              <w:snapToGrid w:val="0"/>
              <w:spacing w:line="400" w:lineRule="exact"/>
              <w:rPr>
                <w:rFonts w:hint="eastAsia" w:hAnsi="宋体" w:cs="宋体"/>
                <w:b/>
                <w:sz w:val="22"/>
                <w:szCs w:val="22"/>
              </w:rPr>
            </w:pPr>
          </w:p>
        </w:tc>
        <w:tc>
          <w:tcPr>
            <w:tcW w:w="1386" w:type="dxa"/>
            <w:noWrap w:val="0"/>
            <w:vAlign w:val="top"/>
          </w:tcPr>
          <w:p>
            <w:pPr>
              <w:pStyle w:val="24"/>
              <w:adjustRightInd w:val="0"/>
              <w:snapToGrid w:val="0"/>
              <w:spacing w:line="400" w:lineRule="exact"/>
              <w:rPr>
                <w:rFonts w:hint="eastAsia" w:hAnsi="宋体" w:cs="宋体"/>
                <w:b/>
                <w:sz w:val="22"/>
                <w:szCs w:val="22"/>
              </w:rPr>
            </w:pPr>
          </w:p>
        </w:tc>
        <w:tc>
          <w:tcPr>
            <w:tcW w:w="3125" w:type="dxa"/>
            <w:noWrap w:val="0"/>
            <w:vAlign w:val="top"/>
          </w:tcPr>
          <w:p>
            <w:pPr>
              <w:pStyle w:val="24"/>
              <w:adjustRightInd w:val="0"/>
              <w:snapToGrid w:val="0"/>
              <w:spacing w:line="400" w:lineRule="exact"/>
              <w:rPr>
                <w:rFonts w:hint="eastAsia"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080" w:type="dxa"/>
            <w:noWrap w:val="0"/>
            <w:vAlign w:val="top"/>
          </w:tcPr>
          <w:p>
            <w:pPr>
              <w:pStyle w:val="24"/>
              <w:adjustRightInd w:val="0"/>
              <w:snapToGrid w:val="0"/>
              <w:spacing w:line="400" w:lineRule="exact"/>
              <w:rPr>
                <w:rFonts w:hint="eastAsia" w:hAnsi="宋体" w:cs="宋体"/>
                <w:b/>
                <w:sz w:val="22"/>
                <w:szCs w:val="22"/>
              </w:rPr>
            </w:pPr>
          </w:p>
        </w:tc>
        <w:tc>
          <w:tcPr>
            <w:tcW w:w="2161" w:type="dxa"/>
            <w:noWrap w:val="0"/>
            <w:vAlign w:val="top"/>
          </w:tcPr>
          <w:p>
            <w:pPr>
              <w:pStyle w:val="24"/>
              <w:adjustRightInd w:val="0"/>
              <w:snapToGrid w:val="0"/>
              <w:spacing w:line="400" w:lineRule="exact"/>
              <w:rPr>
                <w:rFonts w:hint="eastAsia" w:hAnsi="宋体" w:cs="宋体"/>
                <w:b/>
                <w:sz w:val="22"/>
                <w:szCs w:val="22"/>
              </w:rPr>
            </w:pPr>
          </w:p>
        </w:tc>
        <w:tc>
          <w:tcPr>
            <w:tcW w:w="2664" w:type="dxa"/>
            <w:noWrap w:val="0"/>
            <w:vAlign w:val="top"/>
          </w:tcPr>
          <w:p>
            <w:pPr>
              <w:pStyle w:val="24"/>
              <w:adjustRightInd w:val="0"/>
              <w:snapToGrid w:val="0"/>
              <w:spacing w:line="400" w:lineRule="exact"/>
              <w:rPr>
                <w:rFonts w:hint="eastAsia" w:hAnsi="宋体" w:cs="宋体"/>
                <w:b/>
                <w:sz w:val="22"/>
                <w:szCs w:val="22"/>
              </w:rPr>
            </w:pPr>
          </w:p>
        </w:tc>
        <w:tc>
          <w:tcPr>
            <w:tcW w:w="1386" w:type="dxa"/>
            <w:noWrap w:val="0"/>
            <w:vAlign w:val="top"/>
          </w:tcPr>
          <w:p>
            <w:pPr>
              <w:pStyle w:val="24"/>
              <w:adjustRightInd w:val="0"/>
              <w:snapToGrid w:val="0"/>
              <w:spacing w:line="400" w:lineRule="exact"/>
              <w:rPr>
                <w:rFonts w:hint="eastAsia" w:hAnsi="宋体" w:cs="宋体"/>
                <w:b/>
                <w:sz w:val="22"/>
                <w:szCs w:val="22"/>
              </w:rPr>
            </w:pPr>
          </w:p>
        </w:tc>
        <w:tc>
          <w:tcPr>
            <w:tcW w:w="3125" w:type="dxa"/>
            <w:noWrap w:val="0"/>
            <w:vAlign w:val="top"/>
          </w:tcPr>
          <w:p>
            <w:pPr>
              <w:pStyle w:val="24"/>
              <w:adjustRightInd w:val="0"/>
              <w:snapToGrid w:val="0"/>
              <w:spacing w:line="400" w:lineRule="exact"/>
              <w:rPr>
                <w:rFonts w:hint="eastAsia"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080" w:type="dxa"/>
            <w:noWrap w:val="0"/>
            <w:vAlign w:val="top"/>
          </w:tcPr>
          <w:p>
            <w:pPr>
              <w:pStyle w:val="24"/>
              <w:adjustRightInd w:val="0"/>
              <w:snapToGrid w:val="0"/>
              <w:spacing w:line="400" w:lineRule="exact"/>
              <w:rPr>
                <w:rFonts w:hint="eastAsia" w:hAnsi="宋体" w:cs="宋体"/>
                <w:b/>
                <w:sz w:val="22"/>
                <w:szCs w:val="22"/>
              </w:rPr>
            </w:pPr>
          </w:p>
        </w:tc>
        <w:tc>
          <w:tcPr>
            <w:tcW w:w="2161" w:type="dxa"/>
            <w:noWrap w:val="0"/>
            <w:vAlign w:val="top"/>
          </w:tcPr>
          <w:p>
            <w:pPr>
              <w:pStyle w:val="24"/>
              <w:adjustRightInd w:val="0"/>
              <w:snapToGrid w:val="0"/>
              <w:spacing w:line="400" w:lineRule="exact"/>
              <w:rPr>
                <w:rFonts w:hint="eastAsia" w:hAnsi="宋体" w:cs="宋体"/>
                <w:b/>
                <w:sz w:val="22"/>
                <w:szCs w:val="22"/>
              </w:rPr>
            </w:pPr>
          </w:p>
        </w:tc>
        <w:tc>
          <w:tcPr>
            <w:tcW w:w="2664" w:type="dxa"/>
            <w:noWrap w:val="0"/>
            <w:vAlign w:val="top"/>
          </w:tcPr>
          <w:p>
            <w:pPr>
              <w:pStyle w:val="24"/>
              <w:adjustRightInd w:val="0"/>
              <w:snapToGrid w:val="0"/>
              <w:spacing w:line="400" w:lineRule="exact"/>
              <w:rPr>
                <w:rFonts w:hint="eastAsia" w:hAnsi="宋体" w:cs="宋体"/>
                <w:b/>
                <w:sz w:val="22"/>
                <w:szCs w:val="22"/>
              </w:rPr>
            </w:pPr>
          </w:p>
        </w:tc>
        <w:tc>
          <w:tcPr>
            <w:tcW w:w="1386" w:type="dxa"/>
            <w:noWrap w:val="0"/>
            <w:vAlign w:val="top"/>
          </w:tcPr>
          <w:p>
            <w:pPr>
              <w:pStyle w:val="24"/>
              <w:adjustRightInd w:val="0"/>
              <w:snapToGrid w:val="0"/>
              <w:spacing w:line="400" w:lineRule="exact"/>
              <w:rPr>
                <w:rFonts w:hint="eastAsia" w:hAnsi="宋体" w:cs="宋体"/>
                <w:b/>
                <w:sz w:val="22"/>
                <w:szCs w:val="22"/>
              </w:rPr>
            </w:pPr>
          </w:p>
        </w:tc>
        <w:tc>
          <w:tcPr>
            <w:tcW w:w="3125" w:type="dxa"/>
            <w:noWrap w:val="0"/>
            <w:vAlign w:val="top"/>
          </w:tcPr>
          <w:p>
            <w:pPr>
              <w:pStyle w:val="24"/>
              <w:adjustRightInd w:val="0"/>
              <w:snapToGrid w:val="0"/>
              <w:spacing w:line="400" w:lineRule="exact"/>
              <w:rPr>
                <w:rFonts w:hint="eastAsia"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080" w:type="dxa"/>
            <w:noWrap w:val="0"/>
            <w:vAlign w:val="top"/>
          </w:tcPr>
          <w:p>
            <w:pPr>
              <w:pStyle w:val="24"/>
              <w:adjustRightInd w:val="0"/>
              <w:snapToGrid w:val="0"/>
              <w:spacing w:line="400" w:lineRule="exact"/>
              <w:rPr>
                <w:rFonts w:hint="eastAsia" w:hAnsi="宋体" w:cs="宋体"/>
                <w:b/>
                <w:sz w:val="22"/>
                <w:szCs w:val="22"/>
              </w:rPr>
            </w:pPr>
          </w:p>
        </w:tc>
        <w:tc>
          <w:tcPr>
            <w:tcW w:w="2161" w:type="dxa"/>
            <w:noWrap w:val="0"/>
            <w:vAlign w:val="top"/>
          </w:tcPr>
          <w:p>
            <w:pPr>
              <w:pStyle w:val="24"/>
              <w:adjustRightInd w:val="0"/>
              <w:snapToGrid w:val="0"/>
              <w:spacing w:line="400" w:lineRule="exact"/>
              <w:rPr>
                <w:rFonts w:hint="eastAsia" w:hAnsi="宋体" w:cs="宋体"/>
                <w:b/>
                <w:sz w:val="22"/>
                <w:szCs w:val="22"/>
              </w:rPr>
            </w:pPr>
          </w:p>
        </w:tc>
        <w:tc>
          <w:tcPr>
            <w:tcW w:w="2664" w:type="dxa"/>
            <w:noWrap w:val="0"/>
            <w:vAlign w:val="top"/>
          </w:tcPr>
          <w:p>
            <w:pPr>
              <w:pStyle w:val="24"/>
              <w:adjustRightInd w:val="0"/>
              <w:snapToGrid w:val="0"/>
              <w:spacing w:line="400" w:lineRule="exact"/>
              <w:rPr>
                <w:rFonts w:hint="eastAsia" w:hAnsi="宋体" w:cs="宋体"/>
                <w:b/>
                <w:sz w:val="22"/>
                <w:szCs w:val="22"/>
              </w:rPr>
            </w:pPr>
          </w:p>
        </w:tc>
        <w:tc>
          <w:tcPr>
            <w:tcW w:w="1386" w:type="dxa"/>
            <w:noWrap w:val="0"/>
            <w:vAlign w:val="top"/>
          </w:tcPr>
          <w:p>
            <w:pPr>
              <w:pStyle w:val="24"/>
              <w:adjustRightInd w:val="0"/>
              <w:snapToGrid w:val="0"/>
              <w:spacing w:line="400" w:lineRule="exact"/>
              <w:rPr>
                <w:rFonts w:hint="eastAsia" w:hAnsi="宋体" w:cs="宋体"/>
                <w:b/>
                <w:sz w:val="22"/>
                <w:szCs w:val="22"/>
              </w:rPr>
            </w:pPr>
          </w:p>
        </w:tc>
        <w:tc>
          <w:tcPr>
            <w:tcW w:w="3125" w:type="dxa"/>
            <w:noWrap w:val="0"/>
            <w:vAlign w:val="top"/>
          </w:tcPr>
          <w:p>
            <w:pPr>
              <w:pStyle w:val="24"/>
              <w:adjustRightInd w:val="0"/>
              <w:snapToGrid w:val="0"/>
              <w:spacing w:line="400" w:lineRule="exact"/>
              <w:rPr>
                <w:rFonts w:hint="eastAsia"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080" w:type="dxa"/>
            <w:noWrap w:val="0"/>
            <w:vAlign w:val="top"/>
          </w:tcPr>
          <w:p>
            <w:pPr>
              <w:pStyle w:val="24"/>
              <w:adjustRightInd w:val="0"/>
              <w:snapToGrid w:val="0"/>
              <w:spacing w:line="400" w:lineRule="exact"/>
              <w:rPr>
                <w:rFonts w:hint="eastAsia" w:hAnsi="宋体" w:cs="宋体"/>
                <w:b/>
                <w:sz w:val="22"/>
                <w:szCs w:val="22"/>
              </w:rPr>
            </w:pPr>
          </w:p>
        </w:tc>
        <w:tc>
          <w:tcPr>
            <w:tcW w:w="2161" w:type="dxa"/>
            <w:noWrap w:val="0"/>
            <w:vAlign w:val="top"/>
          </w:tcPr>
          <w:p>
            <w:pPr>
              <w:pStyle w:val="24"/>
              <w:adjustRightInd w:val="0"/>
              <w:snapToGrid w:val="0"/>
              <w:spacing w:line="400" w:lineRule="exact"/>
              <w:rPr>
                <w:rFonts w:hint="eastAsia" w:hAnsi="宋体" w:cs="宋体"/>
                <w:b/>
                <w:sz w:val="22"/>
                <w:szCs w:val="22"/>
              </w:rPr>
            </w:pPr>
          </w:p>
        </w:tc>
        <w:tc>
          <w:tcPr>
            <w:tcW w:w="2664" w:type="dxa"/>
            <w:noWrap w:val="0"/>
            <w:vAlign w:val="top"/>
          </w:tcPr>
          <w:p>
            <w:pPr>
              <w:pStyle w:val="24"/>
              <w:adjustRightInd w:val="0"/>
              <w:snapToGrid w:val="0"/>
              <w:spacing w:line="400" w:lineRule="exact"/>
              <w:rPr>
                <w:rFonts w:hint="eastAsia" w:hAnsi="宋体" w:cs="宋体"/>
                <w:b/>
                <w:sz w:val="22"/>
                <w:szCs w:val="22"/>
              </w:rPr>
            </w:pPr>
          </w:p>
        </w:tc>
        <w:tc>
          <w:tcPr>
            <w:tcW w:w="1386" w:type="dxa"/>
            <w:noWrap w:val="0"/>
            <w:vAlign w:val="top"/>
          </w:tcPr>
          <w:p>
            <w:pPr>
              <w:pStyle w:val="24"/>
              <w:adjustRightInd w:val="0"/>
              <w:snapToGrid w:val="0"/>
              <w:spacing w:line="400" w:lineRule="exact"/>
              <w:rPr>
                <w:rFonts w:hint="eastAsia" w:hAnsi="宋体" w:cs="宋体"/>
                <w:b/>
                <w:sz w:val="22"/>
                <w:szCs w:val="22"/>
              </w:rPr>
            </w:pPr>
          </w:p>
        </w:tc>
        <w:tc>
          <w:tcPr>
            <w:tcW w:w="3125" w:type="dxa"/>
            <w:noWrap w:val="0"/>
            <w:vAlign w:val="top"/>
          </w:tcPr>
          <w:p>
            <w:pPr>
              <w:pStyle w:val="24"/>
              <w:adjustRightInd w:val="0"/>
              <w:snapToGrid w:val="0"/>
              <w:spacing w:line="400" w:lineRule="exact"/>
              <w:rPr>
                <w:rFonts w:hint="eastAsia" w:hAnsi="宋体" w:cs="宋体"/>
                <w:b/>
                <w:sz w:val="22"/>
                <w:szCs w:val="22"/>
              </w:rPr>
            </w:pPr>
          </w:p>
        </w:tc>
      </w:tr>
    </w:tbl>
    <w:p>
      <w:pPr>
        <w:spacing w:before="120" w:beforeLines="50" w:after="120" w:afterLines="50" w:line="460" w:lineRule="atLeast"/>
        <w:ind w:right="-10"/>
        <w:rPr>
          <w:rFonts w:hint="eastAsia" w:ascii="宋体" w:hAnsi="宋体" w:cs="宋体"/>
          <w:sz w:val="22"/>
          <w:szCs w:val="22"/>
        </w:rPr>
      </w:pPr>
      <w:r>
        <w:rPr>
          <w:rFonts w:hint="eastAsia" w:ascii="宋体" w:hAnsi="宋体" w:cs="宋体"/>
          <w:sz w:val="22"/>
          <w:szCs w:val="22"/>
        </w:rPr>
        <w:t xml:space="preserve">供应商电子签章： </w:t>
      </w:r>
      <w:r>
        <w:rPr>
          <w:rFonts w:hint="eastAsia" w:ascii="宋体" w:hAnsi="宋体" w:cs="宋体"/>
          <w:sz w:val="22"/>
          <w:szCs w:val="22"/>
          <w:u w:val="single"/>
        </w:rPr>
        <w:t xml:space="preserve">              </w:t>
      </w:r>
    </w:p>
    <w:p>
      <w:pPr>
        <w:autoSpaceDE w:val="0"/>
        <w:autoSpaceDN w:val="0"/>
        <w:adjustRightInd w:val="0"/>
        <w:snapToGrid w:val="0"/>
        <w:spacing w:line="360" w:lineRule="auto"/>
        <w:textAlignment w:val="bottom"/>
        <w:rPr>
          <w:rFonts w:hint="eastAsia" w:ascii="宋体" w:hAnsi="宋体" w:cs="宋体"/>
          <w:sz w:val="22"/>
          <w:szCs w:val="22"/>
        </w:rPr>
      </w:pPr>
      <w:r>
        <w:rPr>
          <w:rFonts w:hint="eastAsia" w:ascii="宋体" w:hAnsi="宋体" w:cs="宋体"/>
          <w:sz w:val="22"/>
          <w:szCs w:val="22"/>
        </w:rPr>
        <w:br w:type="page"/>
      </w:r>
      <w:r>
        <w:rPr>
          <w:rFonts w:hint="eastAsia" w:ascii="宋体" w:hAnsi="宋体" w:cs="宋体"/>
          <w:b/>
          <w:sz w:val="22"/>
          <w:szCs w:val="22"/>
        </w:rPr>
        <w:t>附件九</w:t>
      </w:r>
    </w:p>
    <w:p>
      <w:pPr>
        <w:ind w:left="147" w:leftChars="70"/>
        <w:jc w:val="center"/>
        <w:rPr>
          <w:rFonts w:hint="eastAsia" w:ascii="宋体" w:hAnsi="宋体" w:cs="宋体"/>
          <w:sz w:val="22"/>
          <w:szCs w:val="22"/>
        </w:rPr>
      </w:pPr>
      <w:r>
        <w:rPr>
          <w:rFonts w:hint="eastAsia" w:ascii="宋体" w:hAnsi="宋体" w:cs="宋体"/>
          <w:bCs/>
          <w:sz w:val="22"/>
          <w:szCs w:val="22"/>
        </w:rPr>
        <w:t>售后服务措施及承诺表</w:t>
      </w:r>
    </w:p>
    <w:p>
      <w:pPr>
        <w:spacing w:line="480" w:lineRule="exact"/>
        <w:ind w:firstLine="221" w:firstLineChars="100"/>
        <w:rPr>
          <w:rFonts w:hint="eastAsia" w:ascii="宋体" w:hAnsi="宋体" w:cs="宋体"/>
          <w:b/>
          <w:sz w:val="22"/>
          <w:szCs w:val="22"/>
        </w:rPr>
      </w:pPr>
      <w:r>
        <w:rPr>
          <w:rFonts w:hint="eastAsia" w:ascii="宋体" w:hAnsi="宋体" w:cs="宋体"/>
          <w:b/>
          <w:sz w:val="22"/>
          <w:szCs w:val="22"/>
        </w:rPr>
        <w:t>项目名称：</w:t>
      </w:r>
    </w:p>
    <w:p>
      <w:pPr>
        <w:spacing w:line="480" w:lineRule="exact"/>
        <w:ind w:firstLine="220" w:firstLineChars="100"/>
        <w:rPr>
          <w:rFonts w:hint="eastAsia" w:ascii="宋体" w:hAnsi="宋体" w:cs="宋体"/>
          <w:sz w:val="22"/>
          <w:szCs w:val="22"/>
        </w:rPr>
      </w:pPr>
      <w:r>
        <w:rPr>
          <w:rFonts w:hint="eastAsia" w:ascii="宋体" w:hAnsi="宋体" w:cs="宋体"/>
          <w:sz w:val="22"/>
          <w:szCs w:val="22"/>
        </w:rPr>
        <w:t>项目编号：</w:t>
      </w:r>
    </w:p>
    <w:tbl>
      <w:tblPr>
        <w:tblStyle w:val="43"/>
        <w:tblW w:w="0" w:type="auto"/>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4"/>
        <w:gridCol w:w="83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9" w:hRule="atLeast"/>
        </w:trPr>
        <w:tc>
          <w:tcPr>
            <w:tcW w:w="1204" w:type="dxa"/>
            <w:tcBorders>
              <w:bottom w:val="single" w:color="auto" w:sz="4" w:space="0"/>
            </w:tcBorders>
            <w:noWrap w:val="0"/>
            <w:vAlign w:val="center"/>
          </w:tcPr>
          <w:p>
            <w:pPr>
              <w:jc w:val="center"/>
              <w:rPr>
                <w:rFonts w:hint="eastAsia" w:ascii="宋体" w:hAnsi="宋体" w:cs="宋体"/>
                <w:sz w:val="22"/>
                <w:szCs w:val="22"/>
              </w:rPr>
            </w:pPr>
            <w:r>
              <w:rPr>
                <w:rFonts w:hint="eastAsia" w:ascii="宋体" w:hAnsi="宋体" w:cs="宋体"/>
                <w:sz w:val="22"/>
                <w:szCs w:val="22"/>
              </w:rPr>
              <w:t>质量保证承诺</w:t>
            </w:r>
          </w:p>
        </w:tc>
        <w:tc>
          <w:tcPr>
            <w:tcW w:w="8395" w:type="dxa"/>
            <w:tcBorders>
              <w:bottom w:val="single" w:color="auto" w:sz="4" w:space="0"/>
            </w:tcBorders>
            <w:noWrap w:val="0"/>
            <w:vAlign w:val="top"/>
          </w:tcPr>
          <w:p>
            <w:pPr>
              <w:pStyle w:val="152"/>
              <w:keepNext w:val="0"/>
              <w:spacing w:after="0"/>
              <w:rPr>
                <w:rFonts w:hint="eastAsia" w:ascii="宋体" w:hAnsi="宋体" w:cs="宋体"/>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9" w:hRule="atLeast"/>
        </w:trPr>
        <w:tc>
          <w:tcPr>
            <w:tcW w:w="1204" w:type="dxa"/>
            <w:tcBorders>
              <w:bottom w:val="single" w:color="auto" w:sz="4" w:space="0"/>
            </w:tcBorders>
            <w:noWrap w:val="0"/>
            <w:vAlign w:val="center"/>
          </w:tcPr>
          <w:p>
            <w:pPr>
              <w:jc w:val="center"/>
              <w:rPr>
                <w:rFonts w:hint="eastAsia" w:ascii="宋体" w:hAnsi="宋体" w:cs="宋体"/>
                <w:sz w:val="22"/>
                <w:szCs w:val="22"/>
              </w:rPr>
            </w:pPr>
            <w:r>
              <w:rPr>
                <w:rFonts w:hint="eastAsia" w:ascii="宋体" w:hAnsi="宋体" w:cs="宋体"/>
                <w:sz w:val="22"/>
                <w:szCs w:val="22"/>
              </w:rPr>
              <w:t>售后服务承诺</w:t>
            </w:r>
          </w:p>
        </w:tc>
        <w:tc>
          <w:tcPr>
            <w:tcW w:w="8395" w:type="dxa"/>
            <w:tcBorders>
              <w:bottom w:val="single" w:color="auto" w:sz="4" w:space="0"/>
            </w:tcBorders>
            <w:noWrap w:val="0"/>
            <w:vAlign w:val="top"/>
          </w:tcPr>
          <w:p>
            <w:pPr>
              <w:pStyle w:val="152"/>
              <w:keepNext w:val="0"/>
              <w:spacing w:after="0"/>
              <w:rPr>
                <w:rFonts w:hint="eastAsia" w:ascii="宋体" w:hAnsi="宋体" w:cs="宋体"/>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9" w:hRule="atLeast"/>
        </w:trPr>
        <w:tc>
          <w:tcPr>
            <w:tcW w:w="1204" w:type="dxa"/>
            <w:tcBorders>
              <w:bottom w:val="single" w:color="auto" w:sz="4" w:space="0"/>
            </w:tcBorders>
            <w:noWrap w:val="0"/>
            <w:vAlign w:val="center"/>
          </w:tcPr>
          <w:p>
            <w:pPr>
              <w:jc w:val="center"/>
              <w:rPr>
                <w:rFonts w:hint="eastAsia" w:ascii="宋体" w:hAnsi="宋体" w:cs="宋体"/>
                <w:sz w:val="22"/>
                <w:szCs w:val="22"/>
              </w:rPr>
            </w:pPr>
            <w:r>
              <w:rPr>
                <w:rFonts w:hint="eastAsia" w:ascii="宋体" w:hAnsi="宋体" w:cs="宋体"/>
                <w:sz w:val="22"/>
                <w:szCs w:val="22"/>
              </w:rPr>
              <w:t>施工日期服务承诺</w:t>
            </w:r>
          </w:p>
        </w:tc>
        <w:tc>
          <w:tcPr>
            <w:tcW w:w="8395" w:type="dxa"/>
            <w:tcBorders>
              <w:bottom w:val="single" w:color="auto" w:sz="4" w:space="0"/>
            </w:tcBorders>
            <w:noWrap w:val="0"/>
            <w:vAlign w:val="top"/>
          </w:tcPr>
          <w:p>
            <w:pPr>
              <w:pStyle w:val="152"/>
              <w:keepNext w:val="0"/>
              <w:spacing w:after="0"/>
              <w:rPr>
                <w:rFonts w:hint="eastAsia" w:ascii="宋体" w:hAnsi="宋体" w:cs="宋体"/>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0" w:hRule="atLeast"/>
        </w:trPr>
        <w:tc>
          <w:tcPr>
            <w:tcW w:w="1204" w:type="dxa"/>
            <w:tcBorders>
              <w:bottom w:val="single" w:color="auto" w:sz="4" w:space="0"/>
            </w:tcBorders>
            <w:noWrap w:val="0"/>
            <w:vAlign w:val="center"/>
          </w:tcPr>
          <w:p>
            <w:pPr>
              <w:jc w:val="center"/>
              <w:rPr>
                <w:rFonts w:hint="eastAsia" w:ascii="宋体" w:hAnsi="宋体" w:cs="宋体"/>
                <w:sz w:val="22"/>
                <w:szCs w:val="22"/>
              </w:rPr>
            </w:pPr>
            <w:r>
              <w:rPr>
                <w:rFonts w:hint="eastAsia" w:ascii="宋体" w:hAnsi="宋体" w:cs="宋体"/>
                <w:sz w:val="22"/>
                <w:szCs w:val="22"/>
              </w:rPr>
              <w:t>其他</w:t>
            </w:r>
          </w:p>
        </w:tc>
        <w:tc>
          <w:tcPr>
            <w:tcW w:w="8395" w:type="dxa"/>
            <w:tcBorders>
              <w:bottom w:val="single" w:color="auto" w:sz="4" w:space="0"/>
            </w:tcBorders>
            <w:noWrap w:val="0"/>
            <w:vAlign w:val="top"/>
          </w:tcPr>
          <w:p>
            <w:pPr>
              <w:pStyle w:val="152"/>
              <w:keepNext w:val="0"/>
              <w:spacing w:after="0"/>
              <w:rPr>
                <w:rFonts w:hint="eastAsia" w:ascii="宋体" w:hAnsi="宋体" w:cs="宋体"/>
                <w:sz w:val="22"/>
                <w:szCs w:val="22"/>
              </w:rPr>
            </w:pPr>
          </w:p>
        </w:tc>
      </w:tr>
    </w:tbl>
    <w:p>
      <w:pPr>
        <w:rPr>
          <w:rFonts w:hint="eastAsia" w:ascii="宋体" w:hAnsi="宋体" w:cs="宋体"/>
          <w:sz w:val="22"/>
          <w:szCs w:val="22"/>
          <w:lang w:val="zh-CN"/>
        </w:rPr>
      </w:pPr>
      <w:r>
        <w:rPr>
          <w:rFonts w:hint="eastAsia" w:ascii="宋体" w:hAnsi="宋体" w:cs="宋体"/>
          <w:sz w:val="22"/>
          <w:szCs w:val="22"/>
        </w:rPr>
        <w:t xml:space="preserve">   </w:t>
      </w:r>
      <w:r>
        <w:rPr>
          <w:rFonts w:hint="eastAsia" w:ascii="宋体" w:hAnsi="宋体" w:cs="宋体"/>
          <w:sz w:val="22"/>
          <w:szCs w:val="22"/>
          <w:lang w:val="zh-CN"/>
        </w:rPr>
        <w:t>注：包括质量保证期内和质量保证期外的售后服务措施及承诺。</w:t>
      </w:r>
    </w:p>
    <w:p>
      <w:pPr>
        <w:rPr>
          <w:rFonts w:hint="eastAsia" w:ascii="宋体" w:hAnsi="宋体" w:cs="宋体"/>
          <w:sz w:val="22"/>
          <w:szCs w:val="22"/>
          <w:lang w:val="zh-CN"/>
        </w:rPr>
      </w:pPr>
    </w:p>
    <w:p>
      <w:pPr>
        <w:spacing w:line="460" w:lineRule="exact"/>
        <w:rPr>
          <w:rFonts w:hint="eastAsia" w:ascii="宋体" w:hAnsi="宋体" w:cs="宋体"/>
          <w:sz w:val="22"/>
          <w:szCs w:val="22"/>
        </w:rPr>
      </w:pPr>
      <w:r>
        <w:rPr>
          <w:rFonts w:hint="eastAsia" w:ascii="宋体" w:hAnsi="宋体" w:cs="宋体"/>
          <w:sz w:val="22"/>
          <w:szCs w:val="22"/>
        </w:rPr>
        <w:t>供应商全称（电子签章）：</w:t>
      </w:r>
    </w:p>
    <w:p>
      <w:pPr>
        <w:spacing w:line="400" w:lineRule="exact"/>
        <w:rPr>
          <w:rFonts w:hint="eastAsia" w:ascii="宋体" w:hAnsi="宋体" w:cs="宋体"/>
          <w:sz w:val="22"/>
          <w:szCs w:val="22"/>
        </w:rPr>
      </w:pPr>
      <w:r>
        <w:rPr>
          <w:rFonts w:hint="eastAsia" w:ascii="宋体" w:hAnsi="宋体" w:cs="宋体"/>
          <w:sz w:val="22"/>
          <w:szCs w:val="22"/>
        </w:rPr>
        <w:t>授权代表人或法定代表人（签字或盖章）：</w:t>
      </w:r>
    </w:p>
    <w:p>
      <w:pPr>
        <w:spacing w:line="400" w:lineRule="exact"/>
        <w:rPr>
          <w:rFonts w:hint="eastAsia" w:ascii="宋体" w:hAnsi="宋体" w:cs="宋体"/>
          <w:sz w:val="22"/>
          <w:szCs w:val="22"/>
        </w:rPr>
      </w:pPr>
      <w:r>
        <w:rPr>
          <w:rFonts w:hint="eastAsia" w:ascii="宋体" w:hAnsi="宋体" w:cs="宋体"/>
          <w:sz w:val="22"/>
          <w:szCs w:val="22"/>
        </w:rPr>
        <w:t>日    期：</w:t>
      </w:r>
    </w:p>
    <w:p>
      <w:pPr>
        <w:autoSpaceDE w:val="0"/>
        <w:autoSpaceDN w:val="0"/>
        <w:adjustRightInd w:val="0"/>
        <w:snapToGrid w:val="0"/>
        <w:spacing w:line="360" w:lineRule="auto"/>
        <w:textAlignment w:val="bottom"/>
        <w:rPr>
          <w:rFonts w:hint="eastAsia" w:ascii="宋体" w:hAnsi="宋体" w:cs="宋体"/>
          <w:sz w:val="22"/>
          <w:szCs w:val="22"/>
        </w:rPr>
      </w:pPr>
      <w:r>
        <w:rPr>
          <w:rFonts w:hint="eastAsia" w:ascii="宋体" w:hAnsi="宋体" w:cs="宋体"/>
          <w:b/>
          <w:sz w:val="22"/>
          <w:szCs w:val="22"/>
        </w:rPr>
        <w:br w:type="page"/>
      </w:r>
      <w:r>
        <w:rPr>
          <w:rFonts w:hint="eastAsia" w:ascii="宋体" w:hAnsi="宋体" w:cs="宋体"/>
          <w:b/>
          <w:sz w:val="22"/>
          <w:szCs w:val="22"/>
        </w:rPr>
        <w:t>附件十</w:t>
      </w:r>
    </w:p>
    <w:p>
      <w:pPr>
        <w:widowControl/>
        <w:spacing w:before="100" w:beforeAutospacing="1" w:after="100" w:afterAutospacing="1" w:line="480" w:lineRule="auto"/>
        <w:jc w:val="center"/>
        <w:rPr>
          <w:rFonts w:hint="eastAsia" w:ascii="宋体" w:hAnsi="宋体" w:cs="宋体"/>
          <w:sz w:val="22"/>
          <w:szCs w:val="22"/>
        </w:rPr>
      </w:pPr>
      <w:r>
        <w:rPr>
          <w:rFonts w:hint="eastAsia" w:ascii="宋体" w:hAnsi="宋体" w:cs="宋体"/>
          <w:sz w:val="22"/>
          <w:szCs w:val="22"/>
        </w:rPr>
        <w:t>承诺书</w:t>
      </w:r>
    </w:p>
    <w:p>
      <w:pPr>
        <w:pStyle w:val="127"/>
        <w:rPr>
          <w:rFonts w:hint="eastAsia" w:ascii="宋体" w:hAnsi="宋体" w:cs="宋体"/>
          <w:sz w:val="22"/>
          <w:szCs w:val="22"/>
        </w:rPr>
      </w:pPr>
      <w:r>
        <w:rPr>
          <w:rFonts w:hint="eastAsia" w:ascii="宋体" w:hAnsi="宋体" w:cs="宋体"/>
          <w:sz w:val="22"/>
          <w:szCs w:val="22"/>
        </w:rPr>
        <w:t>苍南县公安局：</w:t>
      </w:r>
    </w:p>
    <w:p>
      <w:pPr>
        <w:pStyle w:val="127"/>
        <w:rPr>
          <w:rFonts w:hint="eastAsia" w:ascii="宋体" w:hAnsi="宋体" w:cs="宋体"/>
          <w:sz w:val="22"/>
          <w:szCs w:val="22"/>
        </w:rPr>
      </w:pPr>
    </w:p>
    <w:p>
      <w:pPr>
        <w:pStyle w:val="127"/>
        <w:ind w:firstLine="440" w:firstLineChars="200"/>
        <w:rPr>
          <w:rFonts w:hint="eastAsia" w:ascii="宋体" w:hAnsi="宋体" w:cs="宋体"/>
          <w:sz w:val="22"/>
          <w:szCs w:val="22"/>
        </w:rPr>
      </w:pPr>
      <w:r>
        <w:rPr>
          <w:rFonts w:hint="eastAsia" w:ascii="宋体" w:hAnsi="宋体" w:cs="宋体"/>
          <w:sz w:val="22"/>
          <w:szCs w:val="22"/>
        </w:rPr>
        <w:t>我公司就苍南县公安局**数据中心机房（项目编号：</w:t>
      </w:r>
      <w:r>
        <w:rPr>
          <w:rFonts w:hint="eastAsia" w:ascii="宋体" w:hAnsi="宋体" w:cs="宋体"/>
          <w:sz w:val="22"/>
          <w:szCs w:val="22"/>
          <w:u w:val="single"/>
        </w:rPr>
        <w:t xml:space="preserve">             </w:t>
      </w:r>
      <w:r>
        <w:rPr>
          <w:rFonts w:hint="eastAsia" w:ascii="宋体" w:hAnsi="宋体" w:cs="宋体"/>
          <w:sz w:val="22"/>
          <w:szCs w:val="22"/>
        </w:rPr>
        <w:t>）的投标作如下承诺：若我公司在本项目中标，所有施工按国家相关技术要求进行施工，本项目所涉及的强电施工及弱电施工按国家规范施工，并且作相关警示标志，保证所有强电及弱电7*24小时不间断供应，如不能履行上述承诺，视为我公司自动放弃中标资格。</w:t>
      </w:r>
    </w:p>
    <w:p>
      <w:pPr>
        <w:pStyle w:val="127"/>
        <w:rPr>
          <w:rFonts w:hint="eastAsia" w:ascii="宋体" w:hAnsi="宋体" w:cs="宋体"/>
          <w:sz w:val="22"/>
          <w:szCs w:val="22"/>
        </w:rPr>
      </w:pPr>
    </w:p>
    <w:p>
      <w:pPr>
        <w:pStyle w:val="127"/>
        <w:rPr>
          <w:rFonts w:hint="eastAsia" w:ascii="宋体" w:hAnsi="宋体" w:cs="宋体"/>
          <w:sz w:val="22"/>
          <w:szCs w:val="22"/>
        </w:rPr>
      </w:pPr>
      <w:r>
        <w:rPr>
          <w:rFonts w:hint="eastAsia" w:ascii="宋体" w:hAnsi="宋体" w:cs="宋体"/>
          <w:sz w:val="22"/>
          <w:szCs w:val="22"/>
        </w:rPr>
        <w:t>特此承诺！</w:t>
      </w:r>
    </w:p>
    <w:p>
      <w:pPr>
        <w:pStyle w:val="127"/>
        <w:rPr>
          <w:rFonts w:hint="eastAsia" w:ascii="宋体" w:hAnsi="宋体" w:cs="宋体"/>
          <w:sz w:val="22"/>
          <w:szCs w:val="22"/>
        </w:rPr>
      </w:pPr>
    </w:p>
    <w:p>
      <w:pPr>
        <w:pStyle w:val="127"/>
        <w:rPr>
          <w:rFonts w:hint="eastAsia" w:ascii="宋体" w:hAnsi="宋体" w:cs="宋体"/>
          <w:sz w:val="22"/>
          <w:szCs w:val="22"/>
        </w:rPr>
      </w:pPr>
    </w:p>
    <w:p>
      <w:pPr>
        <w:pStyle w:val="127"/>
        <w:rPr>
          <w:rFonts w:hint="eastAsia" w:ascii="宋体" w:hAnsi="宋体" w:cs="宋体"/>
          <w:sz w:val="22"/>
          <w:szCs w:val="22"/>
        </w:rPr>
      </w:pPr>
      <w:r>
        <w:rPr>
          <w:rFonts w:hint="eastAsia" w:ascii="宋体" w:hAnsi="宋体" w:cs="宋体"/>
          <w:sz w:val="22"/>
          <w:szCs w:val="22"/>
        </w:rPr>
        <w:t>供应商全称（电子签章）：</w:t>
      </w:r>
    </w:p>
    <w:p>
      <w:pPr>
        <w:pStyle w:val="127"/>
        <w:rPr>
          <w:rFonts w:hint="eastAsia" w:ascii="宋体" w:hAnsi="宋体" w:cs="宋体"/>
          <w:sz w:val="22"/>
          <w:szCs w:val="22"/>
        </w:rPr>
      </w:pPr>
      <w:r>
        <w:rPr>
          <w:rFonts w:hint="eastAsia" w:ascii="宋体" w:hAnsi="宋体" w:cs="宋体"/>
          <w:sz w:val="22"/>
          <w:szCs w:val="22"/>
        </w:rPr>
        <w:t>供应商代表（签字）：</w:t>
      </w:r>
    </w:p>
    <w:p>
      <w:pPr>
        <w:pStyle w:val="127"/>
        <w:rPr>
          <w:rFonts w:hint="eastAsia" w:ascii="宋体" w:hAnsi="宋体" w:cs="宋体"/>
          <w:sz w:val="22"/>
          <w:szCs w:val="22"/>
        </w:rPr>
      </w:pPr>
      <w:r>
        <w:rPr>
          <w:rFonts w:hint="eastAsia" w:ascii="宋体" w:hAnsi="宋体" w:cs="宋体"/>
          <w:sz w:val="22"/>
          <w:szCs w:val="22"/>
        </w:rPr>
        <w:t>日    期：     年   月  日</w:t>
      </w:r>
    </w:p>
    <w:p>
      <w:pPr>
        <w:pStyle w:val="2"/>
        <w:rPr>
          <w:rFonts w:hint="eastAsia" w:ascii="宋体" w:hAnsi="宋体" w:cs="宋体"/>
          <w:sz w:val="22"/>
          <w:szCs w:val="22"/>
        </w:rPr>
      </w:pPr>
    </w:p>
    <w:p>
      <w:pPr>
        <w:pStyle w:val="2"/>
        <w:rPr>
          <w:rFonts w:hint="eastAsia" w:ascii="宋体" w:hAnsi="宋体" w:cs="宋体"/>
          <w:sz w:val="22"/>
          <w:szCs w:val="22"/>
        </w:rPr>
      </w:pPr>
    </w:p>
    <w:p>
      <w:pPr>
        <w:pStyle w:val="2"/>
        <w:rPr>
          <w:rFonts w:hint="eastAsia" w:ascii="宋体" w:hAnsi="宋体" w:cs="宋体"/>
          <w:sz w:val="22"/>
          <w:szCs w:val="22"/>
        </w:rPr>
      </w:pPr>
    </w:p>
    <w:p>
      <w:pPr>
        <w:autoSpaceDE w:val="0"/>
        <w:autoSpaceDN w:val="0"/>
        <w:adjustRightInd w:val="0"/>
        <w:snapToGrid w:val="0"/>
        <w:spacing w:line="360" w:lineRule="auto"/>
        <w:textAlignment w:val="bottom"/>
        <w:rPr>
          <w:rFonts w:hint="eastAsia" w:ascii="宋体" w:hAnsi="宋体" w:cs="宋体"/>
          <w:sz w:val="22"/>
          <w:szCs w:val="22"/>
        </w:rPr>
      </w:pPr>
      <w:r>
        <w:rPr>
          <w:rFonts w:hint="eastAsia" w:ascii="宋体" w:hAnsi="宋体" w:cs="宋体"/>
          <w:sz w:val="22"/>
          <w:szCs w:val="22"/>
        </w:rPr>
        <w:br w:type="page"/>
      </w:r>
      <w:r>
        <w:rPr>
          <w:rFonts w:hint="eastAsia" w:ascii="宋体" w:hAnsi="宋体" w:cs="宋体"/>
          <w:b/>
          <w:sz w:val="22"/>
          <w:szCs w:val="22"/>
        </w:rPr>
        <w:t>附件十一（一）</w:t>
      </w:r>
    </w:p>
    <w:p>
      <w:pPr>
        <w:widowControl/>
        <w:spacing w:before="100" w:beforeAutospacing="1" w:after="100" w:afterAutospacing="1" w:line="480" w:lineRule="auto"/>
        <w:jc w:val="center"/>
        <w:rPr>
          <w:rFonts w:hint="eastAsia" w:ascii="宋体" w:hAnsi="宋体" w:cs="宋体"/>
          <w:bCs/>
          <w:sz w:val="22"/>
          <w:szCs w:val="22"/>
        </w:rPr>
      </w:pPr>
      <w:r>
        <w:rPr>
          <w:rFonts w:hint="eastAsia" w:ascii="宋体" w:hAnsi="宋体" w:cs="宋体"/>
          <w:sz w:val="22"/>
          <w:szCs w:val="22"/>
        </w:rPr>
        <w:t>中小企业声明函（如是）</w:t>
      </w:r>
    </w:p>
    <w:p>
      <w:pPr>
        <w:autoSpaceDE w:val="0"/>
        <w:autoSpaceDN w:val="0"/>
        <w:adjustRightInd w:val="0"/>
        <w:snapToGrid w:val="0"/>
        <w:spacing w:line="360" w:lineRule="auto"/>
        <w:ind w:firstLine="440" w:firstLineChars="200"/>
        <w:jc w:val="left"/>
        <w:textAlignment w:val="bottom"/>
        <w:rPr>
          <w:rFonts w:hint="eastAsia" w:ascii="宋体" w:hAnsi="宋体" w:cs="宋体"/>
          <w:sz w:val="22"/>
          <w:szCs w:val="22"/>
        </w:rPr>
      </w:pPr>
      <w:r>
        <w:rPr>
          <w:rFonts w:hint="eastAsia" w:ascii="宋体" w:hAnsi="宋体" w:cs="宋体"/>
          <w:sz w:val="22"/>
          <w:szCs w:val="22"/>
        </w:rPr>
        <w:t>本公司郑重声明，根据《政府采购促进中小企业发展暂行办法》（财库[2011]181号）的规定，本公司为______（请填写：小型、微型）企业。即，本公司同时满足以下条件：</w:t>
      </w:r>
    </w:p>
    <w:p>
      <w:pPr>
        <w:autoSpaceDE w:val="0"/>
        <w:autoSpaceDN w:val="0"/>
        <w:adjustRightInd w:val="0"/>
        <w:snapToGrid w:val="0"/>
        <w:spacing w:line="360" w:lineRule="auto"/>
        <w:ind w:firstLine="440" w:firstLineChars="200"/>
        <w:jc w:val="left"/>
        <w:textAlignment w:val="bottom"/>
        <w:rPr>
          <w:rFonts w:hint="eastAsia" w:ascii="宋体" w:hAnsi="宋体" w:cs="宋体"/>
          <w:sz w:val="22"/>
          <w:szCs w:val="22"/>
        </w:rPr>
      </w:pPr>
      <w:r>
        <w:rPr>
          <w:rFonts w:hint="eastAsia" w:ascii="宋体" w:hAnsi="宋体" w:cs="宋体"/>
          <w:sz w:val="22"/>
          <w:szCs w:val="22"/>
        </w:rPr>
        <w:t>1.根据《工业和信息化部、国家统计局、国家发展和改革委员会、财政部关于印发中小企业划型标准规定的通知》（工信部联企业[2011]300号）规定的划分标准，本公司为______（请填写：小型、微型）企业，从业人员</w:t>
      </w:r>
      <w:r>
        <w:rPr>
          <w:rFonts w:hint="eastAsia" w:ascii="宋体" w:hAnsi="宋体" w:cs="宋体"/>
          <w:sz w:val="22"/>
          <w:szCs w:val="22"/>
          <w:u w:val="single"/>
        </w:rPr>
        <w:t xml:space="preserve">      </w:t>
      </w:r>
      <w:r>
        <w:rPr>
          <w:rFonts w:hint="eastAsia" w:ascii="宋体" w:hAnsi="宋体" w:cs="宋体"/>
          <w:sz w:val="22"/>
          <w:szCs w:val="22"/>
        </w:rPr>
        <w:t>人，营业收入</w:t>
      </w:r>
      <w:r>
        <w:rPr>
          <w:rFonts w:hint="eastAsia" w:ascii="宋体" w:hAnsi="宋体" w:cs="宋体"/>
          <w:sz w:val="22"/>
          <w:szCs w:val="22"/>
          <w:u w:val="single"/>
        </w:rPr>
        <w:t xml:space="preserve">        </w:t>
      </w:r>
      <w:r>
        <w:rPr>
          <w:rFonts w:hint="eastAsia" w:ascii="宋体" w:hAnsi="宋体" w:cs="宋体"/>
          <w:sz w:val="22"/>
          <w:szCs w:val="22"/>
        </w:rPr>
        <w:t>元，资产总额</w:t>
      </w:r>
      <w:r>
        <w:rPr>
          <w:rFonts w:hint="eastAsia" w:ascii="宋体" w:hAnsi="宋体" w:cs="宋体"/>
          <w:sz w:val="22"/>
          <w:szCs w:val="22"/>
          <w:u w:val="single"/>
        </w:rPr>
        <w:t xml:space="preserve">        </w:t>
      </w:r>
      <w:r>
        <w:rPr>
          <w:rFonts w:hint="eastAsia" w:ascii="宋体" w:hAnsi="宋体" w:cs="宋体"/>
          <w:sz w:val="22"/>
          <w:szCs w:val="22"/>
        </w:rPr>
        <w:t>元，行业划型</w:t>
      </w:r>
      <w:r>
        <w:rPr>
          <w:rFonts w:hint="eastAsia" w:ascii="宋体" w:hAnsi="宋体" w:cs="宋体"/>
          <w:sz w:val="22"/>
          <w:szCs w:val="22"/>
          <w:u w:val="single"/>
        </w:rPr>
        <w:t xml:space="preserve">         </w:t>
      </w:r>
      <w:r>
        <w:rPr>
          <w:rFonts w:hint="eastAsia" w:ascii="宋体" w:hAnsi="宋体" w:cs="宋体"/>
          <w:sz w:val="22"/>
          <w:szCs w:val="22"/>
        </w:rPr>
        <w:t>。</w:t>
      </w:r>
    </w:p>
    <w:p>
      <w:pPr>
        <w:autoSpaceDE w:val="0"/>
        <w:autoSpaceDN w:val="0"/>
        <w:adjustRightInd w:val="0"/>
        <w:snapToGrid w:val="0"/>
        <w:spacing w:line="360" w:lineRule="auto"/>
        <w:ind w:firstLine="440" w:firstLineChars="200"/>
        <w:jc w:val="left"/>
        <w:textAlignment w:val="bottom"/>
        <w:rPr>
          <w:rFonts w:hint="eastAsia" w:ascii="宋体" w:hAnsi="宋体" w:cs="宋体"/>
          <w:sz w:val="22"/>
          <w:szCs w:val="22"/>
        </w:rPr>
      </w:pPr>
      <w:r>
        <w:rPr>
          <w:rFonts w:hint="eastAsia" w:ascii="宋体" w:hAnsi="宋体" w:cs="宋体"/>
          <w:sz w:val="22"/>
          <w:szCs w:val="22"/>
        </w:rPr>
        <w:t>2.本公司参加______单位的______项目采购活动提供本企业制造的货物，由本企业承担工程、提供服务，或者提供其他______（请填写：小型、微型）企业制造的货物，其他企业从业人员</w:t>
      </w:r>
      <w:r>
        <w:rPr>
          <w:rFonts w:hint="eastAsia" w:ascii="宋体" w:hAnsi="宋体" w:cs="宋体"/>
          <w:sz w:val="22"/>
          <w:szCs w:val="22"/>
          <w:u w:val="single"/>
        </w:rPr>
        <w:t xml:space="preserve">      </w:t>
      </w:r>
      <w:r>
        <w:rPr>
          <w:rFonts w:hint="eastAsia" w:ascii="宋体" w:hAnsi="宋体" w:cs="宋体"/>
          <w:sz w:val="22"/>
          <w:szCs w:val="22"/>
        </w:rPr>
        <w:t>人，营业收入</w:t>
      </w:r>
      <w:r>
        <w:rPr>
          <w:rFonts w:hint="eastAsia" w:ascii="宋体" w:hAnsi="宋体" w:cs="宋体"/>
          <w:sz w:val="22"/>
          <w:szCs w:val="22"/>
          <w:u w:val="single"/>
        </w:rPr>
        <w:t xml:space="preserve">        </w:t>
      </w:r>
      <w:r>
        <w:rPr>
          <w:rFonts w:hint="eastAsia" w:ascii="宋体" w:hAnsi="宋体" w:cs="宋体"/>
          <w:sz w:val="22"/>
          <w:szCs w:val="22"/>
        </w:rPr>
        <w:t>元，资产总额</w:t>
      </w:r>
      <w:r>
        <w:rPr>
          <w:rFonts w:hint="eastAsia" w:ascii="宋体" w:hAnsi="宋体" w:cs="宋体"/>
          <w:sz w:val="22"/>
          <w:szCs w:val="22"/>
          <w:u w:val="single"/>
        </w:rPr>
        <w:t xml:space="preserve">        </w:t>
      </w:r>
      <w:r>
        <w:rPr>
          <w:rFonts w:hint="eastAsia" w:ascii="宋体" w:hAnsi="宋体" w:cs="宋体"/>
          <w:sz w:val="22"/>
          <w:szCs w:val="22"/>
        </w:rPr>
        <w:t>元，行业划型</w:t>
      </w:r>
      <w:r>
        <w:rPr>
          <w:rFonts w:hint="eastAsia" w:ascii="宋体" w:hAnsi="宋体" w:cs="宋体"/>
          <w:sz w:val="22"/>
          <w:szCs w:val="22"/>
          <w:u w:val="single"/>
        </w:rPr>
        <w:t xml:space="preserve">         </w:t>
      </w:r>
      <w:r>
        <w:rPr>
          <w:rFonts w:hint="eastAsia" w:ascii="宋体" w:hAnsi="宋体" w:cs="宋体"/>
          <w:sz w:val="22"/>
          <w:szCs w:val="22"/>
        </w:rPr>
        <w:t>。本条所称货物不包括使用大型企业注册商标的货物。</w:t>
      </w:r>
    </w:p>
    <w:p>
      <w:pPr>
        <w:autoSpaceDE w:val="0"/>
        <w:autoSpaceDN w:val="0"/>
        <w:adjustRightInd w:val="0"/>
        <w:snapToGrid w:val="0"/>
        <w:spacing w:line="360" w:lineRule="auto"/>
        <w:ind w:firstLine="440" w:firstLineChars="200"/>
        <w:jc w:val="left"/>
        <w:textAlignment w:val="bottom"/>
        <w:rPr>
          <w:rFonts w:hint="eastAsia" w:ascii="宋体" w:hAnsi="宋体" w:cs="宋体"/>
          <w:sz w:val="22"/>
          <w:szCs w:val="22"/>
        </w:rPr>
      </w:pPr>
      <w:r>
        <w:rPr>
          <w:rFonts w:hint="eastAsia" w:ascii="宋体" w:hAnsi="宋体" w:cs="宋体"/>
          <w:sz w:val="22"/>
          <w:szCs w:val="22"/>
        </w:rPr>
        <w:t>本公司对上述声明的真实性负责。如有虚假，将依法承担相应责任。</w:t>
      </w:r>
    </w:p>
    <w:p>
      <w:pPr>
        <w:autoSpaceDE w:val="0"/>
        <w:autoSpaceDN w:val="0"/>
        <w:adjustRightInd w:val="0"/>
        <w:snapToGrid w:val="0"/>
        <w:spacing w:line="360" w:lineRule="auto"/>
        <w:ind w:firstLine="440" w:firstLineChars="200"/>
        <w:jc w:val="left"/>
        <w:textAlignment w:val="bottom"/>
        <w:rPr>
          <w:rFonts w:hint="eastAsia" w:ascii="宋体" w:hAnsi="宋体" w:cs="宋体"/>
          <w:sz w:val="22"/>
          <w:szCs w:val="22"/>
        </w:rPr>
      </w:pPr>
    </w:p>
    <w:p>
      <w:pPr>
        <w:autoSpaceDE w:val="0"/>
        <w:autoSpaceDN w:val="0"/>
        <w:adjustRightInd w:val="0"/>
        <w:snapToGrid w:val="0"/>
        <w:spacing w:line="360" w:lineRule="auto"/>
        <w:ind w:firstLine="440" w:firstLineChars="200"/>
        <w:jc w:val="left"/>
        <w:textAlignment w:val="bottom"/>
        <w:rPr>
          <w:rFonts w:hint="eastAsia" w:ascii="宋体" w:hAnsi="宋体" w:cs="宋体"/>
          <w:sz w:val="22"/>
          <w:szCs w:val="22"/>
        </w:rPr>
      </w:pPr>
      <w:r>
        <w:rPr>
          <w:rFonts w:hint="eastAsia" w:ascii="宋体" w:hAnsi="宋体" w:cs="宋体"/>
          <w:sz w:val="22"/>
          <w:szCs w:val="22"/>
        </w:rPr>
        <w:t xml:space="preserve">企业名称（电子签章）： </w:t>
      </w:r>
    </w:p>
    <w:p>
      <w:pPr>
        <w:autoSpaceDE w:val="0"/>
        <w:autoSpaceDN w:val="0"/>
        <w:adjustRightInd w:val="0"/>
        <w:snapToGrid w:val="0"/>
        <w:spacing w:line="360" w:lineRule="auto"/>
        <w:ind w:firstLine="440" w:firstLineChars="200"/>
        <w:jc w:val="left"/>
        <w:textAlignment w:val="bottom"/>
        <w:rPr>
          <w:rFonts w:hint="eastAsia" w:ascii="宋体" w:hAnsi="宋体" w:cs="宋体"/>
          <w:sz w:val="22"/>
          <w:szCs w:val="22"/>
        </w:rPr>
      </w:pPr>
    </w:p>
    <w:p>
      <w:pPr>
        <w:autoSpaceDE w:val="0"/>
        <w:autoSpaceDN w:val="0"/>
        <w:adjustRightInd w:val="0"/>
        <w:snapToGrid w:val="0"/>
        <w:spacing w:line="360" w:lineRule="auto"/>
        <w:ind w:firstLine="440" w:firstLineChars="200"/>
        <w:jc w:val="left"/>
        <w:textAlignment w:val="bottom"/>
        <w:rPr>
          <w:rFonts w:hint="eastAsia" w:ascii="宋体" w:hAnsi="宋体" w:cs="宋体"/>
          <w:sz w:val="22"/>
          <w:szCs w:val="22"/>
        </w:rPr>
      </w:pPr>
      <w:r>
        <w:rPr>
          <w:rFonts w:hint="eastAsia" w:ascii="宋体" w:hAnsi="宋体" w:cs="宋体"/>
          <w:sz w:val="22"/>
          <w:szCs w:val="22"/>
        </w:rPr>
        <w:t>日期：</w:t>
      </w:r>
    </w:p>
    <w:p>
      <w:pPr>
        <w:autoSpaceDE w:val="0"/>
        <w:autoSpaceDN w:val="0"/>
        <w:adjustRightInd w:val="0"/>
        <w:snapToGrid w:val="0"/>
        <w:spacing w:line="360" w:lineRule="auto"/>
        <w:ind w:firstLine="440" w:firstLineChars="200"/>
        <w:jc w:val="left"/>
        <w:textAlignment w:val="bottom"/>
        <w:rPr>
          <w:rFonts w:hint="eastAsia" w:ascii="宋体" w:hAnsi="宋体" w:cs="宋体"/>
          <w:sz w:val="22"/>
          <w:szCs w:val="22"/>
        </w:rPr>
      </w:pPr>
    </w:p>
    <w:p>
      <w:pPr>
        <w:autoSpaceDE w:val="0"/>
        <w:autoSpaceDN w:val="0"/>
        <w:adjustRightInd w:val="0"/>
        <w:snapToGrid w:val="0"/>
        <w:spacing w:line="360" w:lineRule="auto"/>
        <w:ind w:firstLine="440" w:firstLineChars="200"/>
        <w:textAlignment w:val="bottom"/>
        <w:rPr>
          <w:rFonts w:hint="eastAsia" w:ascii="宋体" w:hAnsi="宋体" w:cs="宋体"/>
          <w:sz w:val="22"/>
          <w:szCs w:val="22"/>
        </w:rPr>
      </w:pPr>
    </w:p>
    <w:p>
      <w:pPr>
        <w:autoSpaceDE w:val="0"/>
        <w:autoSpaceDN w:val="0"/>
        <w:adjustRightInd w:val="0"/>
        <w:snapToGrid w:val="0"/>
        <w:spacing w:line="360" w:lineRule="auto"/>
        <w:textAlignment w:val="bottom"/>
        <w:rPr>
          <w:rFonts w:hint="eastAsia" w:ascii="宋体" w:hAnsi="宋体" w:cs="宋体"/>
          <w:sz w:val="22"/>
          <w:szCs w:val="22"/>
        </w:rPr>
      </w:pPr>
    </w:p>
    <w:p>
      <w:pPr>
        <w:pStyle w:val="2"/>
        <w:rPr>
          <w:rFonts w:hint="eastAsia" w:ascii="宋体" w:hAnsi="宋体" w:cs="宋体"/>
          <w:sz w:val="22"/>
          <w:szCs w:val="22"/>
        </w:rPr>
      </w:pPr>
    </w:p>
    <w:p>
      <w:pPr>
        <w:pStyle w:val="3"/>
        <w:ind w:firstLine="220"/>
        <w:rPr>
          <w:rFonts w:hint="eastAsia" w:ascii="宋体" w:hAnsi="宋体" w:cs="宋体"/>
          <w:sz w:val="22"/>
          <w:szCs w:val="22"/>
        </w:rPr>
      </w:pPr>
    </w:p>
    <w:p>
      <w:pPr>
        <w:pStyle w:val="4"/>
        <w:rPr>
          <w:rFonts w:hint="eastAsia" w:ascii="宋体" w:hAnsi="宋体" w:cs="宋体"/>
          <w:sz w:val="22"/>
          <w:szCs w:val="22"/>
        </w:rPr>
      </w:pPr>
    </w:p>
    <w:p>
      <w:pPr>
        <w:rPr>
          <w:rFonts w:hint="eastAsia" w:ascii="宋体" w:hAnsi="宋体" w:cs="宋体"/>
          <w:sz w:val="22"/>
          <w:szCs w:val="22"/>
        </w:rPr>
      </w:pPr>
    </w:p>
    <w:p>
      <w:pPr>
        <w:pStyle w:val="2"/>
        <w:rPr>
          <w:rFonts w:hint="eastAsia" w:ascii="宋体" w:hAnsi="宋体" w:cs="宋体"/>
          <w:sz w:val="22"/>
          <w:szCs w:val="22"/>
        </w:rPr>
      </w:pPr>
    </w:p>
    <w:p>
      <w:pPr>
        <w:pStyle w:val="3"/>
        <w:ind w:firstLine="220"/>
        <w:rPr>
          <w:rFonts w:hint="eastAsia" w:ascii="宋体" w:hAnsi="宋体" w:cs="宋体"/>
          <w:sz w:val="22"/>
          <w:szCs w:val="22"/>
        </w:rPr>
      </w:pPr>
    </w:p>
    <w:p>
      <w:pPr>
        <w:pStyle w:val="4"/>
        <w:rPr>
          <w:rFonts w:hint="eastAsia" w:ascii="宋体" w:hAnsi="宋体" w:cs="宋体"/>
          <w:sz w:val="22"/>
          <w:szCs w:val="22"/>
        </w:rPr>
      </w:pPr>
    </w:p>
    <w:p>
      <w:pPr>
        <w:rPr>
          <w:rFonts w:hint="eastAsia" w:ascii="宋体" w:hAnsi="宋体" w:cs="宋体"/>
          <w:sz w:val="22"/>
          <w:szCs w:val="22"/>
        </w:rPr>
      </w:pPr>
    </w:p>
    <w:p>
      <w:pPr>
        <w:pStyle w:val="2"/>
        <w:rPr>
          <w:rFonts w:hint="eastAsia"/>
        </w:rPr>
      </w:pPr>
    </w:p>
    <w:p>
      <w:pPr>
        <w:autoSpaceDE w:val="0"/>
        <w:autoSpaceDN w:val="0"/>
        <w:adjustRightInd w:val="0"/>
        <w:snapToGrid w:val="0"/>
        <w:spacing w:line="360" w:lineRule="auto"/>
        <w:textAlignment w:val="bottom"/>
        <w:rPr>
          <w:rFonts w:hint="eastAsia" w:ascii="宋体" w:hAnsi="宋体" w:cs="宋体"/>
          <w:b/>
          <w:sz w:val="22"/>
          <w:szCs w:val="22"/>
        </w:rPr>
      </w:pPr>
      <w:r>
        <w:rPr>
          <w:rFonts w:hint="eastAsia" w:ascii="宋体" w:hAnsi="宋体" w:cs="宋体"/>
          <w:b/>
          <w:sz w:val="22"/>
          <w:szCs w:val="22"/>
        </w:rPr>
        <w:br w:type="page"/>
      </w:r>
      <w:r>
        <w:rPr>
          <w:rFonts w:hint="eastAsia" w:ascii="宋体" w:hAnsi="宋体" w:cs="宋体"/>
          <w:b/>
          <w:sz w:val="22"/>
          <w:szCs w:val="22"/>
        </w:rPr>
        <w:t>附件十一（二）</w:t>
      </w:r>
    </w:p>
    <w:p>
      <w:pPr>
        <w:widowControl/>
        <w:spacing w:before="100" w:beforeAutospacing="1" w:after="100" w:afterAutospacing="1" w:line="480" w:lineRule="auto"/>
        <w:jc w:val="center"/>
        <w:rPr>
          <w:rFonts w:hint="eastAsia" w:ascii="宋体" w:hAnsi="宋体" w:cs="宋体"/>
          <w:b/>
          <w:sz w:val="22"/>
          <w:szCs w:val="22"/>
        </w:rPr>
      </w:pPr>
      <w:r>
        <w:rPr>
          <w:rFonts w:hint="eastAsia" w:ascii="宋体" w:hAnsi="宋体" w:cs="宋体"/>
          <w:b/>
          <w:sz w:val="22"/>
          <w:szCs w:val="22"/>
        </w:rPr>
        <w:t>残疾人福利性单位声明函（如是）</w:t>
      </w:r>
    </w:p>
    <w:p>
      <w:pPr>
        <w:widowControl/>
        <w:spacing w:before="100" w:beforeAutospacing="1" w:after="100" w:afterAutospacing="1" w:line="480" w:lineRule="auto"/>
        <w:ind w:firstLine="330" w:firstLineChars="150"/>
        <w:jc w:val="left"/>
        <w:rPr>
          <w:rFonts w:hint="eastAsia" w:ascii="宋体" w:hAnsi="宋体" w:cs="宋体"/>
          <w:bCs/>
          <w:sz w:val="22"/>
          <w:szCs w:val="22"/>
        </w:rPr>
      </w:pPr>
      <w:r>
        <w:rPr>
          <w:rFonts w:hint="eastAsia" w:ascii="宋体" w:hAnsi="宋体" w:cs="宋体"/>
          <w:bCs/>
          <w:sz w:val="22"/>
          <w:szCs w:val="22"/>
        </w:rPr>
        <w:t>本单位郑重声明，根据《财政部 民政部 中国残疾人联合会关于促进残疾人就业政府采购政策的通知》（财库〔2017〕141 号）的规定，本单位为符合条件的残疾人福利性单位，且本单位参加</w:t>
      </w:r>
      <w:r>
        <w:rPr>
          <w:rFonts w:hint="eastAsia" w:ascii="宋体" w:hAnsi="宋体" w:cs="宋体"/>
          <w:bCs/>
          <w:sz w:val="22"/>
          <w:szCs w:val="22"/>
          <w:u w:val="single"/>
        </w:rPr>
        <w:t xml:space="preserve">    （项目名称）（项目编号）</w:t>
      </w:r>
      <w:r>
        <w:rPr>
          <w:rFonts w:hint="eastAsia" w:ascii="宋体" w:hAnsi="宋体" w:cs="宋体"/>
          <w:bCs/>
          <w:sz w:val="22"/>
          <w:szCs w:val="22"/>
        </w:rPr>
        <w:t>采购活动提供本单位制造的货物（由本单位承担工程/提供服务），或者提供其他残疾人福利性单位制造的货物（不包括使用非残疾人福利性单位注册商标的货物）。</w:t>
      </w:r>
    </w:p>
    <w:p>
      <w:pPr>
        <w:widowControl/>
        <w:spacing w:before="100" w:beforeAutospacing="1" w:after="100" w:afterAutospacing="1" w:line="480" w:lineRule="auto"/>
        <w:ind w:firstLine="330" w:firstLineChars="150"/>
        <w:jc w:val="left"/>
        <w:rPr>
          <w:rFonts w:hint="eastAsia" w:ascii="宋体" w:hAnsi="宋体" w:cs="宋体"/>
          <w:bCs/>
          <w:sz w:val="22"/>
          <w:szCs w:val="22"/>
        </w:rPr>
      </w:pPr>
      <w:r>
        <w:rPr>
          <w:rFonts w:hint="eastAsia" w:ascii="宋体" w:hAnsi="宋体" w:cs="宋体"/>
          <w:bCs/>
          <w:sz w:val="22"/>
          <w:szCs w:val="22"/>
        </w:rPr>
        <w:t>本单位对上述声明的真实性负责。如有虚假，将依法承担相应责任。</w:t>
      </w:r>
    </w:p>
    <w:p>
      <w:pPr>
        <w:snapToGrid w:val="0"/>
        <w:spacing w:line="360" w:lineRule="atLeast"/>
        <w:ind w:firstLine="570"/>
        <w:outlineLvl w:val="0"/>
        <w:rPr>
          <w:rFonts w:hint="eastAsia" w:ascii="宋体" w:hAnsi="宋体" w:cs="宋体"/>
          <w:b/>
          <w:sz w:val="22"/>
          <w:szCs w:val="22"/>
        </w:rPr>
      </w:pPr>
    </w:p>
    <w:p>
      <w:pPr>
        <w:widowControl/>
        <w:spacing w:before="100" w:beforeAutospacing="1" w:after="100" w:afterAutospacing="1" w:line="480" w:lineRule="auto"/>
        <w:ind w:firstLine="331" w:firstLineChars="150"/>
        <w:jc w:val="left"/>
        <w:rPr>
          <w:rFonts w:hint="eastAsia" w:ascii="宋体" w:hAnsi="宋体" w:cs="宋体"/>
          <w:b/>
          <w:bCs/>
          <w:sz w:val="22"/>
          <w:szCs w:val="22"/>
        </w:rPr>
      </w:pPr>
      <w:r>
        <w:rPr>
          <w:rFonts w:hint="eastAsia" w:ascii="宋体" w:hAnsi="宋体" w:cs="宋体"/>
          <w:b/>
          <w:bCs/>
          <w:sz w:val="22"/>
          <w:szCs w:val="22"/>
        </w:rPr>
        <w:t xml:space="preserve">企业名称（电子签章）： </w:t>
      </w:r>
    </w:p>
    <w:p>
      <w:pPr>
        <w:autoSpaceDE w:val="0"/>
        <w:autoSpaceDN w:val="0"/>
        <w:adjustRightInd w:val="0"/>
        <w:spacing w:line="440" w:lineRule="atLeast"/>
        <w:ind w:firstLine="325" w:firstLineChars="147"/>
        <w:rPr>
          <w:rFonts w:hint="eastAsia" w:ascii="宋体" w:hAnsi="宋体" w:cs="宋体"/>
          <w:sz w:val="22"/>
          <w:szCs w:val="22"/>
          <w:lang w:val="zh-CN"/>
        </w:rPr>
      </w:pPr>
      <w:r>
        <w:rPr>
          <w:rFonts w:hint="eastAsia" w:ascii="宋体" w:hAnsi="宋体" w:cs="宋体"/>
          <w:b/>
          <w:bCs/>
          <w:sz w:val="22"/>
          <w:szCs w:val="22"/>
        </w:rPr>
        <w:t>日期：</w:t>
      </w:r>
    </w:p>
    <w:p>
      <w:pPr>
        <w:autoSpaceDE w:val="0"/>
        <w:autoSpaceDN w:val="0"/>
        <w:adjustRightInd w:val="0"/>
        <w:snapToGrid w:val="0"/>
        <w:spacing w:line="360" w:lineRule="auto"/>
        <w:textAlignment w:val="bottom"/>
        <w:rPr>
          <w:rFonts w:hint="eastAsia" w:ascii="宋体" w:hAnsi="宋体" w:cs="宋体"/>
          <w:b/>
          <w:sz w:val="22"/>
          <w:szCs w:val="22"/>
        </w:rPr>
      </w:pPr>
      <w:r>
        <w:rPr>
          <w:rFonts w:hint="eastAsia" w:ascii="宋体" w:hAnsi="宋体" w:cs="宋体"/>
          <w:sz w:val="22"/>
          <w:szCs w:val="22"/>
        </w:rPr>
        <w:br w:type="page"/>
      </w:r>
      <w:r>
        <w:rPr>
          <w:rFonts w:hint="eastAsia" w:ascii="宋体" w:hAnsi="宋体" w:cs="宋体"/>
          <w:b/>
          <w:sz w:val="22"/>
          <w:szCs w:val="22"/>
        </w:rPr>
        <w:t>附件十二</w:t>
      </w:r>
    </w:p>
    <w:p>
      <w:pPr>
        <w:pStyle w:val="2"/>
        <w:spacing w:after="0" w:line="360" w:lineRule="auto"/>
        <w:rPr>
          <w:rFonts w:hint="eastAsia" w:ascii="宋体" w:hAnsi="宋体" w:cs="宋体"/>
          <w:b/>
          <w:bCs/>
          <w:sz w:val="22"/>
          <w:szCs w:val="22"/>
        </w:rPr>
      </w:pPr>
      <w:r>
        <w:rPr>
          <w:rFonts w:hint="eastAsia" w:ascii="宋体" w:hAnsi="宋体" w:cs="宋体"/>
          <w:b/>
          <w:bCs/>
          <w:sz w:val="22"/>
          <w:szCs w:val="22"/>
        </w:rPr>
        <w:t>一、有效的单位法人证书或营业执照（复印件加盖电子签章）</w:t>
      </w:r>
      <w:bookmarkStart w:id="139" w:name="二、财务状况报告（复印件加盖公章）"/>
      <w:bookmarkEnd w:id="139"/>
    </w:p>
    <w:p>
      <w:pPr>
        <w:pStyle w:val="2"/>
        <w:spacing w:after="0" w:line="360" w:lineRule="auto"/>
        <w:rPr>
          <w:rFonts w:hint="eastAsia" w:ascii="宋体" w:hAnsi="宋体" w:cs="宋体"/>
          <w:b/>
          <w:bCs/>
          <w:sz w:val="22"/>
          <w:szCs w:val="22"/>
        </w:rPr>
      </w:pPr>
      <w:r>
        <w:rPr>
          <w:rFonts w:hint="eastAsia" w:ascii="宋体" w:hAnsi="宋体" w:cs="宋体"/>
          <w:b/>
          <w:bCs/>
          <w:sz w:val="22"/>
          <w:szCs w:val="22"/>
        </w:rPr>
        <w:t>二、财务状况报告（原件扫描加盖电子签章）：</w:t>
      </w:r>
    </w:p>
    <w:p>
      <w:pPr>
        <w:pStyle w:val="2"/>
        <w:spacing w:after="0" w:line="360" w:lineRule="auto"/>
        <w:rPr>
          <w:rFonts w:hint="eastAsia" w:ascii="宋体" w:hAnsi="宋体" w:cs="宋体"/>
          <w:sz w:val="22"/>
          <w:szCs w:val="22"/>
        </w:rPr>
      </w:pPr>
      <w:r>
        <w:rPr>
          <w:rFonts w:hint="eastAsia" w:ascii="宋体" w:hAnsi="宋体" w:cs="宋体"/>
          <w:sz w:val="22"/>
          <w:szCs w:val="22"/>
        </w:rPr>
        <w:t>说明：供应商上年度能全面清晰的反映财务状况的财务报表材料（如：损益表、资产负债表等相关资料）。若成立时间不足1年的，则提供从成立之日起至今的符合本项前款规定的财务报表资料；新成立的公司，提供相关情况说明材料；</w:t>
      </w:r>
    </w:p>
    <w:p>
      <w:pPr>
        <w:pStyle w:val="2"/>
        <w:spacing w:after="0" w:line="360" w:lineRule="auto"/>
        <w:rPr>
          <w:rFonts w:hint="eastAsia" w:ascii="宋体" w:hAnsi="宋体" w:cs="宋体"/>
          <w:b/>
          <w:bCs/>
          <w:sz w:val="22"/>
          <w:szCs w:val="22"/>
        </w:rPr>
      </w:pPr>
      <w:bookmarkStart w:id="140" w:name="三、具有履行合同所必须的设备和专业技术能力的承诺函"/>
      <w:bookmarkEnd w:id="140"/>
    </w:p>
    <w:p>
      <w:pPr>
        <w:pStyle w:val="2"/>
        <w:spacing w:after="0" w:line="360" w:lineRule="auto"/>
        <w:rPr>
          <w:rFonts w:hint="eastAsia" w:ascii="宋体" w:hAnsi="宋体" w:cs="宋体"/>
          <w:b/>
          <w:bCs/>
          <w:sz w:val="22"/>
          <w:szCs w:val="22"/>
        </w:rPr>
      </w:pPr>
      <w:r>
        <w:rPr>
          <w:rFonts w:hint="eastAsia" w:ascii="宋体" w:hAnsi="宋体" w:cs="宋体"/>
          <w:b/>
          <w:bCs/>
          <w:sz w:val="22"/>
          <w:szCs w:val="22"/>
        </w:rPr>
        <w:t>三、具有履行合同所必须的设备和专业技术能力的承诺函</w:t>
      </w:r>
    </w:p>
    <w:p>
      <w:pPr>
        <w:pStyle w:val="2"/>
        <w:spacing w:after="0" w:line="360" w:lineRule="auto"/>
        <w:rPr>
          <w:rFonts w:hint="eastAsia" w:ascii="宋体" w:hAnsi="宋体" w:cs="宋体"/>
          <w:sz w:val="22"/>
          <w:szCs w:val="22"/>
        </w:rPr>
      </w:pPr>
      <w:r>
        <w:rPr>
          <w:rFonts w:hint="eastAsia" w:ascii="宋体" w:hAnsi="宋体" w:cs="宋体"/>
          <w:sz w:val="22"/>
          <w:szCs w:val="22"/>
        </w:rPr>
        <w:t>苍南县公安局：</w:t>
      </w:r>
    </w:p>
    <w:p>
      <w:pPr>
        <w:pStyle w:val="2"/>
        <w:spacing w:after="0" w:line="360" w:lineRule="auto"/>
        <w:ind w:firstLine="440" w:firstLineChars="200"/>
        <w:rPr>
          <w:rFonts w:hint="eastAsia" w:ascii="宋体" w:hAnsi="宋体" w:cs="宋体"/>
          <w:sz w:val="22"/>
          <w:szCs w:val="22"/>
        </w:rPr>
      </w:pPr>
      <w:r>
        <w:rPr>
          <w:rFonts w:hint="eastAsia" w:ascii="宋体" w:hAnsi="宋体" w:cs="宋体"/>
          <w:sz w:val="22"/>
          <w:szCs w:val="22"/>
        </w:rPr>
        <w:t>我方郑重承诺，我方具有苍南县公安局**数据中心机房（项目编号：</w:t>
      </w:r>
      <w:r>
        <w:rPr>
          <w:rFonts w:hint="eastAsia" w:ascii="宋体" w:hAnsi="宋体" w:cs="宋体"/>
          <w:sz w:val="22"/>
          <w:szCs w:val="22"/>
          <w:u w:val="single"/>
        </w:rPr>
        <w:t xml:space="preserve">          </w:t>
      </w:r>
      <w:r>
        <w:rPr>
          <w:rFonts w:hint="eastAsia" w:ascii="宋体" w:hAnsi="宋体" w:cs="宋体"/>
          <w:sz w:val="22"/>
          <w:szCs w:val="22"/>
        </w:rPr>
        <w:t>）合同所必需的设备和专业技术能力。如中标，我方将保证合同顺利履行。</w:t>
      </w:r>
    </w:p>
    <w:p>
      <w:pPr>
        <w:pStyle w:val="2"/>
        <w:spacing w:after="0" w:line="360" w:lineRule="auto"/>
        <w:ind w:firstLine="4840" w:firstLineChars="2200"/>
        <w:rPr>
          <w:rFonts w:hint="eastAsia" w:ascii="宋体" w:hAnsi="宋体" w:cs="宋体"/>
          <w:sz w:val="22"/>
          <w:szCs w:val="22"/>
        </w:rPr>
      </w:pPr>
      <w:r>
        <w:rPr>
          <w:rFonts w:hint="eastAsia" w:ascii="宋体" w:hAnsi="宋体" w:cs="宋体"/>
          <w:sz w:val="22"/>
          <w:szCs w:val="22"/>
        </w:rPr>
        <w:t xml:space="preserve">供应商名称（电子签章）： </w:t>
      </w:r>
    </w:p>
    <w:p>
      <w:pPr>
        <w:pStyle w:val="2"/>
        <w:spacing w:after="0" w:line="360" w:lineRule="auto"/>
        <w:ind w:firstLine="4840" w:firstLineChars="2200"/>
        <w:rPr>
          <w:rFonts w:hint="eastAsia" w:ascii="宋体" w:hAnsi="宋体" w:cs="宋体"/>
          <w:b/>
          <w:bCs/>
          <w:sz w:val="22"/>
          <w:szCs w:val="22"/>
        </w:rPr>
      </w:pPr>
      <w:r>
        <w:rPr>
          <w:rFonts w:hint="eastAsia" w:ascii="宋体" w:hAnsi="宋体" w:cs="宋体"/>
          <w:sz w:val="22"/>
          <w:szCs w:val="22"/>
        </w:rPr>
        <w:t>日期：</w:t>
      </w:r>
      <w:r>
        <w:rPr>
          <w:rFonts w:hint="eastAsia" w:ascii="宋体" w:hAnsi="宋体" w:cs="宋体"/>
          <w:sz w:val="22"/>
          <w:szCs w:val="22"/>
        </w:rPr>
        <w:tab/>
      </w:r>
      <w:r>
        <w:rPr>
          <w:rFonts w:hint="eastAsia" w:ascii="宋体" w:hAnsi="宋体" w:cs="宋体"/>
          <w:sz w:val="22"/>
          <w:szCs w:val="22"/>
        </w:rPr>
        <w:t>年</w:t>
      </w:r>
      <w:r>
        <w:rPr>
          <w:rFonts w:hint="eastAsia" w:ascii="宋体" w:hAnsi="宋体" w:cs="宋体"/>
          <w:sz w:val="22"/>
          <w:szCs w:val="22"/>
        </w:rPr>
        <w:tab/>
      </w:r>
      <w:r>
        <w:rPr>
          <w:rFonts w:hint="eastAsia" w:ascii="宋体" w:hAnsi="宋体" w:cs="宋体"/>
          <w:sz w:val="22"/>
          <w:szCs w:val="22"/>
        </w:rPr>
        <w:t>月</w:t>
      </w:r>
      <w:r>
        <w:rPr>
          <w:rFonts w:hint="eastAsia" w:ascii="宋体" w:hAnsi="宋体" w:cs="宋体"/>
          <w:sz w:val="22"/>
          <w:szCs w:val="22"/>
        </w:rPr>
        <w:tab/>
      </w:r>
      <w:r>
        <w:rPr>
          <w:rFonts w:hint="eastAsia" w:ascii="宋体" w:hAnsi="宋体" w:cs="宋体"/>
          <w:sz w:val="22"/>
          <w:szCs w:val="22"/>
        </w:rPr>
        <w:t>日</w:t>
      </w:r>
      <w:bookmarkStart w:id="141" w:name="四、纳税证明材料（复印件加盖公章）"/>
      <w:bookmarkEnd w:id="141"/>
    </w:p>
    <w:p>
      <w:pPr>
        <w:pStyle w:val="2"/>
        <w:spacing w:after="0" w:line="360" w:lineRule="auto"/>
        <w:rPr>
          <w:rFonts w:hint="eastAsia" w:ascii="宋体" w:hAnsi="宋体" w:cs="宋体"/>
          <w:b/>
          <w:bCs/>
          <w:sz w:val="22"/>
          <w:szCs w:val="22"/>
        </w:rPr>
      </w:pPr>
      <w:r>
        <w:rPr>
          <w:rFonts w:hint="eastAsia" w:ascii="宋体" w:hAnsi="宋体" w:cs="宋体"/>
          <w:b/>
          <w:bCs/>
          <w:sz w:val="22"/>
          <w:szCs w:val="22"/>
        </w:rPr>
        <w:t>四、纳税证明材料（原件扫描加盖电子签章）</w:t>
      </w:r>
    </w:p>
    <w:p>
      <w:pPr>
        <w:pStyle w:val="2"/>
        <w:spacing w:after="0" w:line="360" w:lineRule="auto"/>
        <w:rPr>
          <w:rFonts w:hint="eastAsia" w:ascii="宋体" w:hAnsi="宋体" w:cs="宋体"/>
          <w:b/>
          <w:bCs/>
          <w:sz w:val="22"/>
          <w:szCs w:val="22"/>
        </w:rPr>
      </w:pPr>
      <w:r>
        <w:rPr>
          <w:rFonts w:hint="eastAsia" w:ascii="宋体" w:hAnsi="宋体" w:cs="宋体"/>
          <w:sz w:val="22"/>
          <w:szCs w:val="22"/>
        </w:rPr>
        <w:t>说明：提供投标截止时间前6个月内任意一个月的依法纳税证明材料。</w:t>
      </w:r>
      <w:bookmarkStart w:id="142" w:name="五、社保缴纳证明材料（复印件加盖公章）"/>
      <w:bookmarkEnd w:id="142"/>
    </w:p>
    <w:p>
      <w:pPr>
        <w:pStyle w:val="2"/>
        <w:spacing w:after="0" w:line="360" w:lineRule="auto"/>
        <w:rPr>
          <w:rFonts w:hint="eastAsia" w:ascii="宋体" w:hAnsi="宋体" w:cs="宋体"/>
          <w:b/>
          <w:bCs/>
          <w:sz w:val="22"/>
          <w:szCs w:val="22"/>
        </w:rPr>
      </w:pPr>
      <w:r>
        <w:rPr>
          <w:rFonts w:hint="eastAsia" w:ascii="宋体" w:hAnsi="宋体" w:cs="宋体"/>
          <w:b/>
          <w:bCs/>
          <w:sz w:val="22"/>
          <w:szCs w:val="22"/>
        </w:rPr>
        <w:t>五、社保缴纳证明材料（原件扫描加盖电子签章）</w:t>
      </w:r>
    </w:p>
    <w:p>
      <w:pPr>
        <w:pStyle w:val="2"/>
        <w:spacing w:after="0" w:line="360" w:lineRule="auto"/>
        <w:rPr>
          <w:rFonts w:hint="eastAsia" w:ascii="宋体" w:hAnsi="宋体" w:cs="宋体"/>
          <w:sz w:val="22"/>
          <w:szCs w:val="22"/>
        </w:rPr>
      </w:pPr>
      <w:r>
        <w:rPr>
          <w:rFonts w:hint="eastAsia" w:ascii="宋体" w:hAnsi="宋体" w:cs="宋体"/>
          <w:sz w:val="22"/>
          <w:szCs w:val="22"/>
        </w:rPr>
        <w:t>说明：提供投标截止时间前6个月内任意一个月的社保缴纳证明材料。</w:t>
      </w:r>
    </w:p>
    <w:p>
      <w:pPr>
        <w:pStyle w:val="2"/>
        <w:spacing w:after="0" w:line="360" w:lineRule="auto"/>
        <w:rPr>
          <w:rFonts w:hint="eastAsia" w:ascii="宋体" w:hAnsi="宋体" w:cs="宋体"/>
          <w:b/>
          <w:bCs/>
          <w:sz w:val="22"/>
          <w:szCs w:val="22"/>
        </w:rPr>
      </w:pPr>
      <w:bookmarkStart w:id="143" w:name="六、承诺函"/>
      <w:bookmarkEnd w:id="143"/>
      <w:r>
        <w:rPr>
          <w:rFonts w:hint="eastAsia" w:ascii="宋体" w:hAnsi="宋体" w:cs="宋体"/>
          <w:b/>
          <w:bCs/>
          <w:sz w:val="22"/>
          <w:szCs w:val="22"/>
        </w:rPr>
        <w:t>六、承诺函</w:t>
      </w:r>
    </w:p>
    <w:p>
      <w:pPr>
        <w:pStyle w:val="2"/>
        <w:spacing w:after="0" w:line="360" w:lineRule="auto"/>
        <w:rPr>
          <w:rFonts w:hint="eastAsia" w:ascii="宋体" w:hAnsi="宋体" w:cs="宋体"/>
          <w:sz w:val="22"/>
          <w:szCs w:val="22"/>
        </w:rPr>
      </w:pPr>
      <w:r>
        <w:rPr>
          <w:rFonts w:hint="eastAsia" w:ascii="宋体" w:hAnsi="宋体" w:cs="宋体"/>
          <w:sz w:val="22"/>
          <w:szCs w:val="22"/>
        </w:rPr>
        <w:t>苍南县公安局：</w:t>
      </w:r>
    </w:p>
    <w:p>
      <w:pPr>
        <w:pStyle w:val="2"/>
        <w:spacing w:after="0" w:line="360" w:lineRule="auto"/>
        <w:ind w:firstLine="440" w:firstLineChars="200"/>
        <w:rPr>
          <w:rFonts w:hint="eastAsia" w:ascii="宋体" w:hAnsi="宋体" w:cs="宋体"/>
          <w:sz w:val="22"/>
          <w:szCs w:val="22"/>
        </w:rPr>
      </w:pPr>
      <w:r>
        <w:rPr>
          <w:rFonts w:hint="eastAsia" w:ascii="宋体" w:hAnsi="宋体" w:cs="宋体"/>
          <w:sz w:val="22"/>
          <w:szCs w:val="22"/>
        </w:rPr>
        <w:t>我公司在参加本次政府采购项目投标活动中，作出如下承诺：</w:t>
      </w:r>
      <w:bookmarkStart w:id="144" w:name="政府采购支持中小企业信用融资相关事项通知"/>
      <w:bookmarkEnd w:id="144"/>
    </w:p>
    <w:p>
      <w:pPr>
        <w:pStyle w:val="2"/>
        <w:spacing w:after="0" w:line="360" w:lineRule="auto"/>
        <w:ind w:firstLine="440" w:firstLineChars="200"/>
        <w:rPr>
          <w:rFonts w:hint="eastAsia" w:ascii="宋体" w:hAnsi="宋体" w:cs="宋体"/>
          <w:sz w:val="22"/>
          <w:szCs w:val="22"/>
        </w:rPr>
      </w:pPr>
      <w:r>
        <w:rPr>
          <w:rFonts w:hint="eastAsia" w:ascii="宋体" w:hAnsi="宋体" w:cs="宋体"/>
          <w:sz w:val="22"/>
          <w:szCs w:val="22"/>
        </w:rPr>
        <w:t>一、在政府采购合同履约过程中及其它经营活动的履约过程中依法履约，具有良好的商业信誉。</w:t>
      </w:r>
    </w:p>
    <w:p>
      <w:pPr>
        <w:pStyle w:val="2"/>
        <w:spacing w:after="0" w:line="360" w:lineRule="auto"/>
        <w:ind w:firstLine="440" w:firstLineChars="200"/>
        <w:rPr>
          <w:rFonts w:hint="eastAsia" w:ascii="宋体" w:hAnsi="宋体" w:cs="宋体"/>
          <w:sz w:val="22"/>
          <w:szCs w:val="22"/>
        </w:rPr>
      </w:pPr>
      <w:r>
        <w:rPr>
          <w:rFonts w:hint="eastAsia" w:ascii="宋体" w:hAnsi="宋体" w:cs="宋体"/>
          <w:sz w:val="22"/>
          <w:szCs w:val="22"/>
        </w:rPr>
        <w:t>二、参加本次政府采购活动前三年内，在经营活动中没有重大违法记录（没有因违法经营受到刑事处罚，没有被责令停产停业、被吊销许可证或者执照、被处以较大数额罚款等行政处罚，没有因违法经营被禁止参加政府采购活动的期限未满情形）。也没有因违反《浙江省政府采购供应商注册及诚信管理暂行办法》被列入“黑名单”，且正在处罚有限期内。</w:t>
      </w:r>
    </w:p>
    <w:p>
      <w:pPr>
        <w:pStyle w:val="2"/>
        <w:spacing w:after="0" w:line="360" w:lineRule="auto"/>
        <w:ind w:firstLine="440" w:firstLineChars="200"/>
        <w:rPr>
          <w:rFonts w:hint="eastAsia" w:ascii="宋体" w:hAnsi="宋体" w:cs="宋体"/>
          <w:sz w:val="22"/>
          <w:szCs w:val="22"/>
        </w:rPr>
      </w:pPr>
      <w:r>
        <w:rPr>
          <w:rFonts w:hint="eastAsia" w:ascii="宋体" w:hAnsi="宋体" w:cs="宋体"/>
          <w:sz w:val="22"/>
          <w:szCs w:val="22"/>
        </w:rPr>
        <w:t>三、未被列入失信被执行人名单、重大税收违法案件当事人名单、政府采购严重违法失信行为记录名单。</w:t>
      </w:r>
    </w:p>
    <w:p>
      <w:pPr>
        <w:pStyle w:val="2"/>
        <w:spacing w:after="0" w:line="360" w:lineRule="auto"/>
        <w:ind w:firstLine="440" w:firstLineChars="200"/>
        <w:rPr>
          <w:rFonts w:hint="eastAsia" w:ascii="宋体" w:hAnsi="宋体" w:cs="宋体"/>
          <w:sz w:val="22"/>
          <w:szCs w:val="22"/>
        </w:rPr>
      </w:pPr>
      <w:r>
        <w:rPr>
          <w:rFonts w:hint="eastAsia" w:ascii="宋体" w:hAnsi="宋体" w:cs="宋体"/>
          <w:sz w:val="22"/>
          <w:szCs w:val="22"/>
        </w:rPr>
        <w:t>四、提供的相关文件均真实、有效。</w:t>
      </w:r>
    </w:p>
    <w:p>
      <w:pPr>
        <w:pStyle w:val="2"/>
        <w:spacing w:after="0" w:line="360" w:lineRule="auto"/>
        <w:rPr>
          <w:rFonts w:hint="eastAsia" w:ascii="宋体" w:hAnsi="宋体" w:cs="宋体"/>
          <w:sz w:val="22"/>
          <w:szCs w:val="22"/>
        </w:rPr>
      </w:pPr>
      <w:r>
        <w:rPr>
          <w:rFonts w:hint="eastAsia" w:ascii="宋体" w:hAnsi="宋体" w:cs="宋体"/>
          <w:sz w:val="22"/>
          <w:szCs w:val="22"/>
        </w:rPr>
        <w:t>如有虚假，采购人可取消我方任何资格（投标/中标/签订合同），我方对此无任何异议。</w:t>
      </w:r>
    </w:p>
    <w:p>
      <w:pPr>
        <w:pStyle w:val="2"/>
        <w:spacing w:after="0" w:line="360" w:lineRule="auto"/>
        <w:ind w:firstLine="6608" w:firstLineChars="3004"/>
        <w:rPr>
          <w:rFonts w:hint="eastAsia" w:ascii="宋体" w:hAnsi="宋体" w:cs="宋体"/>
          <w:sz w:val="22"/>
          <w:szCs w:val="22"/>
        </w:rPr>
      </w:pPr>
      <w:r>
        <w:rPr>
          <w:rFonts w:hint="eastAsia" w:ascii="宋体" w:hAnsi="宋体" w:cs="宋体"/>
          <w:sz w:val="22"/>
          <w:szCs w:val="22"/>
        </w:rPr>
        <w:t>供应商名称（电子签章）：</w:t>
      </w:r>
    </w:p>
    <w:p>
      <w:pPr>
        <w:pStyle w:val="2"/>
        <w:spacing w:after="0" w:line="360" w:lineRule="auto"/>
        <w:ind w:firstLine="6608" w:firstLineChars="3004"/>
        <w:rPr>
          <w:rFonts w:hint="eastAsia" w:ascii="宋体" w:hAnsi="宋体" w:cs="宋体"/>
          <w:b/>
          <w:sz w:val="22"/>
          <w:szCs w:val="22"/>
        </w:rPr>
      </w:pPr>
      <w:r>
        <w:rPr>
          <w:rFonts w:hint="eastAsia" w:ascii="宋体" w:hAnsi="宋体" w:cs="宋体"/>
          <w:sz w:val="22"/>
          <w:szCs w:val="22"/>
        </w:rPr>
        <w:t>日期：</w:t>
      </w:r>
      <w:r>
        <w:rPr>
          <w:rFonts w:hint="eastAsia" w:ascii="宋体" w:hAnsi="宋体" w:cs="宋体"/>
          <w:sz w:val="22"/>
          <w:szCs w:val="22"/>
        </w:rPr>
        <w:tab/>
      </w:r>
      <w:r>
        <w:rPr>
          <w:rFonts w:hint="eastAsia" w:ascii="宋体" w:hAnsi="宋体" w:cs="宋体"/>
          <w:sz w:val="22"/>
          <w:szCs w:val="22"/>
        </w:rPr>
        <w:t>年</w:t>
      </w:r>
      <w:r>
        <w:rPr>
          <w:rFonts w:hint="eastAsia" w:ascii="宋体" w:hAnsi="宋体" w:cs="宋体"/>
          <w:sz w:val="22"/>
          <w:szCs w:val="22"/>
        </w:rPr>
        <w:tab/>
      </w:r>
      <w:r>
        <w:rPr>
          <w:rFonts w:hint="eastAsia" w:ascii="宋体" w:hAnsi="宋体" w:cs="宋体"/>
          <w:sz w:val="22"/>
          <w:szCs w:val="22"/>
        </w:rPr>
        <w:t>月</w:t>
      </w:r>
      <w:r>
        <w:rPr>
          <w:rFonts w:hint="eastAsia" w:ascii="宋体" w:hAnsi="宋体" w:cs="宋体"/>
          <w:sz w:val="22"/>
          <w:szCs w:val="22"/>
        </w:rPr>
        <w:tab/>
      </w:r>
      <w:r>
        <w:rPr>
          <w:rFonts w:hint="eastAsia" w:ascii="宋体" w:hAnsi="宋体" w:cs="宋体"/>
          <w:sz w:val="22"/>
          <w:szCs w:val="22"/>
        </w:rPr>
        <w:t>日</w:t>
      </w:r>
      <w:bookmarkStart w:id="145" w:name="七、特定资格证明材料（如项目要求）（复印件加盖公章）"/>
      <w:bookmarkEnd w:id="145"/>
    </w:p>
    <w:p>
      <w:pPr>
        <w:autoSpaceDE w:val="0"/>
        <w:autoSpaceDN w:val="0"/>
        <w:spacing w:line="454" w:lineRule="atLeast"/>
        <w:jc w:val="left"/>
        <w:textAlignment w:val="bottom"/>
        <w:outlineLvl w:val="0"/>
        <w:rPr>
          <w:rFonts w:hint="eastAsia" w:ascii="宋体" w:hAnsi="宋体" w:cs="宋体"/>
          <w:b/>
          <w:sz w:val="22"/>
          <w:szCs w:val="22"/>
          <w:lang w:val="zh-CN"/>
        </w:rPr>
      </w:pPr>
      <w:bookmarkStart w:id="146" w:name="_Toc494407555"/>
      <w:bookmarkStart w:id="147" w:name="_Toc6682"/>
      <w:r>
        <w:rPr>
          <w:rFonts w:hint="eastAsia" w:ascii="宋体" w:hAnsi="宋体" w:cs="宋体"/>
          <w:sz w:val="22"/>
          <w:szCs w:val="22"/>
        </w:rPr>
        <w:t>附件十三 节能环保产品声明函</w:t>
      </w:r>
      <w:bookmarkEnd w:id="146"/>
      <w:bookmarkEnd w:id="147"/>
      <w:r>
        <w:rPr>
          <w:rFonts w:hint="eastAsia" w:ascii="宋体" w:hAnsi="宋体" w:cs="宋体"/>
          <w:sz w:val="22"/>
          <w:szCs w:val="22"/>
        </w:rPr>
        <w:t xml:space="preserve"> </w:t>
      </w:r>
    </w:p>
    <w:p>
      <w:pPr>
        <w:spacing w:line="360" w:lineRule="auto"/>
        <w:jc w:val="center"/>
        <w:rPr>
          <w:rFonts w:hint="eastAsia" w:ascii="宋体" w:hAnsi="宋体" w:cs="宋体"/>
          <w:sz w:val="22"/>
          <w:szCs w:val="22"/>
        </w:rPr>
      </w:pPr>
    </w:p>
    <w:p>
      <w:pPr>
        <w:spacing w:line="360" w:lineRule="auto"/>
        <w:jc w:val="center"/>
        <w:rPr>
          <w:rFonts w:hint="eastAsia" w:ascii="宋体" w:hAnsi="宋体" w:cs="宋体"/>
          <w:bCs/>
          <w:sz w:val="22"/>
          <w:szCs w:val="22"/>
          <w:u w:val="single"/>
        </w:rPr>
      </w:pPr>
      <w:r>
        <w:rPr>
          <w:rFonts w:hint="eastAsia" w:ascii="宋体" w:hAnsi="宋体" w:cs="宋体"/>
          <w:sz w:val="22"/>
          <w:szCs w:val="22"/>
        </w:rPr>
        <w:t>节能环保产品声明函</w:t>
      </w:r>
    </w:p>
    <w:p>
      <w:pPr>
        <w:rPr>
          <w:rFonts w:hint="eastAsia" w:ascii="宋体" w:hAnsi="宋体" w:cs="宋体"/>
          <w:sz w:val="22"/>
          <w:szCs w:val="22"/>
        </w:rPr>
      </w:pPr>
    </w:p>
    <w:p>
      <w:pPr>
        <w:spacing w:line="440" w:lineRule="atLeast"/>
        <w:ind w:firstLine="440" w:firstLineChars="200"/>
        <w:rPr>
          <w:rFonts w:hint="eastAsia" w:ascii="宋体" w:hAnsi="宋体" w:cs="宋体"/>
          <w:sz w:val="22"/>
          <w:szCs w:val="22"/>
        </w:rPr>
      </w:pPr>
      <w:r>
        <w:rPr>
          <w:rFonts w:hint="eastAsia" w:ascii="宋体" w:hAnsi="宋体" w:cs="宋体"/>
          <w:sz w:val="22"/>
          <w:szCs w:val="22"/>
        </w:rPr>
        <w:t>本公司郑重声明，根据《节能产品政府采购实施意见》（财库〔2004〕185号，不含该期清单）、《关于环境标志产品政府采购实施的意见》（财库〔2006〕90号，不含该期清单）的规定，本公司同时满足以下条件：</w:t>
      </w:r>
    </w:p>
    <w:p>
      <w:pPr>
        <w:spacing w:line="440" w:lineRule="atLeast"/>
        <w:ind w:firstLine="440" w:firstLineChars="200"/>
        <w:rPr>
          <w:rFonts w:hint="eastAsia" w:ascii="宋体" w:hAnsi="宋体" w:cs="宋体"/>
          <w:sz w:val="22"/>
          <w:szCs w:val="22"/>
        </w:rPr>
      </w:pPr>
      <w:r>
        <w:rPr>
          <w:rFonts w:hint="eastAsia" w:ascii="宋体" w:hAnsi="宋体" w:cs="宋体"/>
          <w:sz w:val="22"/>
          <w:szCs w:val="22"/>
        </w:rPr>
        <w:t>1. 此次采购项目中本公司所列节能或环保产品均已录入最新一期财政部、环境保护部公布的“环境标志产品政府采购清单”或最新一期财政部、发展改革委公布的“节能产品政府采购清单”。</w:t>
      </w:r>
    </w:p>
    <w:p>
      <w:pPr>
        <w:spacing w:line="440" w:lineRule="atLeast"/>
        <w:ind w:firstLine="440" w:firstLineChars="200"/>
        <w:rPr>
          <w:rFonts w:hint="eastAsia" w:ascii="宋体" w:hAnsi="宋体" w:cs="宋体"/>
          <w:sz w:val="22"/>
          <w:szCs w:val="22"/>
        </w:rPr>
      </w:pPr>
      <w:r>
        <w:rPr>
          <w:rFonts w:hint="eastAsia" w:ascii="宋体" w:hAnsi="宋体" w:cs="宋体"/>
          <w:sz w:val="22"/>
          <w:szCs w:val="22"/>
        </w:rPr>
        <w:t>2.本公司参加</w:t>
      </w:r>
      <w:r>
        <w:rPr>
          <w:rFonts w:hint="eastAsia" w:ascii="宋体" w:hAnsi="宋体" w:cs="宋体"/>
          <w:sz w:val="22"/>
          <w:szCs w:val="22"/>
          <w:u w:val="single"/>
        </w:rPr>
        <w:t>（招标项目名称，招标编号）</w:t>
      </w:r>
      <w:r>
        <w:rPr>
          <w:rFonts w:hint="eastAsia" w:ascii="宋体" w:hAnsi="宋体" w:cs="宋体"/>
          <w:sz w:val="22"/>
          <w:szCs w:val="22"/>
        </w:rPr>
        <w:t>的采购活动提供的环保或节能产品，产品金额占采购项目总金额</w:t>
      </w:r>
      <w:r>
        <w:rPr>
          <w:rFonts w:hint="eastAsia" w:ascii="宋体" w:hAnsi="宋体" w:cs="宋体"/>
          <w:sz w:val="22"/>
          <w:szCs w:val="22"/>
          <w:u w:val="single"/>
        </w:rPr>
        <w:t xml:space="preserve"> 50 </w:t>
      </w:r>
      <w:r>
        <w:rPr>
          <w:rFonts w:hint="eastAsia" w:ascii="宋体" w:hAnsi="宋体" w:cs="宋体"/>
          <w:sz w:val="22"/>
          <w:szCs w:val="22"/>
        </w:rPr>
        <w:t>%（含）以上。</w:t>
      </w:r>
    </w:p>
    <w:p>
      <w:pPr>
        <w:spacing w:line="440" w:lineRule="atLeast"/>
        <w:ind w:firstLine="440" w:firstLineChars="200"/>
        <w:rPr>
          <w:rFonts w:hint="eastAsia" w:ascii="宋体" w:hAnsi="宋体" w:cs="宋体"/>
          <w:sz w:val="22"/>
          <w:szCs w:val="22"/>
        </w:rPr>
      </w:pPr>
      <w:r>
        <w:rPr>
          <w:rFonts w:hint="eastAsia" w:ascii="宋体" w:hAnsi="宋体" w:cs="宋体"/>
          <w:sz w:val="22"/>
          <w:szCs w:val="22"/>
        </w:rPr>
        <w:t>本公司对上述声明的真实性负责。如有虚假，将依法承担相应法律责任。</w:t>
      </w:r>
    </w:p>
    <w:p>
      <w:pPr>
        <w:spacing w:line="440" w:lineRule="atLeast"/>
        <w:rPr>
          <w:rFonts w:hint="eastAsia" w:ascii="宋体" w:hAnsi="宋体" w:cs="宋体"/>
          <w:sz w:val="22"/>
          <w:szCs w:val="22"/>
        </w:rPr>
      </w:pPr>
    </w:p>
    <w:p>
      <w:pPr>
        <w:spacing w:line="440" w:lineRule="atLeast"/>
        <w:rPr>
          <w:rFonts w:hint="eastAsia" w:ascii="宋体" w:hAnsi="宋体" w:cs="宋体"/>
          <w:sz w:val="22"/>
          <w:szCs w:val="22"/>
        </w:rPr>
      </w:pPr>
      <w:r>
        <w:rPr>
          <w:rFonts w:hint="eastAsia" w:ascii="宋体" w:hAnsi="宋体" w:cs="宋体"/>
          <w:sz w:val="22"/>
          <w:szCs w:val="22"/>
        </w:rPr>
        <w:t xml:space="preserve">供应商名称（盖章）：        </w:t>
      </w:r>
    </w:p>
    <w:p>
      <w:pPr>
        <w:spacing w:line="240" w:lineRule="atLeast"/>
        <w:jc w:val="center"/>
        <w:rPr>
          <w:rFonts w:hint="eastAsia" w:ascii="宋体" w:hAnsi="宋体" w:cs="宋体"/>
          <w:b/>
          <w:sz w:val="22"/>
          <w:szCs w:val="22"/>
        </w:rPr>
      </w:pPr>
      <w:r>
        <w:rPr>
          <w:rFonts w:hint="eastAsia" w:ascii="宋体" w:hAnsi="宋体" w:cs="宋体"/>
          <w:sz w:val="22"/>
          <w:szCs w:val="22"/>
        </w:rPr>
        <w:t>日 期：</w:t>
      </w:r>
    </w:p>
    <w:p>
      <w:pPr>
        <w:spacing w:line="240" w:lineRule="atLeast"/>
        <w:jc w:val="center"/>
        <w:rPr>
          <w:rFonts w:hint="eastAsia" w:ascii="宋体" w:hAnsi="宋体" w:cs="宋体"/>
          <w:b/>
          <w:sz w:val="22"/>
          <w:szCs w:val="22"/>
        </w:rPr>
      </w:pPr>
    </w:p>
    <w:p>
      <w:pPr>
        <w:spacing w:line="240" w:lineRule="atLeast"/>
        <w:jc w:val="center"/>
        <w:rPr>
          <w:rFonts w:hint="eastAsia" w:ascii="宋体" w:hAnsi="宋体" w:cs="宋体"/>
          <w:b/>
          <w:sz w:val="22"/>
          <w:szCs w:val="22"/>
        </w:rPr>
      </w:pPr>
    </w:p>
    <w:p>
      <w:pPr>
        <w:spacing w:line="240" w:lineRule="atLeast"/>
        <w:rPr>
          <w:rFonts w:hint="eastAsia" w:ascii="宋体" w:hAnsi="宋体" w:cs="宋体"/>
          <w:b/>
          <w:sz w:val="22"/>
          <w:szCs w:val="22"/>
        </w:rPr>
      </w:pPr>
    </w:p>
    <w:p>
      <w:pPr>
        <w:spacing w:line="240" w:lineRule="atLeast"/>
        <w:rPr>
          <w:rFonts w:hint="eastAsia" w:ascii="宋体" w:hAnsi="宋体" w:cs="宋体"/>
          <w:b/>
          <w:sz w:val="22"/>
          <w:szCs w:val="22"/>
        </w:rPr>
      </w:pPr>
    </w:p>
    <w:p>
      <w:pPr>
        <w:spacing w:line="240" w:lineRule="atLeast"/>
        <w:rPr>
          <w:rFonts w:hint="eastAsia" w:ascii="宋体" w:hAnsi="宋体" w:cs="宋体"/>
          <w:b/>
          <w:sz w:val="22"/>
          <w:szCs w:val="22"/>
        </w:rPr>
      </w:pPr>
    </w:p>
    <w:p>
      <w:pPr>
        <w:spacing w:line="240" w:lineRule="atLeast"/>
        <w:rPr>
          <w:rFonts w:hint="eastAsia" w:ascii="宋体" w:hAnsi="宋体" w:cs="宋体"/>
          <w:b/>
          <w:sz w:val="22"/>
          <w:szCs w:val="22"/>
        </w:rPr>
      </w:pPr>
    </w:p>
    <w:p>
      <w:pPr>
        <w:spacing w:line="240" w:lineRule="atLeast"/>
        <w:rPr>
          <w:rFonts w:hint="eastAsia" w:ascii="宋体" w:hAnsi="宋体" w:cs="宋体"/>
          <w:b/>
          <w:sz w:val="22"/>
          <w:szCs w:val="22"/>
        </w:rPr>
      </w:pPr>
    </w:p>
    <w:p>
      <w:pPr>
        <w:spacing w:line="240" w:lineRule="atLeast"/>
        <w:rPr>
          <w:rFonts w:hint="eastAsia" w:ascii="宋体" w:hAnsi="宋体" w:cs="宋体"/>
          <w:b/>
          <w:sz w:val="22"/>
          <w:szCs w:val="22"/>
        </w:rPr>
      </w:pPr>
    </w:p>
    <w:p>
      <w:pPr>
        <w:spacing w:line="240" w:lineRule="atLeast"/>
        <w:rPr>
          <w:rFonts w:hint="eastAsia" w:ascii="宋体" w:hAnsi="宋体" w:cs="宋体"/>
          <w:b/>
          <w:sz w:val="22"/>
          <w:szCs w:val="22"/>
        </w:rPr>
      </w:pPr>
    </w:p>
    <w:p>
      <w:pPr>
        <w:spacing w:line="240" w:lineRule="atLeast"/>
        <w:rPr>
          <w:rFonts w:hint="eastAsia" w:ascii="宋体" w:hAnsi="宋体" w:cs="宋体"/>
          <w:b/>
          <w:sz w:val="22"/>
          <w:szCs w:val="22"/>
        </w:rPr>
      </w:pPr>
    </w:p>
    <w:p>
      <w:pPr>
        <w:spacing w:line="240" w:lineRule="atLeast"/>
        <w:rPr>
          <w:rFonts w:hint="eastAsia" w:ascii="宋体" w:hAnsi="宋体" w:cs="宋体"/>
          <w:b/>
          <w:sz w:val="22"/>
          <w:szCs w:val="22"/>
        </w:rPr>
      </w:pPr>
    </w:p>
    <w:p>
      <w:pPr>
        <w:spacing w:line="240" w:lineRule="atLeast"/>
        <w:rPr>
          <w:rFonts w:hint="eastAsia" w:ascii="宋体" w:hAnsi="宋体" w:cs="宋体"/>
          <w:b/>
          <w:sz w:val="22"/>
          <w:szCs w:val="22"/>
        </w:rPr>
      </w:pPr>
    </w:p>
    <w:p>
      <w:pPr>
        <w:pStyle w:val="2"/>
        <w:rPr>
          <w:rFonts w:hint="eastAsia" w:ascii="宋体" w:hAnsi="宋体" w:cs="宋体"/>
          <w:b/>
          <w:sz w:val="22"/>
          <w:szCs w:val="22"/>
        </w:rPr>
      </w:pPr>
    </w:p>
    <w:p>
      <w:pPr>
        <w:pStyle w:val="2"/>
        <w:rPr>
          <w:rFonts w:hint="eastAsia" w:ascii="宋体" w:hAnsi="宋体" w:cs="宋体"/>
          <w:sz w:val="22"/>
          <w:szCs w:val="22"/>
        </w:rPr>
      </w:pPr>
    </w:p>
    <w:p>
      <w:pPr>
        <w:spacing w:line="240" w:lineRule="atLeast"/>
        <w:rPr>
          <w:rFonts w:hint="eastAsia" w:ascii="宋体" w:hAnsi="宋体" w:cs="宋体"/>
          <w:b/>
          <w:sz w:val="22"/>
          <w:szCs w:val="22"/>
        </w:rPr>
      </w:pPr>
      <w:r>
        <w:rPr>
          <w:rFonts w:hint="eastAsia" w:ascii="宋体" w:hAnsi="宋体" w:cs="宋体"/>
          <w:b/>
          <w:sz w:val="22"/>
          <w:szCs w:val="22"/>
        </w:rPr>
        <w:br w:type="page"/>
      </w:r>
      <w:r>
        <w:rPr>
          <w:rFonts w:hint="eastAsia" w:ascii="宋体" w:hAnsi="宋体" w:cs="宋体"/>
          <w:b/>
          <w:sz w:val="22"/>
          <w:szCs w:val="22"/>
        </w:rPr>
        <w:t>附件十四</w:t>
      </w:r>
    </w:p>
    <w:p>
      <w:pPr>
        <w:spacing w:line="240" w:lineRule="atLeast"/>
        <w:jc w:val="center"/>
        <w:rPr>
          <w:rFonts w:hint="eastAsia" w:ascii="宋体" w:hAnsi="宋体" w:cs="宋体"/>
          <w:b/>
          <w:sz w:val="22"/>
          <w:szCs w:val="22"/>
        </w:rPr>
      </w:pPr>
      <w:r>
        <w:rPr>
          <w:rFonts w:hint="eastAsia" w:ascii="宋体" w:hAnsi="宋体" w:cs="宋体"/>
          <w:b/>
          <w:sz w:val="22"/>
          <w:szCs w:val="22"/>
        </w:rPr>
        <w:t>节能（环保）产品清单</w:t>
      </w:r>
    </w:p>
    <w:p>
      <w:pPr>
        <w:ind w:firstLine="990" w:firstLineChars="450"/>
        <w:rPr>
          <w:rFonts w:hint="eastAsia" w:ascii="宋体" w:hAnsi="宋体" w:cs="宋体"/>
          <w:sz w:val="22"/>
          <w:szCs w:val="22"/>
        </w:rPr>
      </w:pPr>
      <w:r>
        <w:rPr>
          <w:rFonts w:hint="eastAsia" w:ascii="宋体" w:hAnsi="宋体" w:cs="宋体"/>
          <w:sz w:val="22"/>
          <w:szCs w:val="22"/>
        </w:rPr>
        <w:t xml:space="preserve"> </w:t>
      </w:r>
    </w:p>
    <w:p>
      <w:pPr>
        <w:rPr>
          <w:rFonts w:hint="eastAsia" w:ascii="宋体" w:hAnsi="宋体" w:cs="宋体"/>
          <w:b/>
          <w:sz w:val="22"/>
          <w:szCs w:val="22"/>
        </w:rPr>
      </w:pPr>
      <w:r>
        <w:rPr>
          <w:rFonts w:hint="eastAsia" w:ascii="宋体" w:hAnsi="宋体" w:cs="宋体"/>
          <w:b/>
          <w:sz w:val="22"/>
          <w:szCs w:val="22"/>
        </w:rPr>
        <w:t>（1）投标产品中节能产品明细清单</w:t>
      </w:r>
    </w:p>
    <w:tbl>
      <w:tblPr>
        <w:tblStyle w:val="4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1"/>
        <w:gridCol w:w="1342"/>
        <w:gridCol w:w="1342"/>
        <w:gridCol w:w="1342"/>
        <w:gridCol w:w="1342"/>
        <w:gridCol w:w="1342"/>
        <w:gridCol w:w="13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34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b/>
                <w:sz w:val="22"/>
                <w:szCs w:val="22"/>
              </w:rPr>
            </w:pPr>
            <w:r>
              <w:rPr>
                <w:rFonts w:hint="eastAsia" w:ascii="宋体" w:hAnsi="宋体" w:cs="宋体"/>
                <w:b/>
                <w:sz w:val="22"/>
                <w:szCs w:val="22"/>
              </w:rPr>
              <w:t>制造商</w:t>
            </w:r>
          </w:p>
        </w:tc>
        <w:tc>
          <w:tcPr>
            <w:tcW w:w="134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b/>
                <w:sz w:val="22"/>
                <w:szCs w:val="22"/>
              </w:rPr>
            </w:pPr>
            <w:r>
              <w:rPr>
                <w:rFonts w:hint="eastAsia" w:ascii="宋体" w:hAnsi="宋体" w:cs="宋体"/>
                <w:b/>
                <w:sz w:val="22"/>
                <w:szCs w:val="22"/>
              </w:rPr>
              <w:t>品牌</w:t>
            </w:r>
          </w:p>
        </w:tc>
        <w:tc>
          <w:tcPr>
            <w:tcW w:w="134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b/>
                <w:sz w:val="22"/>
                <w:szCs w:val="22"/>
              </w:rPr>
            </w:pPr>
            <w:r>
              <w:rPr>
                <w:rFonts w:hint="eastAsia" w:ascii="宋体" w:hAnsi="宋体" w:cs="宋体"/>
                <w:b/>
                <w:sz w:val="22"/>
                <w:szCs w:val="22"/>
              </w:rPr>
              <w:t>产品名称、规格型号</w:t>
            </w:r>
          </w:p>
        </w:tc>
        <w:tc>
          <w:tcPr>
            <w:tcW w:w="134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b/>
                <w:sz w:val="22"/>
                <w:szCs w:val="22"/>
              </w:rPr>
            </w:pPr>
            <w:r>
              <w:rPr>
                <w:rFonts w:hint="eastAsia" w:ascii="宋体" w:hAnsi="宋体" w:cs="宋体"/>
                <w:b/>
                <w:sz w:val="22"/>
                <w:szCs w:val="22"/>
              </w:rPr>
              <w:t>节字标志认证证书号</w:t>
            </w:r>
          </w:p>
        </w:tc>
        <w:tc>
          <w:tcPr>
            <w:tcW w:w="134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b/>
                <w:sz w:val="22"/>
                <w:szCs w:val="22"/>
              </w:rPr>
            </w:pPr>
            <w:r>
              <w:rPr>
                <w:rFonts w:hint="eastAsia" w:ascii="宋体" w:hAnsi="宋体" w:cs="宋体"/>
                <w:b/>
                <w:sz w:val="22"/>
                <w:szCs w:val="22"/>
              </w:rPr>
              <w:t>节能产品认证证书有效截止日期</w:t>
            </w:r>
          </w:p>
        </w:tc>
        <w:tc>
          <w:tcPr>
            <w:tcW w:w="134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b/>
                <w:sz w:val="22"/>
                <w:szCs w:val="22"/>
              </w:rPr>
            </w:pPr>
            <w:r>
              <w:rPr>
                <w:rFonts w:hint="eastAsia" w:ascii="宋体" w:hAnsi="宋体" w:cs="宋体"/>
                <w:b/>
                <w:sz w:val="22"/>
                <w:szCs w:val="22"/>
              </w:rPr>
              <w:t>产品所在节能产品政府采购清单页码</w:t>
            </w:r>
          </w:p>
        </w:tc>
        <w:tc>
          <w:tcPr>
            <w:tcW w:w="134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b/>
                <w:sz w:val="22"/>
                <w:szCs w:val="22"/>
              </w:rPr>
            </w:pPr>
            <w:r>
              <w:rPr>
                <w:rFonts w:hint="eastAsia" w:ascii="宋体" w:hAnsi="宋体" w:cs="宋体"/>
                <w:b/>
                <w:sz w:val="22"/>
                <w:szCs w:val="22"/>
              </w:rPr>
              <w:t>数量/台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34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34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34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34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34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r>
    </w:tbl>
    <w:p>
      <w:pPr>
        <w:rPr>
          <w:rFonts w:hint="eastAsia" w:ascii="宋体" w:hAnsi="宋体" w:cs="宋体"/>
          <w:b/>
          <w:sz w:val="22"/>
          <w:szCs w:val="22"/>
        </w:rPr>
      </w:pPr>
    </w:p>
    <w:p>
      <w:pPr>
        <w:rPr>
          <w:rFonts w:hint="eastAsia" w:ascii="宋体" w:hAnsi="宋体" w:cs="宋体"/>
          <w:b/>
          <w:sz w:val="22"/>
          <w:szCs w:val="22"/>
        </w:rPr>
      </w:pPr>
      <w:r>
        <w:rPr>
          <w:rFonts w:hint="eastAsia" w:ascii="宋体" w:hAnsi="宋体" w:cs="宋体"/>
          <w:b/>
          <w:sz w:val="22"/>
          <w:szCs w:val="22"/>
        </w:rPr>
        <w:t>（2）投标产品中环保产品明细清单</w:t>
      </w:r>
    </w:p>
    <w:tbl>
      <w:tblPr>
        <w:tblStyle w:val="4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1"/>
        <w:gridCol w:w="1342"/>
        <w:gridCol w:w="1342"/>
        <w:gridCol w:w="1342"/>
        <w:gridCol w:w="1342"/>
        <w:gridCol w:w="1342"/>
        <w:gridCol w:w="13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34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b/>
                <w:sz w:val="22"/>
                <w:szCs w:val="22"/>
              </w:rPr>
            </w:pPr>
            <w:r>
              <w:rPr>
                <w:rFonts w:hint="eastAsia" w:ascii="宋体" w:hAnsi="宋体" w:cs="宋体"/>
                <w:b/>
                <w:sz w:val="22"/>
                <w:szCs w:val="22"/>
              </w:rPr>
              <w:t>企业名称</w:t>
            </w:r>
          </w:p>
        </w:tc>
        <w:tc>
          <w:tcPr>
            <w:tcW w:w="134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b/>
                <w:sz w:val="22"/>
                <w:szCs w:val="22"/>
              </w:rPr>
            </w:pPr>
            <w:r>
              <w:rPr>
                <w:rFonts w:hint="eastAsia" w:ascii="宋体" w:hAnsi="宋体" w:cs="宋体"/>
                <w:b/>
                <w:sz w:val="22"/>
                <w:szCs w:val="22"/>
              </w:rPr>
              <w:t>注册商标</w:t>
            </w:r>
          </w:p>
        </w:tc>
        <w:tc>
          <w:tcPr>
            <w:tcW w:w="134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b/>
                <w:sz w:val="22"/>
                <w:szCs w:val="22"/>
              </w:rPr>
            </w:pPr>
            <w:r>
              <w:rPr>
                <w:rFonts w:hint="eastAsia" w:ascii="宋体" w:hAnsi="宋体" w:cs="宋体"/>
                <w:b/>
                <w:sz w:val="22"/>
                <w:szCs w:val="22"/>
              </w:rPr>
              <w:t>产品名称、规格型号</w:t>
            </w:r>
          </w:p>
        </w:tc>
        <w:tc>
          <w:tcPr>
            <w:tcW w:w="134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b/>
                <w:sz w:val="22"/>
                <w:szCs w:val="22"/>
              </w:rPr>
            </w:pPr>
            <w:r>
              <w:rPr>
                <w:rFonts w:hint="eastAsia" w:ascii="宋体" w:hAnsi="宋体" w:cs="宋体"/>
                <w:b/>
                <w:sz w:val="22"/>
                <w:szCs w:val="22"/>
              </w:rPr>
              <w:t>中国环境标志认证证书编号</w:t>
            </w:r>
          </w:p>
        </w:tc>
        <w:tc>
          <w:tcPr>
            <w:tcW w:w="134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b/>
                <w:sz w:val="22"/>
                <w:szCs w:val="22"/>
              </w:rPr>
            </w:pPr>
            <w:r>
              <w:rPr>
                <w:rFonts w:hint="eastAsia" w:ascii="宋体" w:hAnsi="宋体" w:cs="宋体"/>
                <w:b/>
                <w:sz w:val="22"/>
                <w:szCs w:val="22"/>
              </w:rPr>
              <w:t>认证证书有效截止日期</w:t>
            </w:r>
          </w:p>
        </w:tc>
        <w:tc>
          <w:tcPr>
            <w:tcW w:w="134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b/>
                <w:sz w:val="22"/>
                <w:szCs w:val="22"/>
              </w:rPr>
            </w:pPr>
            <w:r>
              <w:rPr>
                <w:rFonts w:hint="eastAsia" w:ascii="宋体" w:hAnsi="宋体" w:cs="宋体"/>
                <w:b/>
                <w:sz w:val="22"/>
                <w:szCs w:val="22"/>
              </w:rPr>
              <w:t>产品所在环境标志产品政府采购清单页码</w:t>
            </w:r>
          </w:p>
        </w:tc>
        <w:tc>
          <w:tcPr>
            <w:tcW w:w="134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b/>
                <w:sz w:val="22"/>
                <w:szCs w:val="22"/>
              </w:rPr>
            </w:pPr>
            <w:r>
              <w:rPr>
                <w:rFonts w:hint="eastAsia" w:ascii="宋体" w:hAnsi="宋体" w:cs="宋体"/>
                <w:b/>
                <w:sz w:val="22"/>
                <w:szCs w:val="22"/>
              </w:rPr>
              <w:t>数量/台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34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34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34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34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34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b/>
                <w:sz w:val="22"/>
                <w:szCs w:val="22"/>
              </w:rPr>
            </w:pPr>
          </w:p>
        </w:tc>
      </w:tr>
    </w:tbl>
    <w:p>
      <w:pPr>
        <w:rPr>
          <w:rFonts w:hint="eastAsia" w:ascii="宋体" w:hAnsi="宋体" w:cs="宋体"/>
          <w:b/>
          <w:sz w:val="22"/>
          <w:szCs w:val="22"/>
        </w:rPr>
      </w:pPr>
    </w:p>
    <w:p>
      <w:pPr>
        <w:rPr>
          <w:rFonts w:hint="eastAsia" w:ascii="宋体" w:hAnsi="宋体" w:cs="宋体"/>
          <w:b/>
          <w:sz w:val="22"/>
          <w:szCs w:val="22"/>
        </w:rPr>
      </w:pPr>
      <w:r>
        <w:rPr>
          <w:rFonts w:hint="eastAsia" w:ascii="宋体" w:hAnsi="宋体" w:cs="宋体"/>
          <w:b/>
          <w:sz w:val="22"/>
          <w:szCs w:val="22"/>
        </w:rPr>
        <w:t>备注：表格可以延续。</w:t>
      </w:r>
    </w:p>
    <w:p>
      <w:pPr>
        <w:rPr>
          <w:rFonts w:hint="eastAsia" w:ascii="宋体" w:hAnsi="宋体" w:cs="宋体"/>
          <w:b/>
          <w:sz w:val="22"/>
          <w:szCs w:val="22"/>
        </w:rPr>
      </w:pPr>
    </w:p>
    <w:p>
      <w:pPr>
        <w:rPr>
          <w:rFonts w:hint="eastAsia" w:ascii="宋体" w:hAnsi="宋体" w:cs="宋体"/>
          <w:b/>
          <w:sz w:val="22"/>
          <w:szCs w:val="22"/>
        </w:rPr>
      </w:pPr>
    </w:p>
    <w:p>
      <w:pPr>
        <w:spacing w:line="440" w:lineRule="atLeast"/>
        <w:rPr>
          <w:rFonts w:hint="eastAsia" w:ascii="宋体" w:hAnsi="宋体" w:cs="宋体"/>
          <w:b/>
          <w:sz w:val="22"/>
          <w:szCs w:val="22"/>
        </w:rPr>
      </w:pPr>
      <w:r>
        <w:rPr>
          <w:rFonts w:hint="eastAsia" w:ascii="宋体" w:hAnsi="宋体" w:cs="宋体"/>
          <w:b/>
          <w:sz w:val="22"/>
          <w:szCs w:val="22"/>
        </w:rPr>
        <w:t xml:space="preserve">供应商名称（盖章）：        </w:t>
      </w:r>
    </w:p>
    <w:p>
      <w:pPr>
        <w:autoSpaceDE w:val="0"/>
        <w:autoSpaceDN w:val="0"/>
        <w:adjustRightInd w:val="0"/>
        <w:snapToGrid w:val="0"/>
        <w:spacing w:line="360" w:lineRule="auto"/>
        <w:textAlignment w:val="bottom"/>
        <w:rPr>
          <w:rFonts w:hint="eastAsia" w:ascii="宋体" w:hAnsi="宋体" w:cs="宋体"/>
          <w:b/>
          <w:sz w:val="22"/>
          <w:szCs w:val="22"/>
        </w:rPr>
      </w:pPr>
      <w:r>
        <w:rPr>
          <w:rFonts w:hint="eastAsia" w:ascii="宋体" w:hAnsi="宋体" w:cs="宋体"/>
          <w:b/>
          <w:sz w:val="22"/>
          <w:szCs w:val="22"/>
        </w:rPr>
        <w:t>日 期：</w:t>
      </w:r>
    </w:p>
    <w:p>
      <w:pPr>
        <w:pStyle w:val="5"/>
        <w:spacing w:before="0" w:after="0"/>
        <w:jc w:val="center"/>
        <w:rPr>
          <w:rFonts w:hint="eastAsia" w:ascii="宋体" w:hAnsi="宋体" w:eastAsia="宋体" w:cs="宋体"/>
          <w:b/>
          <w:bCs/>
          <w:sz w:val="28"/>
          <w:szCs w:val="28"/>
        </w:rPr>
      </w:pPr>
      <w:bookmarkStart w:id="148" w:name="_Toc15699"/>
      <w:r>
        <w:rPr>
          <w:rFonts w:hint="eastAsia" w:ascii="宋体" w:hAnsi="宋体" w:eastAsia="宋体" w:cs="宋体"/>
          <w:b/>
          <w:bCs/>
          <w:sz w:val="28"/>
          <w:szCs w:val="28"/>
        </w:rPr>
        <w:br w:type="page"/>
      </w:r>
      <w:r>
        <w:rPr>
          <w:rFonts w:hint="eastAsia" w:ascii="宋体" w:hAnsi="宋体" w:eastAsia="宋体" w:cs="宋体"/>
          <w:b/>
          <w:bCs/>
          <w:sz w:val="28"/>
          <w:szCs w:val="28"/>
        </w:rPr>
        <w:t>第六部分   评标办法</w:t>
      </w:r>
      <w:bookmarkEnd w:id="148"/>
    </w:p>
    <w:p>
      <w:pPr>
        <w:tabs>
          <w:tab w:val="left" w:pos="8820"/>
        </w:tabs>
        <w:adjustRightInd w:val="0"/>
        <w:snapToGrid w:val="0"/>
        <w:spacing w:line="360" w:lineRule="auto"/>
        <w:ind w:firstLine="440" w:firstLineChars="200"/>
        <w:rPr>
          <w:rFonts w:hint="eastAsia" w:ascii="宋体" w:hAnsi="宋体" w:cs="宋体"/>
          <w:sz w:val="22"/>
          <w:szCs w:val="22"/>
        </w:rPr>
      </w:pPr>
      <w:bookmarkStart w:id="149" w:name="_Toc157410904"/>
      <w:r>
        <w:rPr>
          <w:rFonts w:hint="eastAsia" w:ascii="宋体" w:hAnsi="宋体" w:cs="宋体"/>
          <w:sz w:val="22"/>
          <w:szCs w:val="22"/>
        </w:rPr>
        <w:t>根据《中华人民共和国政府采购法》等有关政府采购法规，结合本次所要采购项目的实际，按照公平、公正、科学、择优的原则选择中标单位，特制定本评标办法。</w:t>
      </w:r>
    </w:p>
    <w:p>
      <w:pPr>
        <w:adjustRightInd w:val="0"/>
        <w:snapToGrid w:val="0"/>
        <w:spacing w:before="120" w:beforeLines="50" w:after="50" w:line="360" w:lineRule="auto"/>
        <w:jc w:val="center"/>
        <w:outlineLvl w:val="0"/>
        <w:rPr>
          <w:rFonts w:hint="eastAsia" w:ascii="宋体" w:hAnsi="宋体" w:cs="宋体"/>
          <w:bCs/>
          <w:sz w:val="22"/>
          <w:szCs w:val="22"/>
        </w:rPr>
      </w:pPr>
      <w:bookmarkStart w:id="150" w:name="_Toc11343"/>
      <w:r>
        <w:rPr>
          <w:rFonts w:hint="eastAsia" w:ascii="宋体" w:hAnsi="宋体" w:cs="宋体"/>
          <w:bCs/>
          <w:sz w:val="22"/>
          <w:szCs w:val="22"/>
        </w:rPr>
        <w:t>一、总则</w:t>
      </w:r>
      <w:bookmarkEnd w:id="150"/>
    </w:p>
    <w:p>
      <w:pPr>
        <w:pStyle w:val="28"/>
        <w:adjustRightInd w:val="0"/>
        <w:snapToGrid w:val="0"/>
        <w:spacing w:before="100" w:after="50" w:line="360" w:lineRule="auto"/>
        <w:ind w:left="0" w:leftChars="0" w:firstLine="418" w:firstLineChars="190"/>
        <w:rPr>
          <w:rFonts w:hint="eastAsia" w:ascii="宋体" w:hAnsi="宋体" w:cs="宋体"/>
          <w:sz w:val="22"/>
          <w:szCs w:val="22"/>
        </w:rPr>
      </w:pPr>
      <w:r>
        <w:rPr>
          <w:rFonts w:hint="eastAsia" w:ascii="宋体" w:hAnsi="宋体" w:cs="宋体"/>
          <w:sz w:val="22"/>
          <w:szCs w:val="22"/>
        </w:rPr>
        <w:t>评标工作遵循公平、公正、民主、科学的原则和诚实、信誉、效率的服务原则。本着科学、严谨的态度，认真进行评标。择优选定货物的供货供应商，确保工程质量、交货期，节约投资，最大限度的保护当事人权益，严格按照采购文件的商务、技术要求，对投标文件进行综合评定，提出优选方案，编写评标报告。评标人员必须严格遵守保密规定，不得泄漏评标的有关情况，不得索贿受贿，不得接受吃请和礼品，不得参加影响公正评标的有关活动。对落标供应商，评标委员会不作任何落标解释。供应商不得以任何方式干扰招投标工作的进行，一经发现其投标文件将被拒绝。</w:t>
      </w:r>
    </w:p>
    <w:p>
      <w:pPr>
        <w:adjustRightInd w:val="0"/>
        <w:snapToGrid w:val="0"/>
        <w:spacing w:before="120" w:beforeLines="50" w:after="50" w:line="360" w:lineRule="auto"/>
        <w:jc w:val="center"/>
        <w:outlineLvl w:val="0"/>
        <w:rPr>
          <w:rFonts w:hint="eastAsia" w:ascii="宋体" w:hAnsi="宋体" w:cs="宋体"/>
          <w:bCs/>
          <w:sz w:val="22"/>
          <w:szCs w:val="22"/>
        </w:rPr>
      </w:pPr>
      <w:bookmarkStart w:id="151" w:name="_Toc7958"/>
      <w:r>
        <w:rPr>
          <w:rFonts w:hint="eastAsia" w:ascii="宋体" w:hAnsi="宋体" w:cs="宋体"/>
          <w:bCs/>
          <w:sz w:val="22"/>
          <w:szCs w:val="22"/>
        </w:rPr>
        <w:t>二．评标组织</w:t>
      </w:r>
      <w:bookmarkEnd w:id="151"/>
    </w:p>
    <w:p>
      <w:pPr>
        <w:pStyle w:val="28"/>
        <w:adjustRightInd w:val="0"/>
        <w:snapToGrid w:val="0"/>
        <w:spacing w:before="100" w:after="50" w:line="360" w:lineRule="auto"/>
        <w:ind w:firstLine="1760" w:firstLineChars="800"/>
        <w:rPr>
          <w:rFonts w:hint="eastAsia" w:ascii="宋体" w:hAnsi="宋体" w:cs="宋体"/>
          <w:sz w:val="22"/>
          <w:szCs w:val="22"/>
        </w:rPr>
      </w:pPr>
      <w:r>
        <w:rPr>
          <w:rFonts w:hint="eastAsia" w:ascii="宋体" w:hAnsi="宋体" w:cs="宋体"/>
          <w:sz w:val="22"/>
          <w:szCs w:val="22"/>
        </w:rPr>
        <w:t>参见本采购文件第三部分：“供应商须知” 中的相关内容。</w:t>
      </w:r>
    </w:p>
    <w:p>
      <w:pPr>
        <w:pStyle w:val="157"/>
        <w:widowControl w:val="0"/>
        <w:pBdr>
          <w:left w:val="none" w:color="auto" w:sz="0" w:space="0"/>
          <w:bottom w:val="none" w:color="auto" w:sz="0" w:space="0"/>
          <w:right w:val="none" w:color="auto" w:sz="0" w:space="0"/>
        </w:pBdr>
        <w:adjustRightInd w:val="0"/>
        <w:snapToGrid w:val="0"/>
        <w:spacing w:before="120" w:beforeLines="50" w:beforeAutospacing="0" w:after="50" w:afterAutospacing="0" w:line="360" w:lineRule="auto"/>
        <w:textAlignment w:val="auto"/>
        <w:outlineLvl w:val="0"/>
        <w:rPr>
          <w:rFonts w:hint="eastAsia" w:ascii="宋体" w:hAnsi="宋体" w:cs="宋体"/>
          <w:b w:val="0"/>
          <w:kern w:val="2"/>
          <w:sz w:val="22"/>
          <w:szCs w:val="22"/>
        </w:rPr>
      </w:pPr>
      <w:bookmarkStart w:id="152" w:name="_Toc27261"/>
      <w:r>
        <w:rPr>
          <w:rFonts w:hint="eastAsia" w:ascii="宋体" w:hAnsi="宋体" w:cs="宋体"/>
          <w:b w:val="0"/>
          <w:kern w:val="2"/>
          <w:sz w:val="22"/>
          <w:szCs w:val="22"/>
        </w:rPr>
        <w:t>三、评标程序</w:t>
      </w:r>
      <w:bookmarkEnd w:id="152"/>
    </w:p>
    <w:p>
      <w:pPr>
        <w:adjustRightInd w:val="0"/>
        <w:snapToGrid w:val="0"/>
        <w:spacing w:before="100" w:after="50" w:line="360" w:lineRule="auto"/>
        <w:ind w:firstLine="1988" w:firstLineChars="900"/>
        <w:rPr>
          <w:rFonts w:hint="eastAsia" w:ascii="宋体" w:hAnsi="宋体" w:cs="宋体"/>
          <w:b/>
          <w:bCs/>
          <w:sz w:val="22"/>
          <w:szCs w:val="22"/>
          <w:u w:val="single"/>
        </w:rPr>
      </w:pPr>
      <w:r>
        <w:rPr>
          <w:rFonts w:hint="eastAsia" w:ascii="宋体" w:hAnsi="宋体" w:cs="宋体"/>
          <w:b/>
          <w:bCs/>
          <w:sz w:val="22"/>
          <w:szCs w:val="22"/>
          <w:u w:val="single"/>
        </w:rPr>
        <w:t>参见本采购文件第三部分：“供应商须知” 中的相关内容。</w:t>
      </w:r>
    </w:p>
    <w:p>
      <w:pPr>
        <w:pStyle w:val="36"/>
        <w:snapToGrid w:val="0"/>
        <w:spacing w:line="360" w:lineRule="auto"/>
        <w:ind w:firstLine="440"/>
        <w:rPr>
          <w:rFonts w:hint="eastAsia" w:ascii="宋体" w:hAnsi="宋体" w:eastAsia="宋体" w:cs="宋体"/>
          <w:color w:val="auto"/>
          <w:sz w:val="22"/>
          <w:szCs w:val="22"/>
        </w:rPr>
      </w:pPr>
      <w:r>
        <w:rPr>
          <w:rFonts w:hint="eastAsia" w:ascii="宋体" w:hAnsi="宋体" w:eastAsia="宋体" w:cs="宋体"/>
          <w:color w:val="auto"/>
          <w:sz w:val="22"/>
          <w:szCs w:val="22"/>
        </w:rPr>
        <w:t>中标供应商放弃中标，或者因不可抗力提出不能履行合同，或者招标文件规定应当提交履约保证金而在规定的期限内未能提交的，采购人可以取消其中标资格。并按有关规定重新组织采购。</w:t>
      </w:r>
    </w:p>
    <w:p>
      <w:pPr>
        <w:adjustRightInd w:val="0"/>
        <w:snapToGrid w:val="0"/>
        <w:spacing w:before="100" w:after="50" w:line="360" w:lineRule="auto"/>
        <w:ind w:firstLine="420"/>
        <w:rPr>
          <w:rFonts w:hint="eastAsia" w:ascii="宋体" w:hAnsi="宋体" w:cs="宋体"/>
          <w:bCs/>
          <w:sz w:val="22"/>
          <w:szCs w:val="22"/>
        </w:rPr>
      </w:pPr>
      <w:r>
        <w:rPr>
          <w:rFonts w:hint="eastAsia" w:ascii="宋体" w:hAnsi="宋体" w:cs="宋体"/>
          <w:sz w:val="22"/>
          <w:szCs w:val="22"/>
        </w:rPr>
        <w:t>如果无侯选供应商，或者侯选供应商因前款规定的同样原因不能签订合同的，本次采购失败，重新组织采购。</w:t>
      </w:r>
    </w:p>
    <w:p>
      <w:pPr>
        <w:autoSpaceDE w:val="0"/>
        <w:autoSpaceDN w:val="0"/>
        <w:snapToGrid w:val="0"/>
        <w:spacing w:line="460" w:lineRule="atLeast"/>
        <w:jc w:val="center"/>
        <w:textAlignment w:val="bottom"/>
        <w:rPr>
          <w:rFonts w:hint="eastAsia" w:ascii="宋体" w:hAnsi="宋体" w:cs="宋体"/>
          <w:bCs/>
          <w:sz w:val="22"/>
          <w:szCs w:val="22"/>
        </w:rPr>
      </w:pPr>
      <w:r>
        <w:rPr>
          <w:rFonts w:hint="eastAsia" w:ascii="宋体" w:hAnsi="宋体" w:cs="宋体"/>
          <w:bCs/>
          <w:sz w:val="22"/>
          <w:szCs w:val="22"/>
        </w:rPr>
        <w:t>四、评审细则</w:t>
      </w:r>
    </w:p>
    <w:bookmarkEnd w:id="149"/>
    <w:p>
      <w:pPr>
        <w:adjustRightInd w:val="0"/>
        <w:spacing w:before="100" w:after="50" w:line="460" w:lineRule="atLeast"/>
        <w:ind w:firstLine="420"/>
        <w:rPr>
          <w:rFonts w:hint="eastAsia" w:ascii="宋体" w:hAnsi="宋体" w:cs="宋体"/>
          <w:bCs/>
          <w:color w:val="000000"/>
          <w:sz w:val="22"/>
          <w:szCs w:val="22"/>
        </w:rPr>
      </w:pPr>
      <w:r>
        <w:rPr>
          <w:rFonts w:hint="eastAsia" w:ascii="宋体" w:hAnsi="宋体" w:cs="宋体"/>
          <w:bCs/>
          <w:sz w:val="22"/>
          <w:szCs w:val="22"/>
        </w:rPr>
        <w:t>一、商务报价评</w:t>
      </w:r>
      <w:r>
        <w:rPr>
          <w:rFonts w:hint="eastAsia" w:ascii="宋体" w:hAnsi="宋体" w:cs="宋体"/>
          <w:bCs/>
          <w:color w:val="000000"/>
          <w:sz w:val="22"/>
          <w:szCs w:val="22"/>
        </w:rPr>
        <w:t>分30分</w:t>
      </w:r>
    </w:p>
    <w:p>
      <w:pPr>
        <w:adjustRightInd w:val="0"/>
        <w:spacing w:before="100" w:after="50" w:line="460" w:lineRule="atLeast"/>
        <w:ind w:firstLine="420"/>
        <w:rPr>
          <w:rFonts w:hint="eastAsia" w:ascii="宋体" w:hAnsi="宋体" w:cs="宋体"/>
          <w:bCs/>
          <w:sz w:val="22"/>
          <w:szCs w:val="22"/>
          <w:u w:val="single"/>
        </w:rPr>
      </w:pPr>
      <w:r>
        <w:rPr>
          <w:rFonts w:hint="eastAsia" w:ascii="宋体" w:hAnsi="宋体" w:cs="宋体"/>
          <w:bCs/>
          <w:sz w:val="22"/>
          <w:szCs w:val="22"/>
        </w:rPr>
        <w:t>1、以供应商</w:t>
      </w:r>
      <w:r>
        <w:rPr>
          <w:rFonts w:hint="eastAsia" w:ascii="宋体" w:hAnsi="宋体" w:cs="宋体"/>
          <w:sz w:val="22"/>
          <w:szCs w:val="22"/>
        </w:rPr>
        <w:t>各有效投标总报价的最低价为评标基准价</w:t>
      </w:r>
      <w:r>
        <w:rPr>
          <w:rFonts w:hint="eastAsia" w:ascii="宋体" w:hAnsi="宋体" w:cs="宋体"/>
          <w:bCs/>
          <w:sz w:val="22"/>
          <w:szCs w:val="22"/>
        </w:rPr>
        <w:t>，得满分30分。商务报价评分结算公式为:投标报价得分</w:t>
      </w:r>
      <w:r>
        <w:rPr>
          <w:rFonts w:hint="eastAsia" w:ascii="宋体" w:hAnsi="宋体" w:cs="宋体"/>
          <w:bCs/>
          <w:sz w:val="22"/>
          <w:szCs w:val="22"/>
          <w:u w:val="single"/>
        </w:rPr>
        <w:t>=(评标基准价／投标报价)×30%×100。</w:t>
      </w:r>
    </w:p>
    <w:p>
      <w:pPr>
        <w:pStyle w:val="24"/>
        <w:spacing w:line="360" w:lineRule="auto"/>
        <w:ind w:firstLine="442" w:firstLineChars="200"/>
        <w:rPr>
          <w:rFonts w:hint="eastAsia" w:hAnsi="宋体" w:cs="宋体"/>
          <w:b/>
          <w:sz w:val="22"/>
          <w:szCs w:val="22"/>
        </w:rPr>
      </w:pPr>
      <w:r>
        <w:rPr>
          <w:rFonts w:hint="eastAsia" w:hAnsi="宋体" w:cs="宋体"/>
          <w:b/>
          <w:sz w:val="22"/>
          <w:szCs w:val="22"/>
        </w:rPr>
        <w:t>2、本项目在报价评审时对已注册正式进入浙江省政府采购供应商库且符合中小企业划型标准规定（工信部联企业[2011]300号）的小型和微型企业给予价格优惠扶持，用扣除后的价格参与评审，具体如下：</w:t>
      </w:r>
    </w:p>
    <w:p>
      <w:pPr>
        <w:pStyle w:val="24"/>
        <w:spacing w:line="360" w:lineRule="auto"/>
        <w:ind w:firstLine="442" w:firstLineChars="200"/>
        <w:rPr>
          <w:rFonts w:hint="eastAsia" w:hAnsi="宋体" w:cs="宋体"/>
          <w:b/>
          <w:sz w:val="22"/>
          <w:szCs w:val="22"/>
        </w:rPr>
      </w:pPr>
      <w:r>
        <w:rPr>
          <w:rFonts w:hint="eastAsia" w:hAnsi="宋体" w:cs="宋体"/>
          <w:b/>
          <w:sz w:val="22"/>
          <w:szCs w:val="22"/>
        </w:rPr>
        <w:t>(1)本项目对小型和微型企业产品（含监狱企业、残疾人福利性单位）的价格给予 6% 的扣除，用扣除后的价格（即投标报价的 94% ）参与报价分评审。</w:t>
      </w:r>
    </w:p>
    <w:p>
      <w:pPr>
        <w:pStyle w:val="24"/>
        <w:spacing w:line="360" w:lineRule="auto"/>
        <w:ind w:firstLine="442" w:firstLineChars="200"/>
        <w:rPr>
          <w:rFonts w:hint="eastAsia" w:hAnsi="宋体" w:cs="宋体"/>
          <w:b/>
          <w:sz w:val="22"/>
          <w:szCs w:val="22"/>
        </w:rPr>
      </w:pPr>
      <w:r>
        <w:rPr>
          <w:rFonts w:hint="eastAsia" w:hAnsi="宋体" w:cs="宋体"/>
          <w:b/>
          <w:sz w:val="22"/>
          <w:szCs w:val="22"/>
        </w:rPr>
        <w:t>(2)中小企业按上述优惠取得政府采购合同后，小型、微型企业不得分包或转包给大型、中型企业，中型企业不得分包或转包给大型企业。</w:t>
      </w:r>
    </w:p>
    <w:p>
      <w:pPr>
        <w:pStyle w:val="24"/>
        <w:spacing w:line="360" w:lineRule="auto"/>
        <w:ind w:firstLine="442" w:firstLineChars="200"/>
        <w:rPr>
          <w:rFonts w:hint="eastAsia" w:hAnsi="宋体" w:cs="宋体"/>
          <w:sz w:val="22"/>
          <w:szCs w:val="22"/>
        </w:rPr>
      </w:pPr>
      <w:r>
        <w:rPr>
          <w:rFonts w:hint="eastAsia" w:hAnsi="宋体" w:cs="宋体"/>
          <w:b/>
          <w:sz w:val="22"/>
          <w:szCs w:val="22"/>
        </w:rPr>
        <w:t>（3）</w:t>
      </w:r>
      <w:r>
        <w:rPr>
          <w:rFonts w:hint="eastAsia" w:hAnsi="宋体" w:cs="宋体"/>
          <w:sz w:val="22"/>
          <w:szCs w:val="22"/>
        </w:rPr>
        <w:t>投标供应商必须提交《中小企业声明函》，如果提供的是其他小型、微型企业制造的产品（服务）的，还须同时提供该企业是小型、微型企业的证明材料。</w:t>
      </w:r>
    </w:p>
    <w:p>
      <w:pPr>
        <w:pStyle w:val="24"/>
        <w:spacing w:line="360" w:lineRule="auto"/>
        <w:ind w:firstLine="440" w:firstLineChars="200"/>
        <w:rPr>
          <w:rFonts w:hint="eastAsia" w:hAnsi="宋体" w:cs="宋体"/>
          <w:sz w:val="22"/>
          <w:szCs w:val="22"/>
        </w:rPr>
      </w:pPr>
      <w:r>
        <w:rPr>
          <w:rFonts w:hint="eastAsia" w:hAnsi="宋体" w:cs="宋体"/>
          <w:sz w:val="22"/>
          <w:szCs w:val="22"/>
        </w:rPr>
        <w:t>3、符合《财政部、司法部关于政府采购支持监狱企业发展有关问题的通知》（财库[2014]68 号）规定的监狱企业，在全部提供本单位制造的货物（由本单位承担工程/提供服务）或者提供其他监狱企业制造的货物（不包括使用非监狱企业注册商标的货物）参加政府采购活动时，视同小型、微型企业享受 6%的价格扣除扶持政策。</w:t>
      </w:r>
    </w:p>
    <w:p>
      <w:pPr>
        <w:pStyle w:val="24"/>
        <w:spacing w:line="360" w:lineRule="auto"/>
        <w:ind w:firstLine="440" w:firstLineChars="200"/>
        <w:rPr>
          <w:rFonts w:hint="eastAsia" w:hAnsi="宋体" w:cs="宋体"/>
          <w:sz w:val="22"/>
          <w:szCs w:val="22"/>
        </w:rPr>
      </w:pPr>
      <w:r>
        <w:rPr>
          <w:rFonts w:hint="eastAsia" w:hAnsi="宋体" w:cs="宋体"/>
          <w:sz w:val="22"/>
          <w:szCs w:val="22"/>
        </w:rPr>
        <w:t>备注：（1）监狱企业证明文件：省级或以上监狱管理局、戒毒管理局（含新疆生产建设兵团）出具的属于监狱企业的证明文件。（2）如果提供其他监狱企业制造的货物，还须同时提供该企业为监狱企业的证明文件。</w:t>
      </w:r>
    </w:p>
    <w:p>
      <w:pPr>
        <w:pStyle w:val="24"/>
        <w:spacing w:line="360" w:lineRule="auto"/>
        <w:ind w:firstLine="440" w:firstLineChars="200"/>
        <w:rPr>
          <w:rFonts w:hint="eastAsia" w:hAnsi="宋体" w:cs="宋体"/>
          <w:sz w:val="22"/>
          <w:szCs w:val="22"/>
        </w:rPr>
      </w:pPr>
      <w:r>
        <w:rPr>
          <w:rFonts w:hint="eastAsia" w:hAnsi="宋体" w:cs="宋体"/>
          <w:sz w:val="22"/>
          <w:szCs w:val="22"/>
        </w:rPr>
        <w:t>4、符合《财政部、民政部、中国残疾人联合会关于促进残疾人就业政府采购政策的通知》（财库[2017]141 号）规定的残疾人福利性单位，在全部提供本单位制造的货物（由本单位承担工程/提供服务）或者提供其他残疾人福利性单位制造的货物（不包括使用非残疾人福利性单位注册商标的货物）参加政府采购活动时，视同小型、微型企业享受 6%价格扣除扶持政策。</w:t>
      </w:r>
    </w:p>
    <w:p>
      <w:pPr>
        <w:pStyle w:val="24"/>
        <w:spacing w:line="360" w:lineRule="auto"/>
        <w:ind w:firstLine="440" w:firstLineChars="200"/>
        <w:rPr>
          <w:rFonts w:hint="eastAsia" w:hAnsi="宋体" w:cs="宋体"/>
          <w:sz w:val="22"/>
          <w:szCs w:val="22"/>
        </w:rPr>
      </w:pPr>
      <w:r>
        <w:rPr>
          <w:rFonts w:hint="eastAsia" w:hAnsi="宋体" w:cs="宋体"/>
          <w:sz w:val="22"/>
          <w:szCs w:val="22"/>
        </w:rPr>
        <w:t>备注：（1）残疾人福利性单位证明材料：残疾人福利性单位声明函。（2）如提供其他残疾人福利性单位制造的货物，还须同时提供该企业的残疾人福利性单位声明函。</w:t>
      </w:r>
    </w:p>
    <w:p>
      <w:pPr>
        <w:pStyle w:val="24"/>
        <w:numPr>
          <w:ilvl w:val="0"/>
          <w:numId w:val="21"/>
        </w:numPr>
        <w:adjustRightInd w:val="0"/>
        <w:snapToGrid w:val="0"/>
        <w:spacing w:line="360" w:lineRule="auto"/>
        <w:ind w:firstLine="440" w:firstLineChars="200"/>
        <w:rPr>
          <w:rFonts w:hint="eastAsia" w:hAnsi="宋体" w:cs="宋体"/>
          <w:sz w:val="22"/>
          <w:szCs w:val="22"/>
        </w:rPr>
      </w:pPr>
      <w:r>
        <w:rPr>
          <w:rFonts w:hint="eastAsia" w:hAnsi="宋体" w:cs="宋体"/>
          <w:sz w:val="22"/>
          <w:szCs w:val="22"/>
        </w:rPr>
        <w:t>本次采购最高限价为</w:t>
      </w:r>
      <w:r>
        <w:rPr>
          <w:rFonts w:hint="eastAsia" w:hAnsi="宋体" w:cs="宋体"/>
          <w:sz w:val="22"/>
          <w:szCs w:val="22"/>
          <w:lang w:val="en-US" w:eastAsia="zh-CN"/>
        </w:rPr>
        <w:t>6130000</w:t>
      </w:r>
      <w:r>
        <w:rPr>
          <w:rFonts w:hint="eastAsia" w:hAnsi="宋体" w:cs="宋体"/>
          <w:sz w:val="22"/>
          <w:szCs w:val="22"/>
          <w:u w:val="single"/>
        </w:rPr>
        <w:t>元</w:t>
      </w:r>
      <w:r>
        <w:rPr>
          <w:rFonts w:hint="eastAsia" w:hAnsi="宋体" w:cs="宋体"/>
          <w:sz w:val="22"/>
          <w:szCs w:val="22"/>
        </w:rPr>
        <w:t>，如果供应商的报价均超出采购预算且采购人确认不能支付的情况，本项目做流（废）标处理。如果仅仅某些（个）供应商该投标报价超出采购预算的，则拒绝接受其投标报价，该供应商投标按无效投标处理。</w:t>
      </w:r>
    </w:p>
    <w:p>
      <w:pPr>
        <w:pStyle w:val="24"/>
        <w:numPr>
          <w:ilvl w:val="0"/>
          <w:numId w:val="21"/>
        </w:numPr>
        <w:adjustRightInd w:val="0"/>
        <w:snapToGrid w:val="0"/>
        <w:spacing w:line="360" w:lineRule="auto"/>
        <w:ind w:firstLine="440" w:firstLineChars="200"/>
        <w:rPr>
          <w:rFonts w:hint="eastAsia" w:hAnsi="宋体" w:cs="宋体"/>
          <w:sz w:val="22"/>
          <w:szCs w:val="22"/>
        </w:rPr>
      </w:pPr>
      <w:r>
        <w:rPr>
          <w:rFonts w:hint="eastAsia" w:hAnsi="宋体" w:cs="宋体"/>
          <w:sz w:val="22"/>
          <w:szCs w:val="22"/>
        </w:rPr>
        <w:t>评标委员会认为供应商的报价明显低于其他通过符合性审查供应商的报价，有可能影响产品质量或者不能诚信履约的，将要求其在评标现场合理的时间内提供书面说明，必要时提交相关证明材料；供应商不能证明其报价合理性的，将会作为无效投标处理。</w:t>
      </w:r>
    </w:p>
    <w:p>
      <w:pPr>
        <w:pStyle w:val="24"/>
        <w:adjustRightInd w:val="0"/>
        <w:snapToGrid w:val="0"/>
        <w:spacing w:line="460" w:lineRule="atLeast"/>
        <w:jc w:val="center"/>
        <w:rPr>
          <w:rFonts w:hint="eastAsia" w:hAnsi="宋体" w:cs="宋体"/>
          <w:sz w:val="22"/>
          <w:szCs w:val="22"/>
        </w:rPr>
      </w:pPr>
      <w:r>
        <w:rPr>
          <w:rFonts w:hint="eastAsia" w:hAnsi="宋体" w:cs="宋体"/>
          <w:sz w:val="22"/>
          <w:szCs w:val="22"/>
        </w:rPr>
        <w:t>五、评 审 办 法</w:t>
      </w:r>
    </w:p>
    <w:p>
      <w:pPr>
        <w:pStyle w:val="24"/>
        <w:numPr>
          <w:ilvl w:val="0"/>
          <w:numId w:val="22"/>
        </w:numPr>
        <w:adjustRightInd w:val="0"/>
        <w:snapToGrid w:val="0"/>
        <w:spacing w:line="460" w:lineRule="atLeast"/>
        <w:ind w:firstLine="418" w:firstLineChars="190"/>
        <w:rPr>
          <w:rFonts w:hint="eastAsia" w:hAnsi="宋体" w:cs="宋体"/>
          <w:sz w:val="22"/>
          <w:szCs w:val="22"/>
        </w:rPr>
      </w:pPr>
      <w:r>
        <w:rPr>
          <w:rFonts w:hint="eastAsia" w:hAnsi="宋体" w:cs="宋体"/>
          <w:sz w:val="22"/>
          <w:szCs w:val="22"/>
          <w:u w:val="single"/>
        </w:rPr>
        <w:t>技术、资信、业绩综合评分</w:t>
      </w:r>
      <w:r>
        <w:rPr>
          <w:rFonts w:hint="eastAsia" w:hAnsi="宋体" w:cs="宋体"/>
          <w:sz w:val="22"/>
          <w:szCs w:val="22"/>
        </w:rPr>
        <w:t xml:space="preserve">  70分</w:t>
      </w:r>
    </w:p>
    <w:tbl>
      <w:tblPr>
        <w:tblStyle w:val="43"/>
        <w:tblW w:w="97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5"/>
        <w:gridCol w:w="990"/>
        <w:gridCol w:w="1052"/>
        <w:gridCol w:w="6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765" w:type="dxa"/>
            <w:noWrap w:val="0"/>
            <w:vAlign w:val="center"/>
          </w:tcPr>
          <w:p>
            <w:pPr>
              <w:widowControl/>
              <w:spacing w:line="360" w:lineRule="exact"/>
              <w:jc w:val="center"/>
              <w:rPr>
                <w:rFonts w:hint="eastAsia" w:ascii="宋体" w:hAnsi="宋体" w:eastAsia="宋体" w:cs="宋体"/>
                <w:b/>
                <w:bCs/>
                <w:kern w:val="28"/>
                <w:sz w:val="22"/>
                <w:szCs w:val="22"/>
              </w:rPr>
            </w:pPr>
            <w:r>
              <w:rPr>
                <w:rFonts w:hint="eastAsia" w:ascii="宋体" w:hAnsi="宋体" w:eastAsia="宋体" w:cs="宋体"/>
                <w:b/>
                <w:bCs/>
                <w:kern w:val="28"/>
                <w:sz w:val="22"/>
                <w:szCs w:val="22"/>
              </w:rPr>
              <w:t>序号</w:t>
            </w:r>
          </w:p>
        </w:tc>
        <w:tc>
          <w:tcPr>
            <w:tcW w:w="990" w:type="dxa"/>
            <w:noWrap w:val="0"/>
            <w:vAlign w:val="center"/>
          </w:tcPr>
          <w:p>
            <w:pPr>
              <w:widowControl/>
              <w:spacing w:line="360" w:lineRule="exact"/>
              <w:jc w:val="center"/>
              <w:rPr>
                <w:rFonts w:hint="eastAsia" w:ascii="宋体" w:hAnsi="宋体" w:eastAsia="宋体" w:cs="宋体"/>
                <w:b/>
                <w:bCs/>
                <w:kern w:val="28"/>
                <w:sz w:val="22"/>
                <w:szCs w:val="22"/>
              </w:rPr>
            </w:pPr>
            <w:r>
              <w:rPr>
                <w:rFonts w:hint="eastAsia" w:ascii="宋体" w:hAnsi="宋体" w:eastAsia="宋体" w:cs="宋体"/>
                <w:b/>
                <w:bCs/>
                <w:kern w:val="28"/>
                <w:sz w:val="22"/>
                <w:szCs w:val="22"/>
              </w:rPr>
              <w:t>评分内容</w:t>
            </w:r>
          </w:p>
        </w:tc>
        <w:tc>
          <w:tcPr>
            <w:tcW w:w="1052" w:type="dxa"/>
            <w:noWrap w:val="0"/>
            <w:vAlign w:val="center"/>
          </w:tcPr>
          <w:p>
            <w:pPr>
              <w:widowControl/>
              <w:spacing w:line="360" w:lineRule="exact"/>
              <w:jc w:val="center"/>
              <w:rPr>
                <w:rFonts w:hint="eastAsia" w:ascii="宋体" w:hAnsi="宋体" w:eastAsia="宋体" w:cs="宋体"/>
                <w:b/>
                <w:bCs/>
                <w:kern w:val="28"/>
                <w:sz w:val="22"/>
                <w:szCs w:val="22"/>
              </w:rPr>
            </w:pPr>
            <w:r>
              <w:rPr>
                <w:rFonts w:hint="eastAsia" w:ascii="宋体" w:hAnsi="宋体" w:eastAsia="宋体" w:cs="宋体"/>
                <w:b/>
                <w:bCs/>
                <w:kern w:val="28"/>
                <w:sz w:val="22"/>
                <w:szCs w:val="22"/>
              </w:rPr>
              <w:t>分值</w:t>
            </w:r>
          </w:p>
        </w:tc>
        <w:tc>
          <w:tcPr>
            <w:tcW w:w="6992" w:type="dxa"/>
            <w:noWrap w:val="0"/>
            <w:vAlign w:val="center"/>
          </w:tcPr>
          <w:p>
            <w:pPr>
              <w:widowControl/>
              <w:spacing w:line="360" w:lineRule="exact"/>
              <w:jc w:val="center"/>
              <w:rPr>
                <w:rFonts w:hint="eastAsia" w:ascii="宋体" w:hAnsi="宋体" w:eastAsia="宋体" w:cs="宋体"/>
                <w:b/>
                <w:bCs/>
                <w:kern w:val="28"/>
                <w:sz w:val="22"/>
                <w:szCs w:val="22"/>
              </w:rPr>
            </w:pPr>
            <w:r>
              <w:rPr>
                <w:rFonts w:hint="eastAsia" w:ascii="宋体" w:hAnsi="宋体" w:eastAsia="宋体" w:cs="宋体"/>
                <w:b/>
                <w:bCs/>
                <w:kern w:val="28"/>
                <w:sz w:val="22"/>
                <w:szCs w:val="22"/>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65" w:type="dxa"/>
            <w:noWrap w:val="0"/>
            <w:vAlign w:val="center"/>
          </w:tcPr>
          <w:p>
            <w:pPr>
              <w:widowControl/>
              <w:spacing w:line="360" w:lineRule="exact"/>
              <w:jc w:val="center"/>
              <w:rPr>
                <w:rFonts w:hint="eastAsia" w:ascii="宋体" w:hAnsi="宋体" w:eastAsia="宋体" w:cs="宋体"/>
                <w:bCs/>
                <w:kern w:val="28"/>
                <w:sz w:val="22"/>
                <w:szCs w:val="22"/>
              </w:rPr>
            </w:pPr>
            <w:r>
              <w:rPr>
                <w:rFonts w:hint="eastAsia" w:ascii="宋体" w:hAnsi="宋体" w:eastAsia="宋体" w:cs="宋体"/>
                <w:bCs/>
                <w:kern w:val="28"/>
                <w:sz w:val="22"/>
                <w:szCs w:val="22"/>
              </w:rPr>
              <w:t>1</w:t>
            </w:r>
          </w:p>
        </w:tc>
        <w:tc>
          <w:tcPr>
            <w:tcW w:w="990" w:type="dxa"/>
            <w:noWrap w:val="0"/>
            <w:vAlign w:val="center"/>
          </w:tcPr>
          <w:p>
            <w:pPr>
              <w:widowControl/>
              <w:spacing w:line="360" w:lineRule="exact"/>
              <w:rPr>
                <w:rFonts w:hint="eastAsia" w:ascii="宋体" w:hAnsi="宋体" w:eastAsia="宋体" w:cs="宋体"/>
                <w:bCs/>
                <w:kern w:val="28"/>
                <w:sz w:val="22"/>
                <w:szCs w:val="22"/>
              </w:rPr>
            </w:pPr>
            <w:r>
              <w:rPr>
                <w:rFonts w:hint="eastAsia" w:ascii="宋体" w:hAnsi="宋体" w:eastAsia="宋体" w:cs="宋体"/>
                <w:bCs/>
                <w:kern w:val="28"/>
                <w:sz w:val="22"/>
                <w:szCs w:val="22"/>
              </w:rPr>
              <w:t>供应商资信实力</w:t>
            </w:r>
          </w:p>
        </w:tc>
        <w:tc>
          <w:tcPr>
            <w:tcW w:w="1052" w:type="dxa"/>
            <w:noWrap w:val="0"/>
            <w:vAlign w:val="center"/>
          </w:tcPr>
          <w:p>
            <w:pPr>
              <w:widowControl/>
              <w:spacing w:line="360" w:lineRule="exact"/>
              <w:jc w:val="center"/>
              <w:rPr>
                <w:rFonts w:hint="eastAsia" w:ascii="宋体" w:hAnsi="宋体" w:eastAsia="宋体" w:cs="宋体"/>
                <w:bCs/>
                <w:kern w:val="28"/>
                <w:sz w:val="22"/>
                <w:szCs w:val="22"/>
              </w:rPr>
            </w:pPr>
            <w:r>
              <w:rPr>
                <w:rFonts w:hint="eastAsia" w:ascii="宋体" w:hAnsi="宋体" w:eastAsia="宋体" w:cs="宋体"/>
                <w:bCs/>
                <w:kern w:val="28"/>
                <w:sz w:val="22"/>
                <w:szCs w:val="22"/>
              </w:rPr>
              <w:t>0-6分</w:t>
            </w:r>
          </w:p>
        </w:tc>
        <w:tc>
          <w:tcPr>
            <w:tcW w:w="6992" w:type="dxa"/>
            <w:noWrap w:val="0"/>
            <w:vAlign w:val="center"/>
          </w:tcPr>
          <w:p>
            <w:pPr>
              <w:widowControl/>
              <w:spacing w:line="360" w:lineRule="exact"/>
              <w:jc w:val="left"/>
              <w:rPr>
                <w:rFonts w:hint="eastAsia" w:ascii="宋体" w:hAnsi="宋体" w:eastAsia="宋体" w:cs="宋体"/>
                <w:bCs/>
                <w:kern w:val="28"/>
                <w:sz w:val="22"/>
                <w:szCs w:val="22"/>
              </w:rPr>
            </w:pPr>
            <w:r>
              <w:rPr>
                <w:rFonts w:hint="eastAsia" w:ascii="宋体" w:hAnsi="宋体" w:eastAsia="宋体" w:cs="宋体"/>
                <w:bCs/>
                <w:kern w:val="28"/>
                <w:sz w:val="22"/>
                <w:szCs w:val="22"/>
              </w:rPr>
              <w:t>具有ISO 20000信息技术服务管理体系认证、ISO 27001 信息安全管理体系认证、具有建筑装修装饰工程专业承包贰级及以上资质、具有建筑机电安装工程专业承包叁级及以上资质、具有软件能力成熟度集成模型CMMI3及以上证书、具有信息技术服务运行维护成熟度贰级及以上认证的，每个证书2分，最多得6分；</w:t>
            </w:r>
          </w:p>
          <w:p>
            <w:pPr>
              <w:widowControl/>
              <w:spacing w:line="360" w:lineRule="exact"/>
              <w:jc w:val="left"/>
              <w:rPr>
                <w:rFonts w:hint="eastAsia" w:ascii="宋体" w:hAnsi="宋体" w:eastAsia="宋体" w:cs="宋体"/>
                <w:bCs/>
                <w:kern w:val="28"/>
                <w:sz w:val="22"/>
                <w:szCs w:val="22"/>
              </w:rPr>
            </w:pPr>
            <w:r>
              <w:rPr>
                <w:rFonts w:hint="eastAsia" w:ascii="宋体" w:hAnsi="宋体" w:eastAsia="宋体" w:cs="宋体"/>
                <w:bCs/>
                <w:kern w:val="28"/>
                <w:sz w:val="22"/>
                <w:szCs w:val="22"/>
              </w:rPr>
              <w:t>注：以上证书投标时提供复印件加盖公章，否则不得分。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3" w:hRule="atLeast"/>
          <w:jc w:val="center"/>
        </w:trPr>
        <w:tc>
          <w:tcPr>
            <w:tcW w:w="765" w:type="dxa"/>
            <w:noWrap w:val="0"/>
            <w:vAlign w:val="center"/>
          </w:tcPr>
          <w:p>
            <w:pPr>
              <w:widowControl/>
              <w:jc w:val="center"/>
              <w:rPr>
                <w:rFonts w:hint="eastAsia" w:ascii="宋体" w:hAnsi="宋体" w:eastAsia="宋体" w:cs="宋体"/>
                <w:bCs/>
                <w:kern w:val="28"/>
                <w:sz w:val="22"/>
                <w:szCs w:val="22"/>
              </w:rPr>
            </w:pPr>
            <w:r>
              <w:rPr>
                <w:rFonts w:hint="eastAsia" w:ascii="宋体" w:hAnsi="宋体" w:eastAsia="宋体" w:cs="宋体"/>
                <w:bCs/>
                <w:kern w:val="28"/>
                <w:sz w:val="22"/>
                <w:szCs w:val="22"/>
              </w:rPr>
              <w:t>2</w:t>
            </w:r>
          </w:p>
        </w:tc>
        <w:tc>
          <w:tcPr>
            <w:tcW w:w="990" w:type="dxa"/>
            <w:noWrap w:val="0"/>
            <w:vAlign w:val="center"/>
          </w:tcPr>
          <w:p>
            <w:pPr>
              <w:widowControl/>
              <w:rPr>
                <w:rFonts w:hint="eastAsia" w:ascii="宋体" w:hAnsi="宋体" w:eastAsia="宋体" w:cs="宋体"/>
                <w:kern w:val="0"/>
                <w:sz w:val="22"/>
                <w:szCs w:val="22"/>
              </w:rPr>
            </w:pPr>
            <w:r>
              <w:rPr>
                <w:rFonts w:hint="eastAsia" w:ascii="宋体" w:hAnsi="宋体" w:eastAsia="宋体" w:cs="宋体"/>
                <w:kern w:val="0"/>
                <w:sz w:val="22"/>
                <w:szCs w:val="22"/>
              </w:rPr>
              <w:t>供应商业绩</w:t>
            </w:r>
          </w:p>
        </w:tc>
        <w:tc>
          <w:tcPr>
            <w:tcW w:w="1052" w:type="dxa"/>
            <w:noWrap w:val="0"/>
            <w:vAlign w:val="center"/>
          </w:tcPr>
          <w:p>
            <w:pPr>
              <w:widowControl/>
              <w:jc w:val="center"/>
              <w:rPr>
                <w:rFonts w:hint="eastAsia" w:ascii="宋体" w:hAnsi="宋体" w:eastAsia="宋体" w:cs="宋体"/>
                <w:kern w:val="0"/>
                <w:sz w:val="22"/>
                <w:szCs w:val="22"/>
              </w:rPr>
            </w:pPr>
            <w:r>
              <w:rPr>
                <w:rFonts w:hint="eastAsia" w:ascii="宋体" w:hAnsi="宋体" w:eastAsia="宋体" w:cs="宋体"/>
                <w:kern w:val="0"/>
                <w:sz w:val="22"/>
                <w:szCs w:val="22"/>
              </w:rPr>
              <w:t>0-3分</w:t>
            </w:r>
          </w:p>
        </w:tc>
        <w:tc>
          <w:tcPr>
            <w:tcW w:w="6992" w:type="dxa"/>
            <w:noWrap w:val="0"/>
            <w:vAlign w:val="center"/>
          </w:tcPr>
          <w:p>
            <w:pPr>
              <w:widowControl/>
              <w:adjustRightInd w:val="0"/>
              <w:snapToGrid w:val="0"/>
              <w:spacing w:line="360" w:lineRule="exact"/>
              <w:jc w:val="left"/>
              <w:rPr>
                <w:rFonts w:hint="eastAsia" w:ascii="宋体" w:hAnsi="宋体" w:eastAsia="宋体" w:cs="宋体"/>
                <w:kern w:val="0"/>
                <w:sz w:val="22"/>
                <w:szCs w:val="22"/>
                <w:lang w:val="zh-CN"/>
              </w:rPr>
            </w:pPr>
            <w:r>
              <w:rPr>
                <w:rFonts w:hint="eastAsia" w:ascii="宋体" w:hAnsi="宋体" w:eastAsia="宋体" w:cs="宋体"/>
                <w:kern w:val="0"/>
                <w:sz w:val="22"/>
                <w:szCs w:val="22"/>
                <w:lang w:val="zh-CN"/>
              </w:rPr>
              <w:t>供应商自201</w:t>
            </w:r>
            <w:r>
              <w:rPr>
                <w:rFonts w:hint="eastAsia" w:ascii="宋体" w:hAnsi="宋体" w:eastAsia="宋体" w:cs="宋体"/>
                <w:kern w:val="0"/>
                <w:sz w:val="22"/>
                <w:szCs w:val="22"/>
              </w:rPr>
              <w:t>7</w:t>
            </w:r>
            <w:r>
              <w:rPr>
                <w:rFonts w:hint="eastAsia" w:ascii="宋体" w:hAnsi="宋体" w:eastAsia="宋体" w:cs="宋体"/>
                <w:kern w:val="0"/>
                <w:sz w:val="22"/>
                <w:szCs w:val="22"/>
                <w:lang w:val="zh-CN"/>
              </w:rPr>
              <w:t>年</w:t>
            </w:r>
            <w:r>
              <w:rPr>
                <w:rFonts w:hint="eastAsia" w:ascii="宋体" w:hAnsi="宋体" w:eastAsia="宋体" w:cs="宋体"/>
                <w:kern w:val="0"/>
                <w:sz w:val="22"/>
                <w:szCs w:val="22"/>
              </w:rPr>
              <w:t>1</w:t>
            </w:r>
            <w:r>
              <w:rPr>
                <w:rFonts w:hint="eastAsia" w:ascii="宋体" w:hAnsi="宋体" w:eastAsia="宋体" w:cs="宋体"/>
                <w:kern w:val="0"/>
                <w:sz w:val="22"/>
                <w:szCs w:val="22"/>
                <w:lang w:val="zh-CN"/>
              </w:rPr>
              <w:t>月以来签订</w:t>
            </w:r>
            <w:r>
              <w:rPr>
                <w:rFonts w:hint="eastAsia" w:ascii="宋体" w:hAnsi="宋体" w:eastAsia="宋体" w:cs="宋体"/>
                <w:kern w:val="0"/>
                <w:sz w:val="22"/>
                <w:szCs w:val="22"/>
              </w:rPr>
              <w:t>的同类</w:t>
            </w:r>
            <w:r>
              <w:rPr>
                <w:rFonts w:hint="eastAsia" w:ascii="宋体" w:hAnsi="宋体" w:eastAsia="宋体" w:cs="宋体"/>
                <w:kern w:val="0"/>
                <w:sz w:val="22"/>
                <w:szCs w:val="22"/>
                <w:lang w:val="zh-CN"/>
              </w:rPr>
              <w:t>业绩每提供一个得</w:t>
            </w:r>
            <w:r>
              <w:rPr>
                <w:rFonts w:hint="eastAsia" w:ascii="宋体" w:hAnsi="宋体" w:eastAsia="宋体" w:cs="宋体"/>
                <w:kern w:val="0"/>
                <w:sz w:val="22"/>
                <w:szCs w:val="22"/>
              </w:rPr>
              <w:t>1分</w:t>
            </w:r>
            <w:r>
              <w:rPr>
                <w:rFonts w:hint="eastAsia" w:ascii="宋体" w:hAnsi="宋体" w:eastAsia="宋体" w:cs="宋体"/>
                <w:kern w:val="0"/>
                <w:sz w:val="22"/>
                <w:szCs w:val="22"/>
                <w:lang w:val="zh-CN"/>
              </w:rPr>
              <w:t>，最高得</w:t>
            </w:r>
            <w:r>
              <w:rPr>
                <w:rFonts w:hint="eastAsia" w:ascii="宋体" w:hAnsi="宋体" w:eastAsia="宋体" w:cs="宋体"/>
                <w:kern w:val="0"/>
                <w:sz w:val="22"/>
                <w:szCs w:val="22"/>
              </w:rPr>
              <w:t>3</w:t>
            </w:r>
            <w:r>
              <w:rPr>
                <w:rFonts w:hint="eastAsia" w:ascii="宋体" w:hAnsi="宋体" w:eastAsia="宋体" w:cs="宋体"/>
                <w:kern w:val="0"/>
                <w:sz w:val="22"/>
                <w:szCs w:val="22"/>
                <w:lang w:val="zh-CN"/>
              </w:rPr>
              <w:t>分。</w:t>
            </w:r>
          </w:p>
          <w:p>
            <w:pPr>
              <w:widowControl/>
              <w:spacing w:line="360" w:lineRule="exact"/>
              <w:jc w:val="left"/>
              <w:rPr>
                <w:rFonts w:hint="eastAsia" w:ascii="宋体" w:hAnsi="宋体" w:eastAsia="宋体" w:cs="宋体"/>
                <w:kern w:val="0"/>
                <w:sz w:val="22"/>
                <w:szCs w:val="22"/>
              </w:rPr>
            </w:pPr>
            <w:r>
              <w:rPr>
                <w:rFonts w:hint="eastAsia" w:ascii="宋体" w:hAnsi="宋体" w:eastAsia="宋体" w:cs="宋体"/>
                <w:kern w:val="0"/>
                <w:sz w:val="22"/>
                <w:szCs w:val="22"/>
                <w:lang w:val="zh-CN"/>
              </w:rPr>
              <w:t>注：以合同时间为准，提供合同扫描件并加盖供应商公章，否则不得分。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765" w:type="dxa"/>
            <w:noWrap w:val="0"/>
            <w:vAlign w:val="center"/>
          </w:tcPr>
          <w:p>
            <w:pPr>
              <w:widowControl/>
              <w:jc w:val="center"/>
              <w:rPr>
                <w:rFonts w:hint="eastAsia" w:ascii="宋体" w:hAnsi="宋体" w:eastAsia="宋体" w:cs="宋体"/>
                <w:bCs/>
                <w:kern w:val="28"/>
                <w:sz w:val="22"/>
                <w:szCs w:val="22"/>
              </w:rPr>
            </w:pPr>
            <w:r>
              <w:rPr>
                <w:rFonts w:hint="eastAsia" w:ascii="宋体" w:hAnsi="宋体" w:eastAsia="宋体" w:cs="宋体"/>
                <w:bCs/>
                <w:kern w:val="28"/>
                <w:sz w:val="22"/>
                <w:szCs w:val="22"/>
              </w:rPr>
              <w:t>3</w:t>
            </w:r>
          </w:p>
        </w:tc>
        <w:tc>
          <w:tcPr>
            <w:tcW w:w="990" w:type="dxa"/>
            <w:noWrap w:val="0"/>
            <w:vAlign w:val="center"/>
          </w:tcPr>
          <w:p>
            <w:pPr>
              <w:widowControl/>
              <w:spacing w:line="360" w:lineRule="exact"/>
              <w:ind w:left="-50"/>
              <w:rPr>
                <w:rFonts w:hint="eastAsia" w:ascii="宋体" w:hAnsi="宋体" w:eastAsia="宋体" w:cs="宋体"/>
                <w:kern w:val="0"/>
                <w:sz w:val="22"/>
                <w:szCs w:val="22"/>
              </w:rPr>
            </w:pPr>
            <w:r>
              <w:rPr>
                <w:rFonts w:hint="eastAsia" w:ascii="宋体" w:hAnsi="宋体" w:eastAsia="宋体" w:cs="宋体"/>
                <w:spacing w:val="-6"/>
                <w:kern w:val="0"/>
                <w:sz w:val="22"/>
                <w:szCs w:val="22"/>
              </w:rPr>
              <w:t>投标产品指标</w:t>
            </w:r>
          </w:p>
        </w:tc>
        <w:tc>
          <w:tcPr>
            <w:tcW w:w="1052" w:type="dxa"/>
            <w:noWrap w:val="0"/>
            <w:vAlign w:val="center"/>
          </w:tcPr>
          <w:p>
            <w:pPr>
              <w:widowControl/>
              <w:jc w:val="center"/>
              <w:rPr>
                <w:rFonts w:hint="eastAsia" w:ascii="宋体" w:hAnsi="宋体" w:eastAsia="宋体" w:cs="宋体"/>
                <w:kern w:val="0"/>
                <w:sz w:val="22"/>
                <w:szCs w:val="22"/>
              </w:rPr>
            </w:pPr>
            <w:r>
              <w:rPr>
                <w:rFonts w:hint="eastAsia" w:ascii="宋体" w:hAnsi="宋体" w:eastAsia="宋体" w:cs="宋体"/>
                <w:kern w:val="0"/>
                <w:sz w:val="22"/>
                <w:szCs w:val="22"/>
              </w:rPr>
              <w:t>0-24分</w:t>
            </w:r>
          </w:p>
        </w:tc>
        <w:tc>
          <w:tcPr>
            <w:tcW w:w="6992" w:type="dxa"/>
            <w:noWrap w:val="0"/>
            <w:vAlign w:val="center"/>
          </w:tcPr>
          <w:p>
            <w:pPr>
              <w:widowControl/>
              <w:numPr>
                <w:ilvl w:val="0"/>
                <w:numId w:val="23"/>
              </w:numPr>
              <w:tabs>
                <w:tab w:val="left" w:pos="349"/>
              </w:tabs>
              <w:spacing w:line="360" w:lineRule="exact"/>
              <w:jc w:val="left"/>
              <w:rPr>
                <w:rFonts w:hint="eastAsia" w:ascii="宋体" w:hAnsi="宋体" w:eastAsia="宋体" w:cs="宋体"/>
                <w:spacing w:val="-6"/>
                <w:kern w:val="0"/>
                <w:sz w:val="22"/>
                <w:szCs w:val="22"/>
              </w:rPr>
            </w:pPr>
            <w:r>
              <w:rPr>
                <w:rFonts w:hint="eastAsia" w:ascii="宋体" w:hAnsi="宋体" w:eastAsia="宋体" w:cs="宋体"/>
                <w:spacing w:val="-6"/>
                <w:kern w:val="0"/>
                <w:sz w:val="22"/>
                <w:szCs w:val="22"/>
              </w:rPr>
              <w:t>投标产品全部满足招标文件明确的功能、性能和技术指标要求，完全满足得24分。</w:t>
            </w:r>
            <w:r>
              <w:rPr>
                <w:rFonts w:hint="eastAsia" w:ascii="宋体" w:hAnsi="宋体" w:eastAsia="宋体" w:cs="宋体"/>
                <w:kern w:val="0"/>
                <w:sz w:val="22"/>
                <w:szCs w:val="22"/>
              </w:rPr>
              <w:t>技术指标参数标“★”每负偏离一项，扣3分技术指标参数非标“★”每负偏离一项，扣1分，扣完为止</w:t>
            </w:r>
            <w:r>
              <w:rPr>
                <w:rFonts w:hint="eastAsia" w:ascii="宋体" w:hAnsi="宋体" w:eastAsia="宋体" w:cs="宋体"/>
                <w:spacing w:val="-6"/>
                <w:kern w:val="0"/>
                <w:sz w:val="22"/>
                <w:szCs w:val="2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1" w:hRule="atLeast"/>
          <w:jc w:val="center"/>
        </w:trPr>
        <w:tc>
          <w:tcPr>
            <w:tcW w:w="765" w:type="dxa"/>
            <w:noWrap w:val="0"/>
            <w:vAlign w:val="center"/>
          </w:tcPr>
          <w:p>
            <w:pPr>
              <w:widowControl/>
              <w:jc w:val="center"/>
              <w:rPr>
                <w:rFonts w:hint="eastAsia" w:ascii="宋体" w:hAnsi="宋体" w:eastAsia="宋体" w:cs="宋体"/>
                <w:bCs/>
                <w:kern w:val="28"/>
                <w:sz w:val="22"/>
                <w:szCs w:val="22"/>
              </w:rPr>
            </w:pPr>
            <w:r>
              <w:rPr>
                <w:rFonts w:hint="eastAsia" w:ascii="宋体" w:hAnsi="宋体" w:eastAsia="宋体" w:cs="宋体"/>
                <w:bCs/>
                <w:kern w:val="28"/>
                <w:sz w:val="22"/>
                <w:szCs w:val="22"/>
              </w:rPr>
              <w:t>4</w:t>
            </w:r>
          </w:p>
        </w:tc>
        <w:tc>
          <w:tcPr>
            <w:tcW w:w="990" w:type="dxa"/>
            <w:noWrap w:val="0"/>
            <w:vAlign w:val="center"/>
          </w:tcPr>
          <w:p>
            <w:pPr>
              <w:widowControl/>
              <w:spacing w:line="360" w:lineRule="exact"/>
              <w:ind w:left="-50"/>
              <w:rPr>
                <w:rFonts w:hint="eastAsia" w:ascii="宋体" w:hAnsi="宋体" w:eastAsia="宋体" w:cs="宋体"/>
                <w:spacing w:val="-6"/>
                <w:kern w:val="0"/>
                <w:sz w:val="22"/>
                <w:szCs w:val="22"/>
              </w:rPr>
            </w:pPr>
            <w:r>
              <w:rPr>
                <w:rFonts w:hint="eastAsia" w:ascii="宋体" w:hAnsi="宋体" w:eastAsia="宋体" w:cs="宋体"/>
                <w:spacing w:val="-6"/>
                <w:kern w:val="0"/>
                <w:sz w:val="22"/>
                <w:szCs w:val="22"/>
              </w:rPr>
              <w:t>实施方案</w:t>
            </w:r>
          </w:p>
        </w:tc>
        <w:tc>
          <w:tcPr>
            <w:tcW w:w="1052" w:type="dxa"/>
            <w:noWrap w:val="0"/>
            <w:vAlign w:val="center"/>
          </w:tcPr>
          <w:p>
            <w:pPr>
              <w:pStyle w:val="2"/>
              <w:spacing w:line="360" w:lineRule="exact"/>
              <w:jc w:val="left"/>
              <w:rPr>
                <w:rFonts w:hint="eastAsia" w:ascii="宋体" w:hAnsi="宋体" w:eastAsia="宋体" w:cs="宋体"/>
                <w:bCs w:val="0"/>
                <w:kern w:val="0"/>
                <w:sz w:val="22"/>
                <w:szCs w:val="22"/>
              </w:rPr>
            </w:pPr>
            <w:r>
              <w:rPr>
                <w:rFonts w:hint="eastAsia" w:ascii="宋体" w:hAnsi="宋体" w:eastAsia="宋体" w:cs="宋体"/>
                <w:bCs w:val="0"/>
                <w:kern w:val="0"/>
                <w:sz w:val="22"/>
                <w:szCs w:val="22"/>
              </w:rPr>
              <w:t>0-17分</w:t>
            </w:r>
          </w:p>
        </w:tc>
        <w:tc>
          <w:tcPr>
            <w:tcW w:w="6992" w:type="dxa"/>
            <w:noWrap w:val="0"/>
            <w:vAlign w:val="top"/>
          </w:tcPr>
          <w:p>
            <w:pPr>
              <w:pStyle w:val="2"/>
              <w:spacing w:line="360" w:lineRule="exact"/>
              <w:jc w:val="left"/>
              <w:rPr>
                <w:rFonts w:hint="eastAsia" w:ascii="宋体" w:hAnsi="宋体" w:eastAsia="宋体" w:cs="宋体"/>
                <w:bCs w:val="0"/>
                <w:kern w:val="0"/>
                <w:sz w:val="22"/>
                <w:szCs w:val="22"/>
              </w:rPr>
            </w:pPr>
            <w:r>
              <w:rPr>
                <w:rFonts w:hint="eastAsia" w:ascii="宋体" w:hAnsi="宋体" w:eastAsia="宋体" w:cs="宋体"/>
                <w:bCs w:val="0"/>
                <w:kern w:val="0"/>
                <w:sz w:val="22"/>
                <w:szCs w:val="22"/>
              </w:rPr>
              <w:t>对项目现状及需求、定位理解程度，总体方案的完备性、合理性进行综合评价。（0-3分）</w:t>
            </w:r>
          </w:p>
          <w:p>
            <w:pPr>
              <w:pStyle w:val="2"/>
              <w:spacing w:line="360" w:lineRule="exact"/>
              <w:jc w:val="left"/>
              <w:rPr>
                <w:rFonts w:hint="eastAsia" w:ascii="宋体" w:hAnsi="宋体" w:eastAsia="宋体" w:cs="宋体"/>
                <w:bCs w:val="0"/>
                <w:kern w:val="0"/>
                <w:sz w:val="22"/>
                <w:szCs w:val="22"/>
              </w:rPr>
            </w:pPr>
            <w:r>
              <w:rPr>
                <w:rFonts w:hint="eastAsia" w:ascii="宋体" w:hAnsi="宋体" w:eastAsia="宋体" w:cs="宋体"/>
                <w:bCs w:val="0"/>
                <w:kern w:val="0"/>
                <w:sz w:val="22"/>
                <w:szCs w:val="22"/>
              </w:rPr>
              <w:t>项目实施方案的科学性、合理性、规范性、针对性、可操作性等，有详尽合理的实施计划安排、测试与验收计划、质量保证计划和标准。（0-3分）</w:t>
            </w:r>
          </w:p>
          <w:p>
            <w:pPr>
              <w:pStyle w:val="2"/>
              <w:spacing w:line="360" w:lineRule="exact"/>
              <w:jc w:val="left"/>
              <w:rPr>
                <w:rFonts w:hint="eastAsia" w:ascii="宋体" w:hAnsi="宋体" w:eastAsia="宋体" w:cs="宋体"/>
                <w:bCs w:val="0"/>
                <w:kern w:val="0"/>
                <w:sz w:val="22"/>
                <w:szCs w:val="22"/>
              </w:rPr>
            </w:pPr>
            <w:r>
              <w:rPr>
                <w:rFonts w:hint="eastAsia" w:ascii="宋体" w:hAnsi="宋体" w:eastAsia="宋体" w:cs="宋体"/>
                <w:bCs w:val="0"/>
                <w:kern w:val="0"/>
                <w:sz w:val="22"/>
                <w:szCs w:val="22"/>
              </w:rPr>
              <w:t>3、根据投标人现场勘测充分、能有效梳理场地现有情况、系统、硬件等情况。（0-3分）</w:t>
            </w:r>
          </w:p>
          <w:p>
            <w:pPr>
              <w:pStyle w:val="2"/>
              <w:spacing w:line="360" w:lineRule="exact"/>
              <w:jc w:val="left"/>
              <w:rPr>
                <w:rFonts w:hint="eastAsia" w:ascii="宋体" w:hAnsi="宋体" w:eastAsia="宋体" w:cs="宋体"/>
                <w:bCs w:val="0"/>
                <w:kern w:val="0"/>
                <w:sz w:val="22"/>
                <w:szCs w:val="22"/>
              </w:rPr>
            </w:pPr>
            <w:r>
              <w:rPr>
                <w:rFonts w:hint="eastAsia" w:ascii="宋体" w:hAnsi="宋体" w:eastAsia="宋体" w:cs="宋体"/>
                <w:bCs w:val="0"/>
                <w:kern w:val="0"/>
                <w:sz w:val="22"/>
                <w:szCs w:val="22"/>
              </w:rPr>
              <w:t>4、根据投标人提供的平面设计图、效果图，综合评分。（0-3分）</w:t>
            </w:r>
          </w:p>
          <w:p>
            <w:pPr>
              <w:pStyle w:val="2"/>
              <w:spacing w:line="360" w:lineRule="exact"/>
              <w:jc w:val="left"/>
              <w:rPr>
                <w:rFonts w:hint="eastAsia" w:ascii="宋体" w:hAnsi="宋体" w:eastAsia="宋体" w:cs="宋体"/>
                <w:bCs w:val="0"/>
                <w:kern w:val="0"/>
                <w:sz w:val="22"/>
                <w:szCs w:val="22"/>
              </w:rPr>
            </w:pPr>
            <w:r>
              <w:rPr>
                <w:rFonts w:hint="eastAsia" w:ascii="宋体" w:hAnsi="宋体" w:eastAsia="宋体" w:cs="宋体"/>
                <w:bCs w:val="0"/>
                <w:kern w:val="0"/>
                <w:sz w:val="22"/>
                <w:szCs w:val="22"/>
              </w:rPr>
              <w:t>5、加固实施方案及团队人员介绍情况，综合评分。（0-2分）</w:t>
            </w:r>
          </w:p>
          <w:p>
            <w:pPr>
              <w:pStyle w:val="2"/>
              <w:spacing w:line="360" w:lineRule="exact"/>
              <w:jc w:val="left"/>
              <w:rPr>
                <w:rFonts w:hint="eastAsia" w:ascii="宋体" w:hAnsi="宋体" w:eastAsia="宋体" w:cs="宋体"/>
                <w:bCs w:val="0"/>
                <w:kern w:val="0"/>
                <w:sz w:val="22"/>
                <w:szCs w:val="22"/>
              </w:rPr>
            </w:pPr>
            <w:r>
              <w:rPr>
                <w:rFonts w:hint="eastAsia" w:ascii="宋体" w:hAnsi="宋体" w:eastAsia="宋体" w:cs="宋体"/>
                <w:bCs w:val="0"/>
                <w:kern w:val="0"/>
                <w:sz w:val="22"/>
                <w:szCs w:val="22"/>
              </w:rPr>
              <w:t>6、针对机房搬迁方案介绍情况（公安主要业务7*24小时不中断搬迁），综合评分。（0-3分）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7" w:hRule="atLeast"/>
          <w:jc w:val="center"/>
        </w:trPr>
        <w:tc>
          <w:tcPr>
            <w:tcW w:w="765" w:type="dxa"/>
            <w:noWrap w:val="0"/>
            <w:vAlign w:val="center"/>
          </w:tcPr>
          <w:p>
            <w:pPr>
              <w:widowControl/>
              <w:jc w:val="center"/>
              <w:rPr>
                <w:rFonts w:hint="eastAsia" w:ascii="宋体" w:hAnsi="宋体" w:eastAsia="宋体" w:cs="宋体"/>
                <w:bCs/>
                <w:kern w:val="28"/>
                <w:sz w:val="22"/>
                <w:szCs w:val="22"/>
              </w:rPr>
            </w:pPr>
            <w:r>
              <w:rPr>
                <w:rFonts w:hint="eastAsia" w:ascii="宋体" w:hAnsi="宋体" w:eastAsia="宋体" w:cs="宋体"/>
                <w:bCs/>
                <w:kern w:val="28"/>
                <w:sz w:val="22"/>
                <w:szCs w:val="22"/>
              </w:rPr>
              <w:t>5</w:t>
            </w:r>
          </w:p>
        </w:tc>
        <w:tc>
          <w:tcPr>
            <w:tcW w:w="990" w:type="dxa"/>
            <w:noWrap w:val="0"/>
            <w:vAlign w:val="center"/>
          </w:tcPr>
          <w:p>
            <w:pPr>
              <w:widowControl/>
              <w:spacing w:line="360" w:lineRule="exact"/>
              <w:rPr>
                <w:rFonts w:hint="eastAsia" w:ascii="宋体" w:hAnsi="宋体" w:eastAsia="宋体" w:cs="宋体"/>
                <w:bCs/>
                <w:kern w:val="28"/>
                <w:sz w:val="22"/>
                <w:szCs w:val="22"/>
              </w:rPr>
            </w:pPr>
            <w:r>
              <w:rPr>
                <w:rFonts w:hint="eastAsia" w:ascii="宋体" w:hAnsi="宋体" w:eastAsia="宋体" w:cs="宋体"/>
                <w:bCs/>
                <w:kern w:val="28"/>
                <w:sz w:val="22"/>
                <w:szCs w:val="22"/>
              </w:rPr>
              <w:t>技术团队</w:t>
            </w:r>
          </w:p>
        </w:tc>
        <w:tc>
          <w:tcPr>
            <w:tcW w:w="1052" w:type="dxa"/>
            <w:noWrap w:val="0"/>
            <w:vAlign w:val="center"/>
          </w:tcPr>
          <w:p>
            <w:pPr>
              <w:widowControl/>
              <w:spacing w:line="360" w:lineRule="exact"/>
              <w:jc w:val="center"/>
              <w:rPr>
                <w:rFonts w:hint="eastAsia" w:ascii="宋体" w:hAnsi="宋体" w:eastAsia="宋体" w:cs="宋体"/>
                <w:bCs/>
                <w:kern w:val="28"/>
                <w:sz w:val="22"/>
                <w:szCs w:val="22"/>
              </w:rPr>
            </w:pPr>
            <w:r>
              <w:rPr>
                <w:rFonts w:hint="eastAsia" w:ascii="宋体" w:hAnsi="宋体" w:eastAsia="宋体" w:cs="宋体"/>
                <w:bCs/>
                <w:kern w:val="28"/>
                <w:sz w:val="22"/>
                <w:szCs w:val="22"/>
              </w:rPr>
              <w:t>0-8分</w:t>
            </w:r>
          </w:p>
        </w:tc>
        <w:tc>
          <w:tcPr>
            <w:tcW w:w="6992" w:type="dxa"/>
            <w:noWrap w:val="0"/>
            <w:vAlign w:val="center"/>
          </w:tcPr>
          <w:p>
            <w:pPr>
              <w:widowControl/>
              <w:spacing w:line="360" w:lineRule="exact"/>
              <w:jc w:val="left"/>
              <w:rPr>
                <w:rFonts w:hint="eastAsia" w:ascii="宋体" w:hAnsi="宋体" w:eastAsia="宋体" w:cs="宋体"/>
                <w:sz w:val="22"/>
                <w:szCs w:val="22"/>
              </w:rPr>
            </w:pPr>
            <w:r>
              <w:rPr>
                <w:rFonts w:hint="eastAsia" w:ascii="宋体" w:hAnsi="宋体" w:eastAsia="宋体" w:cs="宋体"/>
                <w:sz w:val="22"/>
                <w:szCs w:val="22"/>
              </w:rPr>
              <w:t>1、担任本项目的项目负责人具有其中2项证书得1分（信息系统集成高级项目经理证书、“机电专业”注册建造师证书、信息技术或建筑类高级工程师证书）。</w:t>
            </w:r>
          </w:p>
          <w:p>
            <w:pPr>
              <w:widowControl/>
              <w:spacing w:line="360" w:lineRule="exact"/>
              <w:jc w:val="left"/>
              <w:rPr>
                <w:rFonts w:hint="eastAsia" w:ascii="宋体" w:hAnsi="宋体" w:eastAsia="宋体" w:cs="宋体"/>
                <w:sz w:val="22"/>
                <w:szCs w:val="22"/>
              </w:rPr>
            </w:pPr>
            <w:r>
              <w:rPr>
                <w:rFonts w:hint="eastAsia" w:ascii="宋体" w:hAnsi="宋体" w:eastAsia="宋体" w:cs="宋体"/>
                <w:sz w:val="22"/>
                <w:szCs w:val="22"/>
              </w:rPr>
              <w:t>（须提供投标单位2020年1月以后连续缴纳3个月社保的社保部门在保证明及相关证件）</w:t>
            </w:r>
          </w:p>
          <w:p>
            <w:pPr>
              <w:widowControl/>
              <w:numPr>
                <w:ilvl w:val="0"/>
                <w:numId w:val="23"/>
              </w:numPr>
              <w:spacing w:line="360" w:lineRule="exact"/>
              <w:jc w:val="left"/>
              <w:rPr>
                <w:rFonts w:hint="eastAsia" w:ascii="宋体" w:hAnsi="宋体" w:eastAsia="宋体" w:cs="宋体"/>
                <w:sz w:val="22"/>
                <w:szCs w:val="22"/>
              </w:rPr>
            </w:pPr>
            <w:r>
              <w:rPr>
                <w:rFonts w:hint="eastAsia" w:ascii="宋体" w:hAnsi="宋体" w:eastAsia="宋体" w:cs="宋体"/>
                <w:sz w:val="22"/>
                <w:szCs w:val="22"/>
              </w:rPr>
              <w:t>担任本项目的技术负责人具有其中1项证书得1分（信息系统集成高级项目经理证书、信息技术或建筑类高级工程师证书）。</w:t>
            </w:r>
          </w:p>
          <w:p>
            <w:pPr>
              <w:widowControl/>
              <w:spacing w:line="360" w:lineRule="exact"/>
              <w:jc w:val="left"/>
              <w:rPr>
                <w:rFonts w:hint="eastAsia" w:ascii="宋体" w:hAnsi="宋体" w:eastAsia="宋体" w:cs="宋体"/>
                <w:sz w:val="22"/>
                <w:szCs w:val="22"/>
              </w:rPr>
            </w:pPr>
            <w:r>
              <w:rPr>
                <w:rFonts w:hint="eastAsia" w:ascii="宋体" w:hAnsi="宋体" w:eastAsia="宋体" w:cs="宋体"/>
                <w:sz w:val="22"/>
                <w:szCs w:val="22"/>
              </w:rPr>
              <w:t>（须提供投标单位2020年1月以后连续缴纳3个月社保的社保部门在保证明及相关证件）</w:t>
            </w:r>
          </w:p>
          <w:p>
            <w:pPr>
              <w:widowControl/>
              <w:spacing w:line="360" w:lineRule="exact"/>
              <w:jc w:val="left"/>
              <w:rPr>
                <w:rFonts w:hint="eastAsia" w:ascii="宋体" w:hAnsi="宋体" w:eastAsia="宋体" w:cs="宋体"/>
                <w:sz w:val="22"/>
                <w:szCs w:val="22"/>
              </w:rPr>
            </w:pPr>
            <w:r>
              <w:rPr>
                <w:rFonts w:hint="eastAsia" w:ascii="宋体" w:hAnsi="宋体" w:eastAsia="宋体" w:cs="宋体"/>
                <w:sz w:val="22"/>
                <w:szCs w:val="22"/>
              </w:rPr>
              <w:t>3、装修团队人员情况的学历、数量、职称、证书等情况总体进行综合评价对比打分团队人员实力最优的得2分，团队实力一般的得1分，团队实力较差的得0.5分。</w:t>
            </w:r>
          </w:p>
          <w:p>
            <w:pPr>
              <w:widowControl/>
              <w:spacing w:line="360" w:lineRule="exact"/>
              <w:jc w:val="left"/>
              <w:rPr>
                <w:rFonts w:hint="eastAsia" w:ascii="宋体" w:hAnsi="宋体" w:eastAsia="宋体" w:cs="宋体"/>
                <w:sz w:val="22"/>
                <w:szCs w:val="22"/>
              </w:rPr>
            </w:pPr>
            <w:r>
              <w:rPr>
                <w:rFonts w:hint="eastAsia" w:ascii="宋体" w:hAnsi="宋体" w:eastAsia="宋体" w:cs="宋体"/>
                <w:sz w:val="22"/>
                <w:szCs w:val="22"/>
              </w:rPr>
              <w:t>4、明确承诺100%无安全文明生产事故的得2分，其余不得分。</w:t>
            </w:r>
          </w:p>
          <w:p>
            <w:pPr>
              <w:widowControl/>
              <w:spacing w:line="360" w:lineRule="exact"/>
              <w:jc w:val="left"/>
              <w:rPr>
                <w:rFonts w:hint="eastAsia" w:ascii="宋体" w:hAnsi="宋体" w:eastAsia="宋体" w:cs="宋体"/>
                <w:sz w:val="22"/>
                <w:szCs w:val="22"/>
              </w:rPr>
            </w:pPr>
            <w:r>
              <w:rPr>
                <w:rFonts w:hint="eastAsia" w:ascii="宋体" w:hAnsi="宋体" w:eastAsia="宋体" w:cs="宋体"/>
                <w:sz w:val="22"/>
                <w:szCs w:val="22"/>
              </w:rPr>
              <w:t>5、服务团队具有IT服务项目经理或IT服务工程师证书，有一个得1分，最高得分为2分。</w:t>
            </w:r>
          </w:p>
          <w:p>
            <w:pPr>
              <w:widowControl/>
              <w:spacing w:line="360" w:lineRule="exact"/>
              <w:jc w:val="left"/>
              <w:rPr>
                <w:rFonts w:hint="eastAsia" w:ascii="宋体" w:hAnsi="宋体" w:eastAsia="宋体" w:cs="宋体"/>
                <w:sz w:val="22"/>
                <w:szCs w:val="22"/>
              </w:rPr>
            </w:pPr>
            <w:r>
              <w:rPr>
                <w:rFonts w:hint="eastAsia" w:ascii="宋体" w:hAnsi="宋体" w:eastAsia="宋体" w:cs="宋体"/>
                <w:sz w:val="22"/>
                <w:szCs w:val="22"/>
              </w:rPr>
              <w:t>（须提供投标单位2020年1月以后连续缴纳3个月社保的社保部门在保证明及相关证件）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4" w:hRule="atLeast"/>
          <w:jc w:val="center"/>
        </w:trPr>
        <w:tc>
          <w:tcPr>
            <w:tcW w:w="765" w:type="dxa"/>
            <w:noWrap w:val="0"/>
            <w:vAlign w:val="center"/>
          </w:tcPr>
          <w:p>
            <w:pPr>
              <w:widowControl/>
              <w:jc w:val="center"/>
              <w:rPr>
                <w:rFonts w:hint="eastAsia" w:ascii="宋体" w:hAnsi="宋体" w:eastAsia="宋体" w:cs="宋体"/>
                <w:bCs/>
                <w:kern w:val="28"/>
                <w:sz w:val="22"/>
                <w:szCs w:val="22"/>
              </w:rPr>
            </w:pPr>
            <w:r>
              <w:rPr>
                <w:rFonts w:hint="eastAsia" w:ascii="宋体" w:hAnsi="宋体" w:eastAsia="宋体" w:cs="宋体"/>
                <w:bCs/>
                <w:kern w:val="28"/>
                <w:sz w:val="22"/>
                <w:szCs w:val="22"/>
              </w:rPr>
              <w:t>6</w:t>
            </w:r>
          </w:p>
        </w:tc>
        <w:tc>
          <w:tcPr>
            <w:tcW w:w="990" w:type="dxa"/>
            <w:noWrap w:val="0"/>
            <w:vAlign w:val="center"/>
          </w:tcPr>
          <w:p>
            <w:pPr>
              <w:widowControl/>
              <w:spacing w:line="360" w:lineRule="exact"/>
              <w:rPr>
                <w:rFonts w:hint="eastAsia" w:ascii="宋体" w:hAnsi="宋体" w:eastAsia="宋体" w:cs="宋体"/>
                <w:bCs/>
                <w:kern w:val="28"/>
                <w:sz w:val="22"/>
                <w:szCs w:val="22"/>
              </w:rPr>
            </w:pPr>
            <w:r>
              <w:rPr>
                <w:rFonts w:hint="eastAsia" w:ascii="宋体" w:hAnsi="宋体" w:eastAsia="宋体" w:cs="宋体"/>
                <w:bCs/>
                <w:kern w:val="28"/>
                <w:sz w:val="22"/>
                <w:szCs w:val="22"/>
              </w:rPr>
              <w:t>售后服务及承诺</w:t>
            </w:r>
          </w:p>
        </w:tc>
        <w:tc>
          <w:tcPr>
            <w:tcW w:w="1052" w:type="dxa"/>
            <w:noWrap w:val="0"/>
            <w:vAlign w:val="center"/>
          </w:tcPr>
          <w:p>
            <w:pPr>
              <w:widowControl/>
              <w:spacing w:line="360" w:lineRule="exact"/>
              <w:jc w:val="center"/>
              <w:rPr>
                <w:rFonts w:hint="eastAsia" w:ascii="宋体" w:hAnsi="宋体" w:eastAsia="宋体" w:cs="宋体"/>
                <w:bCs/>
                <w:kern w:val="28"/>
                <w:sz w:val="22"/>
                <w:szCs w:val="22"/>
              </w:rPr>
            </w:pPr>
            <w:r>
              <w:rPr>
                <w:rFonts w:hint="eastAsia" w:ascii="宋体" w:hAnsi="宋体" w:eastAsia="宋体" w:cs="宋体"/>
                <w:bCs/>
                <w:kern w:val="28"/>
                <w:sz w:val="22"/>
                <w:szCs w:val="22"/>
              </w:rPr>
              <w:t>0-10分</w:t>
            </w:r>
          </w:p>
        </w:tc>
        <w:tc>
          <w:tcPr>
            <w:tcW w:w="6992" w:type="dxa"/>
            <w:noWrap w:val="0"/>
            <w:vAlign w:val="center"/>
          </w:tcPr>
          <w:p>
            <w:pPr>
              <w:widowControl/>
              <w:spacing w:line="360" w:lineRule="exact"/>
              <w:jc w:val="left"/>
              <w:rPr>
                <w:rFonts w:hint="eastAsia" w:ascii="宋体" w:hAnsi="宋体" w:eastAsia="宋体" w:cs="宋体"/>
                <w:bCs/>
                <w:kern w:val="28"/>
                <w:sz w:val="22"/>
                <w:szCs w:val="22"/>
              </w:rPr>
            </w:pPr>
            <w:r>
              <w:rPr>
                <w:rFonts w:hint="eastAsia" w:ascii="宋体" w:hAnsi="宋体" w:eastAsia="宋体" w:cs="宋体"/>
                <w:bCs/>
                <w:kern w:val="28"/>
                <w:sz w:val="22"/>
                <w:szCs w:val="22"/>
              </w:rPr>
              <w:t>1、根据</w:t>
            </w:r>
            <w:r>
              <w:rPr>
                <w:rFonts w:hint="eastAsia" w:ascii="宋体" w:hAnsi="宋体" w:eastAsia="宋体" w:cs="宋体"/>
                <w:bCs/>
                <w:kern w:val="28"/>
                <w:sz w:val="22"/>
                <w:szCs w:val="22"/>
                <w:lang w:val="zh-CN"/>
              </w:rPr>
              <w:t>供应商</w:t>
            </w:r>
            <w:r>
              <w:rPr>
                <w:rFonts w:hint="eastAsia" w:ascii="宋体" w:hAnsi="宋体" w:eastAsia="宋体" w:cs="宋体"/>
                <w:bCs/>
                <w:kern w:val="28"/>
                <w:sz w:val="22"/>
                <w:szCs w:val="22"/>
              </w:rPr>
              <w:t>提供的售后服务方案考查投标人对服务网点、服务内容、服务体系、运维平台等综合因素由评标委员会比较打分。（0-4分）</w:t>
            </w:r>
          </w:p>
          <w:p>
            <w:pPr>
              <w:widowControl/>
              <w:spacing w:line="360" w:lineRule="exact"/>
              <w:jc w:val="left"/>
              <w:rPr>
                <w:rFonts w:hint="eastAsia" w:ascii="宋体" w:hAnsi="宋体" w:eastAsia="宋体" w:cs="宋体"/>
                <w:bCs/>
                <w:kern w:val="28"/>
                <w:sz w:val="22"/>
                <w:szCs w:val="22"/>
              </w:rPr>
            </w:pPr>
            <w:r>
              <w:rPr>
                <w:rFonts w:hint="eastAsia" w:ascii="宋体" w:hAnsi="宋体" w:eastAsia="宋体" w:cs="宋体"/>
                <w:bCs/>
                <w:kern w:val="28"/>
                <w:sz w:val="22"/>
                <w:szCs w:val="22"/>
              </w:rPr>
              <w:t>2、提供至少一名相关专业且具有机房管理经验人员派驻协助管理，得4分。</w:t>
            </w:r>
          </w:p>
          <w:p>
            <w:pPr>
              <w:widowControl/>
              <w:spacing w:line="360" w:lineRule="exact"/>
              <w:jc w:val="left"/>
              <w:rPr>
                <w:rFonts w:hint="eastAsia" w:ascii="宋体" w:hAnsi="宋体" w:eastAsia="宋体" w:cs="宋体"/>
                <w:sz w:val="22"/>
                <w:szCs w:val="22"/>
              </w:rPr>
            </w:pPr>
            <w:r>
              <w:rPr>
                <w:rFonts w:hint="eastAsia" w:ascii="宋体" w:hAnsi="宋体" w:eastAsia="宋体" w:cs="宋体"/>
                <w:bCs/>
                <w:kern w:val="28"/>
                <w:sz w:val="22"/>
                <w:szCs w:val="22"/>
              </w:rPr>
              <w:t>3、投标人针对本项目提供完整的培训计划、培训方案、培训资料和课程准备，培训方案完整详实，评委根据培训方案进行综合比较。方案完整科学，切实可行的得2分；方案基本符合要求，尚有不足的得1分；方案不合理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7" w:hRule="atLeast"/>
          <w:jc w:val="center"/>
        </w:trPr>
        <w:tc>
          <w:tcPr>
            <w:tcW w:w="765" w:type="dxa"/>
            <w:noWrap w:val="0"/>
            <w:vAlign w:val="center"/>
          </w:tcPr>
          <w:p>
            <w:pPr>
              <w:widowControl/>
              <w:jc w:val="center"/>
              <w:rPr>
                <w:rFonts w:hint="eastAsia" w:ascii="宋体" w:hAnsi="宋体" w:eastAsia="宋体" w:cs="宋体"/>
                <w:bCs/>
                <w:kern w:val="28"/>
                <w:sz w:val="22"/>
                <w:szCs w:val="22"/>
              </w:rPr>
            </w:pPr>
            <w:r>
              <w:rPr>
                <w:rFonts w:hint="eastAsia" w:ascii="宋体" w:hAnsi="宋体" w:eastAsia="宋体" w:cs="宋体"/>
                <w:bCs/>
                <w:kern w:val="28"/>
                <w:sz w:val="22"/>
                <w:szCs w:val="22"/>
              </w:rPr>
              <w:t>7</w:t>
            </w:r>
          </w:p>
        </w:tc>
        <w:tc>
          <w:tcPr>
            <w:tcW w:w="990" w:type="dxa"/>
            <w:noWrap w:val="0"/>
            <w:vAlign w:val="center"/>
          </w:tcPr>
          <w:p>
            <w:pPr>
              <w:widowControl/>
              <w:spacing w:line="360" w:lineRule="exact"/>
              <w:rPr>
                <w:rFonts w:hint="eastAsia" w:ascii="宋体" w:hAnsi="宋体" w:eastAsia="宋体" w:cs="宋体"/>
                <w:bCs/>
                <w:kern w:val="28"/>
                <w:sz w:val="22"/>
                <w:szCs w:val="22"/>
              </w:rPr>
            </w:pPr>
            <w:r>
              <w:rPr>
                <w:rFonts w:hint="eastAsia" w:ascii="宋体" w:hAnsi="宋体" w:eastAsia="宋体" w:cs="宋体"/>
                <w:kern w:val="0"/>
                <w:sz w:val="22"/>
                <w:szCs w:val="22"/>
                <w:lang w:bidi="ar"/>
              </w:rPr>
              <w:t>节能环保</w:t>
            </w:r>
          </w:p>
        </w:tc>
        <w:tc>
          <w:tcPr>
            <w:tcW w:w="1052" w:type="dxa"/>
            <w:noWrap w:val="0"/>
            <w:vAlign w:val="center"/>
          </w:tcPr>
          <w:p>
            <w:pPr>
              <w:widowControl/>
              <w:spacing w:line="360" w:lineRule="exact"/>
              <w:jc w:val="center"/>
              <w:rPr>
                <w:rFonts w:hint="eastAsia" w:ascii="宋体" w:hAnsi="宋体" w:eastAsia="宋体" w:cs="宋体"/>
                <w:bCs/>
                <w:kern w:val="28"/>
                <w:sz w:val="22"/>
                <w:szCs w:val="22"/>
              </w:rPr>
            </w:pPr>
            <w:r>
              <w:rPr>
                <w:rFonts w:hint="eastAsia" w:ascii="宋体" w:hAnsi="宋体" w:eastAsia="宋体" w:cs="宋体"/>
                <w:bCs/>
                <w:kern w:val="28"/>
                <w:sz w:val="22"/>
                <w:szCs w:val="22"/>
              </w:rPr>
              <w:t>0-1分</w:t>
            </w:r>
          </w:p>
        </w:tc>
        <w:tc>
          <w:tcPr>
            <w:tcW w:w="6992" w:type="dxa"/>
            <w:noWrap w:val="0"/>
            <w:vAlign w:val="center"/>
          </w:tcPr>
          <w:p>
            <w:pPr>
              <w:widowControl/>
              <w:spacing w:line="360" w:lineRule="exact"/>
              <w:jc w:val="left"/>
              <w:rPr>
                <w:rFonts w:hint="eastAsia" w:ascii="宋体" w:hAnsi="宋体" w:eastAsia="宋体" w:cs="宋体"/>
                <w:bCs/>
                <w:kern w:val="28"/>
                <w:sz w:val="22"/>
                <w:szCs w:val="22"/>
              </w:rPr>
            </w:pPr>
            <w:r>
              <w:rPr>
                <w:rFonts w:hint="eastAsia" w:ascii="宋体" w:hAnsi="宋体" w:eastAsia="宋体" w:cs="宋体"/>
                <w:sz w:val="22"/>
                <w:szCs w:val="22"/>
              </w:rPr>
              <w:t>投标主要设备已纳入《采购节能产品》得0.5分、具有《环境标志产品认证证书》得0.5分。投标文件中必须提供节能环保产品声明函、节认证机构以国家市场监管总局发布的参与实施政府采购节能产品、环境标志产品认证机构名录为准”否则不予给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765" w:type="dxa"/>
            <w:noWrap w:val="0"/>
            <w:vAlign w:val="center"/>
          </w:tcPr>
          <w:p>
            <w:pPr>
              <w:widowControl/>
              <w:jc w:val="center"/>
              <w:rPr>
                <w:rFonts w:hint="eastAsia" w:ascii="宋体" w:hAnsi="宋体" w:eastAsia="宋体" w:cs="宋体"/>
                <w:bCs/>
                <w:kern w:val="28"/>
                <w:sz w:val="22"/>
                <w:szCs w:val="22"/>
              </w:rPr>
            </w:pPr>
            <w:r>
              <w:rPr>
                <w:rFonts w:hint="eastAsia" w:ascii="宋体" w:hAnsi="宋体" w:eastAsia="宋体" w:cs="宋体"/>
                <w:bCs/>
                <w:kern w:val="28"/>
                <w:sz w:val="22"/>
                <w:szCs w:val="22"/>
              </w:rPr>
              <w:t>8</w:t>
            </w:r>
          </w:p>
        </w:tc>
        <w:tc>
          <w:tcPr>
            <w:tcW w:w="990" w:type="dxa"/>
            <w:noWrap w:val="0"/>
            <w:vAlign w:val="center"/>
          </w:tcPr>
          <w:p>
            <w:pPr>
              <w:widowControl/>
              <w:spacing w:line="360" w:lineRule="exact"/>
              <w:rPr>
                <w:rFonts w:hint="eastAsia" w:ascii="宋体" w:hAnsi="宋体" w:eastAsia="宋体" w:cs="宋体"/>
                <w:kern w:val="0"/>
                <w:sz w:val="22"/>
                <w:szCs w:val="22"/>
                <w:lang w:bidi="ar"/>
              </w:rPr>
            </w:pPr>
            <w:r>
              <w:rPr>
                <w:rFonts w:hint="eastAsia" w:ascii="宋体" w:hAnsi="宋体" w:eastAsia="宋体" w:cs="宋体"/>
                <w:kern w:val="0"/>
                <w:sz w:val="22"/>
                <w:szCs w:val="22"/>
                <w:lang w:bidi="ar"/>
              </w:rPr>
              <w:t>投标文件编制质量</w:t>
            </w:r>
          </w:p>
        </w:tc>
        <w:tc>
          <w:tcPr>
            <w:tcW w:w="1052" w:type="dxa"/>
            <w:noWrap w:val="0"/>
            <w:vAlign w:val="center"/>
          </w:tcPr>
          <w:p>
            <w:pPr>
              <w:widowControl/>
              <w:spacing w:line="360" w:lineRule="exact"/>
              <w:jc w:val="center"/>
              <w:rPr>
                <w:rFonts w:hint="eastAsia" w:ascii="宋体" w:hAnsi="宋体" w:eastAsia="宋体" w:cs="宋体"/>
                <w:bCs/>
                <w:kern w:val="28"/>
                <w:sz w:val="22"/>
                <w:szCs w:val="22"/>
              </w:rPr>
            </w:pPr>
            <w:r>
              <w:rPr>
                <w:rFonts w:hint="eastAsia" w:ascii="宋体" w:hAnsi="宋体" w:eastAsia="宋体" w:cs="宋体"/>
                <w:bCs/>
                <w:kern w:val="28"/>
                <w:sz w:val="22"/>
                <w:szCs w:val="22"/>
              </w:rPr>
              <w:t>0-1分</w:t>
            </w:r>
          </w:p>
        </w:tc>
        <w:tc>
          <w:tcPr>
            <w:tcW w:w="6992" w:type="dxa"/>
            <w:noWrap w:val="0"/>
            <w:vAlign w:val="center"/>
          </w:tcPr>
          <w:p>
            <w:pPr>
              <w:widowControl/>
              <w:spacing w:line="360" w:lineRule="exact"/>
              <w:jc w:val="left"/>
              <w:rPr>
                <w:rFonts w:hint="eastAsia" w:ascii="宋体" w:hAnsi="宋体" w:eastAsia="宋体" w:cs="宋体"/>
                <w:bCs/>
                <w:kern w:val="28"/>
                <w:sz w:val="22"/>
                <w:szCs w:val="22"/>
              </w:rPr>
            </w:pPr>
            <w:r>
              <w:rPr>
                <w:rFonts w:hint="eastAsia" w:ascii="宋体" w:hAnsi="宋体" w:eastAsia="宋体" w:cs="宋体"/>
                <w:bCs/>
                <w:kern w:val="28"/>
                <w:sz w:val="22"/>
                <w:szCs w:val="22"/>
              </w:rPr>
              <w:t xml:space="preserve">投标文件格式和内容严格按照招标文件要求编制，且内容完整、表述清晰、编制整体质量高的得1分，其余得0-0.5分。 </w:t>
            </w:r>
          </w:p>
        </w:tc>
      </w:tr>
    </w:tbl>
    <w:p>
      <w:pPr>
        <w:pStyle w:val="24"/>
        <w:adjustRightInd w:val="0"/>
        <w:snapToGrid w:val="0"/>
        <w:spacing w:line="460" w:lineRule="atLeast"/>
        <w:ind w:firstLine="440" w:firstLineChars="200"/>
        <w:rPr>
          <w:rFonts w:hint="eastAsia" w:hAnsi="宋体" w:cs="宋体"/>
          <w:sz w:val="22"/>
          <w:szCs w:val="22"/>
        </w:rPr>
      </w:pPr>
      <w:r>
        <w:rPr>
          <w:rFonts w:hint="eastAsia" w:hAnsi="宋体" w:cs="宋体"/>
          <w:sz w:val="22"/>
          <w:szCs w:val="22"/>
        </w:rPr>
        <w:t>三、说明</w:t>
      </w:r>
    </w:p>
    <w:p>
      <w:pPr>
        <w:adjustRightInd w:val="0"/>
        <w:spacing w:line="400" w:lineRule="atLeast"/>
        <w:ind w:firstLine="420"/>
        <w:rPr>
          <w:rFonts w:hint="eastAsia" w:ascii="宋体" w:hAnsi="宋体" w:cs="宋体"/>
          <w:sz w:val="22"/>
          <w:szCs w:val="22"/>
        </w:rPr>
      </w:pPr>
      <w:r>
        <w:rPr>
          <w:rFonts w:hint="eastAsia" w:ascii="宋体" w:hAnsi="宋体" w:cs="宋体"/>
          <w:sz w:val="22"/>
          <w:szCs w:val="22"/>
        </w:rPr>
        <w:t>1、每个供应商最终得分=技术资信部分分值（所有评标委员会成员打分的算术平均值）＋商务报价部分分值。</w:t>
      </w:r>
    </w:p>
    <w:p>
      <w:pPr>
        <w:adjustRightInd w:val="0"/>
        <w:spacing w:line="400" w:lineRule="atLeast"/>
        <w:ind w:firstLine="420"/>
        <w:rPr>
          <w:rFonts w:hint="eastAsia" w:ascii="宋体" w:hAnsi="宋体" w:cs="宋体"/>
          <w:sz w:val="22"/>
          <w:szCs w:val="22"/>
        </w:rPr>
      </w:pPr>
      <w:r>
        <w:rPr>
          <w:rFonts w:hint="eastAsia" w:ascii="宋体" w:hAnsi="宋体" w:cs="宋体"/>
          <w:sz w:val="22"/>
          <w:szCs w:val="22"/>
        </w:rPr>
        <w:t>2、评标委员会推荐得分最高的供应商为预中标供应商，并编写采购报告。</w:t>
      </w:r>
    </w:p>
    <w:p>
      <w:pPr>
        <w:adjustRightInd w:val="0"/>
        <w:spacing w:line="400" w:lineRule="atLeast"/>
        <w:ind w:firstLine="420"/>
        <w:rPr>
          <w:rFonts w:hint="eastAsia" w:ascii="宋体" w:hAnsi="宋体" w:cs="宋体"/>
          <w:sz w:val="22"/>
          <w:szCs w:val="22"/>
        </w:rPr>
      </w:pPr>
      <w:r>
        <w:rPr>
          <w:rFonts w:hint="eastAsia" w:ascii="宋体" w:hAnsi="宋体" w:cs="宋体"/>
          <w:sz w:val="22"/>
          <w:szCs w:val="22"/>
        </w:rPr>
        <w:t>3、所有分值计算保留小数点后二位，小数点后三位四舍五入。</w:t>
      </w:r>
    </w:p>
    <w:p>
      <w:pPr>
        <w:adjustRightInd w:val="0"/>
        <w:snapToGrid w:val="0"/>
        <w:spacing w:line="400" w:lineRule="atLeast"/>
        <w:ind w:firstLine="420"/>
        <w:rPr>
          <w:rFonts w:hint="eastAsia" w:ascii="宋体" w:hAnsi="宋体" w:cs="宋体"/>
          <w:snapToGrid w:val="0"/>
          <w:sz w:val="22"/>
          <w:szCs w:val="22"/>
        </w:rPr>
      </w:pPr>
      <w:r>
        <w:rPr>
          <w:rFonts w:hint="eastAsia" w:ascii="宋体" w:hAnsi="宋体" w:cs="宋体"/>
          <w:snapToGrid w:val="0"/>
          <w:sz w:val="22"/>
          <w:szCs w:val="22"/>
        </w:rPr>
        <w:t>4、评标过程中遇到特殊情况，由评标委员会遵循公平、公正原则，采取投票方式按照少数服从多数原则决定。</w:t>
      </w:r>
    </w:p>
    <w:p>
      <w:pPr>
        <w:adjustRightInd w:val="0"/>
        <w:spacing w:line="400" w:lineRule="atLeast"/>
        <w:ind w:firstLine="420"/>
        <w:rPr>
          <w:rFonts w:hint="eastAsia" w:ascii="宋体" w:hAnsi="宋体" w:cs="宋体"/>
          <w:sz w:val="22"/>
          <w:szCs w:val="22"/>
        </w:rPr>
      </w:pPr>
      <w:r>
        <w:rPr>
          <w:rFonts w:hint="eastAsia" w:ascii="宋体" w:hAnsi="宋体" w:cs="宋体"/>
          <w:sz w:val="22"/>
          <w:szCs w:val="22"/>
        </w:rPr>
        <w:t>参见本采购文件第三部分：“供应商须知” 中的相关内容，未尽事宜按有关法律规定处理。</w:t>
      </w:r>
    </w:p>
    <w:p>
      <w:pPr>
        <w:jc w:val="center"/>
        <w:rPr>
          <w:rFonts w:hint="eastAsia" w:ascii="宋体" w:hAnsi="宋体" w:cs="宋体"/>
          <w:sz w:val="22"/>
          <w:szCs w:val="22"/>
        </w:rPr>
      </w:pPr>
    </w:p>
    <w:p>
      <w:pPr>
        <w:pStyle w:val="2"/>
        <w:rPr>
          <w:rFonts w:hint="eastAsia" w:ascii="宋体" w:hAnsi="宋体" w:cs="宋体"/>
          <w:sz w:val="22"/>
          <w:szCs w:val="22"/>
        </w:rPr>
      </w:pPr>
    </w:p>
    <w:p>
      <w:pPr>
        <w:pStyle w:val="3"/>
        <w:ind w:firstLine="220"/>
        <w:rPr>
          <w:rFonts w:hint="eastAsia" w:ascii="宋体" w:hAnsi="宋体" w:cs="宋体"/>
          <w:sz w:val="22"/>
          <w:szCs w:val="22"/>
        </w:rPr>
      </w:pPr>
    </w:p>
    <w:p>
      <w:pPr>
        <w:pStyle w:val="4"/>
        <w:rPr>
          <w:rFonts w:hint="eastAsia" w:ascii="宋体" w:hAnsi="宋体" w:cs="宋体"/>
          <w:sz w:val="22"/>
          <w:szCs w:val="22"/>
        </w:rPr>
      </w:pPr>
    </w:p>
    <w:p>
      <w:pPr>
        <w:rPr>
          <w:rFonts w:hint="eastAsia" w:ascii="宋体" w:hAnsi="宋体" w:cs="宋体"/>
          <w:sz w:val="22"/>
          <w:szCs w:val="22"/>
        </w:rPr>
      </w:pPr>
    </w:p>
    <w:p>
      <w:pPr>
        <w:pStyle w:val="2"/>
        <w:rPr>
          <w:rFonts w:hint="eastAsia" w:ascii="宋体" w:hAnsi="宋体" w:cs="宋体"/>
          <w:sz w:val="22"/>
          <w:szCs w:val="22"/>
        </w:rPr>
      </w:pPr>
    </w:p>
    <w:p>
      <w:pPr>
        <w:pStyle w:val="3"/>
        <w:ind w:firstLine="220"/>
        <w:rPr>
          <w:rFonts w:hint="eastAsia" w:ascii="宋体" w:hAnsi="宋体" w:cs="宋体"/>
          <w:sz w:val="22"/>
          <w:szCs w:val="22"/>
        </w:rPr>
      </w:pPr>
    </w:p>
    <w:p>
      <w:pPr>
        <w:pStyle w:val="4"/>
        <w:rPr>
          <w:rFonts w:hint="eastAsia"/>
        </w:rPr>
      </w:pPr>
    </w:p>
    <w:p>
      <w:pPr>
        <w:jc w:val="center"/>
        <w:rPr>
          <w:rFonts w:hint="eastAsia" w:ascii="宋体" w:hAnsi="宋体" w:cs="宋体"/>
          <w:sz w:val="22"/>
          <w:szCs w:val="22"/>
        </w:rPr>
      </w:pPr>
      <w:r>
        <w:rPr>
          <w:rFonts w:hint="eastAsia" w:ascii="宋体" w:hAnsi="宋体" w:cs="宋体"/>
          <w:sz w:val="22"/>
          <w:szCs w:val="22"/>
        </w:rPr>
        <w:br w:type="page"/>
      </w:r>
      <w:r>
        <w:rPr>
          <w:rFonts w:hint="eastAsia" w:ascii="宋体" w:hAnsi="宋体" w:cs="宋体"/>
          <w:sz w:val="22"/>
          <w:szCs w:val="22"/>
        </w:rPr>
        <w:t>温州市政府采购信用融资意向银行选择表</w:t>
      </w:r>
    </w:p>
    <w:p>
      <w:pPr>
        <w:jc w:val="center"/>
        <w:rPr>
          <w:rFonts w:hint="eastAsia" w:ascii="宋体" w:hAnsi="宋体" w:cs="宋体"/>
          <w:sz w:val="22"/>
          <w:szCs w:val="22"/>
        </w:rPr>
      </w:pPr>
      <w:r>
        <w:rPr>
          <w:rFonts w:hint="eastAsia" w:ascii="宋体" w:hAnsi="宋体" w:cs="宋体"/>
          <w:sz w:val="22"/>
          <w:szCs w:val="22"/>
        </w:rPr>
        <w:t>（温州市供应商填写）</w:t>
      </w:r>
    </w:p>
    <w:p>
      <w:pPr>
        <w:pStyle w:val="2"/>
        <w:rPr>
          <w:rFonts w:hint="eastAsia"/>
        </w:rPr>
      </w:pPr>
    </w:p>
    <w:tbl>
      <w:tblPr>
        <w:tblStyle w:val="43"/>
        <w:tblW w:w="9399"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3"/>
        <w:gridCol w:w="2084"/>
        <w:gridCol w:w="1303"/>
        <w:gridCol w:w="781"/>
        <w:gridCol w:w="1434"/>
        <w:gridCol w:w="22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1533" w:type="dxa"/>
            <w:noWrap w:val="0"/>
            <w:vAlign w:val="center"/>
          </w:tcPr>
          <w:p>
            <w:pPr>
              <w:pStyle w:val="159"/>
              <w:spacing w:line="240" w:lineRule="auto"/>
              <w:ind w:firstLine="0" w:firstLineChars="0"/>
              <w:jc w:val="center"/>
              <w:rPr>
                <w:rFonts w:hint="eastAsia" w:ascii="宋体" w:eastAsia="宋体" w:cs="宋体"/>
                <w:color w:val="000000"/>
                <w:kern w:val="0"/>
                <w:sz w:val="22"/>
                <w:szCs w:val="22"/>
              </w:rPr>
            </w:pPr>
            <w:r>
              <w:rPr>
                <w:rFonts w:hint="eastAsia" w:ascii="宋体" w:eastAsia="宋体" w:cs="宋体"/>
                <w:color w:val="000000"/>
                <w:kern w:val="0"/>
                <w:sz w:val="22"/>
                <w:szCs w:val="22"/>
              </w:rPr>
              <w:t>企业名称</w:t>
            </w:r>
          </w:p>
        </w:tc>
        <w:tc>
          <w:tcPr>
            <w:tcW w:w="7866" w:type="dxa"/>
            <w:gridSpan w:val="5"/>
            <w:noWrap w:val="0"/>
            <w:vAlign w:val="center"/>
          </w:tcPr>
          <w:p>
            <w:pPr>
              <w:pStyle w:val="159"/>
              <w:spacing w:line="240" w:lineRule="auto"/>
              <w:ind w:firstLine="0" w:firstLineChars="0"/>
              <w:jc w:val="center"/>
              <w:rPr>
                <w:rFonts w:hint="eastAsia" w:ascii="宋体" w:eastAsia="宋体"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1533" w:type="dxa"/>
            <w:noWrap w:val="0"/>
            <w:vAlign w:val="center"/>
          </w:tcPr>
          <w:p>
            <w:pPr>
              <w:pStyle w:val="159"/>
              <w:spacing w:line="240" w:lineRule="auto"/>
              <w:ind w:firstLine="0" w:firstLineChars="0"/>
              <w:jc w:val="center"/>
              <w:rPr>
                <w:rFonts w:hint="eastAsia" w:ascii="宋体" w:eastAsia="宋体" w:cs="宋体"/>
                <w:color w:val="000000"/>
                <w:kern w:val="0"/>
                <w:sz w:val="22"/>
                <w:szCs w:val="22"/>
              </w:rPr>
            </w:pPr>
            <w:r>
              <w:rPr>
                <w:rFonts w:hint="eastAsia" w:ascii="宋体" w:eastAsia="宋体" w:cs="宋体"/>
                <w:color w:val="000000"/>
                <w:kern w:val="0"/>
                <w:sz w:val="22"/>
                <w:szCs w:val="22"/>
              </w:rPr>
              <w:t>企业注册地</w:t>
            </w:r>
          </w:p>
        </w:tc>
        <w:tc>
          <w:tcPr>
            <w:tcW w:w="3387" w:type="dxa"/>
            <w:gridSpan w:val="2"/>
            <w:noWrap w:val="0"/>
            <w:vAlign w:val="center"/>
          </w:tcPr>
          <w:p>
            <w:pPr>
              <w:pStyle w:val="159"/>
              <w:spacing w:line="240" w:lineRule="auto"/>
              <w:ind w:firstLine="0" w:firstLineChars="0"/>
              <w:jc w:val="center"/>
              <w:rPr>
                <w:rFonts w:hint="eastAsia" w:ascii="宋体" w:eastAsia="宋体" w:cs="宋体"/>
                <w:color w:val="000000"/>
                <w:kern w:val="0"/>
                <w:sz w:val="22"/>
                <w:szCs w:val="22"/>
              </w:rPr>
            </w:pPr>
          </w:p>
        </w:tc>
        <w:tc>
          <w:tcPr>
            <w:tcW w:w="2215" w:type="dxa"/>
            <w:gridSpan w:val="2"/>
            <w:noWrap w:val="0"/>
            <w:vAlign w:val="center"/>
          </w:tcPr>
          <w:p>
            <w:pPr>
              <w:pStyle w:val="159"/>
              <w:spacing w:line="240" w:lineRule="auto"/>
              <w:ind w:firstLine="0" w:firstLineChars="0"/>
              <w:jc w:val="center"/>
              <w:rPr>
                <w:rFonts w:hint="eastAsia" w:ascii="宋体" w:eastAsia="宋体" w:cs="宋体"/>
                <w:color w:val="000000"/>
                <w:kern w:val="0"/>
                <w:sz w:val="22"/>
                <w:szCs w:val="22"/>
              </w:rPr>
            </w:pPr>
            <w:r>
              <w:rPr>
                <w:rFonts w:hint="eastAsia" w:ascii="宋体" w:eastAsia="宋体" w:cs="宋体"/>
                <w:color w:val="000000"/>
                <w:kern w:val="0"/>
                <w:sz w:val="22"/>
                <w:szCs w:val="22"/>
              </w:rPr>
              <w:t>是否有融资意向</w:t>
            </w:r>
          </w:p>
        </w:tc>
        <w:tc>
          <w:tcPr>
            <w:tcW w:w="2264" w:type="dxa"/>
            <w:noWrap w:val="0"/>
            <w:vAlign w:val="center"/>
          </w:tcPr>
          <w:p>
            <w:pPr>
              <w:pStyle w:val="159"/>
              <w:spacing w:line="240" w:lineRule="auto"/>
              <w:ind w:firstLine="0" w:firstLineChars="0"/>
              <w:jc w:val="center"/>
              <w:rPr>
                <w:rFonts w:hint="eastAsia" w:ascii="宋体" w:eastAsia="宋体"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1533" w:type="dxa"/>
            <w:noWrap w:val="0"/>
            <w:vAlign w:val="center"/>
          </w:tcPr>
          <w:p>
            <w:pPr>
              <w:pStyle w:val="159"/>
              <w:spacing w:line="240" w:lineRule="auto"/>
              <w:ind w:firstLine="0" w:firstLineChars="0"/>
              <w:jc w:val="center"/>
              <w:rPr>
                <w:rFonts w:hint="eastAsia" w:ascii="宋体" w:eastAsia="宋体" w:cs="宋体"/>
                <w:color w:val="000000"/>
                <w:kern w:val="0"/>
                <w:sz w:val="22"/>
                <w:szCs w:val="22"/>
              </w:rPr>
            </w:pPr>
            <w:r>
              <w:rPr>
                <w:rFonts w:hint="eastAsia" w:ascii="宋体" w:eastAsia="宋体" w:cs="宋体"/>
                <w:color w:val="000000"/>
                <w:kern w:val="0"/>
                <w:sz w:val="22"/>
                <w:szCs w:val="22"/>
              </w:rPr>
              <w:t>融资联系人</w:t>
            </w:r>
          </w:p>
        </w:tc>
        <w:tc>
          <w:tcPr>
            <w:tcW w:w="2084" w:type="dxa"/>
            <w:noWrap w:val="0"/>
            <w:vAlign w:val="center"/>
          </w:tcPr>
          <w:p>
            <w:pPr>
              <w:pStyle w:val="159"/>
              <w:spacing w:line="240" w:lineRule="auto"/>
              <w:ind w:firstLine="0" w:firstLineChars="0"/>
              <w:jc w:val="center"/>
              <w:rPr>
                <w:rFonts w:hint="eastAsia" w:ascii="宋体" w:eastAsia="宋体" w:cs="宋体"/>
                <w:color w:val="000000"/>
                <w:kern w:val="0"/>
                <w:sz w:val="22"/>
                <w:szCs w:val="22"/>
              </w:rPr>
            </w:pPr>
          </w:p>
        </w:tc>
        <w:tc>
          <w:tcPr>
            <w:tcW w:w="2084" w:type="dxa"/>
            <w:gridSpan w:val="2"/>
            <w:noWrap w:val="0"/>
            <w:vAlign w:val="center"/>
          </w:tcPr>
          <w:p>
            <w:pPr>
              <w:pStyle w:val="159"/>
              <w:spacing w:line="240" w:lineRule="auto"/>
              <w:ind w:firstLine="0" w:firstLineChars="0"/>
              <w:jc w:val="center"/>
              <w:rPr>
                <w:rFonts w:hint="eastAsia" w:ascii="宋体" w:eastAsia="宋体" w:cs="宋体"/>
                <w:color w:val="000000"/>
                <w:kern w:val="0"/>
                <w:sz w:val="22"/>
                <w:szCs w:val="22"/>
              </w:rPr>
            </w:pPr>
            <w:r>
              <w:rPr>
                <w:rFonts w:hint="eastAsia" w:ascii="宋体" w:eastAsia="宋体" w:cs="宋体"/>
                <w:color w:val="000000"/>
                <w:kern w:val="0"/>
                <w:sz w:val="22"/>
                <w:szCs w:val="22"/>
              </w:rPr>
              <w:t>联系方式</w:t>
            </w:r>
          </w:p>
        </w:tc>
        <w:tc>
          <w:tcPr>
            <w:tcW w:w="3698" w:type="dxa"/>
            <w:gridSpan w:val="2"/>
            <w:noWrap w:val="0"/>
            <w:vAlign w:val="center"/>
          </w:tcPr>
          <w:p>
            <w:pPr>
              <w:pStyle w:val="159"/>
              <w:spacing w:line="240" w:lineRule="auto"/>
              <w:ind w:firstLine="0" w:firstLineChars="0"/>
              <w:jc w:val="center"/>
              <w:rPr>
                <w:rFonts w:hint="eastAsia" w:ascii="宋体" w:eastAsia="宋体"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5701" w:type="dxa"/>
            <w:gridSpan w:val="4"/>
            <w:noWrap w:val="0"/>
            <w:vAlign w:val="center"/>
          </w:tcPr>
          <w:p>
            <w:pPr>
              <w:pStyle w:val="159"/>
              <w:spacing w:line="240" w:lineRule="auto"/>
              <w:ind w:firstLine="0" w:firstLineChars="0"/>
              <w:jc w:val="center"/>
              <w:rPr>
                <w:rFonts w:hint="eastAsia" w:ascii="宋体" w:eastAsia="宋体" w:cs="宋体"/>
                <w:color w:val="000000"/>
                <w:kern w:val="0"/>
                <w:sz w:val="22"/>
                <w:szCs w:val="22"/>
              </w:rPr>
            </w:pPr>
            <w:r>
              <w:rPr>
                <w:rFonts w:hint="eastAsia" w:ascii="宋体" w:eastAsia="宋体" w:cs="宋体"/>
                <w:color w:val="000000"/>
                <w:kern w:val="0"/>
                <w:sz w:val="22"/>
                <w:szCs w:val="22"/>
              </w:rPr>
              <w:t>温州市政府采购信用融资合作银行</w:t>
            </w:r>
          </w:p>
        </w:tc>
        <w:tc>
          <w:tcPr>
            <w:tcW w:w="3698" w:type="dxa"/>
            <w:gridSpan w:val="2"/>
            <w:noWrap w:val="0"/>
            <w:vAlign w:val="center"/>
          </w:tcPr>
          <w:p>
            <w:pPr>
              <w:pStyle w:val="159"/>
              <w:spacing w:line="240" w:lineRule="auto"/>
              <w:ind w:firstLine="0" w:firstLineChars="0"/>
              <w:jc w:val="center"/>
              <w:rPr>
                <w:rFonts w:hint="eastAsia" w:ascii="宋体" w:eastAsia="宋体" w:cs="宋体"/>
                <w:color w:val="000000"/>
                <w:kern w:val="0"/>
                <w:sz w:val="22"/>
                <w:szCs w:val="22"/>
              </w:rPr>
            </w:pPr>
            <w:r>
              <w:rPr>
                <w:rFonts w:hint="eastAsia" w:ascii="宋体" w:eastAsia="宋体" w:cs="宋体"/>
                <w:color w:val="000000"/>
                <w:kern w:val="0"/>
                <w:sz w:val="22"/>
                <w:szCs w:val="22"/>
              </w:rPr>
              <w:t>选择作为意向融资银行（可多选）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5701" w:type="dxa"/>
            <w:gridSpan w:val="4"/>
            <w:noWrap w:val="0"/>
            <w:vAlign w:val="center"/>
          </w:tcPr>
          <w:p>
            <w:pPr>
              <w:pStyle w:val="159"/>
              <w:spacing w:line="240" w:lineRule="auto"/>
              <w:ind w:firstLine="0" w:firstLineChars="0"/>
              <w:jc w:val="center"/>
              <w:rPr>
                <w:rFonts w:hint="eastAsia" w:ascii="宋体" w:eastAsia="宋体" w:cs="宋体"/>
                <w:color w:val="000000"/>
                <w:kern w:val="0"/>
                <w:sz w:val="22"/>
                <w:szCs w:val="22"/>
              </w:rPr>
            </w:pPr>
            <w:r>
              <w:rPr>
                <w:rFonts w:hint="eastAsia" w:ascii="宋体" w:eastAsia="宋体" w:cs="宋体"/>
                <w:color w:val="000000"/>
                <w:kern w:val="0"/>
                <w:sz w:val="22"/>
                <w:szCs w:val="22"/>
              </w:rPr>
              <w:t>温州银行股份有限公司温州分行</w:t>
            </w:r>
          </w:p>
        </w:tc>
        <w:tc>
          <w:tcPr>
            <w:tcW w:w="3698" w:type="dxa"/>
            <w:gridSpan w:val="2"/>
            <w:noWrap w:val="0"/>
            <w:vAlign w:val="center"/>
          </w:tcPr>
          <w:p>
            <w:pPr>
              <w:pStyle w:val="159"/>
              <w:spacing w:line="240" w:lineRule="auto"/>
              <w:ind w:firstLine="0" w:firstLineChars="0"/>
              <w:jc w:val="center"/>
              <w:rPr>
                <w:rFonts w:hint="eastAsia" w:ascii="宋体" w:eastAsia="宋体"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5701" w:type="dxa"/>
            <w:gridSpan w:val="4"/>
            <w:noWrap w:val="0"/>
            <w:vAlign w:val="center"/>
          </w:tcPr>
          <w:p>
            <w:pPr>
              <w:pStyle w:val="159"/>
              <w:spacing w:line="240" w:lineRule="auto"/>
              <w:ind w:firstLine="0" w:firstLineChars="0"/>
              <w:jc w:val="center"/>
              <w:rPr>
                <w:rFonts w:hint="eastAsia" w:ascii="宋体" w:eastAsia="宋体" w:cs="宋体"/>
                <w:color w:val="000000"/>
                <w:kern w:val="0"/>
                <w:sz w:val="22"/>
                <w:szCs w:val="22"/>
              </w:rPr>
            </w:pPr>
            <w:r>
              <w:rPr>
                <w:rFonts w:hint="eastAsia" w:ascii="宋体" w:eastAsia="宋体" w:cs="宋体"/>
                <w:color w:val="000000"/>
                <w:kern w:val="0"/>
                <w:sz w:val="22"/>
                <w:szCs w:val="22"/>
              </w:rPr>
              <w:t>温州银行股份有限公司鹿城分行</w:t>
            </w:r>
          </w:p>
        </w:tc>
        <w:tc>
          <w:tcPr>
            <w:tcW w:w="3698" w:type="dxa"/>
            <w:gridSpan w:val="2"/>
            <w:noWrap w:val="0"/>
            <w:vAlign w:val="center"/>
          </w:tcPr>
          <w:p>
            <w:pPr>
              <w:pStyle w:val="159"/>
              <w:spacing w:line="240" w:lineRule="auto"/>
              <w:ind w:firstLine="0" w:firstLineChars="0"/>
              <w:jc w:val="center"/>
              <w:rPr>
                <w:rFonts w:hint="eastAsia" w:ascii="宋体" w:eastAsia="宋体"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5701" w:type="dxa"/>
            <w:gridSpan w:val="4"/>
            <w:noWrap w:val="0"/>
            <w:vAlign w:val="center"/>
          </w:tcPr>
          <w:p>
            <w:pPr>
              <w:pStyle w:val="159"/>
              <w:spacing w:line="240" w:lineRule="auto"/>
              <w:ind w:firstLine="0" w:firstLineChars="0"/>
              <w:jc w:val="center"/>
              <w:rPr>
                <w:rFonts w:hint="eastAsia" w:ascii="宋体" w:eastAsia="宋体" w:cs="宋体"/>
                <w:color w:val="000000"/>
                <w:kern w:val="0"/>
                <w:sz w:val="22"/>
                <w:szCs w:val="22"/>
              </w:rPr>
            </w:pPr>
            <w:r>
              <w:rPr>
                <w:rFonts w:hint="eastAsia" w:ascii="宋体" w:eastAsia="宋体" w:cs="宋体"/>
                <w:color w:val="000000"/>
                <w:kern w:val="0"/>
                <w:sz w:val="22"/>
                <w:szCs w:val="22"/>
              </w:rPr>
              <w:t>中国工商银行股份有限公司温州分行</w:t>
            </w:r>
          </w:p>
        </w:tc>
        <w:tc>
          <w:tcPr>
            <w:tcW w:w="3698" w:type="dxa"/>
            <w:gridSpan w:val="2"/>
            <w:noWrap w:val="0"/>
            <w:vAlign w:val="center"/>
          </w:tcPr>
          <w:p>
            <w:pPr>
              <w:pStyle w:val="159"/>
              <w:spacing w:line="240" w:lineRule="auto"/>
              <w:ind w:firstLine="0" w:firstLineChars="0"/>
              <w:jc w:val="center"/>
              <w:rPr>
                <w:rFonts w:hint="eastAsia" w:ascii="宋体" w:eastAsia="宋体"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5701" w:type="dxa"/>
            <w:gridSpan w:val="4"/>
            <w:noWrap w:val="0"/>
            <w:vAlign w:val="center"/>
          </w:tcPr>
          <w:p>
            <w:pPr>
              <w:jc w:val="center"/>
              <w:rPr>
                <w:rFonts w:hint="eastAsia" w:ascii="宋体" w:hAnsi="宋体" w:cs="宋体"/>
                <w:sz w:val="22"/>
                <w:szCs w:val="22"/>
              </w:rPr>
            </w:pPr>
            <w:r>
              <w:rPr>
                <w:rFonts w:hint="eastAsia" w:ascii="宋体" w:hAnsi="宋体" w:cs="宋体"/>
                <w:sz w:val="22"/>
                <w:szCs w:val="22"/>
              </w:rPr>
              <w:t>中国建设银行股份有限公司温州分行</w:t>
            </w:r>
          </w:p>
        </w:tc>
        <w:tc>
          <w:tcPr>
            <w:tcW w:w="3698" w:type="dxa"/>
            <w:gridSpan w:val="2"/>
            <w:noWrap w:val="0"/>
            <w:vAlign w:val="center"/>
          </w:tcPr>
          <w:p>
            <w:pPr>
              <w:jc w:val="center"/>
              <w:rPr>
                <w:rFonts w:hint="eastAsia" w:ascii="宋体" w:hAnsi="宋体" w:cs="宋体"/>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5701" w:type="dxa"/>
            <w:gridSpan w:val="4"/>
            <w:noWrap w:val="0"/>
            <w:vAlign w:val="center"/>
          </w:tcPr>
          <w:p>
            <w:pPr>
              <w:pStyle w:val="159"/>
              <w:spacing w:line="240" w:lineRule="auto"/>
              <w:ind w:firstLine="0" w:firstLineChars="0"/>
              <w:jc w:val="center"/>
              <w:rPr>
                <w:rFonts w:hint="eastAsia" w:ascii="宋体" w:eastAsia="宋体" w:cs="宋体"/>
                <w:color w:val="000000"/>
                <w:kern w:val="0"/>
                <w:sz w:val="22"/>
                <w:szCs w:val="22"/>
              </w:rPr>
            </w:pPr>
            <w:r>
              <w:rPr>
                <w:rFonts w:hint="eastAsia" w:ascii="宋体" w:eastAsia="宋体" w:cs="宋体"/>
                <w:color w:val="000000"/>
                <w:kern w:val="0"/>
                <w:sz w:val="22"/>
                <w:szCs w:val="22"/>
              </w:rPr>
              <w:t>中国邮政储蓄银行股份有限公司温州市分行</w:t>
            </w:r>
          </w:p>
        </w:tc>
        <w:tc>
          <w:tcPr>
            <w:tcW w:w="3698" w:type="dxa"/>
            <w:gridSpan w:val="2"/>
            <w:noWrap w:val="0"/>
            <w:vAlign w:val="center"/>
          </w:tcPr>
          <w:p>
            <w:pPr>
              <w:pStyle w:val="159"/>
              <w:spacing w:line="240" w:lineRule="auto"/>
              <w:ind w:firstLine="0" w:firstLineChars="0"/>
              <w:jc w:val="center"/>
              <w:rPr>
                <w:rFonts w:hint="eastAsia" w:ascii="宋体" w:eastAsia="宋体"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5701" w:type="dxa"/>
            <w:gridSpan w:val="4"/>
            <w:noWrap w:val="0"/>
            <w:vAlign w:val="center"/>
          </w:tcPr>
          <w:p>
            <w:pPr>
              <w:pStyle w:val="159"/>
              <w:spacing w:line="240" w:lineRule="auto"/>
              <w:ind w:firstLine="0" w:firstLineChars="0"/>
              <w:jc w:val="center"/>
              <w:rPr>
                <w:rFonts w:hint="eastAsia" w:ascii="宋体" w:eastAsia="宋体" w:cs="宋体"/>
                <w:color w:val="000000"/>
                <w:kern w:val="0"/>
                <w:sz w:val="22"/>
                <w:szCs w:val="22"/>
              </w:rPr>
            </w:pPr>
            <w:r>
              <w:rPr>
                <w:rFonts w:hint="eastAsia" w:ascii="宋体" w:eastAsia="宋体" w:cs="宋体"/>
                <w:color w:val="000000"/>
                <w:kern w:val="0"/>
                <w:sz w:val="22"/>
                <w:szCs w:val="22"/>
              </w:rPr>
              <w:t>中国民生银行股份有限公司温州分行</w:t>
            </w:r>
          </w:p>
        </w:tc>
        <w:tc>
          <w:tcPr>
            <w:tcW w:w="3698" w:type="dxa"/>
            <w:gridSpan w:val="2"/>
            <w:noWrap w:val="0"/>
            <w:vAlign w:val="center"/>
          </w:tcPr>
          <w:p>
            <w:pPr>
              <w:pStyle w:val="159"/>
              <w:spacing w:line="240" w:lineRule="auto"/>
              <w:ind w:firstLine="0" w:firstLineChars="0"/>
              <w:jc w:val="center"/>
              <w:rPr>
                <w:rFonts w:hint="eastAsia" w:ascii="宋体" w:eastAsia="宋体"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5701" w:type="dxa"/>
            <w:gridSpan w:val="4"/>
            <w:noWrap w:val="0"/>
            <w:vAlign w:val="center"/>
          </w:tcPr>
          <w:p>
            <w:pPr>
              <w:pStyle w:val="159"/>
              <w:spacing w:line="240" w:lineRule="auto"/>
              <w:ind w:firstLine="0" w:firstLineChars="0"/>
              <w:jc w:val="center"/>
              <w:rPr>
                <w:rFonts w:hint="eastAsia" w:ascii="宋体" w:eastAsia="宋体" w:cs="宋体"/>
                <w:color w:val="000000"/>
                <w:kern w:val="0"/>
                <w:sz w:val="22"/>
                <w:szCs w:val="22"/>
              </w:rPr>
            </w:pPr>
            <w:r>
              <w:rPr>
                <w:rFonts w:hint="eastAsia" w:ascii="宋体" w:eastAsia="宋体" w:cs="宋体"/>
                <w:color w:val="000000"/>
                <w:kern w:val="0"/>
                <w:sz w:val="22"/>
                <w:szCs w:val="22"/>
              </w:rPr>
              <w:t>宁波银行股份有限公司温州分行</w:t>
            </w:r>
          </w:p>
        </w:tc>
        <w:tc>
          <w:tcPr>
            <w:tcW w:w="3698" w:type="dxa"/>
            <w:gridSpan w:val="2"/>
            <w:noWrap w:val="0"/>
            <w:vAlign w:val="center"/>
          </w:tcPr>
          <w:p>
            <w:pPr>
              <w:pStyle w:val="159"/>
              <w:spacing w:line="240" w:lineRule="auto"/>
              <w:ind w:firstLine="0" w:firstLineChars="0"/>
              <w:jc w:val="center"/>
              <w:rPr>
                <w:rFonts w:hint="eastAsia" w:ascii="宋体" w:eastAsia="宋体"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5701" w:type="dxa"/>
            <w:gridSpan w:val="4"/>
            <w:noWrap w:val="0"/>
            <w:vAlign w:val="center"/>
          </w:tcPr>
          <w:p>
            <w:pPr>
              <w:pStyle w:val="159"/>
              <w:spacing w:line="240" w:lineRule="auto"/>
              <w:ind w:firstLine="0" w:firstLineChars="0"/>
              <w:jc w:val="center"/>
              <w:rPr>
                <w:rFonts w:hint="eastAsia" w:ascii="宋体" w:eastAsia="宋体" w:cs="宋体"/>
                <w:color w:val="000000"/>
                <w:kern w:val="0"/>
                <w:sz w:val="22"/>
                <w:szCs w:val="22"/>
              </w:rPr>
            </w:pPr>
            <w:r>
              <w:rPr>
                <w:rFonts w:hint="eastAsia" w:ascii="宋体" w:eastAsia="宋体" w:cs="宋体"/>
                <w:color w:val="000000"/>
                <w:kern w:val="0"/>
                <w:sz w:val="22"/>
                <w:szCs w:val="22"/>
              </w:rPr>
              <w:t>杭州银行股份有限公司温州分行</w:t>
            </w:r>
          </w:p>
        </w:tc>
        <w:tc>
          <w:tcPr>
            <w:tcW w:w="3698" w:type="dxa"/>
            <w:gridSpan w:val="2"/>
            <w:noWrap w:val="0"/>
            <w:vAlign w:val="center"/>
          </w:tcPr>
          <w:p>
            <w:pPr>
              <w:pStyle w:val="159"/>
              <w:spacing w:line="240" w:lineRule="auto"/>
              <w:ind w:firstLine="0" w:firstLineChars="0"/>
              <w:jc w:val="center"/>
              <w:rPr>
                <w:rFonts w:hint="eastAsia" w:ascii="宋体" w:eastAsia="宋体"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5701" w:type="dxa"/>
            <w:gridSpan w:val="4"/>
            <w:noWrap w:val="0"/>
            <w:vAlign w:val="center"/>
          </w:tcPr>
          <w:p>
            <w:pPr>
              <w:pStyle w:val="159"/>
              <w:spacing w:line="240" w:lineRule="auto"/>
              <w:ind w:firstLine="0" w:firstLineChars="0"/>
              <w:jc w:val="center"/>
              <w:rPr>
                <w:rFonts w:hint="eastAsia" w:ascii="宋体" w:eastAsia="宋体" w:cs="宋体"/>
                <w:color w:val="000000"/>
                <w:kern w:val="0"/>
                <w:sz w:val="22"/>
                <w:szCs w:val="22"/>
              </w:rPr>
            </w:pPr>
            <w:r>
              <w:rPr>
                <w:rFonts w:hint="eastAsia" w:ascii="宋体" w:eastAsia="宋体" w:cs="宋体"/>
                <w:color w:val="000000"/>
                <w:kern w:val="0"/>
                <w:sz w:val="22"/>
                <w:szCs w:val="22"/>
              </w:rPr>
              <w:t>招商银行股份有限公司温州分行</w:t>
            </w:r>
          </w:p>
        </w:tc>
        <w:tc>
          <w:tcPr>
            <w:tcW w:w="3698" w:type="dxa"/>
            <w:gridSpan w:val="2"/>
            <w:noWrap w:val="0"/>
            <w:vAlign w:val="center"/>
          </w:tcPr>
          <w:p>
            <w:pPr>
              <w:pStyle w:val="159"/>
              <w:spacing w:line="240" w:lineRule="auto"/>
              <w:ind w:firstLine="0" w:firstLineChars="0"/>
              <w:jc w:val="center"/>
              <w:rPr>
                <w:rFonts w:hint="eastAsia" w:ascii="宋体" w:eastAsia="宋体"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5701" w:type="dxa"/>
            <w:gridSpan w:val="4"/>
            <w:noWrap w:val="0"/>
            <w:vAlign w:val="center"/>
          </w:tcPr>
          <w:p>
            <w:pPr>
              <w:pStyle w:val="159"/>
              <w:spacing w:line="240" w:lineRule="auto"/>
              <w:ind w:firstLine="0" w:firstLineChars="0"/>
              <w:jc w:val="center"/>
              <w:rPr>
                <w:rFonts w:hint="eastAsia" w:ascii="宋体" w:eastAsia="宋体" w:cs="宋体"/>
                <w:color w:val="000000"/>
                <w:kern w:val="0"/>
                <w:sz w:val="22"/>
                <w:szCs w:val="22"/>
              </w:rPr>
            </w:pPr>
            <w:r>
              <w:rPr>
                <w:rFonts w:hint="eastAsia" w:ascii="宋体" w:eastAsia="宋体" w:cs="宋体"/>
                <w:color w:val="000000"/>
                <w:kern w:val="0"/>
                <w:sz w:val="22"/>
                <w:szCs w:val="22"/>
              </w:rPr>
              <w:t>兴业银行股份有限公司温州分行</w:t>
            </w:r>
          </w:p>
        </w:tc>
        <w:tc>
          <w:tcPr>
            <w:tcW w:w="3698" w:type="dxa"/>
            <w:gridSpan w:val="2"/>
            <w:noWrap w:val="0"/>
            <w:vAlign w:val="center"/>
          </w:tcPr>
          <w:p>
            <w:pPr>
              <w:pStyle w:val="159"/>
              <w:spacing w:line="240" w:lineRule="auto"/>
              <w:ind w:firstLine="0" w:firstLineChars="0"/>
              <w:jc w:val="center"/>
              <w:rPr>
                <w:rFonts w:hint="eastAsia" w:ascii="宋体" w:eastAsia="宋体"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5701" w:type="dxa"/>
            <w:gridSpan w:val="4"/>
            <w:noWrap w:val="0"/>
            <w:vAlign w:val="center"/>
          </w:tcPr>
          <w:p>
            <w:pPr>
              <w:pStyle w:val="159"/>
              <w:spacing w:line="240" w:lineRule="auto"/>
              <w:ind w:firstLine="0" w:firstLineChars="0"/>
              <w:jc w:val="center"/>
              <w:rPr>
                <w:rFonts w:hint="eastAsia" w:ascii="宋体" w:eastAsia="宋体" w:cs="宋体"/>
                <w:color w:val="000000"/>
                <w:kern w:val="0"/>
                <w:sz w:val="22"/>
                <w:szCs w:val="22"/>
              </w:rPr>
            </w:pPr>
            <w:r>
              <w:rPr>
                <w:rFonts w:hint="eastAsia" w:ascii="宋体" w:eastAsia="宋体" w:cs="宋体"/>
                <w:color w:val="000000"/>
                <w:kern w:val="0"/>
                <w:sz w:val="22"/>
                <w:szCs w:val="22"/>
              </w:rPr>
              <w:t>交通银行股份有限公司温州分行</w:t>
            </w:r>
          </w:p>
        </w:tc>
        <w:tc>
          <w:tcPr>
            <w:tcW w:w="3698" w:type="dxa"/>
            <w:gridSpan w:val="2"/>
            <w:noWrap w:val="0"/>
            <w:vAlign w:val="center"/>
          </w:tcPr>
          <w:p>
            <w:pPr>
              <w:pStyle w:val="159"/>
              <w:spacing w:line="240" w:lineRule="auto"/>
              <w:ind w:firstLine="0" w:firstLineChars="0"/>
              <w:jc w:val="center"/>
              <w:rPr>
                <w:rFonts w:hint="eastAsia" w:ascii="宋体" w:eastAsia="宋体"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5701" w:type="dxa"/>
            <w:gridSpan w:val="4"/>
            <w:noWrap w:val="0"/>
            <w:vAlign w:val="center"/>
          </w:tcPr>
          <w:p>
            <w:pPr>
              <w:pStyle w:val="159"/>
              <w:spacing w:line="240" w:lineRule="auto"/>
              <w:ind w:firstLine="0" w:firstLineChars="0"/>
              <w:jc w:val="center"/>
              <w:rPr>
                <w:rFonts w:hint="eastAsia" w:ascii="宋体" w:eastAsia="宋体" w:cs="宋体"/>
                <w:color w:val="000000"/>
                <w:kern w:val="0"/>
                <w:sz w:val="22"/>
                <w:szCs w:val="22"/>
              </w:rPr>
            </w:pPr>
            <w:r>
              <w:rPr>
                <w:rFonts w:hint="eastAsia" w:ascii="宋体" w:eastAsia="宋体" w:cs="宋体"/>
                <w:color w:val="000000"/>
                <w:kern w:val="0"/>
                <w:sz w:val="22"/>
                <w:szCs w:val="22"/>
              </w:rPr>
              <w:t>上海浦东发展银行股份有限公司温州分行</w:t>
            </w:r>
          </w:p>
        </w:tc>
        <w:tc>
          <w:tcPr>
            <w:tcW w:w="3698" w:type="dxa"/>
            <w:gridSpan w:val="2"/>
            <w:noWrap w:val="0"/>
            <w:vAlign w:val="center"/>
          </w:tcPr>
          <w:p>
            <w:pPr>
              <w:pStyle w:val="159"/>
              <w:spacing w:line="240" w:lineRule="auto"/>
              <w:ind w:firstLine="0" w:firstLineChars="0"/>
              <w:jc w:val="center"/>
              <w:rPr>
                <w:rFonts w:hint="eastAsia" w:ascii="宋体" w:eastAsia="宋体" w:cs="宋体"/>
                <w:color w:val="000000"/>
                <w:kern w:val="0"/>
                <w:sz w:val="22"/>
                <w:szCs w:val="22"/>
              </w:rPr>
            </w:pPr>
          </w:p>
        </w:tc>
      </w:tr>
    </w:tbl>
    <w:p>
      <w:pPr>
        <w:rPr>
          <w:rFonts w:hint="eastAsia" w:ascii="宋体" w:hAnsi="宋体" w:cs="宋体"/>
          <w:sz w:val="22"/>
          <w:szCs w:val="22"/>
        </w:rPr>
      </w:pPr>
      <w:r>
        <w:rPr>
          <w:rFonts w:hint="eastAsia" w:ascii="宋体" w:hAnsi="宋体" w:cs="宋体"/>
          <w:sz w:val="22"/>
          <w:szCs w:val="22"/>
        </w:rPr>
        <w:t>注：1、本表填写对象为注册地在温州市域内的供应商。</w:t>
      </w:r>
    </w:p>
    <w:p>
      <w:pPr>
        <w:pStyle w:val="24"/>
        <w:adjustRightInd w:val="0"/>
        <w:snapToGrid w:val="0"/>
        <w:rPr>
          <w:rFonts w:hint="eastAsia" w:hAnsi="宋体" w:cs="宋体"/>
          <w:sz w:val="22"/>
          <w:szCs w:val="22"/>
        </w:rPr>
      </w:pPr>
      <w:r>
        <w:rPr>
          <w:rFonts w:hint="eastAsia" w:hAnsi="宋体" w:cs="宋体"/>
          <w:sz w:val="22"/>
          <w:szCs w:val="22"/>
        </w:rPr>
        <w:t>2、财政部门根据企业自行选择，将本表及企业相关信息推送至相对应的融资意向银行经办人。</w:t>
      </w:r>
    </w:p>
    <w:p>
      <w:pPr>
        <w:pStyle w:val="24"/>
        <w:adjustRightInd w:val="0"/>
        <w:snapToGrid w:val="0"/>
        <w:rPr>
          <w:rFonts w:hint="eastAsia" w:hAnsi="宋体" w:cs="宋体"/>
          <w:sz w:val="22"/>
          <w:szCs w:val="22"/>
        </w:rPr>
      </w:pPr>
    </w:p>
    <w:p>
      <w:pPr>
        <w:pStyle w:val="24"/>
        <w:adjustRightInd w:val="0"/>
        <w:snapToGrid w:val="0"/>
        <w:rPr>
          <w:rFonts w:hint="eastAsia" w:hAnsi="宋体" w:cs="宋体"/>
          <w:sz w:val="22"/>
          <w:szCs w:val="22"/>
        </w:rPr>
      </w:pPr>
    </w:p>
    <w:p>
      <w:pPr>
        <w:pStyle w:val="25"/>
        <w:rPr>
          <w:rFonts w:hint="eastAsia" w:ascii="宋体" w:hAnsi="宋体" w:cs="宋体"/>
          <w:sz w:val="22"/>
          <w:szCs w:val="22"/>
        </w:rPr>
      </w:pPr>
    </w:p>
    <w:p>
      <w:pPr>
        <w:rPr>
          <w:rFonts w:hint="eastAsia" w:ascii="宋体" w:hAnsi="宋体" w:cs="宋体"/>
          <w:sz w:val="22"/>
          <w:szCs w:val="22"/>
        </w:rPr>
      </w:pPr>
    </w:p>
    <w:p>
      <w:pPr>
        <w:pStyle w:val="2"/>
        <w:rPr>
          <w:rFonts w:hint="eastAsia" w:ascii="宋体" w:hAnsi="宋体" w:cs="宋体"/>
          <w:sz w:val="22"/>
          <w:szCs w:val="22"/>
        </w:rPr>
      </w:pPr>
    </w:p>
    <w:p>
      <w:pPr>
        <w:pStyle w:val="3"/>
        <w:ind w:firstLine="220"/>
        <w:rPr>
          <w:rFonts w:hint="eastAsia" w:ascii="宋体" w:hAnsi="宋体" w:cs="宋体"/>
          <w:sz w:val="22"/>
          <w:szCs w:val="22"/>
        </w:rPr>
      </w:pPr>
    </w:p>
    <w:p>
      <w:pPr>
        <w:pStyle w:val="4"/>
        <w:rPr>
          <w:rFonts w:hint="eastAsia" w:ascii="宋体" w:hAnsi="宋体" w:cs="宋体"/>
          <w:sz w:val="22"/>
          <w:szCs w:val="22"/>
        </w:rPr>
      </w:pPr>
    </w:p>
    <w:p>
      <w:pPr>
        <w:rPr>
          <w:rFonts w:hint="eastAsia" w:ascii="宋体" w:hAnsi="宋体" w:cs="宋体"/>
          <w:sz w:val="22"/>
          <w:szCs w:val="22"/>
        </w:rPr>
      </w:pPr>
    </w:p>
    <w:p>
      <w:pPr>
        <w:pStyle w:val="2"/>
        <w:rPr>
          <w:rFonts w:hint="eastAsia" w:ascii="宋体" w:hAnsi="宋体" w:cs="宋体"/>
          <w:sz w:val="22"/>
          <w:szCs w:val="22"/>
        </w:rPr>
      </w:pPr>
    </w:p>
    <w:p>
      <w:pPr>
        <w:pStyle w:val="3"/>
        <w:ind w:firstLine="220"/>
        <w:rPr>
          <w:rFonts w:hint="eastAsia" w:ascii="宋体" w:hAnsi="宋体" w:cs="宋体"/>
          <w:sz w:val="22"/>
          <w:szCs w:val="22"/>
        </w:rPr>
      </w:pPr>
    </w:p>
    <w:p>
      <w:pPr>
        <w:pStyle w:val="4"/>
        <w:rPr>
          <w:rFonts w:hint="eastAsia" w:ascii="宋体" w:hAnsi="宋体" w:cs="宋体"/>
          <w:sz w:val="22"/>
          <w:szCs w:val="22"/>
        </w:rPr>
      </w:pPr>
    </w:p>
    <w:p>
      <w:pPr>
        <w:rPr>
          <w:rFonts w:hint="eastAsia"/>
        </w:rPr>
      </w:pPr>
    </w:p>
    <w:p>
      <w:pPr>
        <w:pStyle w:val="2"/>
        <w:rPr>
          <w:rFonts w:hint="eastAsia"/>
        </w:rPr>
      </w:pPr>
    </w:p>
    <w:p>
      <w:pPr>
        <w:pStyle w:val="3"/>
        <w:ind w:firstLine="210"/>
        <w:rPr>
          <w:rFonts w:hint="eastAsia"/>
        </w:rPr>
      </w:pPr>
    </w:p>
    <w:p>
      <w:pPr>
        <w:pStyle w:val="24"/>
        <w:adjustRightInd w:val="0"/>
        <w:snapToGrid w:val="0"/>
        <w:rPr>
          <w:rFonts w:hint="eastAsia" w:hAnsi="宋体" w:cs="宋体"/>
          <w:sz w:val="22"/>
          <w:szCs w:val="22"/>
        </w:rPr>
      </w:pP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81"/>
        <w:gridCol w:w="4386"/>
        <w:gridCol w:w="969"/>
        <w:gridCol w:w="24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jc w:val="center"/>
        </w:trPr>
        <w:tc>
          <w:tcPr>
            <w:tcW w:w="9512" w:type="dxa"/>
            <w:gridSpan w:val="4"/>
            <w:noWrap w:val="0"/>
            <w:vAlign w:val="center"/>
          </w:tcPr>
          <w:p>
            <w:pPr>
              <w:jc w:val="center"/>
              <w:rPr>
                <w:rFonts w:hint="eastAsia" w:ascii="宋体" w:hAnsi="宋体" w:cs="宋体"/>
                <w:sz w:val="22"/>
                <w:szCs w:val="22"/>
              </w:rPr>
            </w:pPr>
            <w:r>
              <w:rPr>
                <w:rFonts w:hint="eastAsia" w:ascii="宋体" w:hAnsi="宋体" w:cs="宋体"/>
                <w:color w:val="333333"/>
                <w:sz w:val="22"/>
                <w:szCs w:val="22"/>
              </w:rPr>
              <w:t>温州市政府采购支持中小企业信用融资合作银行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1526" w:type="dxa"/>
            <w:noWrap w:val="0"/>
            <w:vAlign w:val="center"/>
          </w:tcPr>
          <w:p>
            <w:pPr>
              <w:pStyle w:val="159"/>
              <w:spacing w:line="360" w:lineRule="auto"/>
              <w:ind w:firstLine="0" w:firstLineChars="0"/>
              <w:jc w:val="center"/>
              <w:rPr>
                <w:rFonts w:hint="eastAsia" w:ascii="宋体" w:eastAsia="宋体" w:cs="宋体"/>
                <w:color w:val="000000"/>
                <w:kern w:val="0"/>
                <w:sz w:val="22"/>
                <w:szCs w:val="22"/>
              </w:rPr>
            </w:pPr>
            <w:r>
              <w:rPr>
                <w:rFonts w:hint="eastAsia" w:ascii="宋体" w:eastAsia="宋体" w:cs="宋体"/>
                <w:color w:val="000000"/>
                <w:kern w:val="0"/>
                <w:sz w:val="22"/>
                <w:szCs w:val="22"/>
              </w:rPr>
              <w:t>银行名称</w:t>
            </w:r>
          </w:p>
        </w:tc>
        <w:tc>
          <w:tcPr>
            <w:tcW w:w="4536" w:type="dxa"/>
            <w:noWrap w:val="0"/>
            <w:vAlign w:val="center"/>
          </w:tcPr>
          <w:p>
            <w:pPr>
              <w:pStyle w:val="159"/>
              <w:spacing w:line="360" w:lineRule="auto"/>
              <w:ind w:firstLine="0" w:firstLineChars="0"/>
              <w:jc w:val="center"/>
              <w:rPr>
                <w:rFonts w:hint="eastAsia" w:ascii="宋体" w:eastAsia="宋体" w:cs="宋体"/>
                <w:color w:val="000000"/>
                <w:kern w:val="0"/>
                <w:sz w:val="22"/>
                <w:szCs w:val="22"/>
              </w:rPr>
            </w:pPr>
            <w:r>
              <w:rPr>
                <w:rFonts w:hint="eastAsia" w:ascii="宋体" w:eastAsia="宋体" w:cs="宋体"/>
                <w:color w:val="000000"/>
                <w:kern w:val="0"/>
                <w:sz w:val="22"/>
                <w:szCs w:val="22"/>
              </w:rPr>
              <w:t>产品特点（不超过120字）</w:t>
            </w:r>
          </w:p>
        </w:tc>
        <w:tc>
          <w:tcPr>
            <w:tcW w:w="992" w:type="dxa"/>
            <w:noWrap w:val="0"/>
            <w:vAlign w:val="center"/>
          </w:tcPr>
          <w:p>
            <w:pPr>
              <w:pStyle w:val="159"/>
              <w:spacing w:line="360" w:lineRule="auto"/>
              <w:ind w:firstLine="0" w:firstLineChars="0"/>
              <w:jc w:val="center"/>
              <w:rPr>
                <w:rFonts w:hint="eastAsia" w:ascii="宋体" w:eastAsia="宋体" w:cs="宋体"/>
                <w:color w:val="000000"/>
                <w:kern w:val="0"/>
                <w:sz w:val="22"/>
                <w:szCs w:val="22"/>
              </w:rPr>
            </w:pPr>
            <w:r>
              <w:rPr>
                <w:rFonts w:hint="eastAsia" w:ascii="宋体" w:eastAsia="宋体" w:cs="宋体"/>
                <w:color w:val="000000"/>
                <w:kern w:val="0"/>
                <w:sz w:val="22"/>
                <w:szCs w:val="22"/>
              </w:rPr>
              <w:t>经办人</w:t>
            </w:r>
          </w:p>
        </w:tc>
        <w:tc>
          <w:tcPr>
            <w:tcW w:w="2458" w:type="dxa"/>
            <w:noWrap w:val="0"/>
            <w:vAlign w:val="center"/>
          </w:tcPr>
          <w:p>
            <w:pPr>
              <w:jc w:val="center"/>
              <w:rPr>
                <w:rFonts w:hint="eastAsia" w:ascii="宋体" w:hAnsi="宋体" w:cs="宋体"/>
                <w:sz w:val="22"/>
                <w:szCs w:val="22"/>
              </w:rPr>
            </w:pPr>
            <w:r>
              <w:rPr>
                <w:rFonts w:hint="eastAsia" w:ascii="宋体" w:hAnsi="宋体" w:cs="宋体"/>
                <w:sz w:val="22"/>
                <w:szCs w:val="22"/>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26" w:type="dxa"/>
            <w:noWrap w:val="0"/>
            <w:vAlign w:val="center"/>
          </w:tcPr>
          <w:p>
            <w:pPr>
              <w:pStyle w:val="159"/>
              <w:spacing w:line="360" w:lineRule="auto"/>
              <w:ind w:firstLine="0" w:firstLineChars="0"/>
              <w:rPr>
                <w:rFonts w:hint="eastAsia" w:ascii="宋体" w:eastAsia="宋体" w:cs="宋体"/>
                <w:color w:val="000000"/>
                <w:kern w:val="0"/>
                <w:sz w:val="22"/>
                <w:szCs w:val="22"/>
              </w:rPr>
            </w:pPr>
            <w:r>
              <w:rPr>
                <w:rFonts w:hint="eastAsia" w:ascii="宋体" w:eastAsia="宋体" w:cs="宋体"/>
                <w:color w:val="000000"/>
                <w:kern w:val="0"/>
                <w:sz w:val="22"/>
                <w:szCs w:val="22"/>
              </w:rPr>
              <w:t>中国工商银行股份有限公司温州分行</w:t>
            </w:r>
          </w:p>
        </w:tc>
        <w:tc>
          <w:tcPr>
            <w:tcW w:w="4536" w:type="dxa"/>
            <w:noWrap w:val="0"/>
            <w:vAlign w:val="center"/>
          </w:tcPr>
          <w:p>
            <w:pPr>
              <w:rPr>
                <w:rFonts w:hint="eastAsia" w:ascii="宋体" w:hAnsi="宋体" w:cs="宋体"/>
                <w:sz w:val="22"/>
                <w:szCs w:val="22"/>
              </w:rPr>
            </w:pPr>
            <w:r>
              <w:rPr>
                <w:rFonts w:hint="eastAsia" w:ascii="宋体" w:hAnsi="宋体" w:cs="宋体"/>
                <w:sz w:val="22"/>
                <w:szCs w:val="22"/>
              </w:rPr>
              <w:t>一、融资方式：采取简易方式,根据流水及纳税情况核定额度。信用方式。（融资200万以下）根据政府采购合同及供应商资金需求确定，以信用为主，追加采购合同项下的预期销货款为我行质押。（融资200万以上）二、融资利率：在我行一般中小企业信用贷款利率基础上下浮10%。</w:t>
            </w:r>
          </w:p>
        </w:tc>
        <w:tc>
          <w:tcPr>
            <w:tcW w:w="992" w:type="dxa"/>
            <w:noWrap w:val="0"/>
            <w:vAlign w:val="center"/>
          </w:tcPr>
          <w:p>
            <w:pPr>
              <w:pStyle w:val="159"/>
              <w:spacing w:line="360" w:lineRule="auto"/>
              <w:ind w:firstLine="0" w:firstLineChars="0"/>
              <w:rPr>
                <w:rFonts w:hint="eastAsia" w:ascii="宋体" w:eastAsia="宋体" w:cs="宋体"/>
                <w:color w:val="000000"/>
                <w:kern w:val="0"/>
                <w:sz w:val="22"/>
                <w:szCs w:val="22"/>
              </w:rPr>
            </w:pPr>
          </w:p>
          <w:p>
            <w:pPr>
              <w:pStyle w:val="159"/>
              <w:spacing w:line="360" w:lineRule="auto"/>
              <w:ind w:firstLine="0" w:firstLineChars="0"/>
              <w:rPr>
                <w:rFonts w:hint="eastAsia" w:ascii="宋体" w:eastAsia="宋体" w:cs="宋体"/>
                <w:color w:val="000000"/>
                <w:kern w:val="0"/>
                <w:sz w:val="22"/>
                <w:szCs w:val="22"/>
              </w:rPr>
            </w:pPr>
            <w:r>
              <w:rPr>
                <w:rFonts w:hint="eastAsia" w:ascii="宋体" w:eastAsia="宋体" w:cs="宋体"/>
                <w:color w:val="000000"/>
                <w:kern w:val="0"/>
                <w:sz w:val="22"/>
                <w:szCs w:val="22"/>
              </w:rPr>
              <w:t>王经理</w:t>
            </w:r>
          </w:p>
        </w:tc>
        <w:tc>
          <w:tcPr>
            <w:tcW w:w="2458" w:type="dxa"/>
            <w:noWrap w:val="0"/>
            <w:vAlign w:val="center"/>
          </w:tcPr>
          <w:p>
            <w:pPr>
              <w:jc w:val="left"/>
              <w:rPr>
                <w:rFonts w:hint="eastAsia" w:ascii="宋体" w:hAnsi="宋体" w:cs="宋体"/>
                <w:sz w:val="22"/>
                <w:szCs w:val="22"/>
              </w:rPr>
            </w:pPr>
            <w:r>
              <w:rPr>
                <w:rFonts w:hint="eastAsia" w:ascii="宋体" w:hAnsi="宋体" w:cs="宋体"/>
                <w:sz w:val="22"/>
                <w:szCs w:val="22"/>
              </w:rPr>
              <w:t>0577-88186626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8" w:hRule="atLeast"/>
          <w:jc w:val="center"/>
        </w:trPr>
        <w:tc>
          <w:tcPr>
            <w:tcW w:w="1526" w:type="dxa"/>
            <w:noWrap w:val="0"/>
            <w:vAlign w:val="center"/>
          </w:tcPr>
          <w:p>
            <w:pPr>
              <w:rPr>
                <w:rFonts w:hint="eastAsia" w:ascii="宋体" w:hAnsi="宋体" w:cs="宋体"/>
                <w:sz w:val="22"/>
                <w:szCs w:val="22"/>
              </w:rPr>
            </w:pPr>
            <w:r>
              <w:rPr>
                <w:rFonts w:hint="eastAsia" w:ascii="宋体" w:hAnsi="宋体" w:cs="宋体"/>
                <w:sz w:val="22"/>
                <w:szCs w:val="22"/>
              </w:rPr>
              <w:t>中国建设银行股份有限公司温州分行</w:t>
            </w:r>
          </w:p>
        </w:tc>
        <w:tc>
          <w:tcPr>
            <w:tcW w:w="4536" w:type="dxa"/>
            <w:noWrap w:val="0"/>
            <w:vAlign w:val="center"/>
          </w:tcPr>
          <w:p>
            <w:pPr>
              <w:rPr>
                <w:rFonts w:hint="eastAsia" w:ascii="宋体" w:hAnsi="宋体" w:cs="宋体"/>
                <w:sz w:val="22"/>
                <w:szCs w:val="22"/>
              </w:rPr>
            </w:pPr>
            <w:r>
              <w:rPr>
                <w:rFonts w:hint="eastAsia" w:ascii="宋体" w:hAnsi="宋体" w:cs="宋体"/>
                <w:sz w:val="22"/>
                <w:szCs w:val="22"/>
              </w:rPr>
              <w:t>申请手续简便：以政府采购合同为基础，无需额外抵押和担保；融资价格优惠：最低可享受4.15%的优惠利率，随LPR浮动调整；到账时间快速：最快可实现当日申请，当日放款；办理流程省心：线上操作流程，免去银行排队奔波。</w:t>
            </w:r>
          </w:p>
        </w:tc>
        <w:tc>
          <w:tcPr>
            <w:tcW w:w="992" w:type="dxa"/>
            <w:noWrap w:val="0"/>
            <w:vAlign w:val="center"/>
          </w:tcPr>
          <w:p>
            <w:pPr>
              <w:rPr>
                <w:rFonts w:hint="eastAsia" w:ascii="宋体" w:hAnsi="宋体" w:cs="宋体"/>
                <w:sz w:val="22"/>
                <w:szCs w:val="22"/>
              </w:rPr>
            </w:pPr>
          </w:p>
          <w:p>
            <w:pPr>
              <w:rPr>
                <w:rFonts w:hint="eastAsia" w:ascii="宋体" w:hAnsi="宋体" w:cs="宋体"/>
                <w:sz w:val="22"/>
                <w:szCs w:val="22"/>
              </w:rPr>
            </w:pPr>
          </w:p>
          <w:p>
            <w:pPr>
              <w:rPr>
                <w:rFonts w:hint="eastAsia" w:ascii="宋体" w:hAnsi="宋体" w:cs="宋体"/>
                <w:sz w:val="22"/>
                <w:szCs w:val="22"/>
              </w:rPr>
            </w:pPr>
            <w:r>
              <w:rPr>
                <w:rFonts w:hint="eastAsia" w:ascii="宋体" w:hAnsi="宋体" w:cs="宋体"/>
                <w:sz w:val="22"/>
                <w:szCs w:val="22"/>
              </w:rPr>
              <w:t>张经理</w:t>
            </w:r>
          </w:p>
        </w:tc>
        <w:tc>
          <w:tcPr>
            <w:tcW w:w="2458" w:type="dxa"/>
            <w:noWrap w:val="0"/>
            <w:vAlign w:val="center"/>
          </w:tcPr>
          <w:p>
            <w:pPr>
              <w:jc w:val="left"/>
              <w:rPr>
                <w:rFonts w:hint="eastAsia" w:ascii="宋体" w:hAnsi="宋体" w:cs="宋体"/>
                <w:sz w:val="22"/>
                <w:szCs w:val="22"/>
              </w:rPr>
            </w:pPr>
            <w:r>
              <w:rPr>
                <w:rFonts w:hint="eastAsia" w:ascii="宋体" w:hAnsi="宋体" w:cs="宋体"/>
                <w:sz w:val="22"/>
                <w:szCs w:val="22"/>
              </w:rPr>
              <w:t>0577-88093286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26" w:type="dxa"/>
            <w:noWrap w:val="0"/>
            <w:vAlign w:val="center"/>
          </w:tcPr>
          <w:p>
            <w:pPr>
              <w:pStyle w:val="159"/>
              <w:spacing w:line="360" w:lineRule="auto"/>
              <w:ind w:firstLine="0" w:firstLineChars="0"/>
              <w:rPr>
                <w:rFonts w:hint="eastAsia" w:ascii="宋体" w:eastAsia="宋体" w:cs="宋体"/>
                <w:color w:val="000000"/>
                <w:kern w:val="0"/>
                <w:sz w:val="22"/>
                <w:szCs w:val="22"/>
              </w:rPr>
            </w:pPr>
            <w:r>
              <w:rPr>
                <w:rFonts w:hint="eastAsia" w:ascii="宋体" w:eastAsia="宋体" w:cs="宋体"/>
                <w:color w:val="000000"/>
                <w:kern w:val="0"/>
                <w:sz w:val="22"/>
                <w:szCs w:val="22"/>
              </w:rPr>
              <w:t>中国邮政储蓄银行股份有限公司温州市分行</w:t>
            </w:r>
          </w:p>
        </w:tc>
        <w:tc>
          <w:tcPr>
            <w:tcW w:w="4536" w:type="dxa"/>
            <w:noWrap w:val="0"/>
            <w:vAlign w:val="center"/>
          </w:tcPr>
          <w:p>
            <w:pPr>
              <w:rPr>
                <w:rFonts w:hint="eastAsia" w:ascii="宋体" w:hAnsi="宋体" w:cs="宋体"/>
                <w:sz w:val="22"/>
                <w:szCs w:val="22"/>
              </w:rPr>
            </w:pPr>
            <w:r>
              <w:rPr>
                <w:rFonts w:hint="eastAsia" w:ascii="宋体" w:hAnsi="宋体" w:cs="宋体"/>
                <w:sz w:val="22"/>
                <w:szCs w:val="22"/>
              </w:rPr>
              <w:t>“政府采购贷”业务，是指我行为政府采购项目中标企业发放的，用于中标企业合法生产经营活动的短期人民币流动资金贷款。贷款免抵押、免担保，手续便捷、审批快速，单笔金额最高500万元，单笔期限最长18个月。</w:t>
            </w:r>
          </w:p>
        </w:tc>
        <w:tc>
          <w:tcPr>
            <w:tcW w:w="992" w:type="dxa"/>
            <w:noWrap w:val="0"/>
            <w:vAlign w:val="center"/>
          </w:tcPr>
          <w:p>
            <w:pPr>
              <w:rPr>
                <w:rFonts w:hint="eastAsia" w:ascii="宋体" w:hAnsi="宋体" w:cs="宋体"/>
                <w:sz w:val="22"/>
                <w:szCs w:val="22"/>
              </w:rPr>
            </w:pPr>
            <w:r>
              <w:rPr>
                <w:rFonts w:hint="eastAsia" w:ascii="宋体" w:hAnsi="宋体" w:cs="宋体"/>
                <w:sz w:val="22"/>
                <w:szCs w:val="22"/>
              </w:rPr>
              <w:t>郑经理</w:t>
            </w:r>
          </w:p>
        </w:tc>
        <w:tc>
          <w:tcPr>
            <w:tcW w:w="2458" w:type="dxa"/>
            <w:noWrap w:val="0"/>
            <w:vAlign w:val="center"/>
          </w:tcPr>
          <w:p>
            <w:pPr>
              <w:jc w:val="left"/>
              <w:rPr>
                <w:rFonts w:hint="eastAsia" w:ascii="宋体" w:hAnsi="宋体" w:cs="宋体"/>
                <w:sz w:val="22"/>
                <w:szCs w:val="22"/>
              </w:rPr>
            </w:pPr>
            <w:r>
              <w:rPr>
                <w:rFonts w:hint="eastAsia" w:ascii="宋体" w:hAnsi="宋体" w:cs="宋体"/>
                <w:sz w:val="22"/>
                <w:szCs w:val="22"/>
              </w:rPr>
              <w:t>0577-88193910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26" w:type="dxa"/>
            <w:noWrap w:val="0"/>
            <w:vAlign w:val="center"/>
          </w:tcPr>
          <w:p>
            <w:pPr>
              <w:pStyle w:val="159"/>
              <w:spacing w:line="360" w:lineRule="auto"/>
              <w:ind w:firstLine="0" w:firstLineChars="0"/>
              <w:rPr>
                <w:rFonts w:hint="eastAsia" w:ascii="宋体" w:eastAsia="宋体" w:cs="宋体"/>
                <w:color w:val="000000"/>
                <w:kern w:val="0"/>
                <w:sz w:val="22"/>
                <w:szCs w:val="22"/>
              </w:rPr>
            </w:pPr>
            <w:r>
              <w:rPr>
                <w:rFonts w:hint="eastAsia" w:ascii="宋体" w:eastAsia="宋体" w:cs="宋体"/>
                <w:color w:val="000000"/>
                <w:kern w:val="0"/>
                <w:sz w:val="22"/>
                <w:szCs w:val="22"/>
              </w:rPr>
              <w:t>中国民生银行股份有限公司温州分行</w:t>
            </w:r>
          </w:p>
        </w:tc>
        <w:tc>
          <w:tcPr>
            <w:tcW w:w="4536" w:type="dxa"/>
            <w:noWrap w:val="0"/>
            <w:vAlign w:val="center"/>
          </w:tcPr>
          <w:p>
            <w:pPr>
              <w:jc w:val="left"/>
              <w:rPr>
                <w:rFonts w:hint="eastAsia" w:ascii="宋体" w:hAnsi="宋体" w:cs="宋体"/>
                <w:sz w:val="22"/>
                <w:szCs w:val="22"/>
              </w:rPr>
            </w:pPr>
            <w:r>
              <w:rPr>
                <w:rFonts w:hint="eastAsia" w:ascii="宋体" w:hAnsi="宋体" w:cs="宋体"/>
                <w:sz w:val="22"/>
                <w:szCs w:val="22"/>
              </w:rPr>
              <w:t>民生银行供应链金融“政采贷”产品，专为政府采购场景下的中小企业融资而设计，最高融资额度可达政府采购合同交易金额的70%,最高单笔授信金额可达500万元，期限最长可达1年，无需抵押，无需办理应收账款质押，材料简单，流程便捷，利率优惠。</w:t>
            </w:r>
          </w:p>
        </w:tc>
        <w:tc>
          <w:tcPr>
            <w:tcW w:w="992" w:type="dxa"/>
            <w:noWrap w:val="0"/>
            <w:vAlign w:val="center"/>
          </w:tcPr>
          <w:p>
            <w:pPr>
              <w:rPr>
                <w:rFonts w:hint="eastAsia" w:ascii="宋体" w:hAnsi="宋体" w:cs="宋体"/>
                <w:sz w:val="22"/>
                <w:szCs w:val="22"/>
              </w:rPr>
            </w:pPr>
          </w:p>
          <w:p>
            <w:pPr>
              <w:rPr>
                <w:rFonts w:hint="eastAsia" w:ascii="宋体" w:hAnsi="宋体" w:cs="宋体"/>
                <w:sz w:val="22"/>
                <w:szCs w:val="22"/>
              </w:rPr>
            </w:pPr>
            <w:r>
              <w:rPr>
                <w:rFonts w:hint="eastAsia" w:ascii="宋体" w:hAnsi="宋体" w:cs="宋体"/>
                <w:sz w:val="22"/>
                <w:szCs w:val="22"/>
              </w:rPr>
              <w:t>项经理</w:t>
            </w:r>
          </w:p>
        </w:tc>
        <w:tc>
          <w:tcPr>
            <w:tcW w:w="2458" w:type="dxa"/>
            <w:noWrap w:val="0"/>
            <w:vAlign w:val="center"/>
          </w:tcPr>
          <w:p>
            <w:pPr>
              <w:jc w:val="left"/>
              <w:rPr>
                <w:rFonts w:hint="eastAsia" w:ascii="宋体" w:hAnsi="宋体" w:cs="宋体"/>
                <w:sz w:val="22"/>
                <w:szCs w:val="22"/>
              </w:rPr>
            </w:pPr>
            <w:r>
              <w:rPr>
                <w:rFonts w:hint="eastAsia" w:ascii="宋体" w:hAnsi="宋体" w:cs="宋体"/>
                <w:sz w:val="22"/>
                <w:szCs w:val="22"/>
              </w:rPr>
              <w:t>18057779630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26" w:type="dxa"/>
            <w:noWrap w:val="0"/>
            <w:vAlign w:val="center"/>
          </w:tcPr>
          <w:p>
            <w:pPr>
              <w:pStyle w:val="159"/>
              <w:spacing w:line="360" w:lineRule="auto"/>
              <w:ind w:firstLine="0" w:firstLineChars="0"/>
              <w:rPr>
                <w:rFonts w:hint="eastAsia" w:ascii="宋体" w:eastAsia="宋体" w:cs="宋体"/>
                <w:color w:val="000000"/>
                <w:kern w:val="0"/>
                <w:sz w:val="22"/>
                <w:szCs w:val="22"/>
              </w:rPr>
            </w:pPr>
            <w:r>
              <w:rPr>
                <w:rFonts w:hint="eastAsia" w:ascii="宋体" w:eastAsia="宋体" w:cs="宋体"/>
                <w:color w:val="000000"/>
                <w:kern w:val="0"/>
                <w:sz w:val="22"/>
                <w:szCs w:val="22"/>
              </w:rPr>
              <w:t>宁波银行股份有限公司温州分行</w:t>
            </w:r>
          </w:p>
        </w:tc>
        <w:tc>
          <w:tcPr>
            <w:tcW w:w="4536" w:type="dxa"/>
            <w:noWrap w:val="0"/>
            <w:vAlign w:val="center"/>
          </w:tcPr>
          <w:p>
            <w:pPr>
              <w:rPr>
                <w:rFonts w:hint="eastAsia" w:ascii="宋体" w:hAnsi="宋体" w:cs="宋体"/>
                <w:sz w:val="22"/>
                <w:szCs w:val="22"/>
              </w:rPr>
            </w:pPr>
            <w:r>
              <w:rPr>
                <w:rFonts w:hint="eastAsia" w:ascii="宋体" w:hAnsi="宋体" w:cs="宋体"/>
                <w:sz w:val="22"/>
                <w:szCs w:val="22"/>
              </w:rPr>
              <w:t>宁波银行政府采购融资指应供应商申请，以政府采购合同项下的回款为主要还款来源，为满足供应商履行采购合同所需资金而向其提供融资的信贷业务。提供中标通知书及其他授信材料即可申请，授信担保方式为信用，最长期限不超过一年，最大金额不超过2000万元。</w:t>
            </w:r>
          </w:p>
        </w:tc>
        <w:tc>
          <w:tcPr>
            <w:tcW w:w="992" w:type="dxa"/>
            <w:noWrap w:val="0"/>
            <w:vAlign w:val="center"/>
          </w:tcPr>
          <w:p>
            <w:pPr>
              <w:rPr>
                <w:rFonts w:hint="eastAsia" w:ascii="宋体" w:hAnsi="宋体" w:cs="宋体"/>
                <w:sz w:val="22"/>
                <w:szCs w:val="22"/>
              </w:rPr>
            </w:pPr>
          </w:p>
          <w:p>
            <w:pPr>
              <w:rPr>
                <w:rFonts w:hint="eastAsia" w:ascii="宋体" w:hAnsi="宋体" w:cs="宋体"/>
                <w:sz w:val="22"/>
                <w:szCs w:val="22"/>
              </w:rPr>
            </w:pPr>
            <w:r>
              <w:rPr>
                <w:rFonts w:hint="eastAsia" w:ascii="宋体" w:hAnsi="宋体" w:cs="宋体"/>
                <w:sz w:val="22"/>
                <w:szCs w:val="22"/>
              </w:rPr>
              <w:t>陈经理</w:t>
            </w:r>
          </w:p>
        </w:tc>
        <w:tc>
          <w:tcPr>
            <w:tcW w:w="2458" w:type="dxa"/>
            <w:noWrap w:val="0"/>
            <w:vAlign w:val="center"/>
          </w:tcPr>
          <w:p>
            <w:pPr>
              <w:jc w:val="left"/>
              <w:rPr>
                <w:rFonts w:hint="eastAsia" w:ascii="宋体" w:hAnsi="宋体" w:cs="宋体"/>
                <w:sz w:val="22"/>
                <w:szCs w:val="22"/>
              </w:rPr>
            </w:pPr>
            <w:r>
              <w:rPr>
                <w:rFonts w:hint="eastAsia" w:ascii="宋体" w:hAnsi="宋体" w:cs="宋体"/>
                <w:sz w:val="22"/>
                <w:szCs w:val="22"/>
              </w:rPr>
              <w:t>0577－88007377</w:t>
            </w:r>
          </w:p>
          <w:p>
            <w:pPr>
              <w:jc w:val="left"/>
              <w:rPr>
                <w:rFonts w:hint="eastAsia" w:ascii="宋体" w:hAnsi="宋体" w:cs="宋体"/>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26" w:type="dxa"/>
            <w:noWrap w:val="0"/>
            <w:vAlign w:val="center"/>
          </w:tcPr>
          <w:p>
            <w:pPr>
              <w:pStyle w:val="159"/>
              <w:spacing w:line="360" w:lineRule="auto"/>
              <w:ind w:firstLine="0" w:firstLineChars="0"/>
              <w:rPr>
                <w:rFonts w:hint="eastAsia" w:ascii="宋体" w:eastAsia="宋体" w:cs="宋体"/>
                <w:color w:val="000000"/>
                <w:kern w:val="0"/>
                <w:sz w:val="22"/>
                <w:szCs w:val="22"/>
              </w:rPr>
            </w:pPr>
            <w:r>
              <w:rPr>
                <w:rFonts w:hint="eastAsia" w:ascii="宋体" w:eastAsia="宋体" w:cs="宋体"/>
                <w:color w:val="000000"/>
                <w:kern w:val="0"/>
                <w:sz w:val="22"/>
                <w:szCs w:val="22"/>
              </w:rPr>
              <w:t>杭州银行股份有限公司温州分行</w:t>
            </w:r>
          </w:p>
        </w:tc>
        <w:tc>
          <w:tcPr>
            <w:tcW w:w="4536" w:type="dxa"/>
            <w:noWrap w:val="0"/>
            <w:vAlign w:val="center"/>
          </w:tcPr>
          <w:p>
            <w:pPr>
              <w:rPr>
                <w:rFonts w:hint="eastAsia" w:ascii="宋体" w:hAnsi="宋体" w:cs="宋体"/>
                <w:sz w:val="22"/>
                <w:szCs w:val="22"/>
              </w:rPr>
            </w:pPr>
            <w:r>
              <w:rPr>
                <w:rFonts w:hint="eastAsia" w:ascii="宋体" w:hAnsi="宋体" w:cs="宋体"/>
                <w:sz w:val="22"/>
                <w:szCs w:val="22"/>
              </w:rPr>
              <w:t>门槛低：纯信用，平台注册入库并取得采购合同即可申请</w:t>
            </w:r>
          </w:p>
          <w:p>
            <w:pPr>
              <w:rPr>
                <w:rFonts w:hint="eastAsia" w:ascii="宋体" w:hAnsi="宋体" w:cs="宋体"/>
                <w:sz w:val="22"/>
                <w:szCs w:val="22"/>
              </w:rPr>
            </w:pPr>
            <w:r>
              <w:rPr>
                <w:rFonts w:hint="eastAsia" w:ascii="宋体" w:hAnsi="宋体" w:cs="宋体"/>
                <w:sz w:val="22"/>
                <w:szCs w:val="22"/>
              </w:rPr>
              <w:t>手续简：线上申请+线上签约，足不出户</w:t>
            </w:r>
          </w:p>
          <w:p>
            <w:pPr>
              <w:rPr>
                <w:rFonts w:hint="eastAsia" w:ascii="宋体" w:hAnsi="宋体" w:cs="宋体"/>
                <w:sz w:val="22"/>
                <w:szCs w:val="22"/>
              </w:rPr>
            </w:pPr>
            <w:r>
              <w:rPr>
                <w:rFonts w:hint="eastAsia" w:ascii="宋体" w:hAnsi="宋体" w:cs="宋体"/>
                <w:sz w:val="22"/>
                <w:szCs w:val="22"/>
              </w:rPr>
              <w:t>利率优：按优于一般中小企业贷款利率执行</w:t>
            </w:r>
          </w:p>
          <w:p>
            <w:pPr>
              <w:rPr>
                <w:rFonts w:hint="eastAsia" w:ascii="宋体" w:hAnsi="宋体" w:cs="宋体"/>
                <w:sz w:val="22"/>
                <w:szCs w:val="22"/>
              </w:rPr>
            </w:pPr>
            <w:r>
              <w:rPr>
                <w:rFonts w:hint="eastAsia" w:ascii="宋体" w:hAnsi="宋体" w:cs="宋体"/>
                <w:sz w:val="22"/>
                <w:szCs w:val="22"/>
              </w:rPr>
              <w:t>额度高：最高为合同金额的80%</w:t>
            </w:r>
          </w:p>
        </w:tc>
        <w:tc>
          <w:tcPr>
            <w:tcW w:w="992" w:type="dxa"/>
            <w:noWrap w:val="0"/>
            <w:vAlign w:val="center"/>
          </w:tcPr>
          <w:p>
            <w:pPr>
              <w:rPr>
                <w:rFonts w:hint="eastAsia" w:ascii="宋体" w:hAnsi="宋体" w:cs="宋体"/>
                <w:sz w:val="22"/>
                <w:szCs w:val="22"/>
              </w:rPr>
            </w:pPr>
          </w:p>
          <w:p>
            <w:pPr>
              <w:rPr>
                <w:rFonts w:hint="eastAsia" w:ascii="宋体" w:hAnsi="宋体" w:cs="宋体"/>
                <w:sz w:val="22"/>
                <w:szCs w:val="22"/>
              </w:rPr>
            </w:pPr>
            <w:r>
              <w:rPr>
                <w:rFonts w:hint="eastAsia" w:ascii="宋体" w:hAnsi="宋体" w:cs="宋体"/>
                <w:sz w:val="22"/>
                <w:szCs w:val="22"/>
              </w:rPr>
              <w:t>叶经理</w:t>
            </w:r>
          </w:p>
        </w:tc>
        <w:tc>
          <w:tcPr>
            <w:tcW w:w="2458" w:type="dxa"/>
            <w:noWrap w:val="0"/>
            <w:vAlign w:val="center"/>
          </w:tcPr>
          <w:p>
            <w:pPr>
              <w:jc w:val="left"/>
              <w:rPr>
                <w:rFonts w:hint="eastAsia" w:ascii="宋体" w:hAnsi="宋体" w:cs="宋体"/>
                <w:sz w:val="22"/>
                <w:szCs w:val="22"/>
              </w:rPr>
            </w:pPr>
            <w:r>
              <w:rPr>
                <w:rFonts w:hint="eastAsia" w:ascii="宋体" w:hAnsi="宋体" w:cs="宋体"/>
                <w:sz w:val="22"/>
                <w:szCs w:val="22"/>
              </w:rPr>
              <w:t>0577-88008933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26" w:type="dxa"/>
            <w:noWrap w:val="0"/>
            <w:vAlign w:val="center"/>
          </w:tcPr>
          <w:p>
            <w:pPr>
              <w:pStyle w:val="159"/>
              <w:spacing w:line="360" w:lineRule="auto"/>
              <w:ind w:firstLine="0" w:firstLineChars="0"/>
              <w:rPr>
                <w:rFonts w:hint="eastAsia" w:ascii="宋体" w:eastAsia="宋体" w:cs="宋体"/>
                <w:color w:val="000000"/>
                <w:kern w:val="0"/>
                <w:sz w:val="22"/>
                <w:szCs w:val="22"/>
              </w:rPr>
            </w:pPr>
            <w:r>
              <w:rPr>
                <w:rFonts w:hint="eastAsia" w:ascii="宋体" w:eastAsia="宋体" w:cs="宋体"/>
                <w:color w:val="000000"/>
                <w:kern w:val="0"/>
                <w:sz w:val="22"/>
                <w:szCs w:val="22"/>
              </w:rPr>
              <w:t>招商银行股份有限公司温州分行</w:t>
            </w:r>
          </w:p>
        </w:tc>
        <w:tc>
          <w:tcPr>
            <w:tcW w:w="4536" w:type="dxa"/>
            <w:noWrap w:val="0"/>
            <w:vAlign w:val="center"/>
          </w:tcPr>
          <w:p>
            <w:pPr>
              <w:rPr>
                <w:rFonts w:hint="eastAsia" w:ascii="宋体" w:hAnsi="宋体" w:cs="宋体"/>
                <w:sz w:val="22"/>
                <w:szCs w:val="22"/>
              </w:rPr>
            </w:pPr>
            <w:r>
              <w:rPr>
                <w:rFonts w:hint="eastAsia" w:ascii="宋体" w:hAnsi="宋体" w:cs="宋体"/>
                <w:sz w:val="22"/>
                <w:szCs w:val="22"/>
              </w:rPr>
              <w:t>政采贷是招商银行针对政府采购招投标中标供应商，以政府采购合同项下未来应收账款为第一还款来源的融资业务，无需抵质押物。额度最高可达2000万，同时可开通自助贷款直通功能，自助贷款额度最高可达1000万，支持线上申请、随借随还。</w:t>
            </w:r>
          </w:p>
        </w:tc>
        <w:tc>
          <w:tcPr>
            <w:tcW w:w="992" w:type="dxa"/>
            <w:noWrap w:val="0"/>
            <w:vAlign w:val="center"/>
          </w:tcPr>
          <w:p>
            <w:pPr>
              <w:rPr>
                <w:rFonts w:hint="eastAsia" w:ascii="宋体" w:hAnsi="宋体" w:cs="宋体"/>
                <w:sz w:val="22"/>
                <w:szCs w:val="22"/>
              </w:rPr>
            </w:pPr>
          </w:p>
          <w:p>
            <w:pPr>
              <w:rPr>
                <w:rFonts w:hint="eastAsia" w:ascii="宋体" w:hAnsi="宋体" w:cs="宋体"/>
                <w:sz w:val="22"/>
                <w:szCs w:val="22"/>
              </w:rPr>
            </w:pPr>
            <w:r>
              <w:rPr>
                <w:rFonts w:hint="eastAsia" w:ascii="宋体" w:hAnsi="宋体" w:cs="宋体"/>
                <w:sz w:val="22"/>
                <w:szCs w:val="22"/>
              </w:rPr>
              <w:t>陈经理</w:t>
            </w:r>
          </w:p>
        </w:tc>
        <w:tc>
          <w:tcPr>
            <w:tcW w:w="2458" w:type="dxa"/>
            <w:noWrap w:val="0"/>
            <w:vAlign w:val="center"/>
          </w:tcPr>
          <w:p>
            <w:pPr>
              <w:jc w:val="left"/>
              <w:rPr>
                <w:rFonts w:hint="eastAsia" w:ascii="宋体" w:hAnsi="宋体" w:cs="宋体"/>
                <w:sz w:val="22"/>
                <w:szCs w:val="22"/>
              </w:rPr>
            </w:pPr>
            <w:r>
              <w:rPr>
                <w:rFonts w:hint="eastAsia" w:ascii="宋体" w:hAnsi="宋体" w:cs="宋体"/>
                <w:sz w:val="22"/>
                <w:szCs w:val="22"/>
              </w:rPr>
              <w:t>0577-88056876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26" w:type="dxa"/>
            <w:noWrap w:val="0"/>
            <w:vAlign w:val="center"/>
          </w:tcPr>
          <w:p>
            <w:pPr>
              <w:pStyle w:val="159"/>
              <w:spacing w:line="360" w:lineRule="auto"/>
              <w:ind w:firstLine="0" w:firstLineChars="0"/>
              <w:rPr>
                <w:rFonts w:hint="eastAsia" w:ascii="宋体" w:eastAsia="宋体" w:cs="宋体"/>
                <w:color w:val="000000"/>
                <w:kern w:val="0"/>
                <w:sz w:val="22"/>
                <w:szCs w:val="22"/>
              </w:rPr>
            </w:pPr>
            <w:r>
              <w:rPr>
                <w:rFonts w:hint="eastAsia" w:ascii="宋体" w:eastAsia="宋体" w:cs="宋体"/>
                <w:color w:val="000000"/>
                <w:kern w:val="0"/>
                <w:sz w:val="22"/>
                <w:szCs w:val="22"/>
              </w:rPr>
              <w:t>兴业银行股份有限公司温州分行</w:t>
            </w:r>
          </w:p>
        </w:tc>
        <w:tc>
          <w:tcPr>
            <w:tcW w:w="4536" w:type="dxa"/>
            <w:noWrap w:val="0"/>
            <w:vAlign w:val="center"/>
          </w:tcPr>
          <w:p>
            <w:pPr>
              <w:pStyle w:val="159"/>
              <w:spacing w:line="240" w:lineRule="auto"/>
              <w:ind w:firstLine="0" w:firstLineChars="0"/>
              <w:jc w:val="both"/>
              <w:rPr>
                <w:rFonts w:hint="eastAsia" w:ascii="宋体" w:eastAsia="宋体" w:cs="宋体"/>
                <w:color w:val="000000"/>
                <w:kern w:val="0"/>
                <w:sz w:val="22"/>
                <w:szCs w:val="22"/>
              </w:rPr>
            </w:pPr>
            <w:r>
              <w:rPr>
                <w:rFonts w:hint="eastAsia" w:ascii="宋体" w:eastAsia="宋体" w:cs="宋体"/>
                <w:color w:val="000000"/>
                <w:kern w:val="0"/>
                <w:sz w:val="22"/>
                <w:szCs w:val="22"/>
              </w:rPr>
              <w:t>融资担保方式及融资金额：1、采取信用免抵押的企业，最高融资金额200万元；2、采取政府采购中标应收帐款质押的，最高融资金额不超过1000万元，单笔提款金额不超过采购合同金额的70%。融资利率：在本单位一般性中小企业信用贷款利率基础上下浮10%。</w:t>
            </w:r>
          </w:p>
        </w:tc>
        <w:tc>
          <w:tcPr>
            <w:tcW w:w="992" w:type="dxa"/>
            <w:noWrap w:val="0"/>
            <w:vAlign w:val="center"/>
          </w:tcPr>
          <w:p>
            <w:pPr>
              <w:rPr>
                <w:rFonts w:hint="eastAsia" w:ascii="宋体" w:hAnsi="宋体" w:cs="宋体"/>
                <w:sz w:val="22"/>
                <w:szCs w:val="22"/>
              </w:rPr>
            </w:pPr>
            <w:r>
              <w:rPr>
                <w:rFonts w:hint="eastAsia" w:ascii="宋体" w:hAnsi="宋体" w:cs="宋体"/>
                <w:sz w:val="22"/>
                <w:szCs w:val="22"/>
              </w:rPr>
              <w:t>张经理</w:t>
            </w:r>
          </w:p>
          <w:p>
            <w:pPr>
              <w:rPr>
                <w:rFonts w:hint="eastAsia" w:ascii="宋体" w:hAnsi="宋体" w:cs="宋体"/>
                <w:sz w:val="22"/>
                <w:szCs w:val="22"/>
              </w:rPr>
            </w:pPr>
            <w:r>
              <w:rPr>
                <w:rFonts w:hint="eastAsia" w:ascii="宋体" w:hAnsi="宋体" w:cs="宋体"/>
                <w:sz w:val="22"/>
                <w:szCs w:val="22"/>
              </w:rPr>
              <w:t>陈经理</w:t>
            </w:r>
          </w:p>
        </w:tc>
        <w:tc>
          <w:tcPr>
            <w:tcW w:w="2458" w:type="dxa"/>
            <w:noWrap w:val="0"/>
            <w:vAlign w:val="center"/>
          </w:tcPr>
          <w:p>
            <w:pPr>
              <w:pStyle w:val="159"/>
              <w:spacing w:line="360" w:lineRule="auto"/>
              <w:ind w:firstLine="0" w:firstLineChars="0"/>
              <w:rPr>
                <w:rFonts w:hint="eastAsia" w:ascii="宋体" w:eastAsia="宋体" w:cs="宋体"/>
                <w:kern w:val="0"/>
                <w:sz w:val="22"/>
                <w:szCs w:val="22"/>
              </w:rPr>
            </w:pPr>
            <w:r>
              <w:rPr>
                <w:rFonts w:hint="eastAsia" w:ascii="宋体" w:eastAsia="宋体" w:cs="宋体"/>
                <w:kern w:val="0"/>
                <w:sz w:val="22"/>
                <w:szCs w:val="22"/>
              </w:rPr>
              <w:t>0577-88369368</w:t>
            </w:r>
          </w:p>
          <w:p>
            <w:pPr>
              <w:pStyle w:val="159"/>
              <w:spacing w:line="360" w:lineRule="auto"/>
              <w:ind w:firstLine="0" w:firstLineChars="0"/>
              <w:rPr>
                <w:rFonts w:hint="eastAsia" w:ascii="宋体" w:eastAsia="宋体" w:cs="宋体"/>
                <w:kern w:val="0"/>
                <w:sz w:val="22"/>
                <w:szCs w:val="22"/>
              </w:rPr>
            </w:pPr>
            <w:r>
              <w:rPr>
                <w:rFonts w:hint="eastAsia" w:ascii="宋体" w:eastAsia="宋体" w:cs="宋体"/>
                <w:kern w:val="0"/>
                <w:sz w:val="22"/>
                <w:szCs w:val="22"/>
              </w:rPr>
              <w:t>13857713118</w:t>
            </w:r>
          </w:p>
          <w:p>
            <w:pPr>
              <w:pStyle w:val="159"/>
              <w:spacing w:line="360" w:lineRule="auto"/>
              <w:ind w:firstLine="0" w:firstLineChars="0"/>
              <w:rPr>
                <w:rFonts w:hint="eastAsia" w:ascii="宋体" w:eastAsia="宋体" w:cs="宋体"/>
                <w:kern w:val="0"/>
                <w:sz w:val="22"/>
                <w:szCs w:val="22"/>
              </w:rPr>
            </w:pPr>
            <w:r>
              <w:rPr>
                <w:rFonts w:hint="eastAsia" w:ascii="宋体" w:eastAsia="宋体" w:cs="宋体"/>
                <w:kern w:val="0"/>
                <w:sz w:val="22"/>
                <w:szCs w:val="22"/>
              </w:rPr>
              <w:t>0577-56969696-526506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26" w:type="dxa"/>
            <w:noWrap w:val="0"/>
            <w:vAlign w:val="center"/>
          </w:tcPr>
          <w:p>
            <w:pPr>
              <w:pStyle w:val="159"/>
              <w:spacing w:line="360" w:lineRule="auto"/>
              <w:ind w:firstLine="0" w:firstLineChars="0"/>
              <w:rPr>
                <w:rFonts w:hint="eastAsia" w:ascii="宋体" w:eastAsia="宋体" w:cs="宋体"/>
                <w:color w:val="000000"/>
                <w:kern w:val="0"/>
                <w:sz w:val="22"/>
                <w:szCs w:val="22"/>
              </w:rPr>
            </w:pPr>
            <w:r>
              <w:rPr>
                <w:rFonts w:hint="eastAsia" w:ascii="宋体" w:eastAsia="宋体" w:cs="宋体"/>
                <w:color w:val="000000"/>
                <w:kern w:val="0"/>
                <w:sz w:val="22"/>
                <w:szCs w:val="22"/>
              </w:rPr>
              <w:t>温州银行股份有限公司温州分行</w:t>
            </w:r>
          </w:p>
        </w:tc>
        <w:tc>
          <w:tcPr>
            <w:tcW w:w="4536" w:type="dxa"/>
            <w:noWrap w:val="0"/>
            <w:vAlign w:val="center"/>
          </w:tcPr>
          <w:p>
            <w:pPr>
              <w:rPr>
                <w:rFonts w:hint="eastAsia" w:ascii="宋体" w:hAnsi="宋体" w:cs="宋体"/>
                <w:sz w:val="22"/>
                <w:szCs w:val="22"/>
              </w:rPr>
            </w:pPr>
            <w:r>
              <w:rPr>
                <w:rFonts w:hint="eastAsia" w:ascii="宋体" w:hAnsi="宋体" w:cs="宋体"/>
                <w:sz w:val="22"/>
                <w:szCs w:val="22"/>
              </w:rPr>
              <w:t>政采订单贷：订单在手，融资无忧。用于满足供应商订单采购所需资金周转的贷款产品。门槛低，无须抵押，凭中标通知书即可申请，额度高，最高可贷500万元，单笔业务金额可贷中标金额的80%，最长期限可贷1年。</w:t>
            </w:r>
          </w:p>
        </w:tc>
        <w:tc>
          <w:tcPr>
            <w:tcW w:w="992" w:type="dxa"/>
            <w:noWrap w:val="0"/>
            <w:vAlign w:val="center"/>
          </w:tcPr>
          <w:p>
            <w:pPr>
              <w:rPr>
                <w:rFonts w:hint="eastAsia" w:ascii="宋体" w:hAnsi="宋体" w:cs="宋体"/>
                <w:sz w:val="22"/>
                <w:szCs w:val="22"/>
              </w:rPr>
            </w:pPr>
            <w:r>
              <w:rPr>
                <w:rFonts w:hint="eastAsia" w:ascii="宋体" w:hAnsi="宋体" w:cs="宋体"/>
                <w:sz w:val="22"/>
                <w:szCs w:val="22"/>
              </w:rPr>
              <w:t>陈经理</w:t>
            </w:r>
          </w:p>
        </w:tc>
        <w:tc>
          <w:tcPr>
            <w:tcW w:w="2458" w:type="dxa"/>
            <w:noWrap w:val="0"/>
            <w:vAlign w:val="center"/>
          </w:tcPr>
          <w:p>
            <w:pPr>
              <w:jc w:val="left"/>
              <w:rPr>
                <w:rFonts w:hint="eastAsia" w:ascii="宋体" w:hAnsi="宋体" w:cs="宋体"/>
                <w:sz w:val="22"/>
                <w:szCs w:val="22"/>
              </w:rPr>
            </w:pPr>
            <w:r>
              <w:rPr>
                <w:rFonts w:hint="eastAsia" w:ascii="宋体" w:hAnsi="宋体" w:cs="宋体"/>
                <w:sz w:val="22"/>
                <w:szCs w:val="22"/>
              </w:rPr>
              <w:t>13736355866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26" w:type="dxa"/>
            <w:noWrap w:val="0"/>
            <w:vAlign w:val="center"/>
          </w:tcPr>
          <w:p>
            <w:pPr>
              <w:pStyle w:val="159"/>
              <w:spacing w:line="360" w:lineRule="auto"/>
              <w:ind w:firstLine="0" w:firstLineChars="0"/>
              <w:rPr>
                <w:rFonts w:hint="eastAsia" w:ascii="宋体" w:eastAsia="宋体" w:cs="宋体"/>
                <w:color w:val="000000"/>
                <w:kern w:val="0"/>
                <w:sz w:val="22"/>
                <w:szCs w:val="22"/>
              </w:rPr>
            </w:pPr>
            <w:r>
              <w:rPr>
                <w:rFonts w:hint="eastAsia" w:ascii="宋体" w:eastAsia="宋体" w:cs="宋体"/>
                <w:color w:val="000000"/>
                <w:kern w:val="0"/>
                <w:sz w:val="22"/>
                <w:szCs w:val="22"/>
              </w:rPr>
              <w:t>温州银行股份有限公司鹿城分行</w:t>
            </w:r>
          </w:p>
        </w:tc>
        <w:tc>
          <w:tcPr>
            <w:tcW w:w="4536" w:type="dxa"/>
            <w:noWrap w:val="0"/>
            <w:vAlign w:val="center"/>
          </w:tcPr>
          <w:p>
            <w:pPr>
              <w:rPr>
                <w:rFonts w:hint="eastAsia" w:ascii="宋体" w:hAnsi="宋体" w:cs="宋体"/>
                <w:sz w:val="22"/>
                <w:szCs w:val="22"/>
              </w:rPr>
            </w:pPr>
            <w:r>
              <w:rPr>
                <w:rFonts w:hint="eastAsia" w:ascii="宋体" w:hAnsi="宋体" w:cs="宋体"/>
                <w:sz w:val="22"/>
                <w:szCs w:val="22"/>
              </w:rPr>
              <w:t>政采订单贷：1、面向政府采购项目供应商，满足供应商资金周转需求，凭中标通知书即可申请，2、秒知额高，最高可贷500万元，单笔业务金额可贷中标金额的80%，</w:t>
            </w:r>
          </w:p>
          <w:p>
            <w:pPr>
              <w:ind w:left="5"/>
              <w:rPr>
                <w:rFonts w:hint="eastAsia" w:ascii="宋体" w:hAnsi="宋体" w:cs="宋体"/>
                <w:sz w:val="22"/>
                <w:szCs w:val="22"/>
              </w:rPr>
            </w:pPr>
            <w:r>
              <w:rPr>
                <w:rFonts w:hint="eastAsia" w:ascii="宋体" w:hAnsi="宋体" w:cs="宋体"/>
                <w:sz w:val="22"/>
                <w:szCs w:val="22"/>
              </w:rPr>
              <w:t>最长期限可贷1年。信保贷：1、额度最高可达500万元</w:t>
            </w:r>
          </w:p>
          <w:p>
            <w:pPr>
              <w:rPr>
                <w:rFonts w:hint="eastAsia" w:ascii="宋体" w:hAnsi="宋体" w:cs="宋体"/>
                <w:sz w:val="22"/>
                <w:szCs w:val="22"/>
              </w:rPr>
            </w:pPr>
            <w:r>
              <w:rPr>
                <w:rFonts w:hint="eastAsia" w:ascii="宋体" w:hAnsi="宋体" w:cs="宋体"/>
                <w:sz w:val="22"/>
                <w:szCs w:val="22"/>
              </w:rPr>
              <w:t>2、担保灵活，信用贷款3、贷款年利率至少可享受本单位一般性中小企业信用贷款利率基础上下浮10 %</w:t>
            </w:r>
          </w:p>
        </w:tc>
        <w:tc>
          <w:tcPr>
            <w:tcW w:w="992" w:type="dxa"/>
            <w:noWrap w:val="0"/>
            <w:vAlign w:val="center"/>
          </w:tcPr>
          <w:p>
            <w:pPr>
              <w:rPr>
                <w:rFonts w:hint="eastAsia" w:ascii="宋体" w:hAnsi="宋体" w:cs="宋体"/>
                <w:sz w:val="22"/>
                <w:szCs w:val="22"/>
              </w:rPr>
            </w:pPr>
          </w:p>
          <w:p>
            <w:pPr>
              <w:rPr>
                <w:rFonts w:hint="eastAsia" w:ascii="宋体" w:hAnsi="宋体" w:cs="宋体"/>
                <w:sz w:val="22"/>
                <w:szCs w:val="22"/>
              </w:rPr>
            </w:pPr>
            <w:r>
              <w:rPr>
                <w:rFonts w:hint="eastAsia" w:ascii="宋体" w:hAnsi="宋体" w:cs="宋体"/>
                <w:sz w:val="22"/>
                <w:szCs w:val="22"/>
              </w:rPr>
              <w:t>戴经理</w:t>
            </w:r>
          </w:p>
        </w:tc>
        <w:tc>
          <w:tcPr>
            <w:tcW w:w="2458" w:type="dxa"/>
            <w:noWrap w:val="0"/>
            <w:vAlign w:val="center"/>
          </w:tcPr>
          <w:p>
            <w:pPr>
              <w:rPr>
                <w:rFonts w:hint="eastAsia" w:ascii="宋体" w:hAnsi="宋体" w:cs="宋体"/>
                <w:sz w:val="22"/>
                <w:szCs w:val="22"/>
              </w:rPr>
            </w:pPr>
            <w:r>
              <w:rPr>
                <w:rFonts w:hint="eastAsia" w:ascii="宋体" w:hAnsi="宋体" w:cs="宋体"/>
                <w:sz w:val="22"/>
                <w:szCs w:val="22"/>
              </w:rPr>
              <w:t>13605772302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26" w:type="dxa"/>
            <w:noWrap w:val="0"/>
            <w:vAlign w:val="center"/>
          </w:tcPr>
          <w:p>
            <w:pPr>
              <w:pStyle w:val="159"/>
              <w:spacing w:line="360" w:lineRule="auto"/>
              <w:ind w:firstLine="0" w:firstLineChars="0"/>
              <w:rPr>
                <w:rFonts w:hint="eastAsia" w:ascii="宋体" w:eastAsia="宋体" w:cs="宋体"/>
                <w:color w:val="000000"/>
                <w:kern w:val="0"/>
                <w:sz w:val="22"/>
                <w:szCs w:val="22"/>
              </w:rPr>
            </w:pPr>
            <w:r>
              <w:rPr>
                <w:rFonts w:hint="eastAsia" w:ascii="宋体" w:eastAsia="宋体" w:cs="宋体"/>
                <w:color w:val="000000"/>
                <w:kern w:val="0"/>
                <w:sz w:val="22"/>
                <w:szCs w:val="22"/>
              </w:rPr>
              <w:t>交通银行股份有限公司温州分行</w:t>
            </w:r>
          </w:p>
        </w:tc>
        <w:tc>
          <w:tcPr>
            <w:tcW w:w="4536" w:type="dxa"/>
            <w:noWrap w:val="0"/>
            <w:vAlign w:val="center"/>
          </w:tcPr>
          <w:p>
            <w:pPr>
              <w:autoSpaceDE w:val="0"/>
              <w:autoSpaceDN w:val="0"/>
              <w:adjustRightInd w:val="0"/>
              <w:jc w:val="left"/>
              <w:rPr>
                <w:rFonts w:hint="eastAsia" w:ascii="宋体" w:hAnsi="宋体" w:cs="宋体"/>
                <w:sz w:val="22"/>
                <w:szCs w:val="22"/>
              </w:rPr>
            </w:pPr>
            <w:r>
              <w:rPr>
                <w:rFonts w:hint="eastAsia" w:ascii="宋体" w:hAnsi="宋体" w:cs="宋体"/>
                <w:sz w:val="22"/>
                <w:szCs w:val="22"/>
              </w:rPr>
              <w:t>手续便捷，授信审批全程上门服务；无需抵押，无抵押贷款一步到位；额度灵活，随借随贷，单户最高2000万元；期限匹配，与付款周期相吻合；利率优惠，本行中小企业信用贷款利率水平至少下浮10%；一对一增值服务方案—您的财富管理银行。</w:t>
            </w:r>
          </w:p>
        </w:tc>
        <w:tc>
          <w:tcPr>
            <w:tcW w:w="992" w:type="dxa"/>
            <w:noWrap w:val="0"/>
            <w:vAlign w:val="center"/>
          </w:tcPr>
          <w:p>
            <w:pPr>
              <w:rPr>
                <w:rFonts w:hint="eastAsia" w:ascii="宋体" w:hAnsi="宋体" w:cs="宋体"/>
                <w:sz w:val="22"/>
                <w:szCs w:val="22"/>
              </w:rPr>
            </w:pPr>
          </w:p>
          <w:p>
            <w:pPr>
              <w:rPr>
                <w:rFonts w:hint="eastAsia" w:ascii="宋体" w:hAnsi="宋体" w:cs="宋体"/>
                <w:sz w:val="22"/>
                <w:szCs w:val="22"/>
              </w:rPr>
            </w:pPr>
            <w:r>
              <w:rPr>
                <w:rFonts w:hint="eastAsia" w:ascii="宋体" w:hAnsi="宋体" w:cs="宋体"/>
                <w:sz w:val="22"/>
                <w:szCs w:val="22"/>
              </w:rPr>
              <w:t>缪经理</w:t>
            </w:r>
          </w:p>
        </w:tc>
        <w:tc>
          <w:tcPr>
            <w:tcW w:w="2458" w:type="dxa"/>
            <w:noWrap w:val="0"/>
            <w:vAlign w:val="center"/>
          </w:tcPr>
          <w:p>
            <w:pPr>
              <w:rPr>
                <w:rFonts w:hint="eastAsia" w:ascii="宋体" w:hAnsi="宋体" w:cs="宋体"/>
                <w:sz w:val="22"/>
                <w:szCs w:val="22"/>
              </w:rPr>
            </w:pPr>
            <w:r>
              <w:rPr>
                <w:rFonts w:hint="eastAsia" w:ascii="宋体" w:hAnsi="宋体" w:cs="宋体"/>
                <w:sz w:val="22"/>
                <w:szCs w:val="22"/>
              </w:rPr>
              <w:t>0577-88248454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526" w:type="dxa"/>
            <w:noWrap w:val="0"/>
            <w:vAlign w:val="center"/>
          </w:tcPr>
          <w:p>
            <w:pPr>
              <w:pStyle w:val="159"/>
              <w:spacing w:line="360" w:lineRule="auto"/>
              <w:ind w:firstLine="0" w:firstLineChars="0"/>
              <w:rPr>
                <w:rFonts w:hint="eastAsia" w:ascii="宋体" w:eastAsia="宋体" w:cs="宋体"/>
                <w:color w:val="000000"/>
                <w:kern w:val="0"/>
                <w:sz w:val="22"/>
                <w:szCs w:val="22"/>
              </w:rPr>
            </w:pPr>
            <w:r>
              <w:rPr>
                <w:rFonts w:hint="eastAsia" w:ascii="宋体" w:eastAsia="宋体" w:cs="宋体"/>
                <w:color w:val="000000"/>
                <w:kern w:val="0"/>
                <w:sz w:val="22"/>
                <w:szCs w:val="22"/>
              </w:rPr>
              <w:t>上海浦东发展银行股份有限公司温州分行</w:t>
            </w:r>
          </w:p>
        </w:tc>
        <w:tc>
          <w:tcPr>
            <w:tcW w:w="4536" w:type="dxa"/>
            <w:noWrap w:val="0"/>
            <w:vAlign w:val="center"/>
          </w:tcPr>
          <w:p>
            <w:pPr>
              <w:jc w:val="left"/>
              <w:rPr>
                <w:rFonts w:hint="eastAsia" w:ascii="宋体" w:hAnsi="宋体" w:cs="宋体"/>
                <w:sz w:val="22"/>
                <w:szCs w:val="22"/>
              </w:rPr>
            </w:pPr>
            <w:r>
              <w:rPr>
                <w:rFonts w:hint="eastAsia" w:ascii="宋体" w:hAnsi="宋体" w:cs="宋体"/>
                <w:sz w:val="22"/>
                <w:szCs w:val="22"/>
              </w:rPr>
              <w:t>政采e贷：是浦发银行面向温州地区经营状况良好的小微企业政府采购项目供应商所提供的专属政府采购订单融资产品。产品特点：纯信用、免担保、门槛低、授信快、在线贷、秒放款</w:t>
            </w:r>
          </w:p>
          <w:p>
            <w:pPr>
              <w:shd w:val="clear" w:color="auto" w:fill="FFFFFF"/>
              <w:jc w:val="left"/>
              <w:rPr>
                <w:rFonts w:hint="eastAsia" w:ascii="宋体" w:hAnsi="宋体" w:cs="宋体"/>
                <w:sz w:val="22"/>
                <w:szCs w:val="22"/>
              </w:rPr>
            </w:pPr>
            <w:r>
              <w:rPr>
                <w:rFonts w:hint="eastAsia" w:ascii="宋体" w:hAnsi="宋体" w:cs="宋体"/>
                <w:sz w:val="22"/>
                <w:szCs w:val="22"/>
              </w:rPr>
              <w:t>所需材料：企业基础证件、相关中标文件（中标通知书 、采购合同等）、其他必要文件</w:t>
            </w:r>
          </w:p>
        </w:tc>
        <w:tc>
          <w:tcPr>
            <w:tcW w:w="992" w:type="dxa"/>
            <w:noWrap w:val="0"/>
            <w:vAlign w:val="center"/>
          </w:tcPr>
          <w:p>
            <w:pPr>
              <w:rPr>
                <w:rFonts w:hint="eastAsia" w:ascii="宋体" w:hAnsi="宋体" w:cs="宋体"/>
                <w:sz w:val="22"/>
                <w:szCs w:val="22"/>
              </w:rPr>
            </w:pPr>
          </w:p>
          <w:p>
            <w:pPr>
              <w:rPr>
                <w:rFonts w:hint="eastAsia" w:ascii="宋体" w:hAnsi="宋体" w:cs="宋体"/>
                <w:sz w:val="22"/>
                <w:szCs w:val="22"/>
              </w:rPr>
            </w:pPr>
          </w:p>
          <w:p>
            <w:pPr>
              <w:rPr>
                <w:rFonts w:hint="eastAsia" w:ascii="宋体" w:hAnsi="宋体" w:cs="宋体"/>
                <w:sz w:val="22"/>
                <w:szCs w:val="22"/>
              </w:rPr>
            </w:pPr>
            <w:r>
              <w:rPr>
                <w:rFonts w:hint="eastAsia" w:ascii="宋体" w:hAnsi="宋体" w:cs="宋体"/>
                <w:sz w:val="22"/>
                <w:szCs w:val="22"/>
              </w:rPr>
              <w:t>叶经理</w:t>
            </w:r>
          </w:p>
        </w:tc>
        <w:tc>
          <w:tcPr>
            <w:tcW w:w="2458" w:type="dxa"/>
            <w:noWrap w:val="0"/>
            <w:vAlign w:val="center"/>
          </w:tcPr>
          <w:p>
            <w:pPr>
              <w:jc w:val="left"/>
              <w:rPr>
                <w:rFonts w:hint="eastAsia" w:ascii="宋体" w:hAnsi="宋体" w:cs="宋体"/>
                <w:sz w:val="22"/>
                <w:szCs w:val="22"/>
              </w:rPr>
            </w:pPr>
            <w:r>
              <w:rPr>
                <w:rFonts w:hint="eastAsia" w:ascii="宋体" w:hAnsi="宋体" w:cs="宋体"/>
                <w:sz w:val="22"/>
                <w:szCs w:val="22"/>
              </w:rPr>
              <w:t>0577-55570829</w:t>
            </w:r>
          </w:p>
        </w:tc>
      </w:tr>
    </w:tbl>
    <w:p>
      <w:pPr>
        <w:pStyle w:val="5"/>
        <w:rPr>
          <w:rFonts w:hint="eastAsia" w:ascii="宋体" w:hAnsi="宋体" w:eastAsia="宋体" w:cs="宋体"/>
          <w:sz w:val="22"/>
          <w:szCs w:val="22"/>
        </w:rPr>
      </w:pPr>
    </w:p>
    <w:sectPr>
      <w:pgSz w:w="11911" w:h="16838"/>
      <w:pgMar w:top="1417" w:right="1417" w:bottom="1417" w:left="1417" w:header="709" w:footer="1553" w:gutter="0"/>
      <w:cols w:space="720" w:num="1"/>
      <w:docGrid w:linePitch="32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Courier New">
    <w:panose1 w:val="02070309020205020404"/>
    <w:charset w:val="00"/>
    <w:family w:val="modern"/>
    <w:pitch w:val="default"/>
    <w:sig w:usb0="E0002EFF" w:usb1="C0007843" w:usb2="00000009" w:usb3="00000000" w:csb0="400001FF" w:csb1="FFFF0000"/>
  </w:font>
  <w:font w:name="仿宋_GB2312">
    <w:altName w:val="仿宋"/>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Arial Unicode MS">
    <w:altName w:val="宋体"/>
    <w:panose1 w:val="020B0604020202020204"/>
    <w:charset w:val="86"/>
    <w:family w:val="swiss"/>
    <w:pitch w:val="default"/>
    <w:sig w:usb0="F7FFAFFF" w:usb1="E9DFFFFF" w:usb2="0000003F" w:usb3="00000000" w:csb0="003F01FF" w:csb1="00000000"/>
  </w:font>
  <w:font w:name="??">
    <w:altName w:val="Times New Roman"/>
    <w:panose1 w:val="00000000000000000000"/>
    <w:charset w:val="00"/>
    <w:family w:val="roman"/>
    <w:pitch w:val="default"/>
    <w:sig w:usb0="00000000" w:usb1="00000000" w:usb2="00000000" w:usb3="00000000" w:csb0="00040001" w:csb1="00000000"/>
  </w:font>
  <w:font w:name="长城仿宋">
    <w:altName w:val="宋体"/>
    <w:panose1 w:val="0201060900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幼圆">
    <w:panose1 w:val="02010509060101010101"/>
    <w:charset w:val="86"/>
    <w:family w:val="modern"/>
    <w:pitch w:val="default"/>
    <w:sig w:usb0="00000001" w:usb1="080E0000" w:usb2="00000000" w:usb3="00000000" w:csb0="00040000" w:csb1="00000000"/>
  </w:font>
  <w:font w:name="Plotter">
    <w:altName w:val="Times New Roman"/>
    <w:panose1 w:val="00000000000000000000"/>
    <w:charset w:val="00"/>
    <w:family w:val="auto"/>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0"/>
                            <w:rPr>
                              <w:rFonts w:hint="eastAsia"/>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 AQAADwAAAGRycy9kb3ducmV2LnhtbE2PMWvDMBCF90L/g7hAt0ZOhtY4ljMEsnRLWgrdFOtimUgn IymO/e9zLYV2Oe7xjnffq7eTd2LEmPpAClbLAgRSG0xPnYKP9/1zCSJlTUa7QKhgxgTb5vGh1pUJ NzrgeMyd4BBKlVZgcx4qKVNr0eu0DAMSe+cQvc4sYydN1DcO906ui+JFet0Tf7B6wJ3F9nK8egWv 02fAIeEOv85jG20/l+5tVuppsSo2IDJO+e8YvvEZHRpmOoUrmSScAi6SfyZ767JkefpdZFPL//TN HVBLAwQUAAAACACHTuJANJL6ScgBAACZAwAADgAAAGRycy9lMm9Eb2MueG1srVPNjtMwEL4j8Q6W 79TZHqoqarraVbUICQHSwgO4jt1Y8p88bpO+ALwBJy7cea4+B2Mn6cJy2QMXZzwz/ma+byab28Ea cpIRtHcNvVlUlEgnfKvdoaFfPj+8WVMCibuWG+9kQ88S6O329atNH2q59J03rYwEQRzUfWhol1Ko GQPRScth4YN0GFQ+Wp7wGg+sjbxHdGvYsqpWrPexDdELCYDe3RikE2J8CaBXSgu58+JopUsjapSG J6QEnQ5At6VbpaRIH5UCmYhpKDJN5cQiaO/zybYbXh8iD50WUwv8JS0842S5dlj0CrXjiZNj1P9A WS2iB6/SQnjLRiJFEWRxUz3T5rHjQRYuKDWEq+jw/2DFh9OnSHTb0BUljlsc+OX7t8uPX5efX8kq y9MHqDHrMWBeGu79gEsz+wGdmfWgos1f5EMwjuKer+LKIRGRH62X63WFIYGx+YL47Ol5iJDeSm9J NhoacXpFVH56D2lMnVNyNecftDFlgsb95UDM7GG597HHbKVhP0yE9r49I58eB99Qh3tOiXnnUNe8 I7MRZ2M/G8cQ9aErS5TrQbg7Jmyi9JYrjLBTYZxYYTdtV16JP+8l6+mP2v4GUEsDBAoAAAAAAIdO 4kAAAAAAAAAAAAAAAAAGAAAAX3JlbHMvUEsDBBQAAAAIAIdO4kCKFGY80QAAAJQBAAALAAAAX3Jl bHMvLnJlbHOlkMFqwzAMhu+DvYPRfXGawxijTi+j0GvpHsDYimMaW0Yy2fr28w6DZfS2o36h7xP/ /vCZFrUiS6RsYNf1oDA78jEHA++X49MLKKk2e7tQRgM3FDiMjw/7My62tiOZYxHVKFkMzLWWV63F zZisdFQwt81EnGxtIwddrLvagHro+2fNvxkwbpjq5A3wyQ+gLrfSzH/YKTomoal2jpKmaYruHlUH tmWO7sg24Ru5RrMcsBrwLBoHalnXfgR9X7/7p97TRz7jutV+h4zrj1dvuhy/AFBLAwQUAAAACACH TuJAfublIPcAAADhAQAAEwAAAFtDb250ZW50X1R5cGVzXS54bWyVkUFOwzAQRfdI3MHyFiVOu0AI JemCtEtAqBxgZE8Si2RseUxob4+TthtEkVjaM/+/J7vcHMZBTBjYOqrkKi+kQNLOWOoq+b7fZQ9S cAQyMDjCSh6R5aa+vSn3R48sUpq4kn2M/lEp1j2OwLnzSGnSujBCTMfQKQ/6AzpU66K4V9pRRIpZ nDtkXTbYwucQxfaQrk8mAQeW4um0OLMqCd4PVkNMpmoi84OSnQl5Si473FvPd0lDql8J8+Q64Jx7 SU8TrEHxCiE+w5g0lAmsjPuigFP+d8lsOXLm2tZqzJvATYq94XSxutaOa9c4/d/y7ZK6dKvlg+pv UEsBAhQAFAAAAAgAh07iQH7m5SD3AAAA4QEAABMAAAAAAAAAAQAgAAAAMAQAAFtDb250ZW50X1R5 cGVzXS54bWxQSwECFAAKAAAAAACHTuJAAAAAAAAAAAAAAAAABgAAAAAAAAAAABAAAAASAwAAX3Jl bHMvUEsBAhQAFAAAAAgAh07iQIoUZjzRAAAAlAEAAAsAAAAAAAAAAQAgAAAANgMAAF9yZWxzLy5y ZWxzUEsBAhQACgAAAAAAh07iQAAAAAAAAAAAAAAAAAQAAAAAAAAAAAAQAAAAAAAAAGRycy9QSwEC FAAUAAAACACHTuJAzql5uc8AAAAFAQAADwAAAAAAAAABACAAAAAiAAAAZHJzL2Rvd25yZXYueG1s UEsBAhQAFAAAAAgAh07iQDSS+knIAQAAmQMAAA4AAAAAAAAAAQAgAAAAHgEAAGRycy9lMm9Eb2Mu eG1sUEsFBgAAAAAGAAYAWQEAAFgFAAAAAA== ">
              <v:fill on="f" focussize="0,0"/>
              <v:stroke on="f"/>
              <v:imagedata o:title=""/>
              <o:lock v:ext="edit" aspectratio="f"/>
              <v:textbox inset="0mm,0mm,0mm,0mm" style="mso-fit-shape-to-text:t;">
                <w:txbxContent>
                  <w:p>
                    <w:pPr>
                      <w:pStyle w:val="30"/>
                      <w:rPr>
                        <w:rFonts w:hint="eastAsia"/>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0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lang/>
                            </w:rPr>
                            <w:t>1</w:t>
                          </w:r>
                          <w:r>
                            <w:rPr>
                              <w:rFonts w:hint="eastAsia"/>
                              <w:sz w:val="18"/>
                            </w:rPr>
                            <w:fldChar w:fldCharType="end"/>
                          </w:r>
                        </w:p>
                      </w:txbxContent>
                    </wps:txbx>
                    <wps:bodyPr wrap="none" lIns="0" tIns="0" rIns="0" bIns="0" upright="0">
                      <a:spAutoFit/>
                    </wps:bodyPr>
                  </wps:wsp>
                </a:graphicData>
              </a:graphic>
            </wp:anchor>
          </w:drawing>
        </mc:Choice>
        <mc:Fallback>
          <w:pict>
            <v:shape id="文本框 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 AQAADwAAAGRycy9kb3ducmV2LnhtbE2PMWvDMBCF90L/g7hAt0ZOhtY4ljMEsnRLWgrdFOtimUgn IymO/e9zLYV2Oe7xjnffq7eTd2LEmPpAClbLAgRSG0xPnYKP9/1zCSJlTUa7QKhgxgTb5vGh1pUJ NzrgeMyd4BBKlVZgcx4qKVNr0eu0DAMSe+cQvc4sYydN1DcO906ui+JFet0Tf7B6wJ3F9nK8egWv 02fAIeEOv85jG20/l+5tVuppsSo2IDJO+e8YvvEZHRpmOoUrmSScAi6SfyZ767JkefpdZFPL//TN HVBLAwQUAAAACACHTuJApnFlBMsBAACcAwAADgAAAGRycy9lMm9Eb2MueG1srVPNjtMwEL4j8Q6W 79RpJVZV1HQFqhYhIUBaeADXsRtL/pPHbdIXgDfgxIU7z9XnYOwk3WW57IGLM54ZfzPfN5PN7WAN OckI2ruGLhcVJdIJ32p3aOjXL3ev1pRA4q7lxjvZ0LMEert9+WLTh1qufOdNKyNBEAd1HxrapRRq xkB00nJY+CAdBpWPlie8xgNrI+8R3Rq2qqob1vvYhuiFBEDvbgzSCTE+B9ArpYXceXG00qURNUrD E1KCTgeg29KtUlKkT0qBTMQ0FJmmcmIRtPf5ZNsNrw+Rh06LqQX+nBaecLJcOyx6hdrxxMkx6n+g rBbRg1dpIbxlI5GiCLJYVk+0ue94kIULSg3hKjr8P1jx8fQ5Et029DUljlsc+OXH98vP35df38iy Wt1khfoANSbeB0xNw1s/4N7MfkBnJj6oaPMXKRGMo77nq75ySETkR+vVel1hSGBsviA+e3geIqR3 0luSjYZGHGDRlZ8+QBpT55Rczfk7bUwZonF/ORAze1jufewxW2nYDxOhvW/PyKfH2TfU4apTYt47 lDavyWzE2djPxjFEfejKHuV6EN4cEzZRessVRtipMA6tsJsWLG/F43vJeviptn8AUEsDBAoAAAAA AIdO4kAAAAAAAAAAAAAAAAAGAAAAX3JlbHMvUEsDBBQAAAAIAIdO4kCKFGY80QAAAJQBAAALAAAA X3JlbHMvLnJlbHOlkMFqwzAMhu+DvYPRfXGawxijTi+j0GvpHsDYimMaW0Yy2fr28w6DZfS2o36h 7xP//vCZFrUiS6RsYNf1oDA78jEHA++X49MLKKk2e7tQRgM3FDiMjw/7My62tiOZYxHVKFkMzLWW V63FzZisdFQwt81EnGxtIwddrLvagHro+2fNvxkwbpjq5A3wyQ+gLrfSzH/YKTomoal2jpKmaYru HlUHtmWO7sg24Ru5RrMcsBrwLBoHalnXfgR9X7/7p97TRz7jutV+h4zrj1dvuhy/AFBLAwQUAAAA CACHTuJAfublIPcAAADhAQAAEwAAAFtDb250ZW50X1R5cGVzXS54bWyVkUFOwzAQRfdI3MHyFiVO u0AIJemCtEtAqBxgZE8Si2RseUxob4+TthtEkVjaM/+/J7vcHMZBTBjYOqrkKi+kQNLOWOoq+b7f ZQ9ScAQyMDjCSh6R5aa+vSn3R48sUpq4kn2M/lEp1j2OwLnzSGnSujBCTMfQKQ/6AzpU66K4V9pR RIpZnDtkXTbYwucQxfaQrk8mAQeW4um0OLMqCd4PVkNMpmoi84OSnQl5Si473FvPd0lDql8J8+Q6 4Jx7SU8TrEHxCiE+w5g0lAmsjPuigFP+d8lsOXLm2tZqzJvATYq94XSxutaOa9c4/d/y7ZK6dKvl g+pvUEsBAhQAFAAAAAgAh07iQH7m5SD3AAAA4QEAABMAAAAAAAAAAQAgAAAAMwQAAFtDb250ZW50 X1R5cGVzXS54bWxQSwECFAAKAAAAAACHTuJAAAAAAAAAAAAAAAAABgAAAAAAAAAAABAAAAAVAwAA X3JlbHMvUEsBAhQAFAAAAAgAh07iQIoUZjzRAAAAlAEAAAsAAAAAAAAAAQAgAAAAOQMAAF9yZWxz Ly5yZWxzUEsBAhQACgAAAAAAh07iQAAAAAAAAAAAAAAAAAQAAAAAAAAAAAAQAAAAAAAAAGRycy9Q SwECFAAUAAAACACHTuJAzql5uc8AAAAFAQAADwAAAAAAAAABACAAAAAiAAAAZHJzL2Rvd25yZXYu eG1sUEsBAhQAFAAAAAgAh07iQKZxZQTLAQAAnAMAAA4AAAAAAAAAAQAgAAAAHgEAAGRycy9lMm9E b2MueG1sUEsFBgAAAAAGAAYAWQEAAFsFAAAAAA== ">
              <v:fill on="f" focussize="0,0"/>
              <v:stroke on="f"/>
              <v:imagedata o:title=""/>
              <o:lock v:ext="edit" aspectratio="f"/>
              <v:textbox inset="0mm,0mm,0mm,0mm" style="mso-fit-shape-to-text:t;">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lang/>
                      </w:rPr>
                      <w:t>1</w:t>
                    </w:r>
                    <w:r>
                      <w:rPr>
                        <w:rFonts w:hint="eastAsia"/>
                        <w:sz w:val="1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r>
      <w:rPr>
        <w:sz w:val="2"/>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0"/>
                            <w:rPr>
                              <w:rFonts w:hint="eastAsia"/>
                            </w:rPr>
                          </w:pPr>
                          <w:r>
                            <w:rPr>
                              <w:rFonts w:hint="eastAsia"/>
                            </w:rPr>
                            <w:fldChar w:fldCharType="begin"/>
                          </w:r>
                          <w:r>
                            <w:rPr>
                              <w:rFonts w:hint="eastAsia"/>
                            </w:rPr>
                            <w:instrText xml:space="preserve"> PAGE  \* MERGEFORMAT </w:instrText>
                          </w:r>
                          <w:r>
                            <w:rPr>
                              <w:rFonts w:hint="eastAsia"/>
                            </w:rPr>
                            <w:fldChar w:fldCharType="separate"/>
                          </w:r>
                          <w:r>
                            <w:rPr>
                              <w:lang/>
                            </w:rPr>
                            <w:t>8</w:t>
                          </w:r>
                          <w:r>
                            <w:rPr>
                              <w:rFonts w:hint="eastAsia"/>
                            </w:rPr>
                            <w:fldChar w:fldCharType="end"/>
                          </w:r>
                        </w:p>
                      </w:txbxContent>
                    </wps:txbx>
                    <wps:bodyPr wrap="none" lIns="0" tIns="0" rIns="0" bIns="0" upright="0">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 AQAADwAAAGRycy9kb3ducmV2LnhtbE2PMWvDMBCF90L/g7hAt0ZOhtY4ljMEsnRLWgrdFOtimUgn IymO/e9zLYV2Oe7xjnffq7eTd2LEmPpAClbLAgRSG0xPnYKP9/1zCSJlTUa7QKhgxgTb5vGh1pUJ NzrgeMyd4BBKlVZgcx4qKVNr0eu0DAMSe+cQvc4sYydN1DcO906ui+JFet0Tf7B6wJ3F9nK8egWv 02fAIeEOv85jG20/l+5tVuppsSo2IDJO+e8YvvEZHRpmOoUrmSScAi6SfyZ767JkefpdZFPL//TN HVBLAwQUAAAACACHTuJA3or8EMkBAACaAwAADgAAAGRycy9lMm9Eb2MueG1srVPNjtMwEL4j8Q6W 79RpD1BFTVe7qhYhIUBaeADXsRtL/pPHbdIXgDfgxIU7z9XnYOwkXVgue+DijGfG38z3zWRzM1hD TjKC9q6hy0VFiXTCt9odGvrl8/2rNSWQuGu58U429CyB3mxfvtj0oZYr33nTykgQxEHdh4Z2KYWa MRCdtBwWPkiHQeWj5Qmv8cDayHtEt4atquo1631sQ/RCAqB3NwbphBifA+iV0kLuvDha6dKIGqXh CSlBpwPQbelWKSnSR6VAJmIaikxTObEI2vt8su2G14fIQ6fF1AJ/TgtPOFmuHRa9Qu144uQY9T9Q Vovowau0EN6ykUhRBFksqyfaPHQ8yMIFpYZwFR3+H6z4cPoUiW4b+oYSxy0O/PL92+XHr8vPr2S5 zPr0AWpMewiYmIY7P+DWzH5AZ6Y9qGjzFwkRjKO656u6ckhE5Efr1XpdYUhgbL4gPnt8HiKkt9Jb ko2GRhxfUZWf3kMaU+eUXM35e21MGaFxfzkQM3tY7n3sMVtp2A8Tob1vz8inx8k31OGiU2LeORQ2 L8lsxNnYz8YxRH3oyhblehBujwmbKL3lCiPsVBhHVthN65V34s97yXr8pba/AVBLAwQKAAAAAACH TuJAAAAAAAAAAAAAAAAABgAAAF9yZWxzL1BLAwQUAAAACACHTuJAihRmPNEAAACUAQAACwAAAF9y ZWxzLy5yZWxzpZDBasMwDIbvg72D0X1xmsMYo04vo9Br6R7A2IpjGltGMtn69vMOg2X0tqN+oe8T //7wmRa1IkukbGDX9aAwO/IxBwPvl+PTCyipNnu7UEYDNxQ4jI8P+zMutrYjmWMR1ShZDMy1llet xc2YrHRUMLfNRJxsbSMHXay72oB66Ptnzb8ZMG6Y6uQN8MkPoC630sx/2Ck6JqGpdo6SpmmK7h5V B7Zlju7INuEbuUazHLAa8CwaB2pZ134EfV+/+6fe00c+47rVfoeM649Xb7ocvwBQSwMEFAAAAAgA h07iQH7m5SD3AAAA4QEAABMAAABbQ29udGVudF9UeXBlc10ueG1slZFBTsMwEEX3SNzB8hYlTrtA CCXpgrRLQKgcYGRPEotkbHlMaG+Pk7YbRJFY2jP/vye73BzGQUwY2Dqq5CovpEDSzljqKvm+32UP UnAEMjA4wkoekeWmvr0p90ePLFKauJJ9jP5RKdY9jsC580hp0rowQkzH0CkP+gM6VOuiuFfaUUSK WZw7ZF022MLnEMX2kK5PJgEHluLptDizKgneD1ZDTKZqIvODkp0JeUouO9xbz3dJQ6pfCfPkOuCc e0lPE6xB8QohPsOYNJQJrIz7ooBT/nfJbDly5trWasybwE2KveF0sbrWjmvXOP3f8u2SunSr5YPq b1BLAQIUABQAAAAIAIdO4kB+5uUg9wAAAOEBAAATAAAAAAAAAAEAIAAAADEEAABbQ29udGVudF9U eXBlc10ueG1sUEsBAhQACgAAAAAAh07iQAAAAAAAAAAAAAAAAAYAAAAAAAAAAAAQAAAAEwMAAF9y ZWxzL1BLAQIUABQAAAAIAIdO4kCKFGY80QAAAJQBAAALAAAAAAAAAAEAIAAAADcDAABfcmVscy8u cmVsc1BLAQIUAAoAAAAAAIdO4kAAAAAAAAAAAAAAAAAEAAAAAAAAAAAAEAAAAAAAAABkcnMvUEsB AhQAFAAAAAgAh07iQM6pebnPAAAABQEAAA8AAAAAAAAAAQAgAAAAIgAAAGRycy9kb3ducmV2Lnht bFBLAQIUABQAAAAIAIdO4kDeivwQyQEAAJoDAAAOAAAAAAAAAAEAIAAAAB4BAABkcnMvZTJvRG9j LnhtbFBLBQYAAAAABgAGAFkBAABZBQAAAAA= ">
              <v:fill on="f" focussize="0,0"/>
              <v:stroke on="f"/>
              <v:imagedata o:title=""/>
              <o:lock v:ext="edit" aspectratio="f"/>
              <v:textbox inset="0mm,0mm,0mm,0mm" style="mso-fit-shape-to-text:t;">
                <w:txbxContent>
                  <w:p>
                    <w:pPr>
                      <w:pStyle w:val="30"/>
                      <w:rPr>
                        <w:rFonts w:hint="eastAsia"/>
                      </w:rPr>
                    </w:pPr>
                    <w:r>
                      <w:rPr>
                        <w:rFonts w:hint="eastAsia"/>
                      </w:rPr>
                      <w:fldChar w:fldCharType="begin"/>
                    </w:r>
                    <w:r>
                      <w:rPr>
                        <w:rFonts w:hint="eastAsia"/>
                      </w:rPr>
                      <w:instrText xml:space="preserve"> PAGE  \* MERGEFORMAT </w:instrText>
                    </w:r>
                    <w:r>
                      <w:rPr>
                        <w:rFonts w:hint="eastAsia"/>
                      </w:rPr>
                      <w:fldChar w:fldCharType="separate"/>
                    </w:r>
                    <w:r>
                      <w:rPr>
                        <w:lang/>
                      </w:rPr>
                      <w:t>8</w:t>
                    </w:r>
                    <w:r>
                      <w:rPr>
                        <w:rFonts w:hint="eastAsia"/>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0"/>
                            <w:rPr>
                              <w:rFonts w:hint="eastAsia"/>
                            </w:rPr>
                          </w:pPr>
                          <w:r>
                            <w:rPr>
                              <w:rFonts w:hint="eastAsia"/>
                            </w:rPr>
                            <w:fldChar w:fldCharType="begin"/>
                          </w:r>
                          <w:r>
                            <w:rPr>
                              <w:rFonts w:hint="eastAsia"/>
                            </w:rPr>
                            <w:instrText xml:space="preserve"> PAGE  \* MERGEFORMAT </w:instrText>
                          </w:r>
                          <w:r>
                            <w:rPr>
                              <w:rFonts w:hint="eastAsia"/>
                            </w:rPr>
                            <w:fldChar w:fldCharType="separate"/>
                          </w:r>
                          <w:r>
                            <w:rPr>
                              <w:lang/>
                            </w:rPr>
                            <w:t>91</w:t>
                          </w:r>
                          <w:r>
                            <w:rPr>
                              <w:rFonts w:hint="eastAsia"/>
                            </w:rPr>
                            <w:fldChar w:fldCharType="end"/>
                          </w:r>
                        </w:p>
                      </w:txbxContent>
                    </wps:txbx>
                    <wps:bodyPr wrap="none" lIns="0" tIns="0" rIns="0" bIns="0" upright="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 AQAADwAAAGRycy9kb3ducmV2LnhtbE2PMWvDMBCF90L/g7hAt0ZOhtY4ljMEsnRLWgrdFOtimUgn IymO/e9zLYV2Oe7xjnffq7eTd2LEmPpAClbLAgRSG0xPnYKP9/1zCSJlTUa7QKhgxgTb5vGh1pUJ NzrgeMyd4BBKlVZgcx4qKVNr0eu0DAMSe+cQvc4sYydN1DcO906ui+JFet0Tf7B6wJ3F9nK8egWv 02fAIeEOv85jG20/l+5tVuppsSo2IDJO+e8YvvEZHRpmOoUrmSScAi6SfyZ767JkefpdZFPL//TN HVBLAwQUAAAACACHTuJATJR8x8gBAACaAwAADgAAAGRycy9lMm9Eb2MueG1srVPNjtMwEL4j8Q6W 79RpD6iKmq4WVYuQECAtPIDr2I0l/8njNukLwBtw4sKd5+pzMHaS7rJc9rAXZzwz/ma+byabm8Ea cpIRtHcNXS4qSqQTvtXu0NBvX+/erCmBxF3LjXeyoWcJ9Gb7+tWmD7Vc+c6bVkaCIA7qPjS0SynU jIHopOWw8EE6DCofLU94jQfWRt4jujVsVVVvWe9jG6IXEgC9uzFIJ8T4HECvlBZy58XRSpdG1CgN T0gJOh2Abku3SkmRPisFMhHTUGSayolF0N7nk203vD5EHjotphb4c1p4wsly7bDoFWrHEyfHqP+D slpED16lhfCWjUSKIshiWT3R5r7jQRYuKDWEq+jwcrDi0+lLJLptKI7dcYsDv/z8cfn15/L7O1mu sj59gBrT7gMmpuGdH3BrZj+gM9MeVLT5i4QIxlHd81VdOSQi8qP1ar2uMCQwNl8Qnz08DxHSe+kt yUZDI46vqMpPHyGNqXNKrub8nTamjNC4fxyImT0s9z72mK007IeJ0N63Z+TT4+Qb6nDRKTEfHAqb l2Q24mzsZ+MYoj50ZYtyPQi3x4RNlN5yhRF2KowjK+ym9co78fhesh5+qe1fUEsDBAoAAAAAAIdO 4kAAAAAAAAAAAAAAAAAGAAAAX3JlbHMvUEsDBBQAAAAIAIdO4kCKFGY80QAAAJQBAAALAAAAX3Jl bHMvLnJlbHOlkMFqwzAMhu+DvYPRfXGawxijTi+j0GvpHsDYimMaW0Yy2fr28w6DZfS2o36h7xP/ /vCZFrUiS6RsYNf1oDA78jEHA++X49MLKKk2e7tQRgM3FDiMjw/7My62tiOZYxHVKFkMzLWWV63F zZisdFQwt81EnGxtIwddrLvagHro+2fNvxkwbpjq5A3wyQ+gLrfSzH/YKTomoal2jpKmaYruHlUH tmWO7sg24Ru5RrMcsBrwLBoHalnXfgR9X7/7p97TRz7jutV+h4zrj1dvuhy/AFBLAwQUAAAACACH TuJAfublIPcAAADhAQAAEwAAAFtDb250ZW50X1R5cGVzXS54bWyVkUFOwzAQRfdI3MHyFiVOu0AI JemCtEtAqBxgZE8Si2RseUxob4+TthtEkVjaM/+/J7vcHMZBTBjYOqrkKi+kQNLOWOoq+b7fZQ9S cAQyMDjCSh6R5aa+vSn3R48sUpq4kn2M/lEp1j2OwLnzSGnSujBCTMfQKQ/6AzpU66K4V9pRRIpZ nDtkXTbYwucQxfaQrk8mAQeW4um0OLMqCd4PVkNMpmoi84OSnQl5Si473FvPd0lDql8J8+Q64Jx7 SU8TrEHxCiE+w5g0lAmsjPuigFP+d8lsOXLm2tZqzJvATYq94XSxutaOa9c4/d/y7ZK6dKvlg+pv UEsBAhQAFAAAAAgAh07iQH7m5SD3AAAA4QEAABMAAAAAAAAAAQAgAAAAMAQAAFtDb250ZW50X1R5 cGVzXS54bWxQSwECFAAKAAAAAACHTuJAAAAAAAAAAAAAAAAABgAAAAAAAAAAABAAAAASAwAAX3Jl bHMvUEsBAhQAFAAAAAgAh07iQIoUZjzRAAAAlAEAAAsAAAAAAAAAAQAgAAAANgMAAF9yZWxzLy5y ZWxzUEsBAhQACgAAAAAAh07iQAAAAAAAAAAAAAAAAAQAAAAAAAAAAAAQAAAAAAAAAGRycy9QSwEC FAAUAAAACACHTuJAzql5uc8AAAAFAQAADwAAAAAAAAABACAAAAAiAAAAZHJzL2Rvd25yZXYueG1s UEsBAhQAFAAAAAgAh07iQEyUfMfIAQAAmgMAAA4AAAAAAAAAAQAgAAAAHgEAAGRycy9lMm9Eb2Mu eG1sUEsFBgAAAAAGAAYAWQEAAFgFAAAAAA== ">
              <v:fill on="f" focussize="0,0"/>
              <v:stroke on="f"/>
              <v:imagedata o:title=""/>
              <o:lock v:ext="edit" aspectratio="f"/>
              <v:textbox inset="0mm,0mm,0mm,0mm" style="mso-fit-shape-to-text:t;">
                <w:txbxContent>
                  <w:p>
                    <w:pPr>
                      <w:pStyle w:val="30"/>
                      <w:rPr>
                        <w:rFonts w:hint="eastAsia"/>
                      </w:rPr>
                    </w:pPr>
                    <w:r>
                      <w:rPr>
                        <w:rFonts w:hint="eastAsia"/>
                      </w:rPr>
                      <w:fldChar w:fldCharType="begin"/>
                    </w:r>
                    <w:r>
                      <w:rPr>
                        <w:rFonts w:hint="eastAsia"/>
                      </w:rPr>
                      <w:instrText xml:space="preserve"> PAGE  \* MERGEFORMAT </w:instrText>
                    </w:r>
                    <w:r>
                      <w:rPr>
                        <w:rFonts w:hint="eastAsia"/>
                      </w:rPr>
                      <w:fldChar w:fldCharType="separate"/>
                    </w:r>
                    <w:r>
                      <w:rPr>
                        <w:lang/>
                      </w:rPr>
                      <w:t>91</w:t>
                    </w:r>
                    <w:r>
                      <w:rPr>
                        <w:rFonts w:hint="eastAsia"/>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ind w:right="720"/>
      <w:jc w:val="center"/>
      <w:rPr>
        <w:rFonts w:ascii="宋体"/>
      </w:rPr>
    </w:pPr>
    <w:r>
      <w:rPr>
        <w:rFonts w:ascii="宋体"/>
      </w:rPr>
      <w:fldChar w:fldCharType="begin"/>
    </w:r>
    <w:r>
      <w:rPr>
        <w:rFonts w:ascii="宋体"/>
      </w:rPr>
      <w:instrText xml:space="preserve"> PAGE </w:instrText>
    </w:r>
    <w:r>
      <w:rPr>
        <w:rFonts w:ascii="宋体"/>
      </w:rPr>
      <w:fldChar w:fldCharType="separate"/>
    </w:r>
    <w:r>
      <w:rPr>
        <w:rFonts w:ascii="宋体"/>
        <w:lang/>
      </w:rPr>
      <w:t>35</w:t>
    </w:r>
    <w:r>
      <w:rPr>
        <w:rFonts w:ascii="宋体"/>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jc w:val="right"/>
      <w:rPr>
        <w:rFonts w:ascii="Cambria" w:hAnsi="Cambr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0"/>
      </w:rPr>
    </w:pPr>
    <w:r>
      <mc:AlternateContent>
        <mc:Choice Requires="wps">
          <w:drawing>
            <wp:anchor distT="0" distB="0" distL="114300" distR="114300" simplePos="0" relativeHeight="251659264" behindDoc="1" locked="0" layoutInCell="1" allowOverlap="1">
              <wp:simplePos x="0" y="0"/>
              <wp:positionH relativeFrom="page">
                <wp:posOffset>3875405</wp:posOffset>
              </wp:positionH>
              <wp:positionV relativeFrom="page">
                <wp:posOffset>684530</wp:posOffset>
              </wp:positionV>
              <wp:extent cx="2081530" cy="139700"/>
              <wp:effectExtent l="0" t="0" r="0" b="0"/>
              <wp:wrapNone/>
              <wp:docPr id="4" name="文本框 1040"/>
              <wp:cNvGraphicFramePr/>
              <a:graphic xmlns:a="http://schemas.openxmlformats.org/drawingml/2006/main">
                <a:graphicData uri="http://schemas.microsoft.com/office/word/2010/wordprocessingShape">
                  <wps:wsp>
                    <wps:cNvSpPr txBox="1"/>
                    <wps:spPr>
                      <a:xfrm>
                        <a:off x="0" y="0"/>
                        <a:ext cx="2081530" cy="139700"/>
                      </a:xfrm>
                      <a:prstGeom prst="rect">
                        <a:avLst/>
                      </a:prstGeom>
                      <a:noFill/>
                      <a:ln>
                        <a:noFill/>
                      </a:ln>
                    </wps:spPr>
                    <wps:txbx>
                      <w:txbxContent>
                        <w:p>
                          <w:pPr>
                            <w:spacing w:line="220" w:lineRule="exact"/>
                            <w:jc w:val="left"/>
                            <w:rPr>
                              <w:sz w:val="18"/>
                            </w:rPr>
                          </w:pPr>
                        </w:p>
                      </w:txbxContent>
                    </wps:txbx>
                    <wps:bodyPr wrap="square" lIns="0" tIns="0" rIns="0" bIns="0" upright="1"/>
                  </wps:wsp>
                </a:graphicData>
              </a:graphic>
            </wp:anchor>
          </w:drawing>
        </mc:Choice>
        <mc:Fallback>
          <w:pict>
            <v:shape id="文本框 1040" o:spid="_x0000_s1026" o:spt="202" type="#_x0000_t202" style="position:absolute;left:0pt;margin-left:305.15pt;margin-top:53.9pt;height:11pt;width:163.9pt;mso-position-horizontal-relative:page;mso-position-vertical-relative:page;z-index:-251657216;mso-width-relative:page;mso-height-relative:page;" filled="f" stroked="f" coordsize="21600,21600" o:gfxdata="UEsDBAoAAAAAAIdO4kAAAAAAAAAAAAAAAAAEAAAAZHJzL1BLAwQUAAAACACHTuJA/nm0yNkAAAAL AQAADwAAAGRycy9kb3ducmV2LnhtbE2PzU7DMBCE70i8g7VI3KidVgpJiFMhBCckRBoOHJ1km1iN 1yF2f3h7lhMcd+bT7Ey5vbhJnHAJ1pOGZKVAIHW+tzRo+Ghe7jIQIRrqzeQJNXxjgG11fVWaovdn qvG0i4PgEAqF0TDGOBdShm5EZ8LKz0js7f3iTORzGWS/mDOHu0mulUqlM5b4w2hmfBqxO+yOTsPj J9XP9uutfa/3tW2aXNFretD69iZRDyAiXuIfDL/1uTpU3Kn1R+qDmDSkidowyoa65w1M5JssAdGy ss4zkFUp/2+ofgBQSwMEFAAAAAgAh07iQPRkYvnGAQAAgwMAAA4AAABkcnMvZTJvRG9jLnhtbK1T S27bMBDdF8gdCO5rSU7SpoLlAIWRokDQFkh7AJqiLAL8ZYa25Au0N+iqm+57Lp+jQ/rXppssuqFG M6M3772hZrejNWyjALV3Da8mJWfKSd9qt2r4l893L284wyhcK4x3quFbhfx2fvFiNoRaTX3vTauA EYjDeggN72MMdVGg7JUVOPFBOSp2HqyI9AqrogUxELo1xbQsXxWDhzaAlwqRsot9kR8Q4TmAvuu0 VAsv11a5uEcFZUQkSdjrgHye2XadkvFj16GKzDSclMZ80hCKl+ks5jNRr0CEXssDBfEcCk80WaEd DT1BLUQUbA36HyirJXj0XZxIb4u9kOwIqajKJ9489CKorIWsxnAyHf8frPyw+QRMtw2/4swJSwvf ff+2+/Fr9/Mrq8qr7NAQsKbGh0CtcXzrR7o3ybmUR0om4WMHNj1JEqM6+bs9+avGyCQlp+VNdX1J JUm16vLN6zLDF+evA2B8p7xlKWg40P6yrWJzj5EmUuuxJQ1z/k4bk3do3F8JakyZ4kwxRXFcjgfe S99uSc5Aq284Pq4FKM7Me0fepntyDOAYLI/BOoBe9UQuW5AH0G4ytcM9Ssv/8z3TOP87899QSwME CgAAAAAAh07iQAAAAAAAAAAAAAAAAAYAAABfcmVscy9QSwMEFAAAAAgAh07iQIoUZjzRAAAAlAEA AAsAAABfcmVscy8ucmVsc6WQwWrDMAyG74O9g9F9cZrDGKNOL6PQa+kewNiKYxpbRjLZ+vbzDoNl 9LajfqHvE//+8JkWtSJLpGxg1/WgMDvyMQcD75fj0wsoqTZ7u1BGAzcUOIyPD/szLra2I5ljEdUo WQzMtZZXrcXNmKx0VDC3zUScbG0jB12su9qAeuj7Z82/GTBumOrkDfDJD6Aut9LMf9gpOiahqXaO kqZpiu4eVQe2ZY7uyDbhG7lGsxywGvAsGgdqWdd+BH1fv/un3tNHPuO61X6HjOuPV2+6HL8AUEsD BBQAAAAIAIdO4kB+5uUg9wAAAOEBAAATAAAAW0NvbnRlbnRfVHlwZXNdLnhtbJWRQU7DMBBF90jc wfIWJU67QAgl6YK0S0CoHGBkTxKLZGx5TGhvj5O2G0SRWNoz/78nu9wcxkFMGNg6quQqL6RA0s5Y 6ir5vt9lD1JwBDIwOMJKHpHlpr69KfdHjyxSmriSfYz+USnWPY7AufNIadK6MEJMx9ApD/oDOlTr orhX2lFEilmcO2RdNtjC5xDF9pCuTyYBB5bi6bQ4syoJ3g9WQ0ymaiLzg5KdCXlKLjvcW893SUOq Xwnz5DrgnHtJTxOsQfEKIT7DmDSUCayM+6KAU/53yWw5cuba1mrMm8BNir3hdLG61o5r1zj93/Lt krp0q+WD6m9QSwECFAAUAAAACACHTuJAfublIPcAAADhAQAAEwAAAAAAAAABACAAAAA4BAAAW0Nv bnRlbnRfVHlwZXNdLnhtbFBLAQIUAAoAAAAAAIdO4kAAAAAAAAAAAAAAAAAGAAAAAAAAAAAAEAAA ABoDAABfcmVscy9QSwECFAAUAAAACACHTuJAihRmPNEAAACUAQAACwAAAAAAAAABACAAAAA+AwAA X3JlbHMvLnJlbHNQSwECFAAKAAAAAACHTuJAAAAAAAAAAAAAAAAABAAAAAAAAAAAABAAAAAAAAAA ZHJzL1BLAQIUABQAAAAIAIdO4kD+ebTI2QAAAAsBAAAPAAAAAAAAAAEAIAAAACIAAABkcnMvZG93 bnJldi54bWxQSwECFAAUAAAACACHTuJA9GRi+cYBAACDAwAADgAAAAAAAAABACAAAAAoAQAAZHJz L2Uyb0RvYy54bWxQSwUGAAAAAAYABgBZAQAAYAUAAAAA ">
              <v:fill on="f" focussize="0,0"/>
              <v:stroke on="f"/>
              <v:imagedata o:title=""/>
              <o:lock v:ext="edit" aspectratio="f"/>
              <v:textbox inset="0mm,0mm,0mm,0mm">
                <w:txbxContent>
                  <w:p>
                    <w:pPr>
                      <w:spacing w:line="220" w:lineRule="exact"/>
                      <w:jc w:val="left"/>
                      <w:rPr>
                        <w:sz w:val="18"/>
                      </w:rPr>
                    </w:pPr>
                  </w:p>
                </w:txbxContent>
              </v:textbox>
            </v:shap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1FF05B"/>
    <w:multiLevelType w:val="singleLevel"/>
    <w:tmpl w:val="861FF05B"/>
    <w:lvl w:ilvl="0" w:tentative="0">
      <w:start w:val="7"/>
      <w:numFmt w:val="decimal"/>
      <w:suff w:val="nothing"/>
      <w:lvlText w:val="%1）"/>
      <w:lvlJc w:val="left"/>
    </w:lvl>
  </w:abstractNum>
  <w:abstractNum w:abstractNumId="1">
    <w:nsid w:val="AD88576A"/>
    <w:multiLevelType w:val="singleLevel"/>
    <w:tmpl w:val="AD88576A"/>
    <w:lvl w:ilvl="0" w:tentative="0">
      <w:start w:val="1"/>
      <w:numFmt w:val="decimal"/>
      <w:suff w:val="nothing"/>
      <w:lvlText w:val="%1)"/>
      <w:lvlJc w:val="left"/>
      <w:pPr>
        <w:ind w:left="0" w:firstLine="0"/>
      </w:pPr>
      <w:rPr>
        <w:rFonts w:hint="default"/>
      </w:rPr>
    </w:lvl>
  </w:abstractNum>
  <w:abstractNum w:abstractNumId="2">
    <w:nsid w:val="B378BBDA"/>
    <w:multiLevelType w:val="singleLevel"/>
    <w:tmpl w:val="B378BBDA"/>
    <w:lvl w:ilvl="0" w:tentative="0">
      <w:start w:val="2"/>
      <w:numFmt w:val="chineseCounting"/>
      <w:suff w:val="nothing"/>
      <w:lvlText w:val="%1、"/>
      <w:lvlJc w:val="left"/>
      <w:rPr>
        <w:rFonts w:hint="eastAsia"/>
      </w:rPr>
    </w:lvl>
  </w:abstractNum>
  <w:abstractNum w:abstractNumId="3">
    <w:nsid w:val="B75A211D"/>
    <w:multiLevelType w:val="singleLevel"/>
    <w:tmpl w:val="B75A211D"/>
    <w:lvl w:ilvl="0" w:tentative="0">
      <w:start w:val="5"/>
      <w:numFmt w:val="decimal"/>
      <w:suff w:val="nothing"/>
      <w:lvlText w:val="%1、"/>
      <w:lvlJc w:val="left"/>
    </w:lvl>
  </w:abstractNum>
  <w:abstractNum w:abstractNumId="4">
    <w:nsid w:val="BF1C59CB"/>
    <w:multiLevelType w:val="singleLevel"/>
    <w:tmpl w:val="BF1C59CB"/>
    <w:lvl w:ilvl="0" w:tentative="0">
      <w:start w:val="1"/>
      <w:numFmt w:val="decimal"/>
      <w:lvlText w:val="%1."/>
      <w:lvlJc w:val="left"/>
      <w:pPr>
        <w:tabs>
          <w:tab w:val="left" w:pos="312"/>
        </w:tabs>
      </w:pPr>
    </w:lvl>
  </w:abstractNum>
  <w:abstractNum w:abstractNumId="5">
    <w:nsid w:val="CC228B87"/>
    <w:multiLevelType w:val="singleLevel"/>
    <w:tmpl w:val="CC228B87"/>
    <w:lvl w:ilvl="0" w:tentative="0">
      <w:start w:val="13"/>
      <w:numFmt w:val="chineseCounting"/>
      <w:suff w:val="nothing"/>
      <w:lvlText w:val="（%1）"/>
      <w:lvlJc w:val="left"/>
      <w:rPr>
        <w:rFonts w:hint="eastAsia"/>
      </w:rPr>
    </w:lvl>
  </w:abstractNum>
  <w:abstractNum w:abstractNumId="6">
    <w:nsid w:val="E221749F"/>
    <w:multiLevelType w:val="singleLevel"/>
    <w:tmpl w:val="E221749F"/>
    <w:lvl w:ilvl="0" w:tentative="0">
      <w:start w:val="1"/>
      <w:numFmt w:val="decimal"/>
      <w:lvlText w:val="%1)"/>
      <w:lvlJc w:val="left"/>
      <w:pPr>
        <w:ind w:left="425" w:hanging="425"/>
      </w:pPr>
      <w:rPr>
        <w:rFonts w:hint="default"/>
      </w:rPr>
    </w:lvl>
  </w:abstractNum>
  <w:abstractNum w:abstractNumId="7">
    <w:nsid w:val="EB4BBFF7"/>
    <w:multiLevelType w:val="singleLevel"/>
    <w:tmpl w:val="EB4BBFF7"/>
    <w:lvl w:ilvl="0" w:tentative="0">
      <w:start w:val="5"/>
      <w:numFmt w:val="chineseCounting"/>
      <w:suff w:val="nothing"/>
      <w:lvlText w:val="%1、"/>
      <w:lvlJc w:val="left"/>
      <w:rPr>
        <w:rFonts w:hint="eastAsia"/>
      </w:rPr>
    </w:lvl>
  </w:abstractNum>
  <w:abstractNum w:abstractNumId="8">
    <w:nsid w:val="0000003E"/>
    <w:multiLevelType w:val="singleLevel"/>
    <w:tmpl w:val="0000003E"/>
    <w:lvl w:ilvl="0" w:tentative="0">
      <w:start w:val="1"/>
      <w:numFmt w:val="decimal"/>
      <w:lvlText w:val="%1."/>
      <w:lvlJc w:val="left"/>
      <w:pPr>
        <w:ind w:left="425" w:hanging="425"/>
      </w:pPr>
      <w:rPr>
        <w:rFonts w:hint="default"/>
      </w:rPr>
    </w:lvl>
  </w:abstractNum>
  <w:abstractNum w:abstractNumId="9">
    <w:nsid w:val="11A97A5B"/>
    <w:multiLevelType w:val="singleLevel"/>
    <w:tmpl w:val="11A97A5B"/>
    <w:lvl w:ilvl="0" w:tentative="0">
      <w:start w:val="1"/>
      <w:numFmt w:val="decimal"/>
      <w:suff w:val="nothing"/>
      <w:lvlText w:val="%1、"/>
      <w:lvlJc w:val="left"/>
    </w:lvl>
  </w:abstractNum>
  <w:abstractNum w:abstractNumId="10">
    <w:nsid w:val="2361773E"/>
    <w:multiLevelType w:val="singleLevel"/>
    <w:tmpl w:val="2361773E"/>
    <w:lvl w:ilvl="0" w:tentative="0">
      <w:start w:val="1"/>
      <w:numFmt w:val="decimal"/>
      <w:suff w:val="nothing"/>
      <w:lvlText w:val="%1）"/>
      <w:lvlJc w:val="left"/>
      <w:pPr>
        <w:ind w:left="0" w:firstLine="0"/>
      </w:pPr>
      <w:rPr>
        <w:rFonts w:hint="default"/>
      </w:rPr>
    </w:lvl>
  </w:abstractNum>
  <w:abstractNum w:abstractNumId="11">
    <w:nsid w:val="24DD8E88"/>
    <w:multiLevelType w:val="singleLevel"/>
    <w:tmpl w:val="24DD8E88"/>
    <w:lvl w:ilvl="0" w:tentative="0">
      <w:start w:val="1"/>
      <w:numFmt w:val="upperLetter"/>
      <w:suff w:val="nothing"/>
      <w:lvlText w:val="%1、"/>
      <w:lvlJc w:val="left"/>
    </w:lvl>
  </w:abstractNum>
  <w:abstractNum w:abstractNumId="12">
    <w:nsid w:val="3255C9AD"/>
    <w:multiLevelType w:val="singleLevel"/>
    <w:tmpl w:val="3255C9AD"/>
    <w:lvl w:ilvl="0" w:tentative="0">
      <w:start w:val="1"/>
      <w:numFmt w:val="decimal"/>
      <w:suff w:val="nothing"/>
      <w:lvlText w:val="%1、"/>
      <w:lvlJc w:val="left"/>
    </w:lvl>
  </w:abstractNum>
  <w:abstractNum w:abstractNumId="13">
    <w:nsid w:val="32E37478"/>
    <w:multiLevelType w:val="multilevel"/>
    <w:tmpl w:val="32E37478"/>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4">
    <w:nsid w:val="401060CF"/>
    <w:multiLevelType w:val="singleLevel"/>
    <w:tmpl w:val="401060CF"/>
    <w:lvl w:ilvl="0" w:tentative="0">
      <w:start w:val="1"/>
      <w:numFmt w:val="decimal"/>
      <w:suff w:val="nothing"/>
      <w:lvlText w:val="%1、"/>
      <w:lvlJc w:val="left"/>
    </w:lvl>
  </w:abstractNum>
  <w:abstractNum w:abstractNumId="15">
    <w:nsid w:val="48C33625"/>
    <w:multiLevelType w:val="multilevel"/>
    <w:tmpl w:val="48C33625"/>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6">
    <w:nsid w:val="4AEF45D3"/>
    <w:multiLevelType w:val="singleLevel"/>
    <w:tmpl w:val="4AEF45D3"/>
    <w:lvl w:ilvl="0" w:tentative="0">
      <w:start w:val="1"/>
      <w:numFmt w:val="decimal"/>
      <w:suff w:val="nothing"/>
      <w:lvlText w:val="%1、"/>
      <w:lvlJc w:val="left"/>
    </w:lvl>
  </w:abstractNum>
  <w:abstractNum w:abstractNumId="17">
    <w:nsid w:val="57DBC17D"/>
    <w:multiLevelType w:val="singleLevel"/>
    <w:tmpl w:val="57DBC17D"/>
    <w:lvl w:ilvl="0" w:tentative="0">
      <w:start w:val="1"/>
      <w:numFmt w:val="decimal"/>
      <w:suff w:val="nothing"/>
      <w:lvlText w:val="%1、"/>
      <w:lvlJc w:val="left"/>
    </w:lvl>
  </w:abstractNum>
  <w:abstractNum w:abstractNumId="18">
    <w:nsid w:val="5936326D"/>
    <w:multiLevelType w:val="singleLevel"/>
    <w:tmpl w:val="5936326D"/>
    <w:lvl w:ilvl="0" w:tentative="0">
      <w:start w:val="1"/>
      <w:numFmt w:val="decimal"/>
      <w:pStyle w:val="16"/>
      <w:lvlText w:val="%1."/>
      <w:lvlJc w:val="left"/>
      <w:pPr>
        <w:tabs>
          <w:tab w:val="left" w:pos="780"/>
        </w:tabs>
        <w:ind w:left="780" w:hanging="360"/>
      </w:pPr>
    </w:lvl>
  </w:abstractNum>
  <w:abstractNum w:abstractNumId="19">
    <w:nsid w:val="59BC9109"/>
    <w:multiLevelType w:val="multilevel"/>
    <w:tmpl w:val="59BC9109"/>
    <w:lvl w:ilvl="0" w:tentative="0">
      <w:start w:val="1"/>
      <w:numFmt w:val="chineseCountingThousand"/>
      <w:lvlText w:val="第%1条"/>
      <w:lvlJc w:val="left"/>
      <w:pPr>
        <w:tabs>
          <w:tab w:val="left" w:pos="900"/>
        </w:tabs>
        <w:ind w:left="900" w:hanging="420"/>
      </w:pPr>
      <w:rPr>
        <w:b w:val="0"/>
        <w:sz w:val="22"/>
        <w:szCs w:val="22"/>
      </w:rPr>
    </w:lvl>
    <w:lvl w:ilvl="1" w:tentative="0">
      <w:start w:val="1"/>
      <w:numFmt w:val="japaneseCounting"/>
      <w:lvlText w:val="%2、"/>
      <w:lvlJc w:val="left"/>
      <w:pPr>
        <w:tabs>
          <w:tab w:val="left" w:pos="900"/>
        </w:tabs>
        <w:ind w:left="900" w:hanging="420"/>
      </w:pPr>
      <w:rPr>
        <w:rFonts w:ascii="宋体" w:hAnsi="宋体" w:eastAsia="宋体" w:cs="Arial"/>
        <w:b w:val="0"/>
        <w:sz w:val="24"/>
        <w:szCs w:val="24"/>
      </w:rPr>
    </w:lvl>
    <w:lvl w:ilvl="2" w:tentative="0">
      <w:start w:val="1"/>
      <w:numFmt w:val="bullet"/>
      <w:lvlText w:val="※"/>
      <w:lvlJc w:val="left"/>
      <w:pPr>
        <w:tabs>
          <w:tab w:val="left" w:pos="1260"/>
        </w:tabs>
        <w:ind w:left="1260" w:hanging="420"/>
      </w:pPr>
      <w:rPr>
        <w:rFonts w:hint="eastAsia" w:ascii="宋体" w:hAnsi="宋体" w:eastAsia="宋体" w:cs="宋体"/>
        <w:b/>
        <w:sz w:val="28"/>
        <w:szCs w:val="28"/>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0">
    <w:nsid w:val="6C652474"/>
    <w:multiLevelType w:val="multilevel"/>
    <w:tmpl w:val="6C652474"/>
    <w:lvl w:ilvl="0" w:tentative="0">
      <w:start w:val="1"/>
      <w:numFmt w:val="chineseCountingThousand"/>
      <w:lvlText w:val="第%1章"/>
      <w:lvlJc w:val="left"/>
      <w:pPr>
        <w:ind w:left="3545" w:hanging="425"/>
      </w:pPr>
      <w:rPr>
        <w:b w:val="0"/>
        <w:bCs w:val="0"/>
        <w:i w:val="0"/>
        <w:iCs w:val="0"/>
        <w:caps w:val="0"/>
        <w:smallCaps w:val="0"/>
        <w:strike w:val="0"/>
        <w:dstrike w:val="0"/>
        <w:outline w:val="0"/>
        <w:shadow w:val="0"/>
        <w:emboss w:val="0"/>
        <w:imprint w:val="0"/>
        <w:vanish w:val="0"/>
        <w:spacing w:val="0"/>
        <w:position w:val="0"/>
        <w:u w:val="none"/>
        <w:vertAlign w:val="baseline"/>
        <w:lang w:val="en-US"/>
      </w:rPr>
    </w:lvl>
    <w:lvl w:ilvl="1" w:tentative="0">
      <w:start w:val="1"/>
      <w:numFmt w:val="decimal"/>
      <w:isLgl/>
      <w:lvlText w:val="%1.%2"/>
      <w:lvlJc w:val="left"/>
      <w:pPr>
        <w:ind w:left="992" w:hanging="567"/>
      </w:pPr>
      <w:rPr>
        <w:b w:val="0"/>
        <w:bCs w:val="0"/>
        <w:i w:val="0"/>
        <w:iCs w:val="0"/>
        <w:caps w:val="0"/>
        <w:smallCaps w:val="0"/>
        <w:strike w:val="0"/>
        <w:dstrike w:val="0"/>
        <w:outline w:val="0"/>
        <w:shadow w:val="0"/>
        <w:emboss w:val="0"/>
        <w:imprint w:val="0"/>
        <w:vanish w:val="0"/>
        <w:spacing w:val="0"/>
        <w:position w:val="0"/>
        <w:u w:val="none"/>
        <w:vertAlign w:val="baseline"/>
      </w:rPr>
    </w:lvl>
    <w:lvl w:ilvl="2" w:tentative="0">
      <w:start w:val="1"/>
      <w:numFmt w:val="decimal"/>
      <w:pStyle w:val="147"/>
      <w:isLgl/>
      <w:lvlText w:val="%1.%2.%3"/>
      <w:lvlJc w:val="left"/>
      <w:pPr>
        <w:ind w:left="1134" w:hanging="283"/>
      </w:pPr>
      <w:rPr>
        <w:rFonts w:ascii="Times New Roman" w:hAnsi="Times New Roman"/>
        <w:b w:val="0"/>
        <w:bCs w:val="0"/>
        <w:i w:val="0"/>
        <w:iCs w:val="0"/>
        <w:caps w:val="0"/>
        <w:smallCaps w:val="0"/>
        <w:strike w:val="0"/>
        <w:dstrike w:val="0"/>
        <w:outline w:val="0"/>
        <w:shadow w:val="0"/>
        <w:emboss w:val="0"/>
        <w:imprint w:val="0"/>
        <w:vanish w:val="0"/>
        <w:spacing w:val="0"/>
        <w:position w:val="0"/>
        <w:u w:val="none"/>
        <w:vertAlign w:val="baseline"/>
      </w:rPr>
    </w:lvl>
    <w:lvl w:ilvl="3" w:tentative="0">
      <w:start w:val="1"/>
      <w:numFmt w:val="decimal"/>
      <w:isLgl/>
      <w:lvlText w:val="%1.%2.%3.%4"/>
      <w:lvlJc w:val="left"/>
      <w:pPr>
        <w:ind w:left="1304" w:hanging="28"/>
      </w:pPr>
      <w:rPr>
        <w:rFonts w:ascii="Times New Roman" w:hAnsi="Times New Roman"/>
        <w:b w:val="0"/>
        <w:bCs w:val="0"/>
        <w:i w:val="0"/>
        <w:iCs w:val="0"/>
        <w:caps w:val="0"/>
        <w:smallCaps w:val="0"/>
        <w:strike w:val="0"/>
        <w:dstrike w:val="0"/>
        <w:outline w:val="0"/>
        <w:shadow w:val="0"/>
        <w:emboss w:val="0"/>
        <w:imprint w:val="0"/>
        <w:vanish w:val="0"/>
        <w:spacing w:val="0"/>
        <w:position w:val="0"/>
        <w:u w:val="none"/>
        <w:vertAlign w:val="baseline"/>
      </w:rPr>
    </w:lvl>
    <w:lvl w:ilvl="4" w:tentative="0">
      <w:start w:val="1"/>
      <w:numFmt w:val="decimal"/>
      <w:isLgl/>
      <w:lvlText w:val="%1.%2.%3.%4.%5"/>
      <w:lvlJc w:val="left"/>
      <w:pPr>
        <w:ind w:left="1701" w:firstLine="0"/>
      </w:pPr>
      <w:rPr>
        <w:rFonts w:ascii="Times New Roman" w:hAnsi="Times New Roman"/>
        <w:b w:val="0"/>
        <w:bCs w:val="0"/>
        <w:i w:val="0"/>
        <w:iCs w:val="0"/>
        <w:caps w:val="0"/>
        <w:smallCaps w:val="0"/>
        <w:strike w:val="0"/>
        <w:dstrike w:val="0"/>
        <w:outline w:val="0"/>
        <w:shadow w:val="0"/>
        <w:emboss w:val="0"/>
        <w:imprint w:val="0"/>
        <w:vanish w:val="0"/>
        <w:spacing w:val="0"/>
        <w:position w:val="0"/>
        <w:u w:val="none"/>
        <w:vertAlign w:val="baseline"/>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21">
    <w:nsid w:val="70AE2C0F"/>
    <w:multiLevelType w:val="singleLevel"/>
    <w:tmpl w:val="70AE2C0F"/>
    <w:lvl w:ilvl="0" w:tentative="0">
      <w:start w:val="4"/>
      <w:numFmt w:val="decimal"/>
      <w:suff w:val="space"/>
      <w:lvlText w:val="%1."/>
      <w:lvlJc w:val="left"/>
    </w:lvl>
  </w:abstractNum>
  <w:abstractNum w:abstractNumId="22">
    <w:nsid w:val="744488D3"/>
    <w:multiLevelType w:val="singleLevel"/>
    <w:tmpl w:val="744488D3"/>
    <w:lvl w:ilvl="0" w:tentative="0">
      <w:start w:val="2"/>
      <w:numFmt w:val="chineseCounting"/>
      <w:suff w:val="nothing"/>
      <w:lvlText w:val="%1、"/>
      <w:lvlJc w:val="left"/>
      <w:rPr>
        <w:rFonts w:hint="eastAsia"/>
      </w:rPr>
    </w:lvl>
  </w:abstractNum>
  <w:num w:numId="1">
    <w:abstractNumId w:val="18"/>
  </w:num>
  <w:num w:numId="2">
    <w:abstractNumId w:val="20"/>
  </w:num>
  <w:num w:numId="3">
    <w:abstractNumId w:val="4"/>
  </w:num>
  <w:num w:numId="4">
    <w:abstractNumId w:val="22"/>
  </w:num>
  <w:num w:numId="5">
    <w:abstractNumId w:val="11"/>
  </w:num>
  <w:num w:numId="6">
    <w:abstractNumId w:val="0"/>
  </w:num>
  <w:num w:numId="7">
    <w:abstractNumId w:val="12"/>
  </w:num>
  <w:num w:numId="8">
    <w:abstractNumId w:val="16"/>
  </w:num>
  <w:num w:numId="9">
    <w:abstractNumId w:val="9"/>
  </w:num>
  <w:num w:numId="10">
    <w:abstractNumId w:val="14"/>
  </w:num>
  <w:num w:numId="11">
    <w:abstractNumId w:val="8"/>
  </w:num>
  <w:num w:numId="12">
    <w:abstractNumId w:val="1"/>
  </w:num>
  <w:num w:numId="13">
    <w:abstractNumId w:val="10"/>
  </w:num>
  <w:num w:numId="14">
    <w:abstractNumId w:val="6"/>
  </w:num>
  <w:num w:numId="15">
    <w:abstractNumId w:val="7"/>
  </w:num>
  <w:num w:numId="16">
    <w:abstractNumId w:val="5"/>
  </w:num>
  <w:num w:numId="17">
    <w:abstractNumId w:val="19"/>
  </w:num>
  <w:num w:numId="18">
    <w:abstractNumId w:val="15"/>
  </w:num>
  <w:num w:numId="19">
    <w:abstractNumId w:val="21"/>
  </w:num>
  <w:num w:numId="20">
    <w:abstractNumId w:val="17"/>
  </w:num>
  <w:num w:numId="21">
    <w:abstractNumId w:val="3"/>
  </w:num>
  <w:num w:numId="22">
    <w:abstractNumId w:val="2"/>
  </w:num>
  <w:num w:numId="2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210"/>
  <w:drawingGridVerticalSpacing w:val="-794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2FD1"/>
    <w:rsid w:val="00003537"/>
    <w:rsid w:val="0000630A"/>
    <w:rsid w:val="000149CF"/>
    <w:rsid w:val="00020594"/>
    <w:rsid w:val="00022BF6"/>
    <w:rsid w:val="000234AB"/>
    <w:rsid w:val="00023511"/>
    <w:rsid w:val="0002481D"/>
    <w:rsid w:val="00026D46"/>
    <w:rsid w:val="00026FD2"/>
    <w:rsid w:val="00027752"/>
    <w:rsid w:val="00027A64"/>
    <w:rsid w:val="00034438"/>
    <w:rsid w:val="0003726D"/>
    <w:rsid w:val="000372A8"/>
    <w:rsid w:val="000438AD"/>
    <w:rsid w:val="00046DF9"/>
    <w:rsid w:val="000509CC"/>
    <w:rsid w:val="00055910"/>
    <w:rsid w:val="00057EC0"/>
    <w:rsid w:val="000626B3"/>
    <w:rsid w:val="00062A3B"/>
    <w:rsid w:val="000734FC"/>
    <w:rsid w:val="00073BB9"/>
    <w:rsid w:val="00074201"/>
    <w:rsid w:val="00074A7E"/>
    <w:rsid w:val="00077C14"/>
    <w:rsid w:val="000852C4"/>
    <w:rsid w:val="00086E69"/>
    <w:rsid w:val="00086ED6"/>
    <w:rsid w:val="00087DBC"/>
    <w:rsid w:val="00092339"/>
    <w:rsid w:val="000947F1"/>
    <w:rsid w:val="00097C8E"/>
    <w:rsid w:val="000A2886"/>
    <w:rsid w:val="000A2BBA"/>
    <w:rsid w:val="000A3C41"/>
    <w:rsid w:val="000A6D88"/>
    <w:rsid w:val="000A7C23"/>
    <w:rsid w:val="000B52A6"/>
    <w:rsid w:val="000C1DE8"/>
    <w:rsid w:val="000C61D7"/>
    <w:rsid w:val="000D08B9"/>
    <w:rsid w:val="000E0A4D"/>
    <w:rsid w:val="000E0E65"/>
    <w:rsid w:val="000F2AA0"/>
    <w:rsid w:val="000F316A"/>
    <w:rsid w:val="000F31C8"/>
    <w:rsid w:val="000F7E06"/>
    <w:rsid w:val="00104E74"/>
    <w:rsid w:val="00105890"/>
    <w:rsid w:val="001144B2"/>
    <w:rsid w:val="00115884"/>
    <w:rsid w:val="00117260"/>
    <w:rsid w:val="00120160"/>
    <w:rsid w:val="00124106"/>
    <w:rsid w:val="00125CB1"/>
    <w:rsid w:val="00126235"/>
    <w:rsid w:val="0013042C"/>
    <w:rsid w:val="00133102"/>
    <w:rsid w:val="00136726"/>
    <w:rsid w:val="001420BC"/>
    <w:rsid w:val="0014217D"/>
    <w:rsid w:val="00142E7C"/>
    <w:rsid w:val="00143933"/>
    <w:rsid w:val="00147169"/>
    <w:rsid w:val="001566C1"/>
    <w:rsid w:val="00165FD0"/>
    <w:rsid w:val="00170CD7"/>
    <w:rsid w:val="00172DF7"/>
    <w:rsid w:val="00172E76"/>
    <w:rsid w:val="001731F0"/>
    <w:rsid w:val="00176A22"/>
    <w:rsid w:val="00182539"/>
    <w:rsid w:val="00183570"/>
    <w:rsid w:val="00186686"/>
    <w:rsid w:val="0019010D"/>
    <w:rsid w:val="00193302"/>
    <w:rsid w:val="001938FF"/>
    <w:rsid w:val="001B1AB7"/>
    <w:rsid w:val="001B2E24"/>
    <w:rsid w:val="001B48EA"/>
    <w:rsid w:val="001B5910"/>
    <w:rsid w:val="001B5D53"/>
    <w:rsid w:val="001C46D2"/>
    <w:rsid w:val="001C4C83"/>
    <w:rsid w:val="001D147B"/>
    <w:rsid w:val="001D4D65"/>
    <w:rsid w:val="001D6B84"/>
    <w:rsid w:val="001E0A39"/>
    <w:rsid w:val="001E407D"/>
    <w:rsid w:val="001E78A7"/>
    <w:rsid w:val="001E7DE9"/>
    <w:rsid w:val="001F2A6B"/>
    <w:rsid w:val="001F5BD9"/>
    <w:rsid w:val="00203502"/>
    <w:rsid w:val="00206303"/>
    <w:rsid w:val="00206B71"/>
    <w:rsid w:val="002107E1"/>
    <w:rsid w:val="00212B38"/>
    <w:rsid w:val="00213D36"/>
    <w:rsid w:val="00215FF3"/>
    <w:rsid w:val="00225A24"/>
    <w:rsid w:val="00234E0C"/>
    <w:rsid w:val="00237F32"/>
    <w:rsid w:val="00243585"/>
    <w:rsid w:val="00245BDB"/>
    <w:rsid w:val="00253748"/>
    <w:rsid w:val="0025593E"/>
    <w:rsid w:val="00257686"/>
    <w:rsid w:val="00272218"/>
    <w:rsid w:val="0028149B"/>
    <w:rsid w:val="00281CDF"/>
    <w:rsid w:val="00281D9B"/>
    <w:rsid w:val="00285C07"/>
    <w:rsid w:val="00286224"/>
    <w:rsid w:val="0029576A"/>
    <w:rsid w:val="002A353E"/>
    <w:rsid w:val="002A5F9D"/>
    <w:rsid w:val="002A7513"/>
    <w:rsid w:val="002B0F26"/>
    <w:rsid w:val="002B23D2"/>
    <w:rsid w:val="002B26BE"/>
    <w:rsid w:val="002B38D6"/>
    <w:rsid w:val="002B520D"/>
    <w:rsid w:val="002B6DF6"/>
    <w:rsid w:val="002B7C7B"/>
    <w:rsid w:val="002C2F4B"/>
    <w:rsid w:val="002C39BC"/>
    <w:rsid w:val="002D3B7E"/>
    <w:rsid w:val="002D5BB5"/>
    <w:rsid w:val="002E283D"/>
    <w:rsid w:val="002E581E"/>
    <w:rsid w:val="0030011F"/>
    <w:rsid w:val="00300E5B"/>
    <w:rsid w:val="00300EAE"/>
    <w:rsid w:val="003057BF"/>
    <w:rsid w:val="003115F4"/>
    <w:rsid w:val="0031294B"/>
    <w:rsid w:val="00314887"/>
    <w:rsid w:val="00316460"/>
    <w:rsid w:val="00320400"/>
    <w:rsid w:val="00321142"/>
    <w:rsid w:val="00322479"/>
    <w:rsid w:val="00327693"/>
    <w:rsid w:val="003334E8"/>
    <w:rsid w:val="003423A9"/>
    <w:rsid w:val="00346356"/>
    <w:rsid w:val="00347881"/>
    <w:rsid w:val="00350F8B"/>
    <w:rsid w:val="0035164C"/>
    <w:rsid w:val="00353091"/>
    <w:rsid w:val="0035447D"/>
    <w:rsid w:val="00355FDF"/>
    <w:rsid w:val="00357141"/>
    <w:rsid w:val="003609AD"/>
    <w:rsid w:val="00360FF9"/>
    <w:rsid w:val="003663E8"/>
    <w:rsid w:val="0037461A"/>
    <w:rsid w:val="00380083"/>
    <w:rsid w:val="00382F11"/>
    <w:rsid w:val="00390C7D"/>
    <w:rsid w:val="003970E9"/>
    <w:rsid w:val="003B1DB3"/>
    <w:rsid w:val="003D3CBA"/>
    <w:rsid w:val="003D4620"/>
    <w:rsid w:val="003D5615"/>
    <w:rsid w:val="003D6B33"/>
    <w:rsid w:val="003E340E"/>
    <w:rsid w:val="003E3F22"/>
    <w:rsid w:val="003E53A8"/>
    <w:rsid w:val="003E62D4"/>
    <w:rsid w:val="003E6D9E"/>
    <w:rsid w:val="003E773D"/>
    <w:rsid w:val="003F4A24"/>
    <w:rsid w:val="00400D91"/>
    <w:rsid w:val="00402B37"/>
    <w:rsid w:val="00404F6A"/>
    <w:rsid w:val="00405113"/>
    <w:rsid w:val="00411968"/>
    <w:rsid w:val="0041341E"/>
    <w:rsid w:val="004147B7"/>
    <w:rsid w:val="00416527"/>
    <w:rsid w:val="00422884"/>
    <w:rsid w:val="00424085"/>
    <w:rsid w:val="00432EEB"/>
    <w:rsid w:val="004366EF"/>
    <w:rsid w:val="00436A53"/>
    <w:rsid w:val="004372A1"/>
    <w:rsid w:val="00442113"/>
    <w:rsid w:val="004450FF"/>
    <w:rsid w:val="00446A55"/>
    <w:rsid w:val="004604C1"/>
    <w:rsid w:val="004622C6"/>
    <w:rsid w:val="00463A41"/>
    <w:rsid w:val="00466C1D"/>
    <w:rsid w:val="0046742E"/>
    <w:rsid w:val="004712F6"/>
    <w:rsid w:val="004713E5"/>
    <w:rsid w:val="0047526A"/>
    <w:rsid w:val="004762EE"/>
    <w:rsid w:val="0048008A"/>
    <w:rsid w:val="00480BF2"/>
    <w:rsid w:val="004870D2"/>
    <w:rsid w:val="00492406"/>
    <w:rsid w:val="00493F5E"/>
    <w:rsid w:val="004960D1"/>
    <w:rsid w:val="004963B5"/>
    <w:rsid w:val="00497407"/>
    <w:rsid w:val="004A38B1"/>
    <w:rsid w:val="004A5705"/>
    <w:rsid w:val="004A7A75"/>
    <w:rsid w:val="004A7E1B"/>
    <w:rsid w:val="004B0124"/>
    <w:rsid w:val="004B4152"/>
    <w:rsid w:val="004C505A"/>
    <w:rsid w:val="004C6B37"/>
    <w:rsid w:val="004D1932"/>
    <w:rsid w:val="004D5FAC"/>
    <w:rsid w:val="004D67DD"/>
    <w:rsid w:val="004D6911"/>
    <w:rsid w:val="004D6FAD"/>
    <w:rsid w:val="004E7D12"/>
    <w:rsid w:val="004F6DDC"/>
    <w:rsid w:val="004F718B"/>
    <w:rsid w:val="0050184D"/>
    <w:rsid w:val="00511D0A"/>
    <w:rsid w:val="005144B2"/>
    <w:rsid w:val="00520443"/>
    <w:rsid w:val="00520B42"/>
    <w:rsid w:val="005240A3"/>
    <w:rsid w:val="005255BB"/>
    <w:rsid w:val="005264B0"/>
    <w:rsid w:val="00532970"/>
    <w:rsid w:val="005353BB"/>
    <w:rsid w:val="00541368"/>
    <w:rsid w:val="00541706"/>
    <w:rsid w:val="005432CE"/>
    <w:rsid w:val="00545986"/>
    <w:rsid w:val="005518F0"/>
    <w:rsid w:val="00553097"/>
    <w:rsid w:val="00554829"/>
    <w:rsid w:val="00555E61"/>
    <w:rsid w:val="00557930"/>
    <w:rsid w:val="005612EF"/>
    <w:rsid w:val="00563974"/>
    <w:rsid w:val="00563FA9"/>
    <w:rsid w:val="0056551F"/>
    <w:rsid w:val="00567403"/>
    <w:rsid w:val="00570823"/>
    <w:rsid w:val="00571710"/>
    <w:rsid w:val="005745EF"/>
    <w:rsid w:val="00580B4B"/>
    <w:rsid w:val="00581C9B"/>
    <w:rsid w:val="00584885"/>
    <w:rsid w:val="00585AC7"/>
    <w:rsid w:val="005861C3"/>
    <w:rsid w:val="005929C9"/>
    <w:rsid w:val="005A1EA0"/>
    <w:rsid w:val="005A21C2"/>
    <w:rsid w:val="005A7215"/>
    <w:rsid w:val="005B46C6"/>
    <w:rsid w:val="005B6D5A"/>
    <w:rsid w:val="005B6DA8"/>
    <w:rsid w:val="005B76BD"/>
    <w:rsid w:val="005C22F4"/>
    <w:rsid w:val="005C33A9"/>
    <w:rsid w:val="005C7013"/>
    <w:rsid w:val="005D01B4"/>
    <w:rsid w:val="005D7CB1"/>
    <w:rsid w:val="005E0B52"/>
    <w:rsid w:val="005E1367"/>
    <w:rsid w:val="005E42BF"/>
    <w:rsid w:val="005E65F7"/>
    <w:rsid w:val="005E7FC1"/>
    <w:rsid w:val="005F5885"/>
    <w:rsid w:val="00601013"/>
    <w:rsid w:val="006014C9"/>
    <w:rsid w:val="0060157F"/>
    <w:rsid w:val="00603384"/>
    <w:rsid w:val="0061202F"/>
    <w:rsid w:val="00621509"/>
    <w:rsid w:val="00625584"/>
    <w:rsid w:val="00625BC3"/>
    <w:rsid w:val="0062738A"/>
    <w:rsid w:val="0063258D"/>
    <w:rsid w:val="006325DD"/>
    <w:rsid w:val="00634913"/>
    <w:rsid w:val="00634AE8"/>
    <w:rsid w:val="00634FB3"/>
    <w:rsid w:val="00636D30"/>
    <w:rsid w:val="00640167"/>
    <w:rsid w:val="00640D14"/>
    <w:rsid w:val="006477D1"/>
    <w:rsid w:val="00655D96"/>
    <w:rsid w:val="00656BB0"/>
    <w:rsid w:val="00661BF5"/>
    <w:rsid w:val="00662390"/>
    <w:rsid w:val="006778C5"/>
    <w:rsid w:val="00684986"/>
    <w:rsid w:val="00685647"/>
    <w:rsid w:val="0068672C"/>
    <w:rsid w:val="00687761"/>
    <w:rsid w:val="006908A0"/>
    <w:rsid w:val="00690EDC"/>
    <w:rsid w:val="006A23F4"/>
    <w:rsid w:val="006A54B4"/>
    <w:rsid w:val="006B38AB"/>
    <w:rsid w:val="006C392C"/>
    <w:rsid w:val="006C41AF"/>
    <w:rsid w:val="006D312A"/>
    <w:rsid w:val="006D3567"/>
    <w:rsid w:val="006D6337"/>
    <w:rsid w:val="006D7614"/>
    <w:rsid w:val="006D7D46"/>
    <w:rsid w:val="006E2D32"/>
    <w:rsid w:val="006E7BB3"/>
    <w:rsid w:val="006F0CD9"/>
    <w:rsid w:val="006F2A01"/>
    <w:rsid w:val="006F3B8B"/>
    <w:rsid w:val="006F3D64"/>
    <w:rsid w:val="006F7983"/>
    <w:rsid w:val="0070324B"/>
    <w:rsid w:val="00707339"/>
    <w:rsid w:val="007109FC"/>
    <w:rsid w:val="00717631"/>
    <w:rsid w:val="00720464"/>
    <w:rsid w:val="0072556C"/>
    <w:rsid w:val="00725A25"/>
    <w:rsid w:val="00726B9C"/>
    <w:rsid w:val="0073037E"/>
    <w:rsid w:val="00730E7D"/>
    <w:rsid w:val="00731D35"/>
    <w:rsid w:val="0073204A"/>
    <w:rsid w:val="007322F0"/>
    <w:rsid w:val="0073231B"/>
    <w:rsid w:val="00734D92"/>
    <w:rsid w:val="00737B0F"/>
    <w:rsid w:val="00746A0D"/>
    <w:rsid w:val="007572AD"/>
    <w:rsid w:val="00757ABA"/>
    <w:rsid w:val="0076066A"/>
    <w:rsid w:val="007607B0"/>
    <w:rsid w:val="007610AC"/>
    <w:rsid w:val="00762289"/>
    <w:rsid w:val="0076400F"/>
    <w:rsid w:val="00764B84"/>
    <w:rsid w:val="00766EE8"/>
    <w:rsid w:val="007671D1"/>
    <w:rsid w:val="007733E1"/>
    <w:rsid w:val="00777579"/>
    <w:rsid w:val="007776B5"/>
    <w:rsid w:val="00781002"/>
    <w:rsid w:val="007812C1"/>
    <w:rsid w:val="007836F5"/>
    <w:rsid w:val="00785414"/>
    <w:rsid w:val="00785708"/>
    <w:rsid w:val="00787831"/>
    <w:rsid w:val="00791DAE"/>
    <w:rsid w:val="007A3D88"/>
    <w:rsid w:val="007B04C9"/>
    <w:rsid w:val="007B266C"/>
    <w:rsid w:val="007C0400"/>
    <w:rsid w:val="007C338D"/>
    <w:rsid w:val="007C6E89"/>
    <w:rsid w:val="007C6F0F"/>
    <w:rsid w:val="007D493E"/>
    <w:rsid w:val="007E170A"/>
    <w:rsid w:val="007E4425"/>
    <w:rsid w:val="007E6D10"/>
    <w:rsid w:val="007E7BC7"/>
    <w:rsid w:val="007F3E53"/>
    <w:rsid w:val="007F50DF"/>
    <w:rsid w:val="007F576D"/>
    <w:rsid w:val="007F6457"/>
    <w:rsid w:val="007F7B72"/>
    <w:rsid w:val="007F7EA5"/>
    <w:rsid w:val="0080184B"/>
    <w:rsid w:val="00803423"/>
    <w:rsid w:val="00806255"/>
    <w:rsid w:val="00807A82"/>
    <w:rsid w:val="00814B94"/>
    <w:rsid w:val="0081580B"/>
    <w:rsid w:val="008201BF"/>
    <w:rsid w:val="00820848"/>
    <w:rsid w:val="00823357"/>
    <w:rsid w:val="00825CDE"/>
    <w:rsid w:val="00831361"/>
    <w:rsid w:val="008342E6"/>
    <w:rsid w:val="0083472F"/>
    <w:rsid w:val="008348F3"/>
    <w:rsid w:val="00836B0A"/>
    <w:rsid w:val="008410C6"/>
    <w:rsid w:val="0084361F"/>
    <w:rsid w:val="0085436C"/>
    <w:rsid w:val="008575A9"/>
    <w:rsid w:val="00857D8C"/>
    <w:rsid w:val="00860B88"/>
    <w:rsid w:val="00862E8E"/>
    <w:rsid w:val="00865A00"/>
    <w:rsid w:val="00867E72"/>
    <w:rsid w:val="00870DF0"/>
    <w:rsid w:val="00874F7D"/>
    <w:rsid w:val="00876C02"/>
    <w:rsid w:val="00890D3E"/>
    <w:rsid w:val="00892246"/>
    <w:rsid w:val="008938DE"/>
    <w:rsid w:val="00893E79"/>
    <w:rsid w:val="00894CDC"/>
    <w:rsid w:val="00895E8C"/>
    <w:rsid w:val="008A0B2A"/>
    <w:rsid w:val="008A48DC"/>
    <w:rsid w:val="008A6DD7"/>
    <w:rsid w:val="008A7D98"/>
    <w:rsid w:val="008C48BB"/>
    <w:rsid w:val="008D3A76"/>
    <w:rsid w:val="008D415B"/>
    <w:rsid w:val="008F2E95"/>
    <w:rsid w:val="008F46EC"/>
    <w:rsid w:val="00905F05"/>
    <w:rsid w:val="00911C14"/>
    <w:rsid w:val="00912887"/>
    <w:rsid w:val="0091361C"/>
    <w:rsid w:val="00917330"/>
    <w:rsid w:val="00927656"/>
    <w:rsid w:val="00930F98"/>
    <w:rsid w:val="00932F01"/>
    <w:rsid w:val="0094056B"/>
    <w:rsid w:val="00944510"/>
    <w:rsid w:val="00947D5C"/>
    <w:rsid w:val="00947DDD"/>
    <w:rsid w:val="00951AB1"/>
    <w:rsid w:val="00952375"/>
    <w:rsid w:val="00953106"/>
    <w:rsid w:val="009602C8"/>
    <w:rsid w:val="009616F8"/>
    <w:rsid w:val="00961C1A"/>
    <w:rsid w:val="00962617"/>
    <w:rsid w:val="009639F6"/>
    <w:rsid w:val="00966C2B"/>
    <w:rsid w:val="00970385"/>
    <w:rsid w:val="00971DD8"/>
    <w:rsid w:val="00972C82"/>
    <w:rsid w:val="00973119"/>
    <w:rsid w:val="0098283B"/>
    <w:rsid w:val="009832FA"/>
    <w:rsid w:val="00983FA9"/>
    <w:rsid w:val="00991211"/>
    <w:rsid w:val="00991653"/>
    <w:rsid w:val="00991BC5"/>
    <w:rsid w:val="0099587D"/>
    <w:rsid w:val="0099644D"/>
    <w:rsid w:val="009A0835"/>
    <w:rsid w:val="009A1B45"/>
    <w:rsid w:val="009A26C1"/>
    <w:rsid w:val="009A5456"/>
    <w:rsid w:val="009A68F8"/>
    <w:rsid w:val="009A7E6F"/>
    <w:rsid w:val="009B29BA"/>
    <w:rsid w:val="009B2FD1"/>
    <w:rsid w:val="009B5D49"/>
    <w:rsid w:val="009B6EC1"/>
    <w:rsid w:val="009B79F8"/>
    <w:rsid w:val="009C07C5"/>
    <w:rsid w:val="009C1DB9"/>
    <w:rsid w:val="009D1DAA"/>
    <w:rsid w:val="009D308E"/>
    <w:rsid w:val="009D648C"/>
    <w:rsid w:val="009E3722"/>
    <w:rsid w:val="009E3CD3"/>
    <w:rsid w:val="009E4294"/>
    <w:rsid w:val="009E7E82"/>
    <w:rsid w:val="00A07038"/>
    <w:rsid w:val="00A10308"/>
    <w:rsid w:val="00A1196F"/>
    <w:rsid w:val="00A1334E"/>
    <w:rsid w:val="00A17097"/>
    <w:rsid w:val="00A2706E"/>
    <w:rsid w:val="00A27F36"/>
    <w:rsid w:val="00A301D8"/>
    <w:rsid w:val="00A325B1"/>
    <w:rsid w:val="00A33318"/>
    <w:rsid w:val="00A33AFF"/>
    <w:rsid w:val="00A35456"/>
    <w:rsid w:val="00A41FC3"/>
    <w:rsid w:val="00A425EB"/>
    <w:rsid w:val="00A55A1F"/>
    <w:rsid w:val="00A55CC5"/>
    <w:rsid w:val="00A55E96"/>
    <w:rsid w:val="00A62142"/>
    <w:rsid w:val="00A66D72"/>
    <w:rsid w:val="00A7643F"/>
    <w:rsid w:val="00A76D16"/>
    <w:rsid w:val="00A77087"/>
    <w:rsid w:val="00A8493D"/>
    <w:rsid w:val="00A86B29"/>
    <w:rsid w:val="00A91DBF"/>
    <w:rsid w:val="00A91DDF"/>
    <w:rsid w:val="00A94AE1"/>
    <w:rsid w:val="00A973AE"/>
    <w:rsid w:val="00AA3AD2"/>
    <w:rsid w:val="00AB4EEE"/>
    <w:rsid w:val="00AB5CA3"/>
    <w:rsid w:val="00AB73A0"/>
    <w:rsid w:val="00AB7C07"/>
    <w:rsid w:val="00AC09E1"/>
    <w:rsid w:val="00AC5896"/>
    <w:rsid w:val="00AC75D0"/>
    <w:rsid w:val="00AD1A67"/>
    <w:rsid w:val="00AD788E"/>
    <w:rsid w:val="00AE05B2"/>
    <w:rsid w:val="00AE3FCF"/>
    <w:rsid w:val="00AE42BF"/>
    <w:rsid w:val="00AF0115"/>
    <w:rsid w:val="00AF395F"/>
    <w:rsid w:val="00AF7B47"/>
    <w:rsid w:val="00B00C8E"/>
    <w:rsid w:val="00B06306"/>
    <w:rsid w:val="00B12476"/>
    <w:rsid w:val="00B16FDC"/>
    <w:rsid w:val="00B17631"/>
    <w:rsid w:val="00B17763"/>
    <w:rsid w:val="00B224E0"/>
    <w:rsid w:val="00B32F16"/>
    <w:rsid w:val="00B35B4D"/>
    <w:rsid w:val="00B35EC2"/>
    <w:rsid w:val="00B36516"/>
    <w:rsid w:val="00B42BEC"/>
    <w:rsid w:val="00B4540C"/>
    <w:rsid w:val="00B468F0"/>
    <w:rsid w:val="00B46909"/>
    <w:rsid w:val="00B540D6"/>
    <w:rsid w:val="00B72176"/>
    <w:rsid w:val="00B74351"/>
    <w:rsid w:val="00B753BB"/>
    <w:rsid w:val="00B76522"/>
    <w:rsid w:val="00B77488"/>
    <w:rsid w:val="00B80EEF"/>
    <w:rsid w:val="00B83F5F"/>
    <w:rsid w:val="00B8408B"/>
    <w:rsid w:val="00B94E0F"/>
    <w:rsid w:val="00BA4BDF"/>
    <w:rsid w:val="00BB3D1F"/>
    <w:rsid w:val="00BC0701"/>
    <w:rsid w:val="00BC2A08"/>
    <w:rsid w:val="00BC5C6C"/>
    <w:rsid w:val="00BC7788"/>
    <w:rsid w:val="00BD56D9"/>
    <w:rsid w:val="00BE5178"/>
    <w:rsid w:val="00BF3E67"/>
    <w:rsid w:val="00BF5B0D"/>
    <w:rsid w:val="00BF61F9"/>
    <w:rsid w:val="00BF6ADC"/>
    <w:rsid w:val="00C02D3A"/>
    <w:rsid w:val="00C03F51"/>
    <w:rsid w:val="00C052EE"/>
    <w:rsid w:val="00C06A2E"/>
    <w:rsid w:val="00C0787A"/>
    <w:rsid w:val="00C07A52"/>
    <w:rsid w:val="00C12B3C"/>
    <w:rsid w:val="00C12F22"/>
    <w:rsid w:val="00C15042"/>
    <w:rsid w:val="00C17ED2"/>
    <w:rsid w:val="00C24CEC"/>
    <w:rsid w:val="00C25157"/>
    <w:rsid w:val="00C2587F"/>
    <w:rsid w:val="00C27E12"/>
    <w:rsid w:val="00C30604"/>
    <w:rsid w:val="00C333B3"/>
    <w:rsid w:val="00C34A4B"/>
    <w:rsid w:val="00C41EDA"/>
    <w:rsid w:val="00C435AD"/>
    <w:rsid w:val="00C45B59"/>
    <w:rsid w:val="00C467F6"/>
    <w:rsid w:val="00C47092"/>
    <w:rsid w:val="00C514CE"/>
    <w:rsid w:val="00C51C57"/>
    <w:rsid w:val="00C56827"/>
    <w:rsid w:val="00C578D8"/>
    <w:rsid w:val="00C61AFE"/>
    <w:rsid w:val="00C71BB3"/>
    <w:rsid w:val="00C74997"/>
    <w:rsid w:val="00C753CB"/>
    <w:rsid w:val="00C80C3E"/>
    <w:rsid w:val="00C8133C"/>
    <w:rsid w:val="00C82D19"/>
    <w:rsid w:val="00C86894"/>
    <w:rsid w:val="00C92DCB"/>
    <w:rsid w:val="00C96200"/>
    <w:rsid w:val="00CA4E7B"/>
    <w:rsid w:val="00CA537E"/>
    <w:rsid w:val="00CA56DF"/>
    <w:rsid w:val="00CB0D10"/>
    <w:rsid w:val="00CB1A30"/>
    <w:rsid w:val="00CB473A"/>
    <w:rsid w:val="00CB6BB3"/>
    <w:rsid w:val="00CC2C43"/>
    <w:rsid w:val="00CC3D0A"/>
    <w:rsid w:val="00CC7FCB"/>
    <w:rsid w:val="00CD688B"/>
    <w:rsid w:val="00CD6AE1"/>
    <w:rsid w:val="00CE3709"/>
    <w:rsid w:val="00CE57B0"/>
    <w:rsid w:val="00CF01B2"/>
    <w:rsid w:val="00CF2811"/>
    <w:rsid w:val="00CF2ED4"/>
    <w:rsid w:val="00CF5E0E"/>
    <w:rsid w:val="00D0012A"/>
    <w:rsid w:val="00D05745"/>
    <w:rsid w:val="00D109BA"/>
    <w:rsid w:val="00D11975"/>
    <w:rsid w:val="00D2335E"/>
    <w:rsid w:val="00D24921"/>
    <w:rsid w:val="00D27282"/>
    <w:rsid w:val="00D27350"/>
    <w:rsid w:val="00D33985"/>
    <w:rsid w:val="00D377D7"/>
    <w:rsid w:val="00D40881"/>
    <w:rsid w:val="00D41B6A"/>
    <w:rsid w:val="00D44F02"/>
    <w:rsid w:val="00D47165"/>
    <w:rsid w:val="00D4740A"/>
    <w:rsid w:val="00D544A1"/>
    <w:rsid w:val="00D60C40"/>
    <w:rsid w:val="00D61D81"/>
    <w:rsid w:val="00D6313F"/>
    <w:rsid w:val="00D6432C"/>
    <w:rsid w:val="00D64348"/>
    <w:rsid w:val="00D655C5"/>
    <w:rsid w:val="00D67485"/>
    <w:rsid w:val="00D72379"/>
    <w:rsid w:val="00D727D0"/>
    <w:rsid w:val="00D74242"/>
    <w:rsid w:val="00D74CF9"/>
    <w:rsid w:val="00D75450"/>
    <w:rsid w:val="00D80A2D"/>
    <w:rsid w:val="00D87C21"/>
    <w:rsid w:val="00D95E3C"/>
    <w:rsid w:val="00DA0C95"/>
    <w:rsid w:val="00DA4FFE"/>
    <w:rsid w:val="00DA55C9"/>
    <w:rsid w:val="00DB0BCB"/>
    <w:rsid w:val="00DB6386"/>
    <w:rsid w:val="00DC1D59"/>
    <w:rsid w:val="00DC672D"/>
    <w:rsid w:val="00DD2C59"/>
    <w:rsid w:val="00DD2E2B"/>
    <w:rsid w:val="00DD4B2B"/>
    <w:rsid w:val="00DE07D1"/>
    <w:rsid w:val="00DE1991"/>
    <w:rsid w:val="00DF1089"/>
    <w:rsid w:val="00DF3A2C"/>
    <w:rsid w:val="00DF7AB1"/>
    <w:rsid w:val="00E00F7B"/>
    <w:rsid w:val="00E033CF"/>
    <w:rsid w:val="00E045F5"/>
    <w:rsid w:val="00E10E9E"/>
    <w:rsid w:val="00E11F86"/>
    <w:rsid w:val="00E12FE9"/>
    <w:rsid w:val="00E15F79"/>
    <w:rsid w:val="00E24516"/>
    <w:rsid w:val="00E33014"/>
    <w:rsid w:val="00E3480C"/>
    <w:rsid w:val="00E35E80"/>
    <w:rsid w:val="00E40A2E"/>
    <w:rsid w:val="00E51184"/>
    <w:rsid w:val="00E53772"/>
    <w:rsid w:val="00E6544C"/>
    <w:rsid w:val="00E66068"/>
    <w:rsid w:val="00E75348"/>
    <w:rsid w:val="00E820BC"/>
    <w:rsid w:val="00E854D0"/>
    <w:rsid w:val="00E979C6"/>
    <w:rsid w:val="00EB12ED"/>
    <w:rsid w:val="00EB2AD0"/>
    <w:rsid w:val="00EC013B"/>
    <w:rsid w:val="00EC12C6"/>
    <w:rsid w:val="00EC1F00"/>
    <w:rsid w:val="00EC38B4"/>
    <w:rsid w:val="00EC5ABD"/>
    <w:rsid w:val="00EC61D4"/>
    <w:rsid w:val="00ED0B82"/>
    <w:rsid w:val="00ED4915"/>
    <w:rsid w:val="00ED6DEF"/>
    <w:rsid w:val="00EE1D31"/>
    <w:rsid w:val="00EF2EF9"/>
    <w:rsid w:val="00EF4834"/>
    <w:rsid w:val="00EF600A"/>
    <w:rsid w:val="00F01293"/>
    <w:rsid w:val="00F06413"/>
    <w:rsid w:val="00F067B7"/>
    <w:rsid w:val="00F0740C"/>
    <w:rsid w:val="00F16AF7"/>
    <w:rsid w:val="00F23C44"/>
    <w:rsid w:val="00F26CB6"/>
    <w:rsid w:val="00F30D84"/>
    <w:rsid w:val="00F32739"/>
    <w:rsid w:val="00F32B37"/>
    <w:rsid w:val="00F366B0"/>
    <w:rsid w:val="00F36D69"/>
    <w:rsid w:val="00F374A8"/>
    <w:rsid w:val="00F4492F"/>
    <w:rsid w:val="00F4687D"/>
    <w:rsid w:val="00F55BF6"/>
    <w:rsid w:val="00F568D8"/>
    <w:rsid w:val="00F62820"/>
    <w:rsid w:val="00F6665C"/>
    <w:rsid w:val="00F66E3E"/>
    <w:rsid w:val="00F70FC0"/>
    <w:rsid w:val="00F730A7"/>
    <w:rsid w:val="00F85518"/>
    <w:rsid w:val="00F86FEC"/>
    <w:rsid w:val="00F91ADF"/>
    <w:rsid w:val="00F9487E"/>
    <w:rsid w:val="00F94ACD"/>
    <w:rsid w:val="00F94E86"/>
    <w:rsid w:val="00F97111"/>
    <w:rsid w:val="00FA03C1"/>
    <w:rsid w:val="00FA2CEE"/>
    <w:rsid w:val="00FA4576"/>
    <w:rsid w:val="00FA5E48"/>
    <w:rsid w:val="00FB0236"/>
    <w:rsid w:val="00FB2100"/>
    <w:rsid w:val="00FB2DC2"/>
    <w:rsid w:val="00FB5B2B"/>
    <w:rsid w:val="00FB6464"/>
    <w:rsid w:val="00FC0C7F"/>
    <w:rsid w:val="00FC13B5"/>
    <w:rsid w:val="00FC1C6C"/>
    <w:rsid w:val="00FC2EAF"/>
    <w:rsid w:val="00FD0007"/>
    <w:rsid w:val="00FD0A5A"/>
    <w:rsid w:val="00FD56E8"/>
    <w:rsid w:val="00FE1B76"/>
    <w:rsid w:val="00FE2B6E"/>
    <w:rsid w:val="00FE51AC"/>
    <w:rsid w:val="00FE7221"/>
    <w:rsid w:val="00FF1F66"/>
    <w:rsid w:val="00FF5B27"/>
    <w:rsid w:val="010E057C"/>
    <w:rsid w:val="01140A85"/>
    <w:rsid w:val="01297331"/>
    <w:rsid w:val="016E6622"/>
    <w:rsid w:val="0197504E"/>
    <w:rsid w:val="019F504B"/>
    <w:rsid w:val="01A268ED"/>
    <w:rsid w:val="01C46719"/>
    <w:rsid w:val="01E142C4"/>
    <w:rsid w:val="01F5081E"/>
    <w:rsid w:val="020512C6"/>
    <w:rsid w:val="02132E29"/>
    <w:rsid w:val="021E31EF"/>
    <w:rsid w:val="02430AA0"/>
    <w:rsid w:val="024C6D0B"/>
    <w:rsid w:val="02675051"/>
    <w:rsid w:val="027200E4"/>
    <w:rsid w:val="02AA5B5B"/>
    <w:rsid w:val="02B82006"/>
    <w:rsid w:val="02C70FBF"/>
    <w:rsid w:val="02ED6902"/>
    <w:rsid w:val="030371AC"/>
    <w:rsid w:val="03056659"/>
    <w:rsid w:val="031D56FD"/>
    <w:rsid w:val="03510DE7"/>
    <w:rsid w:val="03544919"/>
    <w:rsid w:val="035A674C"/>
    <w:rsid w:val="037453C2"/>
    <w:rsid w:val="038B7C42"/>
    <w:rsid w:val="039446A6"/>
    <w:rsid w:val="039960D5"/>
    <w:rsid w:val="03C860B2"/>
    <w:rsid w:val="03E0674C"/>
    <w:rsid w:val="03E2626F"/>
    <w:rsid w:val="04212DF4"/>
    <w:rsid w:val="045808C4"/>
    <w:rsid w:val="04617213"/>
    <w:rsid w:val="046539DE"/>
    <w:rsid w:val="04686DD5"/>
    <w:rsid w:val="04715642"/>
    <w:rsid w:val="049B2D7D"/>
    <w:rsid w:val="04D6510D"/>
    <w:rsid w:val="05015E65"/>
    <w:rsid w:val="05104468"/>
    <w:rsid w:val="05852115"/>
    <w:rsid w:val="05861B00"/>
    <w:rsid w:val="05877F53"/>
    <w:rsid w:val="059C4631"/>
    <w:rsid w:val="05A23716"/>
    <w:rsid w:val="05AB033A"/>
    <w:rsid w:val="05AC200E"/>
    <w:rsid w:val="05BB7AED"/>
    <w:rsid w:val="05CF5708"/>
    <w:rsid w:val="05D80F77"/>
    <w:rsid w:val="05FA7A44"/>
    <w:rsid w:val="05FE3C70"/>
    <w:rsid w:val="06220BBC"/>
    <w:rsid w:val="06293AB3"/>
    <w:rsid w:val="064A4E4D"/>
    <w:rsid w:val="064F751B"/>
    <w:rsid w:val="06501066"/>
    <w:rsid w:val="06594CF0"/>
    <w:rsid w:val="06727ACD"/>
    <w:rsid w:val="06A66A70"/>
    <w:rsid w:val="06BA70CA"/>
    <w:rsid w:val="06E22E4F"/>
    <w:rsid w:val="0712343C"/>
    <w:rsid w:val="079241D0"/>
    <w:rsid w:val="07C0788E"/>
    <w:rsid w:val="07CF7634"/>
    <w:rsid w:val="081D3629"/>
    <w:rsid w:val="08273315"/>
    <w:rsid w:val="08344573"/>
    <w:rsid w:val="084F7D2E"/>
    <w:rsid w:val="0858572F"/>
    <w:rsid w:val="0866340E"/>
    <w:rsid w:val="08941F72"/>
    <w:rsid w:val="089E2FDB"/>
    <w:rsid w:val="08AF1E5E"/>
    <w:rsid w:val="08C95389"/>
    <w:rsid w:val="08F250E8"/>
    <w:rsid w:val="091172AE"/>
    <w:rsid w:val="09213EF8"/>
    <w:rsid w:val="092E6247"/>
    <w:rsid w:val="09322195"/>
    <w:rsid w:val="093421ED"/>
    <w:rsid w:val="09513DAD"/>
    <w:rsid w:val="09527A9A"/>
    <w:rsid w:val="09652515"/>
    <w:rsid w:val="097A48DD"/>
    <w:rsid w:val="099459D3"/>
    <w:rsid w:val="09E50D33"/>
    <w:rsid w:val="09F45374"/>
    <w:rsid w:val="09FE2A22"/>
    <w:rsid w:val="0A0D300D"/>
    <w:rsid w:val="0A1A6D9E"/>
    <w:rsid w:val="0A4229E2"/>
    <w:rsid w:val="0A536CE3"/>
    <w:rsid w:val="0A5A23F1"/>
    <w:rsid w:val="0A626841"/>
    <w:rsid w:val="0AC22365"/>
    <w:rsid w:val="0AC84264"/>
    <w:rsid w:val="0AD07B64"/>
    <w:rsid w:val="0AD73988"/>
    <w:rsid w:val="0AD73E46"/>
    <w:rsid w:val="0B4F57A1"/>
    <w:rsid w:val="0B7A137B"/>
    <w:rsid w:val="0B8B3ACF"/>
    <w:rsid w:val="0B9A0B3C"/>
    <w:rsid w:val="0BBD596A"/>
    <w:rsid w:val="0BCB312B"/>
    <w:rsid w:val="0BCC30D4"/>
    <w:rsid w:val="0BDC133A"/>
    <w:rsid w:val="0BF53859"/>
    <w:rsid w:val="0C251DD1"/>
    <w:rsid w:val="0C4B67B8"/>
    <w:rsid w:val="0C6A39C2"/>
    <w:rsid w:val="0C87713C"/>
    <w:rsid w:val="0CAD576D"/>
    <w:rsid w:val="0CB937FE"/>
    <w:rsid w:val="0CC73B09"/>
    <w:rsid w:val="0D0D1CA7"/>
    <w:rsid w:val="0D2D40D9"/>
    <w:rsid w:val="0D612238"/>
    <w:rsid w:val="0D672DD0"/>
    <w:rsid w:val="0D814961"/>
    <w:rsid w:val="0D87603F"/>
    <w:rsid w:val="0DAD15D4"/>
    <w:rsid w:val="0DCA11DB"/>
    <w:rsid w:val="0DDD7427"/>
    <w:rsid w:val="0E4B6871"/>
    <w:rsid w:val="0E771516"/>
    <w:rsid w:val="0E7E36A7"/>
    <w:rsid w:val="0E86602C"/>
    <w:rsid w:val="0EA275E0"/>
    <w:rsid w:val="0EC04957"/>
    <w:rsid w:val="0ECD1DE9"/>
    <w:rsid w:val="0ED70A3D"/>
    <w:rsid w:val="0EF45C94"/>
    <w:rsid w:val="0F2C0CDF"/>
    <w:rsid w:val="0F301EBB"/>
    <w:rsid w:val="0F864420"/>
    <w:rsid w:val="0F905B62"/>
    <w:rsid w:val="0F9D1CAA"/>
    <w:rsid w:val="0FA247D7"/>
    <w:rsid w:val="0FA9234E"/>
    <w:rsid w:val="0FAF367F"/>
    <w:rsid w:val="0FD945DF"/>
    <w:rsid w:val="101B30D5"/>
    <w:rsid w:val="102E3A4B"/>
    <w:rsid w:val="1037627A"/>
    <w:rsid w:val="10766B0B"/>
    <w:rsid w:val="1082777D"/>
    <w:rsid w:val="10A268D8"/>
    <w:rsid w:val="10BF40A4"/>
    <w:rsid w:val="10E95A02"/>
    <w:rsid w:val="10F07EA3"/>
    <w:rsid w:val="10F56F57"/>
    <w:rsid w:val="11232A77"/>
    <w:rsid w:val="11495945"/>
    <w:rsid w:val="11593659"/>
    <w:rsid w:val="117C35A5"/>
    <w:rsid w:val="11982FE6"/>
    <w:rsid w:val="11A062B9"/>
    <w:rsid w:val="11FF2513"/>
    <w:rsid w:val="125B5E3C"/>
    <w:rsid w:val="127E0645"/>
    <w:rsid w:val="12840906"/>
    <w:rsid w:val="12A73EA2"/>
    <w:rsid w:val="12AD1942"/>
    <w:rsid w:val="12C668DB"/>
    <w:rsid w:val="12CD4CDD"/>
    <w:rsid w:val="12E64376"/>
    <w:rsid w:val="12EB329E"/>
    <w:rsid w:val="132026E5"/>
    <w:rsid w:val="133C3EC2"/>
    <w:rsid w:val="134031CD"/>
    <w:rsid w:val="13652FA2"/>
    <w:rsid w:val="136630EE"/>
    <w:rsid w:val="136D6B5F"/>
    <w:rsid w:val="13846097"/>
    <w:rsid w:val="138C146A"/>
    <w:rsid w:val="139E00C7"/>
    <w:rsid w:val="13C73ABF"/>
    <w:rsid w:val="13CB3928"/>
    <w:rsid w:val="143C5309"/>
    <w:rsid w:val="144E60C7"/>
    <w:rsid w:val="14524CDF"/>
    <w:rsid w:val="14527FFE"/>
    <w:rsid w:val="14802C7D"/>
    <w:rsid w:val="14B45AC0"/>
    <w:rsid w:val="14D00900"/>
    <w:rsid w:val="14FD14F6"/>
    <w:rsid w:val="14FD2AC0"/>
    <w:rsid w:val="1510019E"/>
    <w:rsid w:val="152D017B"/>
    <w:rsid w:val="1560060A"/>
    <w:rsid w:val="15782397"/>
    <w:rsid w:val="157B4E0F"/>
    <w:rsid w:val="15841193"/>
    <w:rsid w:val="15C425DD"/>
    <w:rsid w:val="15E26557"/>
    <w:rsid w:val="15F420F4"/>
    <w:rsid w:val="16014686"/>
    <w:rsid w:val="16192F24"/>
    <w:rsid w:val="161D22FA"/>
    <w:rsid w:val="164134C1"/>
    <w:rsid w:val="164A7B91"/>
    <w:rsid w:val="164B2E1C"/>
    <w:rsid w:val="165C68F1"/>
    <w:rsid w:val="166D24D6"/>
    <w:rsid w:val="16812303"/>
    <w:rsid w:val="168811AA"/>
    <w:rsid w:val="168B120E"/>
    <w:rsid w:val="169272AF"/>
    <w:rsid w:val="16BC291A"/>
    <w:rsid w:val="16BF4C02"/>
    <w:rsid w:val="16C8677F"/>
    <w:rsid w:val="16CF606B"/>
    <w:rsid w:val="16FE0D12"/>
    <w:rsid w:val="17173DFF"/>
    <w:rsid w:val="172559DF"/>
    <w:rsid w:val="17271DC9"/>
    <w:rsid w:val="173D3A7D"/>
    <w:rsid w:val="1744092D"/>
    <w:rsid w:val="17573694"/>
    <w:rsid w:val="17597E1B"/>
    <w:rsid w:val="17603273"/>
    <w:rsid w:val="17627FC8"/>
    <w:rsid w:val="17635D8F"/>
    <w:rsid w:val="1768379D"/>
    <w:rsid w:val="17782188"/>
    <w:rsid w:val="17920F0C"/>
    <w:rsid w:val="17960128"/>
    <w:rsid w:val="179921CB"/>
    <w:rsid w:val="17A3328C"/>
    <w:rsid w:val="17B52DCE"/>
    <w:rsid w:val="185865A9"/>
    <w:rsid w:val="18620428"/>
    <w:rsid w:val="18915166"/>
    <w:rsid w:val="18956BFD"/>
    <w:rsid w:val="18B67567"/>
    <w:rsid w:val="18B800A1"/>
    <w:rsid w:val="18CD78F0"/>
    <w:rsid w:val="18F51DB8"/>
    <w:rsid w:val="18F546DB"/>
    <w:rsid w:val="19026E87"/>
    <w:rsid w:val="19217C9D"/>
    <w:rsid w:val="19507F7C"/>
    <w:rsid w:val="1951541B"/>
    <w:rsid w:val="19733DFF"/>
    <w:rsid w:val="198E75B3"/>
    <w:rsid w:val="19A37E10"/>
    <w:rsid w:val="19BF74C6"/>
    <w:rsid w:val="1A0D0114"/>
    <w:rsid w:val="1A237AD7"/>
    <w:rsid w:val="1A3051D1"/>
    <w:rsid w:val="1A317145"/>
    <w:rsid w:val="1A327451"/>
    <w:rsid w:val="1A3A2CD6"/>
    <w:rsid w:val="1A45006E"/>
    <w:rsid w:val="1A5D028B"/>
    <w:rsid w:val="1AA436B3"/>
    <w:rsid w:val="1AF27E7F"/>
    <w:rsid w:val="1AF9521C"/>
    <w:rsid w:val="1B0518B7"/>
    <w:rsid w:val="1B0C07F0"/>
    <w:rsid w:val="1B513138"/>
    <w:rsid w:val="1B514CA0"/>
    <w:rsid w:val="1B7B5142"/>
    <w:rsid w:val="1B832BA2"/>
    <w:rsid w:val="1B9049E7"/>
    <w:rsid w:val="1BBB47FE"/>
    <w:rsid w:val="1BC8034A"/>
    <w:rsid w:val="1BD93B5F"/>
    <w:rsid w:val="1BDB5F0F"/>
    <w:rsid w:val="1BEB6F22"/>
    <w:rsid w:val="1BED089E"/>
    <w:rsid w:val="1C4A2385"/>
    <w:rsid w:val="1C687502"/>
    <w:rsid w:val="1C6C3032"/>
    <w:rsid w:val="1C703B03"/>
    <w:rsid w:val="1CD51FB4"/>
    <w:rsid w:val="1CE834A5"/>
    <w:rsid w:val="1CEB13B0"/>
    <w:rsid w:val="1D1F5C20"/>
    <w:rsid w:val="1D277FFC"/>
    <w:rsid w:val="1D6A5789"/>
    <w:rsid w:val="1D726A71"/>
    <w:rsid w:val="1D737ACB"/>
    <w:rsid w:val="1DB626CA"/>
    <w:rsid w:val="1DC03CBD"/>
    <w:rsid w:val="1DC03E04"/>
    <w:rsid w:val="1DC95B24"/>
    <w:rsid w:val="1DD04677"/>
    <w:rsid w:val="1DFC5AA4"/>
    <w:rsid w:val="1E0A5A58"/>
    <w:rsid w:val="1E1E682F"/>
    <w:rsid w:val="1E286BDB"/>
    <w:rsid w:val="1E334F61"/>
    <w:rsid w:val="1E396D7D"/>
    <w:rsid w:val="1E403DA8"/>
    <w:rsid w:val="1E432389"/>
    <w:rsid w:val="1E6D59F0"/>
    <w:rsid w:val="1E8540B1"/>
    <w:rsid w:val="1E877627"/>
    <w:rsid w:val="1E8929EA"/>
    <w:rsid w:val="1EB83FF3"/>
    <w:rsid w:val="1F0B50D6"/>
    <w:rsid w:val="1F4361AE"/>
    <w:rsid w:val="1F4C6400"/>
    <w:rsid w:val="1F7C506E"/>
    <w:rsid w:val="1F9D2F63"/>
    <w:rsid w:val="1FF13F36"/>
    <w:rsid w:val="200627A9"/>
    <w:rsid w:val="200D2B9C"/>
    <w:rsid w:val="201837B4"/>
    <w:rsid w:val="20185C76"/>
    <w:rsid w:val="204A046A"/>
    <w:rsid w:val="20672A32"/>
    <w:rsid w:val="207C7F04"/>
    <w:rsid w:val="20856270"/>
    <w:rsid w:val="208C0358"/>
    <w:rsid w:val="20AA3E46"/>
    <w:rsid w:val="20B90EBB"/>
    <w:rsid w:val="20F72505"/>
    <w:rsid w:val="21213BA6"/>
    <w:rsid w:val="213557D1"/>
    <w:rsid w:val="21424E5D"/>
    <w:rsid w:val="21493B06"/>
    <w:rsid w:val="2152546F"/>
    <w:rsid w:val="21805018"/>
    <w:rsid w:val="218E3929"/>
    <w:rsid w:val="21A14F3F"/>
    <w:rsid w:val="21B22CBF"/>
    <w:rsid w:val="21D2711D"/>
    <w:rsid w:val="21E9500B"/>
    <w:rsid w:val="221F6E96"/>
    <w:rsid w:val="222A3C16"/>
    <w:rsid w:val="223A19B2"/>
    <w:rsid w:val="22435C5D"/>
    <w:rsid w:val="22511DA8"/>
    <w:rsid w:val="22715BEF"/>
    <w:rsid w:val="227A12C4"/>
    <w:rsid w:val="228A59EC"/>
    <w:rsid w:val="229328E9"/>
    <w:rsid w:val="22AC11DB"/>
    <w:rsid w:val="22B41C5D"/>
    <w:rsid w:val="22C86239"/>
    <w:rsid w:val="22E8786C"/>
    <w:rsid w:val="23153539"/>
    <w:rsid w:val="231541D8"/>
    <w:rsid w:val="23247C18"/>
    <w:rsid w:val="233D094B"/>
    <w:rsid w:val="23505A2D"/>
    <w:rsid w:val="235D1FF2"/>
    <w:rsid w:val="2369143E"/>
    <w:rsid w:val="237967D6"/>
    <w:rsid w:val="237A196D"/>
    <w:rsid w:val="23D15FE5"/>
    <w:rsid w:val="23DF50F6"/>
    <w:rsid w:val="23F54F7D"/>
    <w:rsid w:val="241951D7"/>
    <w:rsid w:val="2423199F"/>
    <w:rsid w:val="24360E51"/>
    <w:rsid w:val="24392E1A"/>
    <w:rsid w:val="24392FD3"/>
    <w:rsid w:val="247570AD"/>
    <w:rsid w:val="248074A1"/>
    <w:rsid w:val="249E5C2F"/>
    <w:rsid w:val="24CA4F47"/>
    <w:rsid w:val="24F00493"/>
    <w:rsid w:val="25107DA6"/>
    <w:rsid w:val="252811BF"/>
    <w:rsid w:val="257679F6"/>
    <w:rsid w:val="259348D2"/>
    <w:rsid w:val="259A0061"/>
    <w:rsid w:val="25AD3B15"/>
    <w:rsid w:val="25C27378"/>
    <w:rsid w:val="25CC12FF"/>
    <w:rsid w:val="25E16AC8"/>
    <w:rsid w:val="26027A2F"/>
    <w:rsid w:val="26352571"/>
    <w:rsid w:val="26644CDA"/>
    <w:rsid w:val="266B07B2"/>
    <w:rsid w:val="2697556A"/>
    <w:rsid w:val="26BE4FE0"/>
    <w:rsid w:val="26F231B1"/>
    <w:rsid w:val="27046C39"/>
    <w:rsid w:val="27101AA5"/>
    <w:rsid w:val="2717585D"/>
    <w:rsid w:val="272733EF"/>
    <w:rsid w:val="273A5913"/>
    <w:rsid w:val="274030E0"/>
    <w:rsid w:val="27693D59"/>
    <w:rsid w:val="27C83544"/>
    <w:rsid w:val="27D94D76"/>
    <w:rsid w:val="27DD36C8"/>
    <w:rsid w:val="27E41B7B"/>
    <w:rsid w:val="27FE19AD"/>
    <w:rsid w:val="28080AA1"/>
    <w:rsid w:val="280B07AC"/>
    <w:rsid w:val="284343E7"/>
    <w:rsid w:val="28462191"/>
    <w:rsid w:val="284B5E50"/>
    <w:rsid w:val="2857588C"/>
    <w:rsid w:val="28594296"/>
    <w:rsid w:val="2871729D"/>
    <w:rsid w:val="288041D5"/>
    <w:rsid w:val="28881718"/>
    <w:rsid w:val="2889225D"/>
    <w:rsid w:val="289542F3"/>
    <w:rsid w:val="28A353A7"/>
    <w:rsid w:val="28D110B1"/>
    <w:rsid w:val="28E544DD"/>
    <w:rsid w:val="28F629F2"/>
    <w:rsid w:val="290C3B04"/>
    <w:rsid w:val="297A27B4"/>
    <w:rsid w:val="29992D88"/>
    <w:rsid w:val="299C6393"/>
    <w:rsid w:val="299E7BE2"/>
    <w:rsid w:val="29B34C23"/>
    <w:rsid w:val="29BB119F"/>
    <w:rsid w:val="29C31330"/>
    <w:rsid w:val="29C3475E"/>
    <w:rsid w:val="29DD613A"/>
    <w:rsid w:val="29E878E9"/>
    <w:rsid w:val="2A520064"/>
    <w:rsid w:val="2A560DB0"/>
    <w:rsid w:val="2A6D05C7"/>
    <w:rsid w:val="2A7B6CBA"/>
    <w:rsid w:val="2A853F02"/>
    <w:rsid w:val="2A924768"/>
    <w:rsid w:val="2AA30CC9"/>
    <w:rsid w:val="2ACF0938"/>
    <w:rsid w:val="2AE60FC2"/>
    <w:rsid w:val="2AEC38DB"/>
    <w:rsid w:val="2AF30548"/>
    <w:rsid w:val="2AFE2540"/>
    <w:rsid w:val="2B03551F"/>
    <w:rsid w:val="2B0C7CE5"/>
    <w:rsid w:val="2B23405C"/>
    <w:rsid w:val="2B24046B"/>
    <w:rsid w:val="2B71085F"/>
    <w:rsid w:val="2B7B7B24"/>
    <w:rsid w:val="2B884FB4"/>
    <w:rsid w:val="2BB60457"/>
    <w:rsid w:val="2BD25A6A"/>
    <w:rsid w:val="2BD36874"/>
    <w:rsid w:val="2BD8610C"/>
    <w:rsid w:val="2BDA37D4"/>
    <w:rsid w:val="2BDB1434"/>
    <w:rsid w:val="2BDD4C92"/>
    <w:rsid w:val="2C097865"/>
    <w:rsid w:val="2C233BF1"/>
    <w:rsid w:val="2C3409C4"/>
    <w:rsid w:val="2C690AD0"/>
    <w:rsid w:val="2C933AD8"/>
    <w:rsid w:val="2CBF0099"/>
    <w:rsid w:val="2CE309F5"/>
    <w:rsid w:val="2D0774F0"/>
    <w:rsid w:val="2D0F18B2"/>
    <w:rsid w:val="2D1653EF"/>
    <w:rsid w:val="2D1816F2"/>
    <w:rsid w:val="2D204854"/>
    <w:rsid w:val="2D2A06BD"/>
    <w:rsid w:val="2D666547"/>
    <w:rsid w:val="2D676FFD"/>
    <w:rsid w:val="2D7D056F"/>
    <w:rsid w:val="2D991FE9"/>
    <w:rsid w:val="2DC73E77"/>
    <w:rsid w:val="2DCE02EA"/>
    <w:rsid w:val="2DE57B4E"/>
    <w:rsid w:val="2DE96146"/>
    <w:rsid w:val="2DEA71CE"/>
    <w:rsid w:val="2E1573EA"/>
    <w:rsid w:val="2E687BD1"/>
    <w:rsid w:val="2E6E2496"/>
    <w:rsid w:val="2E952400"/>
    <w:rsid w:val="2E9E7F38"/>
    <w:rsid w:val="2EEB60A6"/>
    <w:rsid w:val="2EF87EBA"/>
    <w:rsid w:val="2F271467"/>
    <w:rsid w:val="2F303BDD"/>
    <w:rsid w:val="2F37118F"/>
    <w:rsid w:val="2F3D036C"/>
    <w:rsid w:val="2F721354"/>
    <w:rsid w:val="2F7F60E2"/>
    <w:rsid w:val="2F827BCD"/>
    <w:rsid w:val="2FB40DCC"/>
    <w:rsid w:val="2FC13DF5"/>
    <w:rsid w:val="2FC338AF"/>
    <w:rsid w:val="300B2D84"/>
    <w:rsid w:val="3015656C"/>
    <w:rsid w:val="301A60C8"/>
    <w:rsid w:val="301C3C03"/>
    <w:rsid w:val="302A32A7"/>
    <w:rsid w:val="30361585"/>
    <w:rsid w:val="303B25D2"/>
    <w:rsid w:val="304D3699"/>
    <w:rsid w:val="30705A1D"/>
    <w:rsid w:val="30A90436"/>
    <w:rsid w:val="30BA0D1B"/>
    <w:rsid w:val="30CC1182"/>
    <w:rsid w:val="30DD2B25"/>
    <w:rsid w:val="30E05A4E"/>
    <w:rsid w:val="30F50871"/>
    <w:rsid w:val="312520C2"/>
    <w:rsid w:val="31512235"/>
    <w:rsid w:val="317340FA"/>
    <w:rsid w:val="318473DC"/>
    <w:rsid w:val="31AC480A"/>
    <w:rsid w:val="31D24B42"/>
    <w:rsid w:val="31E53541"/>
    <w:rsid w:val="322C76A3"/>
    <w:rsid w:val="32715ACA"/>
    <w:rsid w:val="329333E5"/>
    <w:rsid w:val="32997F69"/>
    <w:rsid w:val="33172B65"/>
    <w:rsid w:val="334F144F"/>
    <w:rsid w:val="335E5BF7"/>
    <w:rsid w:val="335F07A9"/>
    <w:rsid w:val="336B4695"/>
    <w:rsid w:val="336C6EE4"/>
    <w:rsid w:val="337D7CEC"/>
    <w:rsid w:val="338B0620"/>
    <w:rsid w:val="33BB5532"/>
    <w:rsid w:val="33D21874"/>
    <w:rsid w:val="33D36C55"/>
    <w:rsid w:val="340E5781"/>
    <w:rsid w:val="340F6935"/>
    <w:rsid w:val="341C067E"/>
    <w:rsid w:val="342E75F1"/>
    <w:rsid w:val="34302FC6"/>
    <w:rsid w:val="34447E01"/>
    <w:rsid w:val="3452745E"/>
    <w:rsid w:val="345349A9"/>
    <w:rsid w:val="34612EE6"/>
    <w:rsid w:val="347F7CAE"/>
    <w:rsid w:val="349C2AE6"/>
    <w:rsid w:val="34A5202D"/>
    <w:rsid w:val="34B121D9"/>
    <w:rsid w:val="34D157FE"/>
    <w:rsid w:val="34D71A6B"/>
    <w:rsid w:val="350F3227"/>
    <w:rsid w:val="35153B67"/>
    <w:rsid w:val="35413009"/>
    <w:rsid w:val="358F77F8"/>
    <w:rsid w:val="35926DA9"/>
    <w:rsid w:val="35B22481"/>
    <w:rsid w:val="35E270DF"/>
    <w:rsid w:val="360265CB"/>
    <w:rsid w:val="36101022"/>
    <w:rsid w:val="36263E09"/>
    <w:rsid w:val="36272030"/>
    <w:rsid w:val="3676560C"/>
    <w:rsid w:val="36823591"/>
    <w:rsid w:val="36833E96"/>
    <w:rsid w:val="368C663E"/>
    <w:rsid w:val="36E73FB1"/>
    <w:rsid w:val="36EE7577"/>
    <w:rsid w:val="371657AC"/>
    <w:rsid w:val="372E34D0"/>
    <w:rsid w:val="375B5300"/>
    <w:rsid w:val="37A662CB"/>
    <w:rsid w:val="38023741"/>
    <w:rsid w:val="382A3A5F"/>
    <w:rsid w:val="38301F1E"/>
    <w:rsid w:val="383C2E1F"/>
    <w:rsid w:val="385A20C8"/>
    <w:rsid w:val="389133A9"/>
    <w:rsid w:val="389D31BD"/>
    <w:rsid w:val="39087492"/>
    <w:rsid w:val="391975E7"/>
    <w:rsid w:val="391E5E70"/>
    <w:rsid w:val="393E6E10"/>
    <w:rsid w:val="397B53C8"/>
    <w:rsid w:val="39B00BA1"/>
    <w:rsid w:val="3A0B16D9"/>
    <w:rsid w:val="3A0C575A"/>
    <w:rsid w:val="3A357CCC"/>
    <w:rsid w:val="3A42261F"/>
    <w:rsid w:val="3A55176B"/>
    <w:rsid w:val="3A6C1A36"/>
    <w:rsid w:val="3A6F3F14"/>
    <w:rsid w:val="3A710653"/>
    <w:rsid w:val="3A7F72B1"/>
    <w:rsid w:val="3A9171FE"/>
    <w:rsid w:val="3AA90122"/>
    <w:rsid w:val="3AAD7844"/>
    <w:rsid w:val="3AC033FE"/>
    <w:rsid w:val="3B267757"/>
    <w:rsid w:val="3B3571D2"/>
    <w:rsid w:val="3B3E0752"/>
    <w:rsid w:val="3B981321"/>
    <w:rsid w:val="3BAA77AF"/>
    <w:rsid w:val="3BAF6602"/>
    <w:rsid w:val="3BB95067"/>
    <w:rsid w:val="3BBE2D85"/>
    <w:rsid w:val="3BBE6870"/>
    <w:rsid w:val="3BCB572E"/>
    <w:rsid w:val="3C080ED1"/>
    <w:rsid w:val="3C2E05D3"/>
    <w:rsid w:val="3C325EE5"/>
    <w:rsid w:val="3CAE558A"/>
    <w:rsid w:val="3CDC6204"/>
    <w:rsid w:val="3CE367F0"/>
    <w:rsid w:val="3CF81018"/>
    <w:rsid w:val="3D310057"/>
    <w:rsid w:val="3D3F3CAE"/>
    <w:rsid w:val="3D8D028B"/>
    <w:rsid w:val="3DAC2AF6"/>
    <w:rsid w:val="3DCA2965"/>
    <w:rsid w:val="3DD26859"/>
    <w:rsid w:val="3DE521EA"/>
    <w:rsid w:val="3E1D7C8F"/>
    <w:rsid w:val="3E583C0D"/>
    <w:rsid w:val="3E986768"/>
    <w:rsid w:val="3EF3052E"/>
    <w:rsid w:val="3F044DB6"/>
    <w:rsid w:val="3F2D32B7"/>
    <w:rsid w:val="3F3119C6"/>
    <w:rsid w:val="3F3913AB"/>
    <w:rsid w:val="3F3A4BD7"/>
    <w:rsid w:val="3F6C36E8"/>
    <w:rsid w:val="3F7C0619"/>
    <w:rsid w:val="3F931CCD"/>
    <w:rsid w:val="3FAB3CD6"/>
    <w:rsid w:val="3FD67035"/>
    <w:rsid w:val="3FDA1D0E"/>
    <w:rsid w:val="40184368"/>
    <w:rsid w:val="4023348D"/>
    <w:rsid w:val="403A2E3A"/>
    <w:rsid w:val="403F6BF1"/>
    <w:rsid w:val="40512C56"/>
    <w:rsid w:val="405549F6"/>
    <w:rsid w:val="405C26A3"/>
    <w:rsid w:val="40B5288E"/>
    <w:rsid w:val="40C1716F"/>
    <w:rsid w:val="40CD0AFA"/>
    <w:rsid w:val="40F42A00"/>
    <w:rsid w:val="41041439"/>
    <w:rsid w:val="410D7675"/>
    <w:rsid w:val="411470F3"/>
    <w:rsid w:val="411504A1"/>
    <w:rsid w:val="412C15D8"/>
    <w:rsid w:val="4133535E"/>
    <w:rsid w:val="41340443"/>
    <w:rsid w:val="41645C0E"/>
    <w:rsid w:val="417561C3"/>
    <w:rsid w:val="4197405F"/>
    <w:rsid w:val="41C90995"/>
    <w:rsid w:val="41DC4BE6"/>
    <w:rsid w:val="41E3791E"/>
    <w:rsid w:val="42222B86"/>
    <w:rsid w:val="42260B03"/>
    <w:rsid w:val="42554C15"/>
    <w:rsid w:val="426A279B"/>
    <w:rsid w:val="42AA7ACA"/>
    <w:rsid w:val="42C07ECD"/>
    <w:rsid w:val="42C96A18"/>
    <w:rsid w:val="42DC6CCC"/>
    <w:rsid w:val="42FB4E2B"/>
    <w:rsid w:val="43123DB8"/>
    <w:rsid w:val="43244EF6"/>
    <w:rsid w:val="433D07A6"/>
    <w:rsid w:val="43430D20"/>
    <w:rsid w:val="43516E44"/>
    <w:rsid w:val="435C490A"/>
    <w:rsid w:val="435C6C0A"/>
    <w:rsid w:val="436135E8"/>
    <w:rsid w:val="43BA4EA6"/>
    <w:rsid w:val="43BE2551"/>
    <w:rsid w:val="43D31ED5"/>
    <w:rsid w:val="43EF2764"/>
    <w:rsid w:val="44061EF1"/>
    <w:rsid w:val="44357997"/>
    <w:rsid w:val="444F1F8B"/>
    <w:rsid w:val="446734D2"/>
    <w:rsid w:val="44757352"/>
    <w:rsid w:val="4484141A"/>
    <w:rsid w:val="44B74789"/>
    <w:rsid w:val="44F47828"/>
    <w:rsid w:val="44F80373"/>
    <w:rsid w:val="45014E35"/>
    <w:rsid w:val="450C22E6"/>
    <w:rsid w:val="45236868"/>
    <w:rsid w:val="453C1C8D"/>
    <w:rsid w:val="456F3008"/>
    <w:rsid w:val="457D51F4"/>
    <w:rsid w:val="459F5908"/>
    <w:rsid w:val="45CD1F0F"/>
    <w:rsid w:val="462A3A83"/>
    <w:rsid w:val="46336191"/>
    <w:rsid w:val="46471243"/>
    <w:rsid w:val="464E2DB1"/>
    <w:rsid w:val="46621237"/>
    <w:rsid w:val="46696B72"/>
    <w:rsid w:val="46755ECC"/>
    <w:rsid w:val="468B1BD2"/>
    <w:rsid w:val="46B64FFD"/>
    <w:rsid w:val="46D60A7C"/>
    <w:rsid w:val="46F603F4"/>
    <w:rsid w:val="4749117E"/>
    <w:rsid w:val="4763650E"/>
    <w:rsid w:val="477A62CA"/>
    <w:rsid w:val="47DF1BEF"/>
    <w:rsid w:val="47E14273"/>
    <w:rsid w:val="47E606AD"/>
    <w:rsid w:val="48125CF1"/>
    <w:rsid w:val="482311DE"/>
    <w:rsid w:val="48550549"/>
    <w:rsid w:val="48780B59"/>
    <w:rsid w:val="488443C1"/>
    <w:rsid w:val="489D1C53"/>
    <w:rsid w:val="48CB27A8"/>
    <w:rsid w:val="491C39F2"/>
    <w:rsid w:val="49346AEA"/>
    <w:rsid w:val="49704BA7"/>
    <w:rsid w:val="49727B59"/>
    <w:rsid w:val="49B8053A"/>
    <w:rsid w:val="49B974B2"/>
    <w:rsid w:val="49C8535A"/>
    <w:rsid w:val="49D13A78"/>
    <w:rsid w:val="49F85447"/>
    <w:rsid w:val="4A073785"/>
    <w:rsid w:val="4A0D6CAB"/>
    <w:rsid w:val="4A0E0309"/>
    <w:rsid w:val="4A0F5A10"/>
    <w:rsid w:val="4A491232"/>
    <w:rsid w:val="4A567CDF"/>
    <w:rsid w:val="4A6161DE"/>
    <w:rsid w:val="4A9D5906"/>
    <w:rsid w:val="4AC7446E"/>
    <w:rsid w:val="4ACC0663"/>
    <w:rsid w:val="4AE21E70"/>
    <w:rsid w:val="4AE46770"/>
    <w:rsid w:val="4AEA5740"/>
    <w:rsid w:val="4AEA726E"/>
    <w:rsid w:val="4AFD07EE"/>
    <w:rsid w:val="4B2364A0"/>
    <w:rsid w:val="4B3C1238"/>
    <w:rsid w:val="4B4331A6"/>
    <w:rsid w:val="4B444773"/>
    <w:rsid w:val="4B794370"/>
    <w:rsid w:val="4B7B5801"/>
    <w:rsid w:val="4B85467D"/>
    <w:rsid w:val="4B934384"/>
    <w:rsid w:val="4BED21C1"/>
    <w:rsid w:val="4C0E33A2"/>
    <w:rsid w:val="4C11239D"/>
    <w:rsid w:val="4C1514E9"/>
    <w:rsid w:val="4C1B59BF"/>
    <w:rsid w:val="4C2A528A"/>
    <w:rsid w:val="4C2B474F"/>
    <w:rsid w:val="4C38085B"/>
    <w:rsid w:val="4C69577B"/>
    <w:rsid w:val="4C9725A3"/>
    <w:rsid w:val="4CA14BD0"/>
    <w:rsid w:val="4CA379DC"/>
    <w:rsid w:val="4CB47E41"/>
    <w:rsid w:val="4CC10F0D"/>
    <w:rsid w:val="4CF0099D"/>
    <w:rsid w:val="4CFB6467"/>
    <w:rsid w:val="4D0A178E"/>
    <w:rsid w:val="4D482C1F"/>
    <w:rsid w:val="4D4862A5"/>
    <w:rsid w:val="4D555305"/>
    <w:rsid w:val="4D69414E"/>
    <w:rsid w:val="4D6C4D8B"/>
    <w:rsid w:val="4DA33332"/>
    <w:rsid w:val="4DB22BD6"/>
    <w:rsid w:val="4DDA5454"/>
    <w:rsid w:val="4DE3274B"/>
    <w:rsid w:val="4E013A9F"/>
    <w:rsid w:val="4E1151B2"/>
    <w:rsid w:val="4E123889"/>
    <w:rsid w:val="4E3201A2"/>
    <w:rsid w:val="4E320AD5"/>
    <w:rsid w:val="4E3C138A"/>
    <w:rsid w:val="4E5844A7"/>
    <w:rsid w:val="4E5B05A0"/>
    <w:rsid w:val="4EC43DAD"/>
    <w:rsid w:val="4EEE36E4"/>
    <w:rsid w:val="4EF27512"/>
    <w:rsid w:val="4EF30A5A"/>
    <w:rsid w:val="4F2E764C"/>
    <w:rsid w:val="4F513B32"/>
    <w:rsid w:val="4F5677E1"/>
    <w:rsid w:val="4F735712"/>
    <w:rsid w:val="4F86675C"/>
    <w:rsid w:val="4F882399"/>
    <w:rsid w:val="4F895A90"/>
    <w:rsid w:val="4F8F2B56"/>
    <w:rsid w:val="4F9C65D7"/>
    <w:rsid w:val="4F9F571C"/>
    <w:rsid w:val="4FAC7D2E"/>
    <w:rsid w:val="4FE955D0"/>
    <w:rsid w:val="4FF5479B"/>
    <w:rsid w:val="4FF70D0C"/>
    <w:rsid w:val="50024380"/>
    <w:rsid w:val="500B6280"/>
    <w:rsid w:val="5048562C"/>
    <w:rsid w:val="504B48A9"/>
    <w:rsid w:val="504F678D"/>
    <w:rsid w:val="50673C27"/>
    <w:rsid w:val="50875E44"/>
    <w:rsid w:val="50946CA1"/>
    <w:rsid w:val="50A47611"/>
    <w:rsid w:val="50AF6F5D"/>
    <w:rsid w:val="50C53BB7"/>
    <w:rsid w:val="50CC2C2E"/>
    <w:rsid w:val="50E578F9"/>
    <w:rsid w:val="5104713D"/>
    <w:rsid w:val="510D026F"/>
    <w:rsid w:val="51207647"/>
    <w:rsid w:val="51244C3F"/>
    <w:rsid w:val="51253575"/>
    <w:rsid w:val="5150391A"/>
    <w:rsid w:val="515947B7"/>
    <w:rsid w:val="51A33FC2"/>
    <w:rsid w:val="51A62E29"/>
    <w:rsid w:val="51AB7AE4"/>
    <w:rsid w:val="51C51986"/>
    <w:rsid w:val="51D65F2F"/>
    <w:rsid w:val="51EA59DA"/>
    <w:rsid w:val="51F22593"/>
    <w:rsid w:val="51F272C7"/>
    <w:rsid w:val="524A544A"/>
    <w:rsid w:val="52822FFC"/>
    <w:rsid w:val="528410FC"/>
    <w:rsid w:val="5289105E"/>
    <w:rsid w:val="52AE441B"/>
    <w:rsid w:val="52E20388"/>
    <w:rsid w:val="52F249DC"/>
    <w:rsid w:val="5334069D"/>
    <w:rsid w:val="533D252E"/>
    <w:rsid w:val="53460310"/>
    <w:rsid w:val="53632806"/>
    <w:rsid w:val="537D6198"/>
    <w:rsid w:val="53CA4EF8"/>
    <w:rsid w:val="53E22312"/>
    <w:rsid w:val="5404374E"/>
    <w:rsid w:val="54135864"/>
    <w:rsid w:val="54447DDB"/>
    <w:rsid w:val="544A6C4D"/>
    <w:rsid w:val="54687C18"/>
    <w:rsid w:val="546A7051"/>
    <w:rsid w:val="54A91961"/>
    <w:rsid w:val="54D378D2"/>
    <w:rsid w:val="54D77B99"/>
    <w:rsid w:val="54F83D18"/>
    <w:rsid w:val="556C741B"/>
    <w:rsid w:val="558B516A"/>
    <w:rsid w:val="55906CAA"/>
    <w:rsid w:val="55A27ACE"/>
    <w:rsid w:val="55AD748D"/>
    <w:rsid w:val="55C0142A"/>
    <w:rsid w:val="55D87CB9"/>
    <w:rsid w:val="5632584A"/>
    <w:rsid w:val="56422404"/>
    <w:rsid w:val="56817180"/>
    <w:rsid w:val="568752D9"/>
    <w:rsid w:val="568C0684"/>
    <w:rsid w:val="56962F0A"/>
    <w:rsid w:val="56C546C8"/>
    <w:rsid w:val="56ED63B2"/>
    <w:rsid w:val="570966F5"/>
    <w:rsid w:val="570B5093"/>
    <w:rsid w:val="5715226A"/>
    <w:rsid w:val="571A11CB"/>
    <w:rsid w:val="5748012C"/>
    <w:rsid w:val="575B6BFE"/>
    <w:rsid w:val="57A97E3E"/>
    <w:rsid w:val="57B46776"/>
    <w:rsid w:val="57BB3C32"/>
    <w:rsid w:val="57BE755C"/>
    <w:rsid w:val="580638BB"/>
    <w:rsid w:val="58190A2E"/>
    <w:rsid w:val="581D1CFC"/>
    <w:rsid w:val="58343CC7"/>
    <w:rsid w:val="583A17D9"/>
    <w:rsid w:val="58403F1E"/>
    <w:rsid w:val="585A5199"/>
    <w:rsid w:val="58825FE3"/>
    <w:rsid w:val="5898603C"/>
    <w:rsid w:val="59082F4E"/>
    <w:rsid w:val="590D4D19"/>
    <w:rsid w:val="59124CF4"/>
    <w:rsid w:val="593164FF"/>
    <w:rsid w:val="59546F1E"/>
    <w:rsid w:val="59A674F5"/>
    <w:rsid w:val="59A75125"/>
    <w:rsid w:val="59CA4A4C"/>
    <w:rsid w:val="59CE6966"/>
    <w:rsid w:val="59EC1BA1"/>
    <w:rsid w:val="5A091D6C"/>
    <w:rsid w:val="5A232D80"/>
    <w:rsid w:val="5A264FE7"/>
    <w:rsid w:val="5A2A73D9"/>
    <w:rsid w:val="5A395ECD"/>
    <w:rsid w:val="5A4E23DA"/>
    <w:rsid w:val="5A6F200F"/>
    <w:rsid w:val="5A757CA4"/>
    <w:rsid w:val="5A906EA0"/>
    <w:rsid w:val="5AFE36FC"/>
    <w:rsid w:val="5B140B7D"/>
    <w:rsid w:val="5B29465F"/>
    <w:rsid w:val="5B326FAE"/>
    <w:rsid w:val="5B6442C6"/>
    <w:rsid w:val="5B6C6E76"/>
    <w:rsid w:val="5B783E38"/>
    <w:rsid w:val="5B982192"/>
    <w:rsid w:val="5BA51EC1"/>
    <w:rsid w:val="5BCA1238"/>
    <w:rsid w:val="5BCF3D3B"/>
    <w:rsid w:val="5BEA589D"/>
    <w:rsid w:val="5BF124ED"/>
    <w:rsid w:val="5BF525B5"/>
    <w:rsid w:val="5C0718D4"/>
    <w:rsid w:val="5C1E6D0E"/>
    <w:rsid w:val="5C401B77"/>
    <w:rsid w:val="5C42557E"/>
    <w:rsid w:val="5C5000E6"/>
    <w:rsid w:val="5C62220E"/>
    <w:rsid w:val="5C6326ED"/>
    <w:rsid w:val="5C8331C4"/>
    <w:rsid w:val="5C8925AD"/>
    <w:rsid w:val="5C97695A"/>
    <w:rsid w:val="5C9A0DDB"/>
    <w:rsid w:val="5CAD1B44"/>
    <w:rsid w:val="5CBA53D9"/>
    <w:rsid w:val="5CCA52A3"/>
    <w:rsid w:val="5CFE4577"/>
    <w:rsid w:val="5D0556D2"/>
    <w:rsid w:val="5D0C58F9"/>
    <w:rsid w:val="5D1A278A"/>
    <w:rsid w:val="5D467DC4"/>
    <w:rsid w:val="5D4709E9"/>
    <w:rsid w:val="5D766C38"/>
    <w:rsid w:val="5D7C0EF1"/>
    <w:rsid w:val="5D9B2DDC"/>
    <w:rsid w:val="5D9D5EE9"/>
    <w:rsid w:val="5DA4535E"/>
    <w:rsid w:val="5DB65540"/>
    <w:rsid w:val="5DD85892"/>
    <w:rsid w:val="5DDF67CB"/>
    <w:rsid w:val="5E0A3826"/>
    <w:rsid w:val="5E1D7ED6"/>
    <w:rsid w:val="5E2C0818"/>
    <w:rsid w:val="5E3416C0"/>
    <w:rsid w:val="5E385EB3"/>
    <w:rsid w:val="5E660502"/>
    <w:rsid w:val="5E6805AC"/>
    <w:rsid w:val="5E7739FE"/>
    <w:rsid w:val="5ED85CAD"/>
    <w:rsid w:val="5EF72B50"/>
    <w:rsid w:val="5F026B08"/>
    <w:rsid w:val="5F2818C3"/>
    <w:rsid w:val="5F3077D7"/>
    <w:rsid w:val="5F385136"/>
    <w:rsid w:val="5F386A29"/>
    <w:rsid w:val="5F590A87"/>
    <w:rsid w:val="5F773C8A"/>
    <w:rsid w:val="5FD866E5"/>
    <w:rsid w:val="5FF034AD"/>
    <w:rsid w:val="600B44A6"/>
    <w:rsid w:val="600E7DE9"/>
    <w:rsid w:val="601B4637"/>
    <w:rsid w:val="602F4F35"/>
    <w:rsid w:val="60601D56"/>
    <w:rsid w:val="60A410C7"/>
    <w:rsid w:val="60A93B04"/>
    <w:rsid w:val="60D36A3A"/>
    <w:rsid w:val="60E25A15"/>
    <w:rsid w:val="610370F9"/>
    <w:rsid w:val="61061A1C"/>
    <w:rsid w:val="61480190"/>
    <w:rsid w:val="615649CB"/>
    <w:rsid w:val="617F5DF7"/>
    <w:rsid w:val="61D95D21"/>
    <w:rsid w:val="61FC681E"/>
    <w:rsid w:val="62060AE7"/>
    <w:rsid w:val="622C4433"/>
    <w:rsid w:val="625A31F8"/>
    <w:rsid w:val="628C6550"/>
    <w:rsid w:val="62A746C5"/>
    <w:rsid w:val="62B802CA"/>
    <w:rsid w:val="62E324AA"/>
    <w:rsid w:val="62EE2E09"/>
    <w:rsid w:val="63391382"/>
    <w:rsid w:val="639C4978"/>
    <w:rsid w:val="63E825C2"/>
    <w:rsid w:val="63E85B31"/>
    <w:rsid w:val="64217EEF"/>
    <w:rsid w:val="64235E8F"/>
    <w:rsid w:val="64262706"/>
    <w:rsid w:val="644A05BE"/>
    <w:rsid w:val="64844EAA"/>
    <w:rsid w:val="64A1311C"/>
    <w:rsid w:val="64A367B3"/>
    <w:rsid w:val="64BC1CD9"/>
    <w:rsid w:val="64FC6BBE"/>
    <w:rsid w:val="65005A6A"/>
    <w:rsid w:val="65344C71"/>
    <w:rsid w:val="656F7DF0"/>
    <w:rsid w:val="65805A9C"/>
    <w:rsid w:val="6598611B"/>
    <w:rsid w:val="659C13C5"/>
    <w:rsid w:val="65AE2D19"/>
    <w:rsid w:val="65B33F50"/>
    <w:rsid w:val="65C02475"/>
    <w:rsid w:val="65CF3F18"/>
    <w:rsid w:val="65EA157A"/>
    <w:rsid w:val="65EC236E"/>
    <w:rsid w:val="66015324"/>
    <w:rsid w:val="660E1497"/>
    <w:rsid w:val="662C5A45"/>
    <w:rsid w:val="6668300D"/>
    <w:rsid w:val="667E71E6"/>
    <w:rsid w:val="66883323"/>
    <w:rsid w:val="66CD66A0"/>
    <w:rsid w:val="66DA792C"/>
    <w:rsid w:val="66EB2977"/>
    <w:rsid w:val="670F2B73"/>
    <w:rsid w:val="67215DF8"/>
    <w:rsid w:val="676D6E91"/>
    <w:rsid w:val="67E42883"/>
    <w:rsid w:val="67FB6F33"/>
    <w:rsid w:val="67FC1C60"/>
    <w:rsid w:val="68384F68"/>
    <w:rsid w:val="688E6AAD"/>
    <w:rsid w:val="6894325A"/>
    <w:rsid w:val="68EF75B5"/>
    <w:rsid w:val="6924265A"/>
    <w:rsid w:val="693242CA"/>
    <w:rsid w:val="69636C48"/>
    <w:rsid w:val="69735C35"/>
    <w:rsid w:val="69AC23A6"/>
    <w:rsid w:val="69AE0148"/>
    <w:rsid w:val="69B9616F"/>
    <w:rsid w:val="69CD2CF2"/>
    <w:rsid w:val="69D8039D"/>
    <w:rsid w:val="6A542279"/>
    <w:rsid w:val="6A617DE3"/>
    <w:rsid w:val="6A760C82"/>
    <w:rsid w:val="6A815510"/>
    <w:rsid w:val="6A8B2724"/>
    <w:rsid w:val="6A8C5D9B"/>
    <w:rsid w:val="6AB27C47"/>
    <w:rsid w:val="6AC16226"/>
    <w:rsid w:val="6ACF6831"/>
    <w:rsid w:val="6AF13412"/>
    <w:rsid w:val="6B1F41F6"/>
    <w:rsid w:val="6B561BC7"/>
    <w:rsid w:val="6B5A6ED9"/>
    <w:rsid w:val="6B5E4887"/>
    <w:rsid w:val="6B5F2136"/>
    <w:rsid w:val="6B7631AF"/>
    <w:rsid w:val="6B8D4B8C"/>
    <w:rsid w:val="6C096FF5"/>
    <w:rsid w:val="6C1B6AC0"/>
    <w:rsid w:val="6C2871A6"/>
    <w:rsid w:val="6C3D27F7"/>
    <w:rsid w:val="6C55130C"/>
    <w:rsid w:val="6C6A7540"/>
    <w:rsid w:val="6C7B4558"/>
    <w:rsid w:val="6CB7739A"/>
    <w:rsid w:val="6CD6336B"/>
    <w:rsid w:val="6CE14B56"/>
    <w:rsid w:val="6CF724F2"/>
    <w:rsid w:val="6CF86D27"/>
    <w:rsid w:val="6D0806C4"/>
    <w:rsid w:val="6D20170A"/>
    <w:rsid w:val="6D2A6F98"/>
    <w:rsid w:val="6D4F3AA4"/>
    <w:rsid w:val="6D552967"/>
    <w:rsid w:val="6D585773"/>
    <w:rsid w:val="6D5E6876"/>
    <w:rsid w:val="6D8C69E9"/>
    <w:rsid w:val="6D8D6E30"/>
    <w:rsid w:val="6DA2562B"/>
    <w:rsid w:val="6DAB31DA"/>
    <w:rsid w:val="6DD1551E"/>
    <w:rsid w:val="6DD2030E"/>
    <w:rsid w:val="6DFD3D7E"/>
    <w:rsid w:val="6DFF7330"/>
    <w:rsid w:val="6E064306"/>
    <w:rsid w:val="6E196B34"/>
    <w:rsid w:val="6E1F3329"/>
    <w:rsid w:val="6E393F4F"/>
    <w:rsid w:val="6E457862"/>
    <w:rsid w:val="6E627491"/>
    <w:rsid w:val="6E6862AC"/>
    <w:rsid w:val="6EA77C16"/>
    <w:rsid w:val="6EAB4846"/>
    <w:rsid w:val="6EBE0962"/>
    <w:rsid w:val="6EC26C09"/>
    <w:rsid w:val="6EC40112"/>
    <w:rsid w:val="6ED24B01"/>
    <w:rsid w:val="6EE373B0"/>
    <w:rsid w:val="6EF149A7"/>
    <w:rsid w:val="6F0219A8"/>
    <w:rsid w:val="6F101058"/>
    <w:rsid w:val="6F333994"/>
    <w:rsid w:val="6F43081E"/>
    <w:rsid w:val="6F4E2F48"/>
    <w:rsid w:val="6F645FF5"/>
    <w:rsid w:val="6F8C7B1C"/>
    <w:rsid w:val="6F996F52"/>
    <w:rsid w:val="6FC668D4"/>
    <w:rsid w:val="6FD51ADD"/>
    <w:rsid w:val="6FE9759F"/>
    <w:rsid w:val="6FFD16E1"/>
    <w:rsid w:val="6FFD6F7D"/>
    <w:rsid w:val="70192523"/>
    <w:rsid w:val="70206520"/>
    <w:rsid w:val="70447A91"/>
    <w:rsid w:val="705D537C"/>
    <w:rsid w:val="707F1202"/>
    <w:rsid w:val="708E676F"/>
    <w:rsid w:val="70907C78"/>
    <w:rsid w:val="709B6926"/>
    <w:rsid w:val="70BB60C8"/>
    <w:rsid w:val="70CE30CF"/>
    <w:rsid w:val="70D338CA"/>
    <w:rsid w:val="70DA67B4"/>
    <w:rsid w:val="70DE5998"/>
    <w:rsid w:val="70E76DE3"/>
    <w:rsid w:val="70E96252"/>
    <w:rsid w:val="7117236F"/>
    <w:rsid w:val="712D44FD"/>
    <w:rsid w:val="717405C5"/>
    <w:rsid w:val="71944E3C"/>
    <w:rsid w:val="719A7DAE"/>
    <w:rsid w:val="719C27BA"/>
    <w:rsid w:val="719F1888"/>
    <w:rsid w:val="71A15492"/>
    <w:rsid w:val="71CD717C"/>
    <w:rsid w:val="71F71B5A"/>
    <w:rsid w:val="72185F20"/>
    <w:rsid w:val="721E6D95"/>
    <w:rsid w:val="724A7926"/>
    <w:rsid w:val="725F1EAE"/>
    <w:rsid w:val="72657CCB"/>
    <w:rsid w:val="729505F3"/>
    <w:rsid w:val="729B535D"/>
    <w:rsid w:val="72A40FA7"/>
    <w:rsid w:val="72D92BC4"/>
    <w:rsid w:val="72DA6154"/>
    <w:rsid w:val="72DC4D2E"/>
    <w:rsid w:val="73027B6D"/>
    <w:rsid w:val="73344968"/>
    <w:rsid w:val="733A54C3"/>
    <w:rsid w:val="73760763"/>
    <w:rsid w:val="73783502"/>
    <w:rsid w:val="73841DC3"/>
    <w:rsid w:val="73973D4D"/>
    <w:rsid w:val="73AD119A"/>
    <w:rsid w:val="73C75C58"/>
    <w:rsid w:val="73DB0CEC"/>
    <w:rsid w:val="73F10601"/>
    <w:rsid w:val="73FB0A0D"/>
    <w:rsid w:val="73FF0E50"/>
    <w:rsid w:val="74062B3D"/>
    <w:rsid w:val="74177806"/>
    <w:rsid w:val="741B6A09"/>
    <w:rsid w:val="74290B29"/>
    <w:rsid w:val="743A0AEB"/>
    <w:rsid w:val="74456B34"/>
    <w:rsid w:val="744C7D3A"/>
    <w:rsid w:val="74731A7A"/>
    <w:rsid w:val="74CC4605"/>
    <w:rsid w:val="74DA4B7B"/>
    <w:rsid w:val="74DC5187"/>
    <w:rsid w:val="750223BE"/>
    <w:rsid w:val="7545022E"/>
    <w:rsid w:val="754727A1"/>
    <w:rsid w:val="75652EFC"/>
    <w:rsid w:val="759531FE"/>
    <w:rsid w:val="75BB2522"/>
    <w:rsid w:val="75D022E4"/>
    <w:rsid w:val="760A59C0"/>
    <w:rsid w:val="762C5EFA"/>
    <w:rsid w:val="764535E3"/>
    <w:rsid w:val="76696CF6"/>
    <w:rsid w:val="7692329E"/>
    <w:rsid w:val="769C4B40"/>
    <w:rsid w:val="76C819B2"/>
    <w:rsid w:val="76CB2780"/>
    <w:rsid w:val="76D84224"/>
    <w:rsid w:val="76EE3C92"/>
    <w:rsid w:val="76FA669A"/>
    <w:rsid w:val="77173323"/>
    <w:rsid w:val="773A77A5"/>
    <w:rsid w:val="77551CD4"/>
    <w:rsid w:val="776A001C"/>
    <w:rsid w:val="77782654"/>
    <w:rsid w:val="779A15AA"/>
    <w:rsid w:val="77C475A2"/>
    <w:rsid w:val="77C91D7D"/>
    <w:rsid w:val="78174A84"/>
    <w:rsid w:val="78204322"/>
    <w:rsid w:val="78616D63"/>
    <w:rsid w:val="786E0C46"/>
    <w:rsid w:val="78A53A57"/>
    <w:rsid w:val="78AA774A"/>
    <w:rsid w:val="78CF3F6E"/>
    <w:rsid w:val="78D208EA"/>
    <w:rsid w:val="790213A9"/>
    <w:rsid w:val="79292A6A"/>
    <w:rsid w:val="7929591E"/>
    <w:rsid w:val="79397148"/>
    <w:rsid w:val="793C26D3"/>
    <w:rsid w:val="794D650B"/>
    <w:rsid w:val="796F5479"/>
    <w:rsid w:val="79735986"/>
    <w:rsid w:val="79CB09E5"/>
    <w:rsid w:val="79D700EA"/>
    <w:rsid w:val="79E11C23"/>
    <w:rsid w:val="79F30FF6"/>
    <w:rsid w:val="79FF2D85"/>
    <w:rsid w:val="7A2F7E55"/>
    <w:rsid w:val="7A4D4DA1"/>
    <w:rsid w:val="7A67579D"/>
    <w:rsid w:val="7A8556DF"/>
    <w:rsid w:val="7AA073B6"/>
    <w:rsid w:val="7AA91FD4"/>
    <w:rsid w:val="7ACC60B0"/>
    <w:rsid w:val="7AE747EC"/>
    <w:rsid w:val="7AE8725B"/>
    <w:rsid w:val="7AFA442E"/>
    <w:rsid w:val="7B0C46BD"/>
    <w:rsid w:val="7B5204C7"/>
    <w:rsid w:val="7B707EF5"/>
    <w:rsid w:val="7B7501DA"/>
    <w:rsid w:val="7BA57D32"/>
    <w:rsid w:val="7BCF243E"/>
    <w:rsid w:val="7BDF4FD3"/>
    <w:rsid w:val="7BEA0509"/>
    <w:rsid w:val="7C0F42B7"/>
    <w:rsid w:val="7C147AD6"/>
    <w:rsid w:val="7C183CFD"/>
    <w:rsid w:val="7C605C03"/>
    <w:rsid w:val="7CB071EA"/>
    <w:rsid w:val="7CCE6407"/>
    <w:rsid w:val="7CE97D80"/>
    <w:rsid w:val="7CED048D"/>
    <w:rsid w:val="7CEE07EE"/>
    <w:rsid w:val="7CEF28F1"/>
    <w:rsid w:val="7D1C4A4B"/>
    <w:rsid w:val="7D2C2A7C"/>
    <w:rsid w:val="7D381D02"/>
    <w:rsid w:val="7D382660"/>
    <w:rsid w:val="7D611037"/>
    <w:rsid w:val="7D6D7162"/>
    <w:rsid w:val="7DB55128"/>
    <w:rsid w:val="7DD6723E"/>
    <w:rsid w:val="7DEE387C"/>
    <w:rsid w:val="7E3044FF"/>
    <w:rsid w:val="7E360644"/>
    <w:rsid w:val="7E406CD8"/>
    <w:rsid w:val="7E4A58D1"/>
    <w:rsid w:val="7E4A66CA"/>
    <w:rsid w:val="7E591C54"/>
    <w:rsid w:val="7E712076"/>
    <w:rsid w:val="7E893A4A"/>
    <w:rsid w:val="7E935A43"/>
    <w:rsid w:val="7ED56F25"/>
    <w:rsid w:val="7ED77479"/>
    <w:rsid w:val="7F215F31"/>
    <w:rsid w:val="7F2C13EE"/>
    <w:rsid w:val="7FA12034"/>
    <w:rsid w:val="7FB8654C"/>
    <w:rsid w:val="7FC5752F"/>
    <w:rsid w:val="7FCB7DD0"/>
    <w:rsid w:val="7FCE0F42"/>
    <w:rsid w:val="7FE54091"/>
    <w:rsid w:val="7FEC163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9"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name="toc 1"/>
    <w:lsdException w:unhideWhenUsed="0" w:uiPriority="0" w:name="toc 2"/>
    <w:lsdException w:unhideWhenUsed="0" w:uiPriority="0" w:name="toc 3"/>
    <w:lsdException w:unhideWhenUsed="0" w:uiPriority="0" w:name="toc 4"/>
    <w:lsdException w:unhideWhenUsed="0" w:uiPriority="0" w:name="toc 5"/>
    <w:lsdException w:unhideWhenUsed="0" w:uiPriority="0" w:name="toc 6"/>
    <w:lsdException w:unhideWhenUsed="0" w:uiPriority="0" w:name="toc 7"/>
    <w:lsdException w:unhideWhenUsed="0" w:uiPriority="0" w:name="toc 8"/>
    <w:lsdException w:unhideWhenUsed="0" w:uiPriority="0" w:name="toc 9"/>
    <w:lsdException w:uiPriority="0" w:semiHidden="0" w:name="Normal Indent"/>
    <w:lsdException w:uiPriority="99" w:name="footnote text"/>
    <w:lsdException w:uiPriority="0" w:semiHidden="0" w:name="annotation text"/>
    <w:lsdException w:uiPriority="0" w:semiHidden="0" w:name="header"/>
    <w:lsdException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uiPriority="0" w:semiHidden="0" w:name="annotation reference"/>
    <w:lsdException w:uiPriority="99"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unhideWhenUsed="0" w:uiPriority="0" w:semiHidden="0" w:name="toa heading"/>
    <w:lsdException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semiHidden="0"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semiHidden="0" w:name="Default Paragraph Font"/>
    <w:lsdException w:uiPriority="0" w:semiHidden="0" w:name="Body Text"/>
    <w:lsdException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nhideWhenUsed="0" w:uiPriority="0" w:semiHidden="0" w:name="Body Text Indent 2"/>
    <w:lsdException w:unhideWhenUsed="0" w:uiPriority="0" w:semiHidden="0" w:name="Body Text Indent 3"/>
    <w:lsdException w:uiPriority="99" w:name="Block Text"/>
    <w:lsdException w:unhideWhenUsed="0" w:uiPriority="0" w:semiHidden="0" w:name="Hyperlink"/>
    <w:lsdException w:uiPriority="99" w:semiHidden="0" w:name="FollowedHyperlink"/>
    <w:lsdException w:qFormat="1" w:unhideWhenUsed="0" w:uiPriority="0" w:semiHidden="0" w:name="Strong"/>
    <w:lsdException w:qFormat="1" w:unhideWhenUsed="0" w:uiPriority="0" w:semiHidden="0" w:name="Emphasis"/>
    <w:lsdException w:uiPriority="0" w:semiHidden="0" w:name="Document Map"/>
    <w:lsdException w:qFormat="1" w:unhideWhenUsed="0" w:uiPriority="0" w:semiHidden="0"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semiHidden="0" w:name="Normal Table"/>
    <w:lsdException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name="Balloon Text"/>
    <w:lsdException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kern w:val="2"/>
      <w:sz w:val="21"/>
      <w:lang w:val="en-US" w:eastAsia="zh-CN" w:bidi="ar-SA"/>
    </w:rPr>
  </w:style>
  <w:style w:type="paragraph" w:styleId="5">
    <w:name w:val="heading 1"/>
    <w:basedOn w:val="1"/>
    <w:next w:val="1"/>
    <w:link w:val="98"/>
    <w:qFormat/>
    <w:uiPriority w:val="0"/>
    <w:pPr>
      <w:keepNext/>
      <w:keepLines/>
      <w:tabs>
        <w:tab w:val="left" w:pos="432"/>
      </w:tabs>
      <w:spacing w:before="360" w:after="360" w:line="360" w:lineRule="auto"/>
      <w:jc w:val="left"/>
      <w:outlineLvl w:val="0"/>
    </w:pPr>
    <w:rPr>
      <w:rFonts w:ascii="黑体" w:eastAsia="黑体"/>
      <w:spacing w:val="24"/>
      <w:kern w:val="44"/>
      <w:sz w:val="32"/>
    </w:rPr>
  </w:style>
  <w:style w:type="paragraph" w:styleId="6">
    <w:name w:val="heading 2"/>
    <w:basedOn w:val="1"/>
    <w:next w:val="1"/>
    <w:link w:val="76"/>
    <w:qFormat/>
    <w:uiPriority w:val="0"/>
    <w:pPr>
      <w:keepNext/>
      <w:keepLines/>
      <w:widowControl/>
      <w:tabs>
        <w:tab w:val="left" w:pos="576"/>
      </w:tabs>
      <w:spacing w:before="240" w:after="240" w:line="360" w:lineRule="auto"/>
      <w:jc w:val="left"/>
      <w:outlineLvl w:val="1"/>
    </w:pPr>
    <w:rPr>
      <w:rFonts w:eastAsia="黑体"/>
      <w:kern w:val="0"/>
      <w:sz w:val="30"/>
    </w:rPr>
  </w:style>
  <w:style w:type="paragraph" w:styleId="7">
    <w:name w:val="heading 3"/>
    <w:basedOn w:val="1"/>
    <w:next w:val="1"/>
    <w:link w:val="92"/>
    <w:qFormat/>
    <w:uiPriority w:val="0"/>
    <w:pPr>
      <w:keepNext/>
      <w:keepLines/>
      <w:tabs>
        <w:tab w:val="left" w:pos="3600"/>
      </w:tabs>
      <w:spacing w:before="240" w:after="240" w:line="360" w:lineRule="auto"/>
      <w:jc w:val="left"/>
      <w:outlineLvl w:val="2"/>
    </w:pPr>
    <w:rPr>
      <w:rFonts w:eastAsia="黑体"/>
      <w:sz w:val="28"/>
    </w:rPr>
  </w:style>
  <w:style w:type="paragraph" w:styleId="8">
    <w:name w:val="heading 4"/>
    <w:basedOn w:val="1"/>
    <w:next w:val="1"/>
    <w:link w:val="77"/>
    <w:qFormat/>
    <w:uiPriority w:val="0"/>
    <w:pPr>
      <w:keepNext/>
      <w:keepLines/>
      <w:tabs>
        <w:tab w:val="left" w:pos="864"/>
      </w:tabs>
      <w:spacing w:before="120" w:after="120" w:line="360" w:lineRule="auto"/>
      <w:outlineLvl w:val="3"/>
    </w:pPr>
    <w:rPr>
      <w:rFonts w:ascii="Arial" w:hAnsi="Arial" w:eastAsia="黑体"/>
      <w:sz w:val="24"/>
    </w:rPr>
  </w:style>
  <w:style w:type="paragraph" w:styleId="9">
    <w:name w:val="heading 5"/>
    <w:basedOn w:val="1"/>
    <w:next w:val="10"/>
    <w:link w:val="84"/>
    <w:qFormat/>
    <w:uiPriority w:val="9"/>
    <w:pPr>
      <w:keepNext/>
      <w:keepLines/>
      <w:tabs>
        <w:tab w:val="left" w:pos="1008"/>
      </w:tabs>
      <w:spacing w:before="120" w:after="120" w:line="360" w:lineRule="auto"/>
      <w:outlineLvl w:val="4"/>
    </w:pPr>
    <w:rPr>
      <w:i/>
      <w:sz w:val="24"/>
    </w:rPr>
  </w:style>
  <w:style w:type="paragraph" w:styleId="11">
    <w:name w:val="heading 6"/>
    <w:basedOn w:val="1"/>
    <w:next w:val="1"/>
    <w:link w:val="61"/>
    <w:qFormat/>
    <w:uiPriority w:val="9"/>
    <w:pPr>
      <w:keepNext/>
      <w:keepLines/>
      <w:tabs>
        <w:tab w:val="left" w:pos="1152"/>
      </w:tabs>
      <w:spacing w:before="240" w:after="64" w:line="319" w:lineRule="auto"/>
      <w:outlineLvl w:val="5"/>
    </w:pPr>
    <w:rPr>
      <w:rFonts w:ascii="Arial" w:hAnsi="Arial" w:eastAsia="黑体"/>
      <w:b/>
      <w:sz w:val="24"/>
    </w:rPr>
  </w:style>
  <w:style w:type="paragraph" w:styleId="12">
    <w:name w:val="heading 7"/>
    <w:basedOn w:val="1"/>
    <w:next w:val="1"/>
    <w:link w:val="75"/>
    <w:qFormat/>
    <w:uiPriority w:val="0"/>
    <w:pPr>
      <w:keepNext/>
      <w:keepLines/>
      <w:tabs>
        <w:tab w:val="left" w:pos="1296"/>
      </w:tabs>
      <w:spacing w:before="240" w:after="64" w:line="319" w:lineRule="auto"/>
      <w:outlineLvl w:val="6"/>
    </w:pPr>
    <w:rPr>
      <w:b/>
      <w:sz w:val="24"/>
    </w:rPr>
  </w:style>
  <w:style w:type="paragraph" w:styleId="13">
    <w:name w:val="heading 8"/>
    <w:basedOn w:val="1"/>
    <w:next w:val="1"/>
    <w:link w:val="100"/>
    <w:qFormat/>
    <w:uiPriority w:val="0"/>
    <w:pPr>
      <w:keepNext/>
      <w:keepLines/>
      <w:tabs>
        <w:tab w:val="left" w:pos="1440"/>
      </w:tabs>
      <w:spacing w:before="240" w:after="64" w:line="319" w:lineRule="auto"/>
      <w:outlineLvl w:val="7"/>
    </w:pPr>
    <w:rPr>
      <w:rFonts w:ascii="Arial" w:hAnsi="Arial" w:eastAsia="黑体"/>
      <w:sz w:val="24"/>
    </w:rPr>
  </w:style>
  <w:style w:type="paragraph" w:styleId="14">
    <w:name w:val="heading 9"/>
    <w:basedOn w:val="1"/>
    <w:next w:val="1"/>
    <w:link w:val="99"/>
    <w:qFormat/>
    <w:uiPriority w:val="0"/>
    <w:pPr>
      <w:keepNext/>
      <w:keepLines/>
      <w:tabs>
        <w:tab w:val="left" w:pos="1584"/>
      </w:tabs>
      <w:spacing w:before="240" w:after="64" w:line="319" w:lineRule="auto"/>
      <w:outlineLvl w:val="8"/>
    </w:pPr>
    <w:rPr>
      <w:rFonts w:ascii="Arial" w:hAnsi="Arial" w:eastAsia="黑体"/>
      <w:sz w:val="24"/>
    </w:rPr>
  </w:style>
  <w:style w:type="character" w:default="1" w:styleId="45">
    <w:name w:val="Default Paragraph Font"/>
    <w:unhideWhenUsed/>
    <w:uiPriority w:val="1"/>
  </w:style>
  <w:style w:type="table" w:default="1" w:styleId="43">
    <w:name w:val="Normal Table"/>
    <w:unhideWhenUsed/>
    <w:qFormat/>
    <w:uiPriority w:val="99"/>
    <w:tblPr>
      <w:tblStyle w:val="43"/>
      <w:tblCellMar>
        <w:top w:w="0" w:type="dxa"/>
        <w:left w:w="108" w:type="dxa"/>
        <w:bottom w:w="0" w:type="dxa"/>
        <w:right w:w="108" w:type="dxa"/>
      </w:tblCellMar>
    </w:tblPr>
  </w:style>
  <w:style w:type="paragraph" w:styleId="2">
    <w:name w:val="Body Text"/>
    <w:basedOn w:val="1"/>
    <w:next w:val="3"/>
    <w:link w:val="54"/>
    <w:unhideWhenUsed/>
    <w:uiPriority w:val="0"/>
    <w:pPr>
      <w:spacing w:after="120"/>
    </w:pPr>
  </w:style>
  <w:style w:type="paragraph" w:styleId="3">
    <w:name w:val="Body Text First Indent"/>
    <w:basedOn w:val="2"/>
    <w:next w:val="4"/>
    <w:link w:val="104"/>
    <w:uiPriority w:val="0"/>
    <w:pPr>
      <w:ind w:firstLine="420" w:firstLineChars="100"/>
    </w:pPr>
    <w:rPr>
      <w:szCs w:val="24"/>
    </w:rPr>
  </w:style>
  <w:style w:type="paragraph" w:styleId="4">
    <w:name w:val="toc 6"/>
    <w:basedOn w:val="1"/>
    <w:next w:val="1"/>
    <w:semiHidden/>
    <w:uiPriority w:val="0"/>
    <w:pPr>
      <w:ind w:left="1050"/>
      <w:jc w:val="left"/>
    </w:pPr>
    <w:rPr>
      <w:sz w:val="18"/>
      <w:szCs w:val="18"/>
    </w:rPr>
  </w:style>
  <w:style w:type="paragraph" w:styleId="10">
    <w:name w:val="Normal Indent"/>
    <w:basedOn w:val="1"/>
    <w:link w:val="85"/>
    <w:unhideWhenUsed/>
    <w:uiPriority w:val="0"/>
    <w:pPr>
      <w:ind w:firstLine="420" w:firstLineChars="200"/>
    </w:pPr>
  </w:style>
  <w:style w:type="paragraph" w:styleId="15">
    <w:name w:val="toc 7"/>
    <w:basedOn w:val="1"/>
    <w:next w:val="1"/>
    <w:semiHidden/>
    <w:uiPriority w:val="0"/>
    <w:pPr>
      <w:ind w:left="1260"/>
      <w:jc w:val="left"/>
    </w:pPr>
    <w:rPr>
      <w:sz w:val="18"/>
      <w:szCs w:val="18"/>
    </w:rPr>
  </w:style>
  <w:style w:type="paragraph" w:styleId="16">
    <w:name w:val="List Number 2"/>
    <w:basedOn w:val="1"/>
    <w:unhideWhenUsed/>
    <w:uiPriority w:val="99"/>
    <w:pPr>
      <w:numPr>
        <w:ilvl w:val="0"/>
        <w:numId w:val="1"/>
      </w:numPr>
    </w:pPr>
  </w:style>
  <w:style w:type="paragraph" w:styleId="17">
    <w:name w:val="caption"/>
    <w:basedOn w:val="1"/>
    <w:next w:val="1"/>
    <w:qFormat/>
    <w:uiPriority w:val="0"/>
    <w:pPr>
      <w:widowControl/>
      <w:spacing w:before="120" w:after="120"/>
      <w:jc w:val="left"/>
    </w:pPr>
    <w:rPr>
      <w:b/>
      <w:bCs/>
      <w:kern w:val="0"/>
      <w:sz w:val="20"/>
    </w:rPr>
  </w:style>
  <w:style w:type="paragraph" w:styleId="18">
    <w:name w:val="Document Map"/>
    <w:basedOn w:val="1"/>
    <w:link w:val="89"/>
    <w:unhideWhenUsed/>
    <w:uiPriority w:val="0"/>
    <w:pPr>
      <w:widowControl/>
      <w:adjustRightInd w:val="0"/>
      <w:snapToGrid w:val="0"/>
      <w:spacing w:after="200"/>
      <w:jc w:val="left"/>
    </w:pPr>
    <w:rPr>
      <w:rFonts w:ascii="宋体" w:hAnsi="Tahoma"/>
      <w:kern w:val="0"/>
      <w:sz w:val="18"/>
      <w:szCs w:val="18"/>
    </w:rPr>
  </w:style>
  <w:style w:type="paragraph" w:styleId="19">
    <w:name w:val="toa heading"/>
    <w:basedOn w:val="1"/>
    <w:next w:val="1"/>
    <w:uiPriority w:val="0"/>
    <w:pPr>
      <w:spacing w:before="120"/>
    </w:pPr>
    <w:rPr>
      <w:rFonts w:ascii="Arial" w:hAnsi="Arial"/>
      <w:sz w:val="24"/>
    </w:rPr>
  </w:style>
  <w:style w:type="paragraph" w:styleId="20">
    <w:name w:val="annotation text"/>
    <w:basedOn w:val="1"/>
    <w:link w:val="57"/>
    <w:unhideWhenUsed/>
    <w:uiPriority w:val="0"/>
    <w:pPr>
      <w:widowControl/>
      <w:adjustRightInd w:val="0"/>
      <w:snapToGrid w:val="0"/>
      <w:spacing w:after="200"/>
      <w:jc w:val="left"/>
    </w:pPr>
    <w:rPr>
      <w:rFonts w:ascii="Tahoma" w:hAnsi="Tahoma" w:eastAsia="微软雅黑"/>
      <w:kern w:val="0"/>
      <w:sz w:val="22"/>
      <w:szCs w:val="22"/>
    </w:rPr>
  </w:style>
  <w:style w:type="paragraph" w:styleId="21">
    <w:name w:val="Body Text Indent"/>
    <w:basedOn w:val="1"/>
    <w:link w:val="67"/>
    <w:uiPriority w:val="0"/>
    <w:pPr>
      <w:ind w:left="480" w:hanging="480" w:hangingChars="200"/>
    </w:pPr>
    <w:rPr>
      <w:sz w:val="24"/>
      <w:szCs w:val="24"/>
    </w:rPr>
  </w:style>
  <w:style w:type="paragraph" w:styleId="22">
    <w:name w:val="toc 5"/>
    <w:basedOn w:val="1"/>
    <w:next w:val="1"/>
    <w:semiHidden/>
    <w:uiPriority w:val="0"/>
    <w:pPr>
      <w:ind w:left="840"/>
      <w:jc w:val="left"/>
    </w:pPr>
    <w:rPr>
      <w:sz w:val="18"/>
      <w:szCs w:val="18"/>
    </w:rPr>
  </w:style>
  <w:style w:type="paragraph" w:styleId="23">
    <w:name w:val="toc 3"/>
    <w:basedOn w:val="1"/>
    <w:next w:val="1"/>
    <w:semiHidden/>
    <w:uiPriority w:val="0"/>
    <w:pPr>
      <w:ind w:left="420"/>
      <w:jc w:val="left"/>
    </w:pPr>
    <w:rPr>
      <w:i/>
      <w:iCs/>
      <w:sz w:val="20"/>
    </w:rPr>
  </w:style>
  <w:style w:type="paragraph" w:styleId="24">
    <w:name w:val="Plain Text"/>
    <w:basedOn w:val="1"/>
    <w:next w:val="25"/>
    <w:link w:val="97"/>
    <w:qFormat/>
    <w:uiPriority w:val="0"/>
    <w:rPr>
      <w:rFonts w:ascii="宋体" w:hAnsi="Courier New"/>
    </w:rPr>
  </w:style>
  <w:style w:type="paragraph" w:styleId="25">
    <w:name w:val="toc 2"/>
    <w:basedOn w:val="1"/>
    <w:next w:val="1"/>
    <w:semiHidden/>
    <w:uiPriority w:val="0"/>
    <w:pPr>
      <w:ind w:left="210"/>
      <w:jc w:val="left"/>
    </w:pPr>
    <w:rPr>
      <w:smallCaps/>
      <w:sz w:val="20"/>
    </w:rPr>
  </w:style>
  <w:style w:type="paragraph" w:styleId="26">
    <w:name w:val="toc 8"/>
    <w:basedOn w:val="1"/>
    <w:next w:val="1"/>
    <w:semiHidden/>
    <w:uiPriority w:val="0"/>
    <w:pPr>
      <w:ind w:left="1470"/>
      <w:jc w:val="left"/>
    </w:pPr>
    <w:rPr>
      <w:sz w:val="18"/>
      <w:szCs w:val="18"/>
    </w:rPr>
  </w:style>
  <w:style w:type="paragraph" w:styleId="27">
    <w:name w:val="Date"/>
    <w:basedOn w:val="1"/>
    <w:next w:val="1"/>
    <w:link w:val="90"/>
    <w:uiPriority w:val="0"/>
    <w:pPr>
      <w:ind w:left="100" w:leftChars="2500"/>
    </w:pPr>
    <w:rPr>
      <w:color w:val="000000"/>
      <w:sz w:val="24"/>
      <w:szCs w:val="24"/>
    </w:rPr>
  </w:style>
  <w:style w:type="paragraph" w:styleId="28">
    <w:name w:val="Body Text Indent 2"/>
    <w:basedOn w:val="1"/>
    <w:link w:val="81"/>
    <w:uiPriority w:val="0"/>
    <w:pPr>
      <w:spacing w:after="120" w:line="480" w:lineRule="auto"/>
      <w:ind w:left="420" w:leftChars="200"/>
    </w:pPr>
  </w:style>
  <w:style w:type="paragraph" w:styleId="29">
    <w:name w:val="Balloon Text"/>
    <w:basedOn w:val="1"/>
    <w:link w:val="66"/>
    <w:semiHidden/>
    <w:uiPriority w:val="0"/>
    <w:rPr>
      <w:sz w:val="18"/>
      <w:szCs w:val="18"/>
    </w:rPr>
  </w:style>
  <w:style w:type="paragraph" w:styleId="30">
    <w:name w:val="footer"/>
    <w:basedOn w:val="1"/>
    <w:link w:val="52"/>
    <w:unhideWhenUsed/>
    <w:uiPriority w:val="0"/>
    <w:pPr>
      <w:tabs>
        <w:tab w:val="center" w:pos="4153"/>
        <w:tab w:val="right" w:pos="8306"/>
      </w:tabs>
      <w:snapToGrid w:val="0"/>
      <w:jc w:val="left"/>
    </w:pPr>
    <w:rPr>
      <w:sz w:val="18"/>
      <w:szCs w:val="18"/>
    </w:rPr>
  </w:style>
  <w:style w:type="paragraph" w:styleId="31">
    <w:name w:val="header"/>
    <w:basedOn w:val="1"/>
    <w:link w:val="86"/>
    <w:unhideWhenUsed/>
    <w:uiPriority w:val="0"/>
    <w:pPr>
      <w:pBdr>
        <w:bottom w:val="single" w:color="auto" w:sz="6" w:space="1"/>
      </w:pBdr>
      <w:tabs>
        <w:tab w:val="center" w:pos="4153"/>
        <w:tab w:val="right" w:pos="8306"/>
      </w:tabs>
      <w:snapToGrid w:val="0"/>
      <w:jc w:val="center"/>
    </w:pPr>
    <w:rPr>
      <w:sz w:val="18"/>
      <w:szCs w:val="18"/>
    </w:rPr>
  </w:style>
  <w:style w:type="paragraph" w:styleId="32">
    <w:name w:val="toc 1"/>
    <w:basedOn w:val="1"/>
    <w:next w:val="1"/>
    <w:semiHidden/>
    <w:uiPriority w:val="0"/>
    <w:pPr>
      <w:spacing w:before="120" w:after="120"/>
      <w:jc w:val="left"/>
    </w:pPr>
    <w:rPr>
      <w:b/>
      <w:bCs/>
      <w:caps/>
      <w:sz w:val="20"/>
    </w:rPr>
  </w:style>
  <w:style w:type="paragraph" w:styleId="33">
    <w:name w:val="toc 4"/>
    <w:basedOn w:val="1"/>
    <w:next w:val="1"/>
    <w:semiHidden/>
    <w:uiPriority w:val="0"/>
    <w:pPr>
      <w:ind w:left="630"/>
      <w:jc w:val="left"/>
    </w:pPr>
    <w:rPr>
      <w:sz w:val="18"/>
      <w:szCs w:val="18"/>
    </w:rPr>
  </w:style>
  <w:style w:type="paragraph" w:styleId="34">
    <w:name w:val="Subtitle"/>
    <w:basedOn w:val="1"/>
    <w:next w:val="1"/>
    <w:link w:val="108"/>
    <w:qFormat/>
    <w:uiPriority w:val="11"/>
    <w:pPr>
      <w:widowControl/>
      <w:adjustRightInd w:val="0"/>
      <w:snapToGrid w:val="0"/>
      <w:spacing w:before="240" w:after="60" w:line="312" w:lineRule="auto"/>
      <w:jc w:val="center"/>
      <w:outlineLvl w:val="1"/>
    </w:pPr>
    <w:rPr>
      <w:rFonts w:ascii="Cambria" w:hAnsi="Cambria"/>
      <w:b/>
      <w:bCs/>
      <w:kern w:val="28"/>
      <w:sz w:val="32"/>
      <w:szCs w:val="32"/>
    </w:rPr>
  </w:style>
  <w:style w:type="paragraph" w:styleId="35">
    <w:name w:val="List"/>
    <w:basedOn w:val="1"/>
    <w:uiPriority w:val="0"/>
    <w:pPr>
      <w:ind w:left="420" w:hanging="420"/>
    </w:pPr>
  </w:style>
  <w:style w:type="paragraph" w:styleId="36">
    <w:name w:val="Body Text Indent 3"/>
    <w:basedOn w:val="1"/>
    <w:link w:val="83"/>
    <w:uiPriority w:val="0"/>
    <w:pPr>
      <w:autoSpaceDE w:val="0"/>
      <w:autoSpaceDN w:val="0"/>
      <w:spacing w:line="400" w:lineRule="atLeast"/>
      <w:ind w:firstLine="443" w:firstLineChars="200"/>
      <w:textAlignment w:val="bottom"/>
    </w:pPr>
    <w:rPr>
      <w:rFonts w:eastAsia="黑体"/>
      <w:color w:val="000000"/>
      <w:sz w:val="24"/>
    </w:rPr>
  </w:style>
  <w:style w:type="paragraph" w:styleId="37">
    <w:name w:val="toc 9"/>
    <w:basedOn w:val="1"/>
    <w:next w:val="1"/>
    <w:semiHidden/>
    <w:uiPriority w:val="0"/>
    <w:pPr>
      <w:ind w:left="1680"/>
      <w:jc w:val="left"/>
    </w:pPr>
    <w:rPr>
      <w:sz w:val="18"/>
      <w:szCs w:val="18"/>
    </w:rPr>
  </w:style>
  <w:style w:type="paragraph" w:styleId="38">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39">
    <w:name w:val="Normal (Web)"/>
    <w:basedOn w:val="1"/>
    <w:unhideWhenUsed/>
    <w:uiPriority w:val="99"/>
    <w:pPr>
      <w:widowControl/>
      <w:spacing w:before="100" w:beforeAutospacing="1" w:after="100" w:afterAutospacing="1"/>
      <w:jc w:val="left"/>
    </w:pPr>
    <w:rPr>
      <w:rFonts w:ascii="Arial Unicode MS" w:hAnsi="Arial Unicode MS" w:eastAsia="Arial Unicode MS" w:cs="Arial Unicode MS"/>
      <w:color w:val="000000"/>
      <w:kern w:val="0"/>
      <w:sz w:val="19"/>
      <w:szCs w:val="19"/>
    </w:rPr>
  </w:style>
  <w:style w:type="paragraph" w:styleId="40">
    <w:name w:val="Title"/>
    <w:basedOn w:val="1"/>
    <w:next w:val="1"/>
    <w:link w:val="64"/>
    <w:qFormat/>
    <w:uiPriority w:val="0"/>
    <w:pPr>
      <w:keepNext/>
      <w:keepLines/>
      <w:widowControl/>
      <w:tabs>
        <w:tab w:val="center" w:pos="540"/>
      </w:tabs>
      <w:spacing w:line="360" w:lineRule="auto"/>
      <w:outlineLvl w:val="0"/>
    </w:pPr>
    <w:rPr>
      <w:rFonts w:ascii="Arial" w:hAnsi="Arial" w:cs="Arial"/>
      <w:b/>
      <w:bCs/>
      <w:sz w:val="28"/>
      <w:szCs w:val="32"/>
    </w:rPr>
  </w:style>
  <w:style w:type="paragraph" w:styleId="41">
    <w:name w:val="annotation subject"/>
    <w:basedOn w:val="20"/>
    <w:next w:val="20"/>
    <w:link w:val="78"/>
    <w:semiHidden/>
    <w:uiPriority w:val="0"/>
    <w:pPr>
      <w:widowControl w:val="0"/>
      <w:adjustRightInd/>
      <w:snapToGrid/>
      <w:spacing w:after="0"/>
    </w:pPr>
    <w:rPr>
      <w:rFonts w:ascii="Times New Roman" w:hAnsi="Times New Roman" w:eastAsia="宋体"/>
      <w:b/>
      <w:bCs/>
      <w:kern w:val="2"/>
      <w:sz w:val="21"/>
      <w:szCs w:val="24"/>
    </w:rPr>
  </w:style>
  <w:style w:type="paragraph" w:styleId="42">
    <w:name w:val="Body Text First Indent 2"/>
    <w:basedOn w:val="21"/>
    <w:qFormat/>
    <w:uiPriority w:val="0"/>
    <w:pPr>
      <w:ind w:firstLine="420"/>
    </w:pPr>
    <w:rPr>
      <w:rFonts w:cs="宋体"/>
      <w:szCs w:val="21"/>
    </w:rPr>
  </w:style>
  <w:style w:type="table" w:styleId="44">
    <w:name w:val="Table Grid"/>
    <w:basedOn w:val="43"/>
    <w:uiPriority w:val="0"/>
    <w:tblPr>
      <w:tblStyle w:val="43"/>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6">
    <w:name w:val="Strong"/>
    <w:qFormat/>
    <w:uiPriority w:val="0"/>
    <w:rPr>
      <w:rFonts w:eastAsia="宋体"/>
      <w:b/>
      <w:bCs/>
      <w:kern w:val="2"/>
      <w:sz w:val="21"/>
      <w:szCs w:val="24"/>
      <w:lang w:val="en-US" w:eastAsia="zh-CN" w:bidi="ar-SA"/>
    </w:rPr>
  </w:style>
  <w:style w:type="character" w:styleId="47">
    <w:name w:val="page number"/>
    <w:uiPriority w:val="0"/>
  </w:style>
  <w:style w:type="character" w:styleId="48">
    <w:name w:val="FollowedHyperlink"/>
    <w:unhideWhenUsed/>
    <w:uiPriority w:val="99"/>
    <w:rPr>
      <w:color w:val="4A4A4A"/>
      <w:u w:val="none"/>
    </w:rPr>
  </w:style>
  <w:style w:type="character" w:styleId="49">
    <w:name w:val="Emphasis"/>
    <w:qFormat/>
    <w:uiPriority w:val="0"/>
    <w:rPr>
      <w:rFonts w:eastAsia="宋体"/>
      <w:kern w:val="2"/>
      <w:sz w:val="21"/>
      <w:szCs w:val="24"/>
      <w:lang w:val="en-US" w:eastAsia="zh-CN" w:bidi="ar-SA"/>
    </w:rPr>
  </w:style>
  <w:style w:type="character" w:styleId="50">
    <w:name w:val="Hyperlink"/>
    <w:uiPriority w:val="0"/>
    <w:rPr>
      <w:color w:val="4A4A4A"/>
      <w:u w:val="none"/>
    </w:rPr>
  </w:style>
  <w:style w:type="character" w:styleId="51">
    <w:name w:val="annotation reference"/>
    <w:unhideWhenUsed/>
    <w:uiPriority w:val="0"/>
    <w:rPr>
      <w:sz w:val="21"/>
      <w:szCs w:val="21"/>
    </w:rPr>
  </w:style>
  <w:style w:type="character" w:customStyle="1" w:styleId="52">
    <w:name w:val="页脚 Char"/>
    <w:link w:val="30"/>
    <w:uiPriority w:val="0"/>
    <w:rPr>
      <w:kern w:val="2"/>
      <w:sz w:val="18"/>
      <w:szCs w:val="18"/>
    </w:rPr>
  </w:style>
  <w:style w:type="character" w:customStyle="1" w:styleId="53">
    <w:name w:val="正文首行缩进 Char3"/>
    <w:basedOn w:val="54"/>
    <w:semiHidden/>
    <w:uiPriority w:val="99"/>
  </w:style>
  <w:style w:type="character" w:customStyle="1" w:styleId="54">
    <w:name w:val="正文文本 Char"/>
    <w:link w:val="2"/>
    <w:uiPriority w:val="0"/>
    <w:rPr>
      <w:kern w:val="2"/>
      <w:sz w:val="21"/>
    </w:rPr>
  </w:style>
  <w:style w:type="character" w:customStyle="1" w:styleId="55">
    <w:name w:val="font41"/>
    <w:uiPriority w:val="0"/>
    <w:rPr>
      <w:rFonts w:hint="eastAsia" w:ascii="宋体" w:hAnsi="宋体" w:eastAsia="宋体" w:cs="宋体"/>
      <w:color w:val="000000"/>
      <w:sz w:val="22"/>
      <w:szCs w:val="22"/>
      <w:u w:val="none"/>
    </w:rPr>
  </w:style>
  <w:style w:type="character" w:customStyle="1" w:styleId="56">
    <w:name w:val="批注主题 Char1"/>
    <w:basedOn w:val="57"/>
    <w:uiPriority w:val="0"/>
  </w:style>
  <w:style w:type="character" w:customStyle="1" w:styleId="57">
    <w:name w:val="批注文字 Char1"/>
    <w:link w:val="20"/>
    <w:uiPriority w:val="0"/>
    <w:rPr>
      <w:rFonts w:ascii="Tahoma" w:hAnsi="Tahoma" w:eastAsia="微软雅黑"/>
      <w:sz w:val="22"/>
      <w:szCs w:val="22"/>
    </w:rPr>
  </w:style>
  <w:style w:type="character" w:customStyle="1" w:styleId="58">
    <w:name w:val="font101"/>
    <w:uiPriority w:val="0"/>
    <w:rPr>
      <w:rFonts w:hint="eastAsia" w:ascii="宋体" w:hAnsi="宋体" w:eastAsia="宋体" w:cs="宋体"/>
      <w:color w:val="000000"/>
      <w:sz w:val="22"/>
      <w:szCs w:val="22"/>
      <w:u w:val="none"/>
    </w:rPr>
  </w:style>
  <w:style w:type="character" w:customStyle="1" w:styleId="59">
    <w:name w:val="Texte Char Char"/>
    <w:uiPriority w:val="0"/>
    <w:rPr>
      <w:rFonts w:ascii="宋体" w:hAnsi="Courier New" w:eastAsia="宋体"/>
      <w:sz w:val="21"/>
      <w:szCs w:val="21"/>
      <w:lang w:val="en-US" w:eastAsia="zh-CN" w:bidi="ar-SA"/>
    </w:rPr>
  </w:style>
  <w:style w:type="character" w:customStyle="1" w:styleId="60">
    <w:name w:val="font01"/>
    <w:uiPriority w:val="0"/>
    <w:rPr>
      <w:rFonts w:hint="default" w:ascii="Arial" w:hAnsi="Arial" w:cs="Arial"/>
      <w:color w:val="000000"/>
      <w:sz w:val="22"/>
      <w:szCs w:val="22"/>
      <w:u w:val="none"/>
      <w:vertAlign w:val="superscript"/>
    </w:rPr>
  </w:style>
  <w:style w:type="character" w:customStyle="1" w:styleId="61">
    <w:name w:val="标题 6 Char"/>
    <w:link w:val="11"/>
    <w:uiPriority w:val="9"/>
    <w:rPr>
      <w:rFonts w:ascii="Arial" w:hAnsi="Arial" w:eastAsia="黑体"/>
      <w:b/>
      <w:kern w:val="2"/>
      <w:sz w:val="24"/>
    </w:rPr>
  </w:style>
  <w:style w:type="character" w:customStyle="1" w:styleId="62">
    <w:name w:val="font11"/>
    <w:uiPriority w:val="0"/>
    <w:rPr>
      <w:rFonts w:hint="eastAsia" w:ascii="宋体" w:hAnsi="宋体" w:eastAsia="宋体" w:cs="宋体"/>
      <w:color w:val="000000"/>
      <w:sz w:val="20"/>
      <w:szCs w:val="20"/>
      <w:u w:val="none"/>
    </w:rPr>
  </w:style>
  <w:style w:type="character" w:customStyle="1" w:styleId="63">
    <w:name w:val="正文文本缩进 2 Char1"/>
    <w:semiHidden/>
    <w:uiPriority w:val="99"/>
    <w:rPr>
      <w:kern w:val="2"/>
      <w:sz w:val="21"/>
    </w:rPr>
  </w:style>
  <w:style w:type="character" w:customStyle="1" w:styleId="64">
    <w:name w:val="标题 Char"/>
    <w:link w:val="40"/>
    <w:uiPriority w:val="0"/>
    <w:rPr>
      <w:rFonts w:ascii="Arial" w:hAnsi="Arial" w:eastAsia="宋体" w:cs="Arial"/>
      <w:b/>
      <w:bCs/>
      <w:kern w:val="2"/>
      <w:sz w:val="28"/>
      <w:szCs w:val="32"/>
      <w:lang w:val="en-US" w:eastAsia="zh-CN" w:bidi="ar-SA"/>
    </w:rPr>
  </w:style>
  <w:style w:type="character" w:customStyle="1" w:styleId="65">
    <w:name w:val=" Char Char"/>
    <w:aliases w:val="Texte Char,小 Char"/>
    <w:uiPriority w:val="0"/>
    <w:rPr>
      <w:rFonts w:ascii="宋体" w:hAnsi="Courier New" w:eastAsia="宋体"/>
      <w:sz w:val="21"/>
      <w:szCs w:val="21"/>
      <w:lang w:val="en-US" w:eastAsia="zh-CN" w:bidi="ar-SA"/>
    </w:rPr>
  </w:style>
  <w:style w:type="character" w:customStyle="1" w:styleId="66">
    <w:name w:val="批注框文本 Char"/>
    <w:link w:val="29"/>
    <w:semiHidden/>
    <w:uiPriority w:val="0"/>
    <w:rPr>
      <w:kern w:val="2"/>
      <w:sz w:val="18"/>
      <w:szCs w:val="18"/>
    </w:rPr>
  </w:style>
  <w:style w:type="character" w:customStyle="1" w:styleId="67">
    <w:name w:val="正文文本缩进 Char"/>
    <w:link w:val="21"/>
    <w:uiPriority w:val="0"/>
    <w:rPr>
      <w:kern w:val="2"/>
      <w:sz w:val="24"/>
      <w:szCs w:val="24"/>
    </w:rPr>
  </w:style>
  <w:style w:type="character" w:customStyle="1" w:styleId="68">
    <w:name w:val="Char Char Char"/>
    <w:uiPriority w:val="0"/>
    <w:rPr>
      <w:rFonts w:ascii="宋体" w:hAnsi="Courier New" w:eastAsia="宋体"/>
      <w:sz w:val="21"/>
      <w:szCs w:val="21"/>
      <w:lang w:val="en-US" w:eastAsia="zh-CN" w:bidi="ar-SA"/>
    </w:rPr>
  </w:style>
  <w:style w:type="character" w:customStyle="1" w:styleId="69">
    <w:name w:val="style21"/>
    <w:uiPriority w:val="0"/>
    <w:rPr>
      <w:sz w:val="15"/>
      <w:szCs w:val="15"/>
    </w:rPr>
  </w:style>
  <w:style w:type="character" w:customStyle="1" w:styleId="70">
    <w:name w:val=" Char Char Char"/>
    <w:uiPriority w:val="0"/>
    <w:rPr>
      <w:rFonts w:ascii="宋体" w:hAnsi="Courier New" w:eastAsia="宋体"/>
      <w:sz w:val="21"/>
      <w:szCs w:val="21"/>
      <w:lang w:val="en-US" w:eastAsia="zh-CN" w:bidi="ar-SA"/>
    </w:rPr>
  </w:style>
  <w:style w:type="character" w:customStyle="1" w:styleId="71">
    <w:name w:val="列出段落 Char"/>
    <w:link w:val="72"/>
    <w:uiPriority w:val="0"/>
    <w:rPr>
      <w:rFonts w:ascii="Calibri" w:hAnsi="Calibri"/>
      <w:kern w:val="2"/>
      <w:sz w:val="21"/>
      <w:szCs w:val="22"/>
    </w:rPr>
  </w:style>
  <w:style w:type="paragraph" w:styleId="72">
    <w:name w:val="List Paragraph"/>
    <w:basedOn w:val="1"/>
    <w:link w:val="71"/>
    <w:qFormat/>
    <w:uiPriority w:val="0"/>
    <w:pPr>
      <w:ind w:firstLine="420" w:firstLineChars="200"/>
    </w:pPr>
    <w:rPr>
      <w:rFonts w:ascii="Calibri" w:hAnsi="Calibri"/>
      <w:szCs w:val="22"/>
    </w:rPr>
  </w:style>
  <w:style w:type="character" w:customStyle="1" w:styleId="73">
    <w:name w:val="title1"/>
    <w:uiPriority w:val="0"/>
    <w:rPr>
      <w:rFonts w:hint="eastAsia" w:ascii="宋体" w:hAnsi="宋体" w:eastAsia="宋体"/>
      <w:b/>
      <w:bCs/>
      <w:sz w:val="22"/>
      <w:szCs w:val="22"/>
    </w:rPr>
  </w:style>
  <w:style w:type="character" w:customStyle="1" w:styleId="74">
    <w:name w:val="font31"/>
    <w:uiPriority w:val="0"/>
    <w:rPr>
      <w:rFonts w:hint="eastAsia" w:ascii="宋体" w:hAnsi="宋体" w:eastAsia="宋体" w:cs="宋体"/>
      <w:color w:val="000000"/>
      <w:sz w:val="22"/>
      <w:szCs w:val="22"/>
      <w:u w:val="none"/>
    </w:rPr>
  </w:style>
  <w:style w:type="character" w:customStyle="1" w:styleId="75">
    <w:name w:val="标题 7 Char"/>
    <w:link w:val="12"/>
    <w:uiPriority w:val="0"/>
    <w:rPr>
      <w:b/>
      <w:kern w:val="2"/>
      <w:sz w:val="24"/>
    </w:rPr>
  </w:style>
  <w:style w:type="character" w:customStyle="1" w:styleId="76">
    <w:name w:val="标题 2 Char"/>
    <w:link w:val="6"/>
    <w:uiPriority w:val="0"/>
    <w:rPr>
      <w:rFonts w:eastAsia="黑体"/>
      <w:sz w:val="30"/>
      <w:lang w:val="en-US" w:eastAsia="zh-CN" w:bidi="ar-SA"/>
    </w:rPr>
  </w:style>
  <w:style w:type="character" w:customStyle="1" w:styleId="77">
    <w:name w:val="标题 4 Char"/>
    <w:link w:val="8"/>
    <w:uiPriority w:val="0"/>
    <w:rPr>
      <w:rFonts w:ascii="Arial" w:hAnsi="Arial" w:eastAsia="黑体"/>
      <w:kern w:val="2"/>
      <w:sz w:val="24"/>
    </w:rPr>
  </w:style>
  <w:style w:type="character" w:customStyle="1" w:styleId="78">
    <w:name w:val="批注主题 Char"/>
    <w:link w:val="41"/>
    <w:semiHidden/>
    <w:uiPriority w:val="0"/>
    <w:rPr>
      <w:b/>
      <w:bCs/>
      <w:kern w:val="2"/>
      <w:sz w:val="21"/>
      <w:szCs w:val="24"/>
    </w:rPr>
  </w:style>
  <w:style w:type="character" w:customStyle="1" w:styleId="79">
    <w:name w:val="font21"/>
    <w:uiPriority w:val="0"/>
    <w:rPr>
      <w:rFonts w:hint="default" w:ascii="Arial" w:hAnsi="Arial" w:cs="Arial"/>
      <w:color w:val="000000"/>
      <w:sz w:val="20"/>
      <w:szCs w:val="20"/>
      <w:u w:val="none"/>
    </w:rPr>
  </w:style>
  <w:style w:type="character" w:customStyle="1" w:styleId="80">
    <w:name w:val="批注文字 Char"/>
    <w:semiHidden/>
    <w:uiPriority w:val="0"/>
    <w:rPr>
      <w:rFonts w:ascii="Times New Roman" w:hAnsi="Times New Roman"/>
      <w:kern w:val="2"/>
      <w:sz w:val="21"/>
      <w:szCs w:val="24"/>
    </w:rPr>
  </w:style>
  <w:style w:type="character" w:customStyle="1" w:styleId="81">
    <w:name w:val="正文文本缩进 2 Char"/>
    <w:link w:val="28"/>
    <w:uiPriority w:val="0"/>
    <w:rPr>
      <w:kern w:val="2"/>
      <w:sz w:val="21"/>
    </w:rPr>
  </w:style>
  <w:style w:type="character" w:customStyle="1" w:styleId="82">
    <w:name w:val="font61"/>
    <w:uiPriority w:val="0"/>
    <w:rPr>
      <w:rFonts w:hint="eastAsia" w:ascii="宋体" w:hAnsi="宋体" w:eastAsia="宋体" w:cs="宋体"/>
      <w:color w:val="000000"/>
      <w:sz w:val="18"/>
      <w:szCs w:val="18"/>
      <w:u w:val="none"/>
    </w:rPr>
  </w:style>
  <w:style w:type="character" w:customStyle="1" w:styleId="83">
    <w:name w:val="正文文本缩进 3 Char"/>
    <w:link w:val="36"/>
    <w:uiPriority w:val="0"/>
    <w:rPr>
      <w:rFonts w:eastAsia="黑体"/>
      <w:color w:val="000000"/>
      <w:kern w:val="2"/>
      <w:sz w:val="24"/>
    </w:rPr>
  </w:style>
  <w:style w:type="character" w:customStyle="1" w:styleId="84">
    <w:name w:val="标题 5 Char"/>
    <w:link w:val="9"/>
    <w:uiPriority w:val="9"/>
    <w:rPr>
      <w:i/>
      <w:kern w:val="2"/>
      <w:sz w:val="24"/>
    </w:rPr>
  </w:style>
  <w:style w:type="character" w:customStyle="1" w:styleId="85">
    <w:name w:val="正文缩进 Char"/>
    <w:link w:val="10"/>
    <w:uiPriority w:val="0"/>
    <w:rPr>
      <w:kern w:val="2"/>
      <w:sz w:val="21"/>
    </w:rPr>
  </w:style>
  <w:style w:type="character" w:customStyle="1" w:styleId="86">
    <w:name w:val="页眉 Char"/>
    <w:link w:val="31"/>
    <w:uiPriority w:val="0"/>
    <w:rPr>
      <w:kern w:val="2"/>
      <w:sz w:val="18"/>
      <w:szCs w:val="18"/>
    </w:rPr>
  </w:style>
  <w:style w:type="character" w:customStyle="1" w:styleId="87">
    <w:name w:val="正文文本 Char1"/>
    <w:semiHidden/>
    <w:uiPriority w:val="99"/>
    <w:rPr>
      <w:kern w:val="2"/>
      <w:sz w:val="21"/>
      <w:szCs w:val="22"/>
    </w:rPr>
  </w:style>
  <w:style w:type="character" w:customStyle="1" w:styleId="88">
    <w:name w:val="font71"/>
    <w:uiPriority w:val="0"/>
    <w:rPr>
      <w:rFonts w:hint="default" w:ascii="Arial" w:hAnsi="Arial" w:cs="Arial"/>
      <w:color w:val="000000"/>
      <w:sz w:val="22"/>
      <w:szCs w:val="22"/>
      <w:u w:val="none"/>
    </w:rPr>
  </w:style>
  <w:style w:type="character" w:customStyle="1" w:styleId="89">
    <w:name w:val="文档结构图 Char"/>
    <w:link w:val="18"/>
    <w:semiHidden/>
    <w:uiPriority w:val="0"/>
    <w:rPr>
      <w:rFonts w:ascii="宋体" w:hAnsi="Tahoma"/>
      <w:sz w:val="18"/>
      <w:szCs w:val="18"/>
    </w:rPr>
  </w:style>
  <w:style w:type="character" w:customStyle="1" w:styleId="90">
    <w:name w:val="日期 Char"/>
    <w:link w:val="27"/>
    <w:uiPriority w:val="0"/>
    <w:rPr>
      <w:color w:val="000000"/>
      <w:kern w:val="2"/>
      <w:sz w:val="24"/>
      <w:szCs w:val="24"/>
    </w:rPr>
  </w:style>
  <w:style w:type="character" w:customStyle="1" w:styleId="91">
    <w:name w:val="ca-6"/>
    <w:uiPriority w:val="0"/>
    <w:rPr>
      <w:rFonts w:cs="Times New Roman"/>
    </w:rPr>
  </w:style>
  <w:style w:type="character" w:customStyle="1" w:styleId="92">
    <w:name w:val="标题 3 Char"/>
    <w:link w:val="7"/>
    <w:uiPriority w:val="0"/>
    <w:rPr>
      <w:rFonts w:eastAsia="黑体"/>
      <w:kern w:val="2"/>
      <w:sz w:val="28"/>
      <w:lang w:val="en-US" w:eastAsia="zh-CN" w:bidi="ar-SA"/>
    </w:rPr>
  </w:style>
  <w:style w:type="character" w:customStyle="1" w:styleId="93">
    <w:name w:val="纯文本 Char"/>
    <w:aliases w:val="普通文字 Char Char3,纯文本 Char Char Char2,Texte Char2,普通文字 Char4,普通文字1 Char2,普通文字2 Char2,普通文字3 Char2,普通文字4 Char2,普通文字5 Char2,普通文字6 Char2,普通文字11 Char2,普通文字21 Char2,普通文字31 Char2,普通文字41 Char2,普通文字7 Char2,正 文 1 Char2,普通文字 Char Char Char3,正文非缩进 Char Char2"/>
    <w:uiPriority w:val="0"/>
    <w:rPr>
      <w:rFonts w:hint="eastAsia" w:ascii="宋体" w:hAnsi="Courier New" w:eastAsia="仿宋_GB2312" w:cs="宋体"/>
      <w:b/>
      <w:color w:val="000000"/>
      <w:kern w:val="0"/>
      <w:szCs w:val="21"/>
    </w:rPr>
  </w:style>
  <w:style w:type="character" w:customStyle="1" w:styleId="94">
    <w:name w:val="f16b1"/>
    <w:uiPriority w:val="0"/>
    <w:rPr>
      <w:b/>
      <w:bCs/>
      <w:color w:val="333333"/>
      <w:sz w:val="22"/>
      <w:szCs w:val="22"/>
    </w:rPr>
  </w:style>
  <w:style w:type="character" w:customStyle="1" w:styleId="95">
    <w:name w:val="纯文本 Char1"/>
    <w:semiHidden/>
    <w:uiPriority w:val="99"/>
    <w:rPr>
      <w:rFonts w:ascii="宋体" w:hAnsi="Courier New" w:cs="Courier New"/>
      <w:kern w:val="2"/>
      <w:sz w:val="21"/>
      <w:szCs w:val="21"/>
    </w:rPr>
  </w:style>
  <w:style w:type="character" w:customStyle="1" w:styleId="96">
    <w:name w:val="px141"/>
    <w:uiPriority w:val="0"/>
    <w:rPr>
      <w:sz w:val="21"/>
      <w:szCs w:val="21"/>
    </w:rPr>
  </w:style>
  <w:style w:type="character" w:customStyle="1" w:styleId="97">
    <w:name w:val="纯文本 Char2"/>
    <w:link w:val="24"/>
    <w:uiPriority w:val="0"/>
    <w:rPr>
      <w:rFonts w:ascii="宋体" w:hAnsi="Courier New"/>
      <w:kern w:val="2"/>
      <w:sz w:val="21"/>
    </w:rPr>
  </w:style>
  <w:style w:type="character" w:customStyle="1" w:styleId="98">
    <w:name w:val="标题 1 Char"/>
    <w:link w:val="5"/>
    <w:uiPriority w:val="0"/>
    <w:rPr>
      <w:rFonts w:ascii="黑体" w:eastAsia="黑体"/>
      <w:spacing w:val="24"/>
      <w:kern w:val="44"/>
      <w:sz w:val="32"/>
      <w:lang w:val="en-US" w:eastAsia="zh-CN"/>
    </w:rPr>
  </w:style>
  <w:style w:type="character" w:customStyle="1" w:styleId="99">
    <w:name w:val="标题 9 Char"/>
    <w:link w:val="14"/>
    <w:uiPriority w:val="0"/>
    <w:rPr>
      <w:rFonts w:ascii="Arial" w:hAnsi="Arial" w:eastAsia="黑体"/>
      <w:kern w:val="2"/>
      <w:sz w:val="24"/>
    </w:rPr>
  </w:style>
  <w:style w:type="character" w:customStyle="1" w:styleId="100">
    <w:name w:val="标题 8 Char"/>
    <w:link w:val="13"/>
    <w:uiPriority w:val="0"/>
    <w:rPr>
      <w:rFonts w:ascii="Arial" w:hAnsi="Arial" w:eastAsia="黑体"/>
      <w:kern w:val="2"/>
      <w:sz w:val="24"/>
    </w:rPr>
  </w:style>
  <w:style w:type="character" w:customStyle="1" w:styleId="101">
    <w:name w:val="font81"/>
    <w:uiPriority w:val="0"/>
    <w:rPr>
      <w:rFonts w:hint="eastAsia" w:ascii="宋体" w:hAnsi="宋体" w:eastAsia="宋体" w:cs="宋体"/>
      <w:color w:val="000000"/>
      <w:sz w:val="20"/>
      <w:szCs w:val="20"/>
      <w:u w:val="none"/>
    </w:rPr>
  </w:style>
  <w:style w:type="character" w:customStyle="1" w:styleId="102">
    <w:name w:val="正文首行缩进 Char2"/>
    <w:basedOn w:val="87"/>
    <w:semiHidden/>
    <w:uiPriority w:val="99"/>
  </w:style>
  <w:style w:type="character" w:customStyle="1" w:styleId="103">
    <w:name w:val="正文文本缩进 Char1"/>
    <w:semiHidden/>
    <w:uiPriority w:val="99"/>
    <w:rPr>
      <w:kern w:val="2"/>
      <w:sz w:val="21"/>
    </w:rPr>
  </w:style>
  <w:style w:type="character" w:customStyle="1" w:styleId="104">
    <w:name w:val="正文首行缩进 Char"/>
    <w:link w:val="3"/>
    <w:uiPriority w:val="0"/>
    <w:rPr>
      <w:kern w:val="2"/>
      <w:sz w:val="21"/>
      <w:szCs w:val="24"/>
    </w:rPr>
  </w:style>
  <w:style w:type="character" w:customStyle="1" w:styleId="105">
    <w:name w:val="b2"/>
    <w:uiPriority w:val="0"/>
  </w:style>
  <w:style w:type="character" w:customStyle="1" w:styleId="106">
    <w:name w:val="font51"/>
    <w:uiPriority w:val="0"/>
    <w:rPr>
      <w:rFonts w:hint="default" w:ascii="Arial" w:hAnsi="Arial" w:cs="Arial"/>
      <w:color w:val="000000"/>
      <w:sz w:val="22"/>
      <w:szCs w:val="22"/>
      <w:u w:val="none"/>
    </w:rPr>
  </w:style>
  <w:style w:type="character" w:customStyle="1" w:styleId="107">
    <w:name w:val="正文首行缩进 Char1"/>
    <w:uiPriority w:val="0"/>
  </w:style>
  <w:style w:type="character" w:customStyle="1" w:styleId="108">
    <w:name w:val="副标题 Char"/>
    <w:link w:val="34"/>
    <w:uiPriority w:val="11"/>
    <w:rPr>
      <w:rFonts w:ascii="Cambria" w:hAnsi="Cambria"/>
      <w:b/>
      <w:bCs/>
      <w:kern w:val="28"/>
      <w:sz w:val="32"/>
      <w:szCs w:val="32"/>
    </w:rPr>
  </w:style>
  <w:style w:type="character" w:customStyle="1" w:styleId="109">
    <w:name w:val="font91"/>
    <w:uiPriority w:val="0"/>
    <w:rPr>
      <w:rFonts w:hint="eastAsia" w:ascii="宋体" w:hAnsi="宋体" w:eastAsia="宋体" w:cs="宋体"/>
      <w:color w:val="000000"/>
      <w:sz w:val="22"/>
      <w:szCs w:val="22"/>
      <w:u w:val="none"/>
    </w:rPr>
  </w:style>
  <w:style w:type="character" w:customStyle="1" w:styleId="110">
    <w:name w:val="style13"/>
    <w:uiPriority w:val="0"/>
  </w:style>
  <w:style w:type="paragraph" w:customStyle="1" w:styleId="111">
    <w:name w:val="af17cgridlangnp1033langf"/>
    <w:qFormat/>
    <w:uiPriority w:val="0"/>
    <w:pPr>
      <w:widowControl w:val="0"/>
      <w:autoSpaceDE w:val="0"/>
      <w:autoSpaceDN w:val="0"/>
      <w:adjustRightInd w:val="0"/>
      <w:spacing w:before="156" w:line="360" w:lineRule="atLeast"/>
      <w:ind w:left="567" w:firstLine="510"/>
      <w:jc w:val="both"/>
    </w:pPr>
    <w:rPr>
      <w:rFonts w:eastAsia="??"/>
      <w:szCs w:val="28"/>
      <w:lang w:val="en-US" w:eastAsia="zh-CN" w:bidi="ar-SA"/>
    </w:rPr>
  </w:style>
  <w:style w:type="paragraph" w:customStyle="1" w:styleId="112">
    <w:name w:val="列表内容"/>
    <w:next w:val="1"/>
    <w:uiPriority w:val="0"/>
    <w:pPr>
      <w:tabs>
        <w:tab w:val="left" w:pos="360"/>
      </w:tabs>
    </w:pPr>
    <w:rPr>
      <w:rFonts w:eastAsia="Arial Unicode MS" w:cs="Arial Unicode MS"/>
      <w:color w:val="000000"/>
      <w:sz w:val="18"/>
      <w:szCs w:val="18"/>
      <w:u w:val="none" w:color="000000"/>
      <w:lang w:val="en-US" w:eastAsia="zh-CN" w:bidi="ar-SA"/>
    </w:rPr>
  </w:style>
  <w:style w:type="paragraph" w:customStyle="1" w:styleId="113">
    <w:name w:val="Body text|1"/>
    <w:basedOn w:val="1"/>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paragraph" w:customStyle="1" w:styleId="114">
    <w:name w:val=" Char Char4"/>
    <w:basedOn w:val="1"/>
    <w:uiPriority w:val="0"/>
  </w:style>
  <w:style w:type="paragraph" w:customStyle="1" w:styleId="115">
    <w:name w:val="正文－恩普"/>
    <w:basedOn w:val="10"/>
    <w:uiPriority w:val="0"/>
    <w:pPr>
      <w:widowControl/>
      <w:spacing w:before="100" w:beforeAutospacing="1" w:after="100" w:afterLines="50" w:afterAutospacing="1" w:line="360" w:lineRule="auto"/>
      <w:ind w:firstLine="480"/>
      <w:jc w:val="left"/>
    </w:pPr>
    <w:rPr>
      <w:rFonts w:ascii="仿宋_GB2312" w:hAnsi="宋体" w:eastAsia="仿宋_GB2312" w:cs="宋体"/>
      <w:b/>
      <w:bCs/>
      <w:color w:val="000000"/>
      <w:kern w:val="0"/>
      <w:sz w:val="24"/>
    </w:rPr>
  </w:style>
  <w:style w:type="paragraph" w:customStyle="1" w:styleId="116">
    <w:name w:val=" Char3"/>
    <w:basedOn w:val="18"/>
    <w:uiPriority w:val="0"/>
    <w:pPr>
      <w:widowControl w:val="0"/>
      <w:shd w:val="clear" w:color="auto" w:fill="000080"/>
      <w:adjustRightInd/>
      <w:snapToGrid/>
      <w:spacing w:after="0"/>
      <w:jc w:val="both"/>
    </w:pPr>
    <w:rPr>
      <w:rFonts w:ascii="Times New Roman" w:hAnsi="Times New Roman"/>
      <w:kern w:val="2"/>
      <w:sz w:val="21"/>
      <w:szCs w:val="24"/>
      <w:lang w:val="en-US" w:eastAsia="zh-CN"/>
    </w:rPr>
  </w:style>
  <w:style w:type="paragraph" w:customStyle="1" w:styleId="117">
    <w:name w:val="Table Paragraph"/>
    <w:basedOn w:val="1"/>
    <w:qFormat/>
    <w:uiPriority w:val="1"/>
    <w:rPr>
      <w:rFonts w:ascii="宋体" w:hAnsi="宋体" w:eastAsia="宋体" w:cs="宋体"/>
      <w:lang w:val="zh-CN" w:eastAsia="zh-CN" w:bidi="zh-CN"/>
    </w:rPr>
  </w:style>
  <w:style w:type="paragraph" w:customStyle="1" w:styleId="118">
    <w:name w:val=" Char Char Char Char Char Char Char Char Char1 Char"/>
    <w:basedOn w:val="1"/>
    <w:uiPriority w:val="0"/>
  </w:style>
  <w:style w:type="paragraph" w:customStyle="1" w:styleId="119">
    <w:name w:val="表格正文"/>
    <w:basedOn w:val="1"/>
    <w:uiPriority w:val="0"/>
    <w:pPr>
      <w:adjustRightInd w:val="0"/>
      <w:snapToGrid w:val="0"/>
      <w:spacing w:before="60" w:after="60"/>
      <w:jc w:val="center"/>
      <w:textAlignment w:val="baseline"/>
    </w:pPr>
    <w:rPr>
      <w:rFonts w:ascii="Times New Roman" w:hAnsi="Times New Roman"/>
      <w:kern w:val="0"/>
      <w:sz w:val="24"/>
    </w:rPr>
  </w:style>
  <w:style w:type="paragraph" w:customStyle="1" w:styleId="120">
    <w:name w:val="Char Char Char Char Char Char Char Char Char1 Char"/>
    <w:basedOn w:val="1"/>
    <w:uiPriority w:val="0"/>
  </w:style>
  <w:style w:type="paragraph" w:customStyle="1" w:styleId="121">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sz w:val="24"/>
      <w:szCs w:val="24"/>
    </w:rPr>
  </w:style>
  <w:style w:type="paragraph" w:customStyle="1" w:styleId="122">
    <w:name w:val="itemlist"/>
    <w:basedOn w:val="1"/>
    <w:uiPriority w:val="0"/>
    <w:pPr>
      <w:widowControl/>
      <w:spacing w:before="100" w:beforeAutospacing="1" w:after="100" w:afterAutospacing="1"/>
      <w:jc w:val="left"/>
    </w:pPr>
    <w:rPr>
      <w:rFonts w:ascii="宋体" w:hAnsi="宋体" w:cs="宋体"/>
      <w:kern w:val="0"/>
      <w:sz w:val="24"/>
      <w:szCs w:val="24"/>
    </w:rPr>
  </w:style>
  <w:style w:type="paragraph" w:customStyle="1" w:styleId="123">
    <w:name w:val="样式 正文文本缩进 + 左  0 字符"/>
    <w:basedOn w:val="21"/>
    <w:qFormat/>
    <w:uiPriority w:val="0"/>
    <w:pPr>
      <w:spacing w:after="0"/>
      <w:ind w:left="0" w:leftChars="0" w:firstLine="250" w:firstLineChars="250"/>
    </w:pPr>
    <w:rPr>
      <w:rFonts w:ascii="仿宋_GB2312" w:hAnsi="Times New Roman" w:eastAsia="仿宋_GB2312" w:cs="宋体"/>
      <w:sz w:val="30"/>
      <w:szCs w:val="20"/>
    </w:rPr>
  </w:style>
  <w:style w:type="paragraph" w:customStyle="1" w:styleId="124">
    <w:name w:val=" Char Char Char Char Char Char Char Char Char Char Char Char Char"/>
    <w:basedOn w:val="1"/>
    <w:uiPriority w:val="0"/>
    <w:rPr>
      <w:rFonts w:ascii="Tahoma" w:hAnsi="Tahoma"/>
      <w:sz w:val="24"/>
    </w:rPr>
  </w:style>
  <w:style w:type="paragraph" w:customStyle="1" w:styleId="125">
    <w:name w:val=" Char Char Char Char"/>
    <w:basedOn w:val="18"/>
    <w:uiPriority w:val="0"/>
    <w:pPr>
      <w:widowControl w:val="0"/>
      <w:shd w:val="clear" w:color="auto" w:fill="000080"/>
      <w:adjustRightInd/>
      <w:snapToGrid/>
      <w:spacing w:after="0"/>
      <w:jc w:val="both"/>
    </w:pPr>
    <w:rPr>
      <w:rFonts w:ascii="Tahoma"/>
      <w:kern w:val="2"/>
      <w:sz w:val="24"/>
      <w:szCs w:val="24"/>
      <w:lang w:val="en-US" w:eastAsia="zh-CN"/>
    </w:rPr>
  </w:style>
  <w:style w:type="paragraph" w:customStyle="1" w:styleId="126">
    <w:name w:val="List Paragraph"/>
    <w:basedOn w:val="1"/>
    <w:qFormat/>
    <w:uiPriority w:val="0"/>
    <w:pPr>
      <w:ind w:firstLine="420" w:firstLineChars="200"/>
    </w:pPr>
  </w:style>
  <w:style w:type="paragraph" w:customStyle="1" w:styleId="127">
    <w:name w:val="表格文字"/>
    <w:basedOn w:val="1"/>
    <w:next w:val="2"/>
    <w:qFormat/>
    <w:uiPriority w:val="0"/>
    <w:pPr>
      <w:adjustRightInd w:val="0"/>
      <w:spacing w:line="420" w:lineRule="atLeast"/>
      <w:jc w:val="left"/>
      <w:textAlignment w:val="baseline"/>
    </w:pPr>
    <w:rPr>
      <w:kern w:val="0"/>
    </w:rPr>
  </w:style>
  <w:style w:type="paragraph" w:customStyle="1" w:styleId="128">
    <w:name w:val="文档正文"/>
    <w:basedOn w:val="1"/>
    <w:qFormat/>
    <w:uiPriority w:val="0"/>
    <w:pPr>
      <w:adjustRightInd w:val="0"/>
      <w:spacing w:line="312" w:lineRule="atLeast"/>
      <w:ind w:firstLine="567"/>
      <w:textAlignment w:val="baseline"/>
    </w:pPr>
    <w:rPr>
      <w:rFonts w:ascii="长城仿宋" w:eastAsia="长城仿宋"/>
      <w:b/>
      <w:kern w:val="0"/>
      <w:sz w:val="28"/>
      <w:szCs w:val="24"/>
    </w:rPr>
  </w:style>
  <w:style w:type="paragraph" w:customStyle="1" w:styleId="129">
    <w:name w:val="样式 样式1 + 首行缩进:  2 字符"/>
    <w:basedOn w:val="1"/>
    <w:qFormat/>
    <w:uiPriority w:val="0"/>
    <w:pPr>
      <w:spacing w:line="360" w:lineRule="exact"/>
      <w:ind w:firstLine="420" w:firstLineChars="200"/>
    </w:pPr>
    <w:rPr>
      <w:rFonts w:ascii="Arial" w:hAnsi="Arial" w:cs="宋体"/>
      <w:szCs w:val="20"/>
    </w:rPr>
  </w:style>
  <w:style w:type="paragraph" w:customStyle="1" w:styleId="130">
    <w:name w:val="Table Description"/>
    <w:basedOn w:val="1"/>
    <w:uiPriority w:val="0"/>
    <w:pPr>
      <w:ind w:left="1701"/>
    </w:pPr>
  </w:style>
  <w:style w:type="paragraph" w:customStyle="1" w:styleId="131">
    <w:name w:val="标题4"/>
    <w:basedOn w:val="8"/>
    <w:qFormat/>
    <w:uiPriority w:val="0"/>
    <w:pPr>
      <w:ind w:left="708" w:hanging="28"/>
    </w:pPr>
    <w:rPr>
      <w:rFonts w:ascii="仿宋" w:hAnsi="仿宋" w:eastAsia="仿宋"/>
    </w:rPr>
  </w:style>
  <w:style w:type="paragraph" w:customStyle="1" w:styleId="132">
    <w:name w:val="列表段落2"/>
    <w:basedOn w:val="1"/>
    <w:qFormat/>
    <w:uiPriority w:val="99"/>
    <w:pPr>
      <w:ind w:firstLine="420" w:firstLineChars="200"/>
    </w:pPr>
    <w:rPr>
      <w:rFonts w:ascii="Calibri" w:hAnsi="Calibri" w:eastAsia="宋体" w:cs="Arial"/>
      <w:szCs w:val="24"/>
    </w:rPr>
  </w:style>
  <w:style w:type="paragraph" w:customStyle="1" w:styleId="133">
    <w:name w:val="Char Char51"/>
    <w:basedOn w:val="1"/>
    <w:uiPriority w:val="0"/>
  </w:style>
  <w:style w:type="paragraph" w:customStyle="1" w:styleId="134">
    <w:name w:val="默认段落字体 Para Char Char Char Char Char Char Char"/>
    <w:basedOn w:val="1"/>
    <w:uiPriority w:val="0"/>
    <w:pPr>
      <w:adjustRightInd w:val="0"/>
      <w:spacing w:line="360" w:lineRule="auto"/>
    </w:pPr>
    <w:rPr>
      <w:rFonts w:ascii="Tahoma" w:hAnsi="Tahoma"/>
      <w:kern w:val="0"/>
      <w:sz w:val="24"/>
    </w:rPr>
  </w:style>
  <w:style w:type="paragraph" w:customStyle="1" w:styleId="135">
    <w:name w:val="正文 A"/>
    <w:uiPriority w:val="0"/>
    <w:rPr>
      <w:rFonts w:hint="eastAsia" w:ascii="Arial Unicode MS" w:hAnsi="Arial Unicode MS" w:eastAsia="Arial Unicode MS" w:cs="Arial Unicode MS"/>
      <w:color w:val="000000"/>
      <w:sz w:val="22"/>
      <w:szCs w:val="22"/>
      <w:u w:val="none" w:color="000000"/>
      <w:lang w:val="zh-TW" w:eastAsia="zh-TW" w:bidi="ar-SA"/>
    </w:rPr>
  </w:style>
  <w:style w:type="paragraph" w:customStyle="1" w:styleId="136">
    <w:name w:val="样式1"/>
    <w:basedOn w:val="1"/>
    <w:uiPriority w:val="0"/>
    <w:rPr>
      <w:szCs w:val="21"/>
    </w:rPr>
  </w:style>
  <w:style w:type="paragraph" w:customStyle="1" w:styleId="137">
    <w:name w:val="Char Char Char Char Char Char Char Char Char Char Char Char Char"/>
    <w:basedOn w:val="1"/>
    <w:uiPriority w:val="0"/>
    <w:rPr>
      <w:rFonts w:ascii="Tahoma" w:hAnsi="Tahoma"/>
      <w:sz w:val="24"/>
    </w:rPr>
  </w:style>
  <w:style w:type="paragraph" w:customStyle="1" w:styleId="138">
    <w:name w:val=" Char Char Char Char Char Char Char"/>
    <w:basedOn w:val="1"/>
    <w:uiPriority w:val="0"/>
    <w:rPr>
      <w:rFonts w:ascii="仿宋_GB2312" w:eastAsia="仿宋_GB2312"/>
      <w:b/>
      <w:sz w:val="32"/>
      <w:szCs w:val="32"/>
    </w:rPr>
  </w:style>
  <w:style w:type="paragraph" w:customStyle="1" w:styleId="139">
    <w:name w:val="Default"/>
    <w:uiPriority w:val="0"/>
    <w:pPr>
      <w:widowControl w:val="0"/>
      <w:autoSpaceDE w:val="0"/>
      <w:autoSpaceDN w:val="0"/>
      <w:adjustRightInd w:val="0"/>
    </w:pPr>
    <w:rPr>
      <w:rFonts w:ascii="宋体"/>
      <w:color w:val="000000"/>
      <w:sz w:val="24"/>
      <w:szCs w:val="24"/>
      <w:lang w:val="en-US" w:eastAsia="zh-CN" w:bidi="ar-SA"/>
    </w:rPr>
  </w:style>
  <w:style w:type="paragraph" w:customStyle="1" w:styleId="140">
    <w:name w:val="tabletext"/>
    <w:basedOn w:val="1"/>
    <w:uiPriority w:val="0"/>
    <w:pPr>
      <w:widowControl/>
      <w:snapToGrid w:val="0"/>
      <w:spacing w:before="80" w:after="80"/>
      <w:jc w:val="left"/>
    </w:pPr>
    <w:rPr>
      <w:rFonts w:ascii="Arial" w:hAnsi="Arial" w:cs="Arial"/>
      <w:kern w:val="0"/>
      <w:sz w:val="18"/>
      <w:szCs w:val="18"/>
    </w:rPr>
  </w:style>
  <w:style w:type="paragraph" w:customStyle="1" w:styleId="141">
    <w:name w:val="Char Char Char Char Char Char Char"/>
    <w:basedOn w:val="1"/>
    <w:uiPriority w:val="0"/>
    <w:rPr>
      <w:rFonts w:ascii="仿宋_GB2312" w:eastAsia="仿宋_GB2312"/>
      <w:b/>
      <w:sz w:val="32"/>
      <w:szCs w:val="32"/>
    </w:rPr>
  </w:style>
  <w:style w:type="paragraph" w:customStyle="1" w:styleId="142">
    <w:name w:val="正文_0"/>
    <w:qFormat/>
    <w:uiPriority w:val="0"/>
    <w:pPr>
      <w:widowControl w:val="0"/>
      <w:jc w:val="both"/>
    </w:pPr>
    <w:rPr>
      <w:kern w:val="2"/>
      <w:sz w:val="21"/>
      <w:szCs w:val="24"/>
      <w:lang w:val="en-US" w:eastAsia="zh-CN" w:bidi="ar-SA"/>
    </w:rPr>
  </w:style>
  <w:style w:type="paragraph" w:customStyle="1" w:styleId="143">
    <w:name w:val=" Char1"/>
    <w:basedOn w:val="1"/>
    <w:uiPriority w:val="0"/>
    <w:rPr>
      <w:rFonts w:ascii="仿宋_GB2312" w:eastAsia="仿宋_GB2312"/>
      <w:b/>
      <w:sz w:val="32"/>
      <w:szCs w:val="32"/>
    </w:rPr>
  </w:style>
  <w:style w:type="paragraph" w:customStyle="1" w:styleId="144">
    <w:name w:val="正文 A A"/>
    <w:uiPriority w:val="0"/>
    <w:pPr>
      <w:widowControl w:val="0"/>
      <w:jc w:val="both"/>
    </w:pPr>
    <w:rPr>
      <w:rFonts w:eastAsia="Arial Unicode MS" w:cs="Arial Unicode MS"/>
      <w:color w:val="000000"/>
      <w:kern w:val="2"/>
      <w:sz w:val="21"/>
      <w:szCs w:val="21"/>
      <w:u w:val="none" w:color="000000"/>
      <w:lang w:val="en-US" w:eastAsia="zh-CN" w:bidi="ar-SA"/>
    </w:rPr>
  </w:style>
  <w:style w:type="paragraph" w:customStyle="1" w:styleId="145">
    <w:name w:val="table_1stline"/>
    <w:basedOn w:val="1"/>
    <w:uiPriority w:val="0"/>
    <w:pPr>
      <w:widowControl/>
      <w:spacing w:before="120"/>
      <w:jc w:val="left"/>
    </w:pPr>
    <w:rPr>
      <w:bCs/>
      <w:kern w:val="0"/>
      <w:sz w:val="20"/>
      <w:lang w:val="de-DE" w:eastAsia="de-DE"/>
    </w:rPr>
  </w:style>
  <w:style w:type="paragraph" w:customStyle="1" w:styleId="146">
    <w:name w:val="_Style 9"/>
    <w:basedOn w:val="1"/>
    <w:uiPriority w:val="0"/>
  </w:style>
  <w:style w:type="paragraph" w:customStyle="1" w:styleId="147">
    <w:name w:val="标题3"/>
    <w:basedOn w:val="1"/>
    <w:qFormat/>
    <w:uiPriority w:val="0"/>
    <w:pPr>
      <w:numPr>
        <w:ilvl w:val="2"/>
        <w:numId w:val="2"/>
      </w:numPr>
      <w:spacing w:after="156" w:afterLines="50"/>
      <w:ind w:left="851" w:hanging="284" w:firstLineChars="0"/>
      <w:jc w:val="left"/>
      <w:outlineLvl w:val="2"/>
    </w:pPr>
    <w:rPr>
      <w:rFonts w:ascii="仿宋" w:hAnsi="仿宋"/>
      <w:b/>
      <w:sz w:val="30"/>
      <w:szCs w:val="30"/>
      <w:lang w:bidi="en-US"/>
    </w:rPr>
  </w:style>
  <w:style w:type="paragraph" w:customStyle="1" w:styleId="148">
    <w:name w:val="列出段落1"/>
    <w:basedOn w:val="1"/>
    <w:uiPriority w:val="0"/>
    <w:pPr>
      <w:spacing w:line="360" w:lineRule="auto"/>
      <w:ind w:firstLine="420" w:firstLineChars="200"/>
    </w:pPr>
    <w:rPr>
      <w:rFonts w:eastAsia="幼圆"/>
      <w:sz w:val="24"/>
    </w:rPr>
  </w:style>
  <w:style w:type="paragraph" w:customStyle="1" w:styleId="149">
    <w:name w:val="样式35"/>
    <w:uiPriority w:val="0"/>
    <w:pPr>
      <w:keepNext/>
      <w:keepLines/>
      <w:pageBreakBefore/>
      <w:widowControl w:val="0"/>
      <w:spacing w:before="340" w:after="330" w:line="360" w:lineRule="auto"/>
      <w:ind w:left="431" w:hanging="431"/>
      <w:jc w:val="both"/>
      <w:outlineLvl w:val="0"/>
    </w:pPr>
    <w:rPr>
      <w:rFonts w:ascii="微软雅黑" w:hAnsi="微软雅黑" w:eastAsia="微软雅黑" w:cs="微软雅黑"/>
      <w:color w:val="000000"/>
      <w:kern w:val="44"/>
      <w:sz w:val="30"/>
      <w:szCs w:val="30"/>
      <w:u w:val="none" w:color="000000"/>
      <w:lang w:val="en-US" w:eastAsia="zh-CN" w:bidi="ar-SA"/>
    </w:rPr>
  </w:style>
  <w:style w:type="paragraph" w:customStyle="1" w:styleId="150">
    <w:name w:val=" Char3 Char Char Char Char Char Char"/>
    <w:basedOn w:val="1"/>
    <w:uiPriority w:val="0"/>
    <w:rPr>
      <w:rFonts w:ascii="仿宋_GB2312" w:hAnsi="宋体" w:eastAsia="仿宋_GB2312" w:cs="宋体"/>
      <w:b/>
      <w:bCs/>
      <w:color w:val="000000"/>
      <w:kern w:val="0"/>
      <w:szCs w:val="21"/>
    </w:rPr>
  </w:style>
  <w:style w:type="paragraph" w:customStyle="1" w:styleId="151">
    <w:name w:val="Char Char5"/>
    <w:basedOn w:val="1"/>
    <w:uiPriority w:val="0"/>
  </w:style>
  <w:style w:type="paragraph" w:customStyle="1" w:styleId="152">
    <w:name w:val="保留正文"/>
    <w:basedOn w:val="2"/>
    <w:uiPriority w:val="0"/>
    <w:pPr>
      <w:keepNext/>
      <w:spacing w:after="160"/>
    </w:pPr>
    <w:rPr>
      <w:lang w:val="en-US" w:eastAsia="zh-CN"/>
    </w:rPr>
  </w:style>
  <w:style w:type="paragraph" w:customStyle="1" w:styleId="153">
    <w:name w:val="正文_1_0"/>
    <w:qFormat/>
    <w:uiPriority w:val="0"/>
    <w:pPr>
      <w:widowControl w:val="0"/>
      <w:jc w:val="both"/>
    </w:pPr>
    <w:rPr>
      <w:kern w:val="2"/>
      <w:sz w:val="21"/>
      <w:lang w:val="en-US" w:eastAsia="zh-CN" w:bidi="ar-SA"/>
    </w:rPr>
  </w:style>
  <w:style w:type="paragraph" w:customStyle="1" w:styleId="154">
    <w:name w:val="Figure Description"/>
    <w:basedOn w:val="1"/>
    <w:uiPriority w:val="0"/>
    <w:pPr>
      <w:ind w:left="1701"/>
    </w:pPr>
  </w:style>
  <w:style w:type="paragraph" w:customStyle="1" w:styleId="155">
    <w:name w:val="_Style 1"/>
    <w:basedOn w:val="1"/>
    <w:qFormat/>
    <w:uiPriority w:val="34"/>
    <w:pPr>
      <w:ind w:firstLine="420" w:firstLineChars="200"/>
    </w:pPr>
    <w:rPr>
      <w:szCs w:val="22"/>
    </w:rPr>
  </w:style>
  <w:style w:type="paragraph" w:customStyle="1" w:styleId="156">
    <w:name w:val=" Char Char Char Char Char Char Char Char Char Char Char Char Char Char Char Char"/>
    <w:basedOn w:val="1"/>
    <w:uiPriority w:val="0"/>
    <w:pPr>
      <w:snapToGrid w:val="0"/>
      <w:spacing w:line="360" w:lineRule="auto"/>
      <w:ind w:firstLine="200" w:firstLineChars="200"/>
    </w:pPr>
    <w:rPr>
      <w:rFonts w:eastAsia="仿宋_GB2312"/>
      <w:sz w:val="24"/>
      <w:szCs w:val="24"/>
    </w:rPr>
  </w:style>
  <w:style w:type="paragraph" w:customStyle="1" w:styleId="157">
    <w:name w:val="xl77"/>
    <w:basedOn w:val="1"/>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b/>
      <w:kern w:val="0"/>
      <w:sz w:val="28"/>
    </w:rPr>
  </w:style>
  <w:style w:type="paragraph" w:customStyle="1" w:styleId="158">
    <w:name w:val="正文1"/>
    <w:basedOn w:val="1"/>
    <w:qFormat/>
    <w:uiPriority w:val="0"/>
    <w:pPr>
      <w:tabs>
        <w:tab w:val="left" w:pos="3055"/>
      </w:tabs>
      <w:spacing w:line="360" w:lineRule="auto"/>
      <w:ind w:firstLine="480" w:firstLineChars="0"/>
    </w:pPr>
    <w:rPr>
      <w:rFonts w:ascii="宋体" w:hAnsi="宋体" w:eastAsia="宋体" w:cs="Times New Roman"/>
      <w:szCs w:val="20"/>
    </w:rPr>
  </w:style>
  <w:style w:type="paragraph" w:customStyle="1" w:styleId="159">
    <w:name w:val="l正文"/>
    <w:basedOn w:val="1"/>
    <w:qFormat/>
    <w:uiPriority w:val="0"/>
    <w:pPr>
      <w:spacing w:line="300" w:lineRule="auto"/>
      <w:ind w:firstLine="200" w:firstLineChars="200"/>
      <w:jc w:val="left"/>
    </w:pPr>
    <w:rPr>
      <w:rFonts w:ascii="Arial" w:hAnsi="宋体" w:eastAsia="Arial" w:cs="幼圆"/>
      <w:color w:val="auto"/>
      <w:kern w:val="2"/>
      <w:sz w:val="24"/>
      <w:szCs w:val="24"/>
    </w:rPr>
  </w:style>
  <w:style w:type="paragraph" w:customStyle="1" w:styleId="160">
    <w:name w:val="tableheading"/>
    <w:basedOn w:val="1"/>
    <w:uiPriority w:val="0"/>
    <w:pPr>
      <w:widowControl/>
      <w:spacing w:before="100" w:beforeAutospacing="1" w:after="100" w:afterAutospacing="1"/>
      <w:jc w:val="left"/>
    </w:pPr>
    <w:rPr>
      <w:rFonts w:ascii="宋体" w:hAnsi="宋体" w:cs="宋体"/>
      <w:kern w:val="0"/>
      <w:sz w:val="24"/>
      <w:szCs w:val="24"/>
    </w:rPr>
  </w:style>
  <w:style w:type="paragraph" w:customStyle="1" w:styleId="161">
    <w:name w:val="DB4CB73DC6DE4D1C91CC9795A5C1FE49"/>
    <w:uiPriority w:val="0"/>
    <w:pPr>
      <w:spacing w:after="200" w:line="276" w:lineRule="auto"/>
    </w:pPr>
    <w:rPr>
      <w:sz w:val="22"/>
      <w:szCs w:val="22"/>
      <w:lang w:val="en-US" w:eastAsia="en-US" w:bidi="ar-SA"/>
    </w:rPr>
  </w:style>
  <w:style w:type="paragraph" w:customStyle="1" w:styleId="162">
    <w:name w:val="样式 表内正文 + 五号 行距: 单倍行距"/>
    <w:basedOn w:val="1"/>
    <w:uiPriority w:val="0"/>
    <w:pPr>
      <w:adjustRightInd w:val="0"/>
      <w:snapToGrid w:val="0"/>
    </w:pPr>
    <w:rPr>
      <w:rFonts w:ascii="Arial" w:hAnsi="Arial" w:cs="宋体"/>
    </w:rPr>
  </w:style>
  <w:style w:type="paragraph" w:customStyle="1" w:styleId="163">
    <w:name w:val="普通(网站)11"/>
    <w:basedOn w:val="1"/>
    <w:qFormat/>
    <w:uiPriority w:val="0"/>
    <w:pPr>
      <w:widowControl/>
      <w:spacing w:beforeAutospacing="1" w:afterAutospacing="1"/>
      <w:jc w:val="left"/>
    </w:pPr>
    <w:rPr>
      <w:rFonts w:ascii="宋体" w:hAnsi="宋体"/>
      <w:kern w:val="0"/>
      <w:sz w:val="24"/>
      <w:szCs w:val="24"/>
    </w:rPr>
  </w:style>
  <w:style w:type="paragraph" w:customStyle="1" w:styleId="164">
    <w:name w:val="Char Char Char Char Char Char Char Char Char1 Char1"/>
    <w:basedOn w:val="1"/>
    <w:uiPriority w:val="0"/>
  </w:style>
  <w:style w:type="paragraph" w:customStyle="1" w:styleId="165">
    <w:name w:val="Char Char"/>
    <w:basedOn w:val="1"/>
    <w:uiPriority w:val="0"/>
    <w:rPr>
      <w:rFonts w:ascii="仿宋_GB2312" w:eastAsia="仿宋_GB2312"/>
      <w:b/>
      <w:sz w:val="32"/>
      <w:szCs w:val="32"/>
    </w:rPr>
  </w:style>
  <w:style w:type="paragraph" w:customStyle="1" w:styleId="166">
    <w:name w:val="☆ 正文"/>
    <w:basedOn w:val="1"/>
    <w:qFormat/>
    <w:uiPriority w:val="0"/>
    <w:pPr>
      <w:snapToGrid w:val="0"/>
      <w:spacing w:line="360" w:lineRule="auto"/>
    </w:pPr>
    <w:rPr>
      <w:rFonts w:ascii="仿宋" w:hAnsi="仿宋" w:cs="Times New Roman"/>
    </w:rPr>
  </w:style>
  <w:style w:type="paragraph" w:customStyle="1" w:styleId="167">
    <w:name w:val="简单回函地址"/>
    <w:basedOn w:val="1"/>
    <w:uiPriority w:val="0"/>
    <w:rPr>
      <w:szCs w:val="24"/>
    </w:rPr>
  </w:style>
  <w:style w:type="paragraph" w:customStyle="1" w:styleId="168">
    <w:name w:val="表格文本"/>
    <w:uiPriority w:val="0"/>
    <w:pPr>
      <w:tabs>
        <w:tab w:val="decimal" w:pos="0"/>
      </w:tabs>
    </w:pPr>
    <w:rPr>
      <w:rFonts w:ascii="Arial" w:hAnsi="Arial"/>
      <w:sz w:val="21"/>
      <w:szCs w:val="21"/>
      <w:lang w:val="en-US" w:eastAsia="zh-CN" w:bidi="ar-SA"/>
    </w:rPr>
  </w:style>
  <w:style w:type="paragraph" w:customStyle="1" w:styleId="169">
    <w:name w:val="列出段落3"/>
    <w:basedOn w:val="1"/>
    <w:qFormat/>
    <w:uiPriority w:val="99"/>
    <w:pPr>
      <w:ind w:firstLine="420" w:firstLineChars="200"/>
    </w:pPr>
    <w:rPr>
      <w:rFonts w:ascii="Calibri" w:hAnsi="Calibri" w:eastAsia="宋体" w:cs="Arial"/>
      <w:szCs w:val="24"/>
    </w:rPr>
  </w:style>
  <w:style w:type="paragraph" w:customStyle="1" w:styleId="170">
    <w:name w:val="段"/>
    <w:uiPriority w:val="0"/>
    <w:pPr>
      <w:tabs>
        <w:tab w:val="center" w:pos="4201"/>
        <w:tab w:val="right" w:leader="dot" w:pos="9298"/>
      </w:tabs>
      <w:autoSpaceDE w:val="0"/>
      <w:autoSpaceDN w:val="0"/>
      <w:ind w:firstLine="420" w:firstLineChars="200"/>
      <w:jc w:val="both"/>
    </w:pPr>
    <w:rPr>
      <w:rFonts w:ascii="宋体"/>
      <w:sz w:val="21"/>
      <w:szCs w:val="22"/>
      <w:lang w:val="en-US" w:eastAsia="zh-CN" w:bidi="ar-SA"/>
    </w:rPr>
  </w:style>
  <w:style w:type="paragraph" w:customStyle="1" w:styleId="171">
    <w:name w:val="缺省文本"/>
    <w:basedOn w:val="1"/>
    <w:uiPriority w:val="0"/>
    <w:pPr>
      <w:autoSpaceDE w:val="0"/>
      <w:autoSpaceDN w:val="0"/>
      <w:adjustRightInd w:val="0"/>
      <w:jc w:val="left"/>
    </w:pPr>
    <w:rPr>
      <w:kern w:val="0"/>
      <w:sz w:val="24"/>
    </w:rPr>
  </w:style>
  <w:style w:type="paragraph" w:customStyle="1" w:styleId="172">
    <w:name w:val="一般文字"/>
    <w:basedOn w:val="1"/>
    <w:uiPriority w:val="0"/>
    <w:pPr>
      <w:tabs>
        <w:tab w:val="left" w:pos="463"/>
      </w:tabs>
    </w:pPr>
    <w:rPr>
      <w:rFonts w:hAnsi="Plotter" w:cs="Plotter"/>
      <w:bCs/>
      <w:kern w:val="2"/>
      <w:sz w:val="24"/>
      <w:szCs w:val="24"/>
    </w:rPr>
  </w:style>
  <w:style w:type="paragraph" w:customStyle="1" w:styleId="173">
    <w:name w:val="[Normal]"/>
    <w:qFormat/>
    <w:uiPriority w:val="0"/>
    <w:rPr>
      <w:rFonts w:ascii="宋体" w:hAnsi="宋体" w:eastAsia="Calibri"/>
      <w:sz w:val="24"/>
      <w:lang w:val="en-US" w:eastAsia="en-US" w:bidi="ar-SA"/>
    </w:rPr>
  </w:style>
  <w:style w:type="paragraph" w:customStyle="1" w:styleId="174">
    <w:name w:val="*正文"/>
    <w:basedOn w:val="72"/>
    <w:qFormat/>
    <w:uiPriority w:val="0"/>
    <w:pPr>
      <w:ind w:firstLine="480"/>
    </w:pPr>
    <w:rPr>
      <w:rFonts w:ascii="宋体" w:hAnsi="宋体" w:eastAsia="宋体"/>
      <w:color w:val="333333"/>
      <w:shd w:val="clear" w:color="auto" w:fill="FFFFFF"/>
    </w:rPr>
  </w:style>
  <w:style w:type="table" w:customStyle="1" w:styleId="175">
    <w:name w:val="Table Normal"/>
    <w:uiPriority w:val="0"/>
    <w:rPr>
      <w:lang w:val="en-US" w:eastAsia="zh-CN" w:bidi="ar-SA"/>
    </w:rPr>
    <w:tblPr>
      <w:tblStyle w:val="43"/>
      <w:tblCellMar>
        <w:top w:w="0" w:type="dxa"/>
        <w:left w:w="0" w:type="dxa"/>
        <w:bottom w:w="0" w:type="dxa"/>
        <w:right w:w="0" w:type="dxa"/>
      </w:tblCellMar>
    </w:tbl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header4.xml" Type="http://schemas.openxmlformats.org/officeDocument/2006/relationships/header"/><Relationship Id="rId11" Target="footer5.xml" Type="http://schemas.openxmlformats.org/officeDocument/2006/relationships/footer"/><Relationship Id="rId12" Target="theme/theme1.xml" Type="http://schemas.openxmlformats.org/officeDocument/2006/relationships/theme"/><Relationship Id="rId13" Target="media/image1.jpeg" Type="http://schemas.openxmlformats.org/officeDocument/2006/relationships/image"/><Relationship Id="rId14" Target="media/image2.png" Type="http://schemas.openxmlformats.org/officeDocument/2006/relationships/image"/><Relationship Id="rId15" Target="media/image3.png" Type="http://schemas.openxmlformats.org/officeDocument/2006/relationships/image"/><Relationship Id="rId16" Target="../customXml/item1.xml" Type="http://schemas.openxmlformats.org/officeDocument/2006/relationships/customXml"/><Relationship Id="rId17" Target="numbering.xml" Type="http://schemas.openxmlformats.org/officeDocument/2006/relationships/numbering"/><Relationship Id="rId18" Target="fontTable.xml" Type="http://schemas.openxmlformats.org/officeDocument/2006/relationships/fontTable"/><Relationship Id="rId2" Target="settings.xml" Type="http://schemas.openxmlformats.org/officeDocument/2006/relationships/settings"/><Relationship Id="rId3" Target="header1.xml" Type="http://schemas.openxmlformats.org/officeDocument/2006/relationships/header"/><Relationship Id="rId4" Target="footer1.xml" Type="http://schemas.openxmlformats.org/officeDocument/2006/relationships/footer"/><Relationship Id="rId5" Target="footer2.xml" Type="http://schemas.openxmlformats.org/officeDocument/2006/relationships/footer"/><Relationship Id="rId6" Target="header2.xml" Type="http://schemas.openxmlformats.org/officeDocument/2006/relationships/header"/><Relationship Id="rId7" Target="footer3.xml" Type="http://schemas.openxmlformats.org/officeDocument/2006/relationships/footer"/><Relationship Id="rId8" Target="header3.xml" Type="http://schemas.openxmlformats.org/officeDocument/2006/relationships/header"/><Relationship Id="rId9" Target="footer4.xml" Type="http://schemas.openxmlformats.org/officeDocument/2006/relationships/footer"/></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100</Pages>
  <Words>11080</Words>
  <Characters>63160</Characters>
  <Lines>526</Lines>
  <Paragraphs>148</Paragraphs>
  <TotalTime>0</TotalTime>
  <ScaleCrop>false</ScaleCrop>
  <LinksUpToDate>false</LinksUpToDate>
  <CharactersWithSpaces>74092</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2020-11-27T09:32:00Z</dcterms:created>
  <dc:creator>Windows 用户</dc:creator>
  <cp:lastModifiedBy>WPS_1701756769</cp:lastModifiedBy>
  <cp:lastPrinted>2020-12-21T01:16:13Z</cp:lastPrinted>
  <dcterms:modified xsi:type="dcterms:W3CDTF">2024-02-22T03:44:01Z</dcterms:modified>
  <cp:revision>2</cp:revision>
  <dc:title>校园网络改造采购文件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9DBFD259A8974B0DB0AD884F47D3A845_13</vt:lpwstr>
  </property>
</Properties>
</file>