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32"/>
          <w:szCs w:val="32"/>
          <w:highlight w:val="none"/>
        </w:rPr>
      </w:pPr>
      <w:r>
        <w:rPr>
          <w:rFonts w:hint="eastAsia" w:ascii="宋体" w:hAnsi="宋体" w:eastAsia="宋体" w:cs="宋体"/>
          <w:b/>
          <w:bCs/>
          <w:color w:val="auto"/>
          <w:spacing w:val="6"/>
          <w:sz w:val="32"/>
          <w:szCs w:val="32"/>
          <w:highlight w:val="none"/>
          <w:lang w:eastAsia="zh-CN"/>
        </w:rPr>
        <w:t>仓前街道生活垃圾集中转运项目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72"/>
          <w:szCs w:val="72"/>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72"/>
          <w:szCs w:val="72"/>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72"/>
          <w:szCs w:val="72"/>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72"/>
          <w:szCs w:val="72"/>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招标文件</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（电子招投标）</w:t>
      </w:r>
    </w:p>
    <w:p>
      <w:pPr>
        <w:jc w:val="center"/>
        <w:rPr>
          <w:rFonts w:hint="eastAsia" w:ascii="宋体" w:hAnsi="宋体" w:eastAsia="宋体" w:cs="宋体"/>
          <w:b/>
          <w:bCs/>
          <w:color w:val="auto"/>
          <w:sz w:val="32"/>
          <w:szCs w:val="32"/>
          <w:highlight w:val="none"/>
        </w:rPr>
      </w:pPr>
      <w:r>
        <w:rPr>
          <w:rFonts w:hint="eastAsia" w:ascii="宋体" w:hAnsi="宋体" w:eastAsia="宋体" w:cs="宋体"/>
          <w:color w:val="auto"/>
          <w:sz w:val="30"/>
          <w:szCs w:val="30"/>
          <w:highlight w:val="none"/>
        </w:rPr>
        <w:t>编号:</w:t>
      </w: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2"/>
          <w:szCs w:val="32"/>
          <w:highlight w:val="none"/>
          <w:lang w:eastAsia="zh-CN"/>
        </w:rPr>
        <w:t>RTZFCG-2023-</w:t>
      </w:r>
      <w:r>
        <w:rPr>
          <w:rFonts w:hint="eastAsia" w:ascii="宋体" w:hAnsi="宋体" w:eastAsia="宋体" w:cs="宋体"/>
          <w:b/>
          <w:bCs/>
          <w:color w:val="auto"/>
          <w:sz w:val="32"/>
          <w:szCs w:val="32"/>
          <w:highlight w:val="none"/>
          <w:lang w:val="en-US" w:eastAsia="zh-CN"/>
        </w:rPr>
        <w:t>025</w:t>
      </w:r>
      <w:r>
        <w:rPr>
          <w:rFonts w:hint="eastAsia" w:ascii="宋体" w:hAnsi="宋体" w:eastAsia="宋体" w:cs="宋体"/>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72"/>
          <w:szCs w:val="72"/>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72"/>
          <w:szCs w:val="72"/>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72"/>
          <w:szCs w:val="72"/>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72"/>
          <w:szCs w:val="72"/>
          <w:highlight w:val="none"/>
        </w:rPr>
      </w:pPr>
    </w:p>
    <w:p>
      <w:pPr>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采购人：</w:t>
      </w:r>
      <w:r>
        <w:rPr>
          <w:rFonts w:hint="eastAsia" w:ascii="宋体" w:hAnsi="宋体" w:eastAsia="宋体" w:cs="宋体"/>
          <w:b/>
          <w:bCs/>
          <w:color w:val="auto"/>
          <w:sz w:val="28"/>
          <w:szCs w:val="28"/>
          <w:highlight w:val="none"/>
          <w:lang w:eastAsia="zh-CN"/>
        </w:rPr>
        <w:t>杭州市余杭区人民政府仓前街道办事处</w:t>
      </w:r>
    </w:p>
    <w:p>
      <w:pPr>
        <w:pStyle w:val="25"/>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采购代理机构：杭州瑞拓工程咨询有限公司</w:t>
      </w: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二〇二</w:t>
      </w:r>
      <w:r>
        <w:rPr>
          <w:rFonts w:hint="eastAsia" w:ascii="宋体" w:hAnsi="宋体" w:eastAsia="宋体" w:cs="宋体"/>
          <w:b/>
          <w:bCs/>
          <w:color w:val="auto"/>
          <w:sz w:val="28"/>
          <w:szCs w:val="28"/>
          <w:highlight w:val="none"/>
          <w:lang w:eastAsia="zh-CN"/>
        </w:rPr>
        <w:t>三</w:t>
      </w:r>
      <w:r>
        <w:rPr>
          <w:rFonts w:hint="eastAsia" w:ascii="宋体" w:hAnsi="宋体" w:eastAsia="宋体" w:cs="宋体"/>
          <w:b/>
          <w:bCs/>
          <w:color w:val="auto"/>
          <w:sz w:val="28"/>
          <w:szCs w:val="28"/>
          <w:highlight w:val="none"/>
        </w:rPr>
        <w:t>年</w:t>
      </w:r>
      <w:r>
        <w:rPr>
          <w:rFonts w:hint="eastAsia" w:ascii="宋体" w:hAnsi="宋体" w:cs="宋体"/>
          <w:b/>
          <w:bCs/>
          <w:color w:val="auto"/>
          <w:sz w:val="28"/>
          <w:szCs w:val="28"/>
          <w:highlight w:val="none"/>
          <w:lang w:eastAsia="zh-CN"/>
        </w:rPr>
        <w:t>六</w:t>
      </w:r>
      <w:r>
        <w:rPr>
          <w:rFonts w:hint="eastAsia" w:ascii="宋体" w:hAnsi="宋体" w:eastAsia="宋体" w:cs="宋体"/>
          <w:b/>
          <w:bCs/>
          <w:color w:val="auto"/>
          <w:sz w:val="28"/>
          <w:szCs w:val="28"/>
          <w:highlight w:val="none"/>
        </w:rPr>
        <w:t>月</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sz w:val="28"/>
          <w:szCs w:val="28"/>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eastAsia="宋体" w:cs="宋体"/>
          <w:b/>
          <w:color w:val="auto"/>
          <w:sz w:val="28"/>
          <w:szCs w:val="28"/>
          <w:highlight w:val="none"/>
        </w:rPr>
        <w:t>第一部分 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pacing w:line="60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pacing w:line="600" w:lineRule="exact"/>
        <w:ind w:firstLine="480" w:firstLineChars="200"/>
        <w:textAlignment w:val="auto"/>
        <w:rPr>
          <w:rStyle w:val="76"/>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u w:val="single"/>
          <w:lang w:eastAsia="zh-CN"/>
        </w:rPr>
        <w:t>仓前街道生活垃圾集中转运项目</w:t>
      </w:r>
      <w:r>
        <w:rPr>
          <w:rFonts w:hint="eastAsia" w:ascii="宋体" w:hAnsi="宋体" w:eastAsia="宋体" w:cs="宋体"/>
          <w:color w:val="auto"/>
          <w:sz w:val="24"/>
          <w:szCs w:val="24"/>
          <w:highlight w:val="none"/>
        </w:rPr>
        <w:t>招标项目的潜在投标人应在政采云平台（</w:t>
      </w:r>
      <w:r>
        <w:rPr>
          <w:rStyle w:val="76"/>
          <w:rFonts w:hint="eastAsia" w:ascii="宋体" w:hAnsi="宋体" w:eastAsia="宋体" w:cs="宋体"/>
          <w:color w:val="auto"/>
          <w:kern w:val="2"/>
          <w:sz w:val="24"/>
          <w:szCs w:val="24"/>
          <w:highlight w:val="none"/>
        </w:rPr>
        <w:fldChar w:fldCharType="begin"/>
      </w:r>
      <w:r>
        <w:rPr>
          <w:rStyle w:val="76"/>
          <w:rFonts w:hint="eastAsia" w:ascii="宋体" w:hAnsi="宋体" w:eastAsia="宋体" w:cs="宋体"/>
          <w:color w:val="auto"/>
          <w:kern w:val="2"/>
          <w:sz w:val="24"/>
          <w:szCs w:val="24"/>
          <w:highlight w:val="none"/>
        </w:rPr>
        <w:instrText xml:space="preserve"> HYPERLINK "https://www.zcygov.cn/）获取（下载）招标文件，并于202%20年%20月%20日%20点%20分00秒" </w:instrText>
      </w:r>
      <w:r>
        <w:rPr>
          <w:rStyle w:val="76"/>
          <w:rFonts w:hint="eastAsia" w:ascii="宋体" w:hAnsi="宋体" w:eastAsia="宋体" w:cs="宋体"/>
          <w:color w:val="auto"/>
          <w:kern w:val="2"/>
          <w:sz w:val="24"/>
          <w:szCs w:val="24"/>
          <w:highlight w:val="none"/>
        </w:rPr>
        <w:fldChar w:fldCharType="separate"/>
      </w:r>
      <w:r>
        <w:rPr>
          <w:rStyle w:val="76"/>
          <w:rFonts w:hint="eastAsia" w:ascii="宋体" w:hAnsi="宋体" w:eastAsia="宋体" w:cs="宋体"/>
          <w:color w:val="auto"/>
          <w:kern w:val="2"/>
          <w:sz w:val="24"/>
          <w:szCs w:val="24"/>
          <w:highlight w:val="none"/>
        </w:rPr>
        <w:t>https://www.zcygov.cn/）获取（下载）招标文件，并于</w:t>
      </w:r>
      <w:r>
        <w:rPr>
          <w:rStyle w:val="76"/>
          <w:rFonts w:hint="eastAsia" w:ascii="宋体" w:hAnsi="宋体" w:cs="宋体"/>
          <w:color w:val="auto"/>
          <w:kern w:val="2"/>
          <w:sz w:val="24"/>
          <w:szCs w:val="24"/>
          <w:highlight w:val="none"/>
          <w:lang w:eastAsia="zh-CN"/>
        </w:rPr>
        <w:t>2023年7月20日10点00分</w:t>
      </w:r>
      <w:r>
        <w:rPr>
          <w:rStyle w:val="76"/>
          <w:rFonts w:hint="eastAsia" w:ascii="宋体" w:hAnsi="宋体" w:eastAsia="宋体" w:cs="宋体"/>
          <w:color w:val="auto"/>
          <w:kern w:val="2"/>
          <w:sz w:val="24"/>
          <w:szCs w:val="24"/>
          <w:highlight w:val="none"/>
          <w:lang w:val="en-US" w:eastAsia="zh-CN"/>
        </w:rPr>
        <w:t>00</w:t>
      </w:r>
      <w:r>
        <w:rPr>
          <w:rStyle w:val="76"/>
          <w:rFonts w:hint="eastAsia" w:ascii="宋体" w:hAnsi="宋体" w:eastAsia="宋体" w:cs="宋体"/>
          <w:color w:val="auto"/>
          <w:kern w:val="2"/>
          <w:sz w:val="24"/>
          <w:szCs w:val="24"/>
          <w:highlight w:val="none"/>
        </w:rPr>
        <w:t>秒</w:t>
      </w:r>
      <w:r>
        <w:rPr>
          <w:rStyle w:val="76"/>
          <w:rFonts w:hint="eastAsia" w:ascii="宋体" w:hAnsi="宋体" w:eastAsia="宋体" w:cs="宋体"/>
          <w:color w:val="auto"/>
          <w:kern w:val="2"/>
          <w:sz w:val="24"/>
          <w:szCs w:val="24"/>
          <w:highlight w:val="none"/>
        </w:rPr>
        <w:fldChar w:fldCharType="end"/>
      </w:r>
      <w:r>
        <w:rPr>
          <w:rStyle w:val="76"/>
          <w:rFonts w:hint="eastAsia" w:ascii="宋体" w:hAnsi="宋体" w:eastAsia="宋体" w:cs="宋体"/>
          <w:color w:val="auto"/>
          <w:kern w:val="2"/>
          <w:sz w:val="24"/>
          <w:szCs w:val="24"/>
          <w:highlight w:val="none"/>
        </w:rPr>
        <w:t>（北京时间）前递交（上传）投标文件。</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一、项目基本情况                                            </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项目编号：</w:t>
      </w:r>
      <w:r>
        <w:rPr>
          <w:rFonts w:hint="eastAsia" w:ascii="宋体" w:hAnsi="宋体" w:eastAsia="宋体" w:cs="宋体"/>
          <w:color w:val="auto"/>
          <w:sz w:val="24"/>
          <w:szCs w:val="24"/>
          <w:highlight w:val="none"/>
          <w:u w:val="single"/>
          <w:lang w:eastAsia="zh-CN"/>
        </w:rPr>
        <w:t>RTZFCG-2023-</w:t>
      </w:r>
      <w:r>
        <w:rPr>
          <w:rFonts w:hint="eastAsia" w:ascii="宋体" w:hAnsi="宋体" w:eastAsia="宋体" w:cs="宋体"/>
          <w:color w:val="auto"/>
          <w:sz w:val="24"/>
          <w:szCs w:val="24"/>
          <w:highlight w:val="none"/>
          <w:u w:val="single"/>
          <w:lang w:val="en-US" w:eastAsia="zh-CN"/>
        </w:rPr>
        <w:t>025</w:t>
      </w:r>
      <w:r>
        <w:rPr>
          <w:rFonts w:hint="eastAsia" w:ascii="宋体" w:hAnsi="宋体" w:eastAsia="宋体" w:cs="宋体"/>
          <w:color w:val="auto"/>
          <w:sz w:val="24"/>
          <w:szCs w:val="24"/>
          <w:highlight w:val="none"/>
          <w:u w:val="single"/>
          <w:lang w:eastAsia="zh-CN"/>
        </w:rPr>
        <w:t>；</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 xml:space="preserve"> 项目名称：</w:t>
      </w:r>
      <w:r>
        <w:rPr>
          <w:rFonts w:hint="eastAsia" w:ascii="宋体" w:hAnsi="宋体" w:eastAsia="宋体" w:cs="宋体"/>
          <w:color w:val="auto"/>
          <w:sz w:val="24"/>
          <w:szCs w:val="24"/>
          <w:highlight w:val="none"/>
          <w:u w:val="single"/>
          <w:lang w:eastAsia="zh-CN"/>
        </w:rPr>
        <w:t>仓前街道生活垃圾集中转运项目；</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 xml:space="preserve"> 预算金额（元）：</w:t>
      </w:r>
      <w:r>
        <w:rPr>
          <w:rFonts w:hint="eastAsia" w:ascii="宋体" w:hAnsi="宋体" w:eastAsia="宋体" w:cs="宋体"/>
          <w:color w:val="auto"/>
          <w:sz w:val="24"/>
          <w:szCs w:val="24"/>
          <w:highlight w:val="none"/>
          <w:u w:val="single"/>
          <w:lang w:val="en-US" w:eastAsia="zh-CN"/>
        </w:rPr>
        <w:t>6000000</w:t>
      </w:r>
      <w:r>
        <w:rPr>
          <w:rFonts w:hint="eastAsia" w:ascii="宋体" w:hAnsi="宋体" w:eastAsia="宋体" w:cs="宋体"/>
          <w:color w:val="auto"/>
          <w:sz w:val="24"/>
          <w:szCs w:val="24"/>
          <w:highlight w:val="none"/>
          <w:u w:val="single"/>
        </w:rPr>
        <w:t>元</w:t>
      </w:r>
      <w:r>
        <w:rPr>
          <w:rFonts w:hint="eastAsia" w:ascii="宋体" w:hAnsi="宋体" w:eastAsia="宋体" w:cs="宋体"/>
          <w:color w:val="auto"/>
          <w:sz w:val="24"/>
          <w:szCs w:val="24"/>
          <w:highlight w:val="none"/>
          <w:u w:val="single"/>
          <w:lang w:eastAsia="zh-CN"/>
        </w:rPr>
        <w:t>；</w:t>
      </w:r>
    </w:p>
    <w:p>
      <w:pPr>
        <w:pStyle w:val="7"/>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highlight w:val="none"/>
        </w:rPr>
        <w:t>最高限价</w:t>
      </w:r>
      <w:r>
        <w:rPr>
          <w:rFonts w:hint="eastAsia" w:ascii="宋体" w:hAnsi="宋体" w:eastAsia="宋体" w:cs="宋体"/>
          <w:b/>
          <w:color w:val="auto"/>
          <w:sz w:val="24"/>
          <w:highlight w:val="none"/>
          <w:lang w:val="en-US" w:eastAsia="zh-CN"/>
        </w:rPr>
        <w:t>单价</w:t>
      </w:r>
      <w:r>
        <w:rPr>
          <w:rFonts w:hint="eastAsia" w:ascii="宋体" w:hAnsi="宋体" w:eastAsia="宋体" w:cs="宋体"/>
          <w:b/>
          <w:color w:val="auto"/>
          <w:sz w:val="24"/>
          <w:highlight w:val="none"/>
        </w:rPr>
        <w:t>（元</w:t>
      </w:r>
      <w:r>
        <w:rPr>
          <w:rFonts w:hint="eastAsia" w:ascii="宋体" w:hAnsi="宋体" w:eastAsia="宋体" w:cs="宋体"/>
          <w:b/>
          <w:color w:val="auto"/>
          <w:sz w:val="24"/>
          <w:highlight w:val="none"/>
          <w:lang w:val="en-US" w:eastAsia="zh-CN"/>
        </w:rPr>
        <w:t>/吨·次</w:t>
      </w:r>
      <w:r>
        <w:rPr>
          <w:rFonts w:hint="eastAsia" w:ascii="宋体" w:hAnsi="宋体" w:eastAsia="宋体" w:cs="宋体"/>
          <w:b/>
          <w:color w:val="auto"/>
          <w:sz w:val="24"/>
          <w:highlight w:val="none"/>
        </w:rPr>
        <w:t>）：</w:t>
      </w:r>
      <w:r>
        <w:rPr>
          <w:rFonts w:hint="eastAsia" w:ascii="宋体" w:hAnsi="宋体" w:eastAsia="宋体" w:cs="宋体"/>
          <w:b w:val="0"/>
          <w:bCs/>
          <w:color w:val="auto"/>
          <w:sz w:val="24"/>
          <w:highlight w:val="none"/>
          <w:u w:val="single"/>
          <w:lang w:val="en-US" w:eastAsia="zh-CN"/>
        </w:rPr>
        <w:t>110元/吨；</w:t>
      </w:r>
    </w:p>
    <w:p>
      <w:pPr>
        <w:pStyle w:val="7"/>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bCs/>
          <w:color w:val="auto"/>
          <w:kern w:val="2"/>
          <w:sz w:val="24"/>
          <w:szCs w:val="24"/>
          <w:highlight w:val="none"/>
        </w:rPr>
      </w:pPr>
      <w:r>
        <w:rPr>
          <w:rFonts w:hint="eastAsia" w:ascii="宋体" w:hAnsi="宋体" w:eastAsia="宋体" w:cs="宋体"/>
          <w:b/>
          <w:color w:val="auto"/>
          <w:sz w:val="24"/>
          <w:szCs w:val="24"/>
          <w:highlight w:val="none"/>
        </w:rPr>
        <w:t>采购需求：</w:t>
      </w:r>
      <w:r>
        <w:rPr>
          <w:rFonts w:hint="eastAsia" w:ascii="宋体" w:hAnsi="宋体" w:eastAsia="宋体" w:cs="宋体"/>
          <w:color w:val="auto"/>
          <w:sz w:val="24"/>
          <w:highlight w:val="none"/>
          <w:u w:val="single"/>
          <w:lang w:eastAsia="zh-CN"/>
        </w:rPr>
        <w:t>本项目采购内容为仓前街道生活垃圾集中转运等</w:t>
      </w:r>
      <w:r>
        <w:rPr>
          <w:rFonts w:hint="eastAsia" w:ascii="宋体" w:hAnsi="宋体" w:eastAsia="宋体" w:cs="宋体"/>
          <w:color w:val="auto"/>
          <w:sz w:val="24"/>
          <w:highlight w:val="none"/>
          <w:u w:val="single"/>
        </w:rPr>
        <w:t>；详见第三部分——</w:t>
      </w:r>
      <w:r>
        <w:rPr>
          <w:rFonts w:hint="eastAsia" w:ascii="宋体" w:hAnsi="宋体" w:eastAsia="宋体" w:cs="宋体"/>
          <w:color w:val="auto"/>
          <w:sz w:val="24"/>
          <w:highlight w:val="none"/>
          <w:u w:val="single"/>
          <w:lang w:eastAsia="zh-CN"/>
        </w:rPr>
        <w:t>采购需求</w:t>
      </w:r>
      <w:r>
        <w:rPr>
          <w:rFonts w:hint="eastAsia" w:ascii="宋体" w:hAnsi="宋体" w:eastAsia="宋体" w:cs="宋体"/>
          <w:color w:val="auto"/>
          <w:sz w:val="24"/>
          <w:highlight w:val="none"/>
          <w:u w:val="single"/>
        </w:rPr>
        <w:t>；</w:t>
      </w:r>
    </w:p>
    <w:p>
      <w:pPr>
        <w:pStyle w:val="85"/>
        <w:keepNext w:val="0"/>
        <w:keepLines w:val="0"/>
        <w:pageBreakBefore w:val="0"/>
        <w:kinsoku/>
        <w:wordWrap/>
        <w:overflowPunct/>
        <w:topLinePunct w:val="0"/>
        <w:autoSpaceDE/>
        <w:autoSpaceDN/>
        <w:bidi w:val="0"/>
        <w:adjustRightInd w:val="0"/>
        <w:spacing w:before="0" w:line="600" w:lineRule="exact"/>
        <w:ind w:firstLine="482"/>
        <w:textAlignment w:val="auto"/>
        <w:outlineLvl w:val="2"/>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rPr>
        <w:t>合同履约期限：</w:t>
      </w:r>
      <w:r>
        <w:rPr>
          <w:rFonts w:hint="eastAsia" w:ascii="宋体" w:hAnsi="宋体" w:eastAsia="宋体" w:cs="宋体"/>
          <w:b/>
          <w:color w:val="auto"/>
          <w:sz w:val="24"/>
          <w:szCs w:val="24"/>
          <w:highlight w:val="none"/>
          <w:u w:val="single"/>
        </w:rPr>
        <w:t>服务期为</w:t>
      </w:r>
      <w:r>
        <w:rPr>
          <w:rFonts w:hint="eastAsia" w:ascii="宋体" w:hAnsi="宋体" w:eastAsia="宋体" w:cs="宋体"/>
          <w:b/>
          <w:color w:val="auto"/>
          <w:sz w:val="24"/>
          <w:szCs w:val="24"/>
          <w:highlight w:val="none"/>
          <w:u w:val="single"/>
          <w:lang w:eastAsia="zh-CN"/>
        </w:rPr>
        <w:t>一</w:t>
      </w:r>
      <w:r>
        <w:rPr>
          <w:rFonts w:hint="eastAsia" w:ascii="宋体" w:hAnsi="宋体" w:eastAsia="宋体" w:cs="宋体"/>
          <w:b/>
          <w:color w:val="auto"/>
          <w:sz w:val="24"/>
          <w:szCs w:val="24"/>
          <w:highlight w:val="none"/>
          <w:u w:val="single"/>
        </w:rPr>
        <w:t>年</w:t>
      </w:r>
      <w:r>
        <w:rPr>
          <w:rFonts w:hint="eastAsia" w:ascii="宋体" w:hAnsi="宋体" w:eastAsia="宋体" w:cs="宋体"/>
          <w:b/>
          <w:color w:val="auto"/>
          <w:sz w:val="24"/>
          <w:szCs w:val="24"/>
          <w:highlight w:val="none"/>
          <w:u w:val="single"/>
          <w:lang w:eastAsia="zh-CN"/>
        </w:rPr>
        <w:t>，实际以合同签订时间为准；</w:t>
      </w:r>
    </w:p>
    <w:p>
      <w:pPr>
        <w:pStyle w:val="7"/>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本项目接受联合体投标：</w:t>
      </w:r>
      <w:r>
        <w:rPr>
          <w:rFonts w:hint="eastAsia" w:ascii="宋体" w:hAnsi="宋体" w:eastAsia="宋体" w:cs="宋体"/>
          <w:color w:val="auto"/>
          <w:kern w:val="0"/>
          <w:sz w:val="24"/>
          <w:szCs w:val="24"/>
          <w:highlight w:val="none"/>
        </w:rPr>
        <w:sym w:font="Wingdings" w:char="00A8"/>
      </w:r>
      <w:r>
        <w:rPr>
          <w:rFonts w:hint="eastAsia" w:ascii="宋体" w:hAnsi="宋体" w:eastAsia="宋体" w:cs="宋体"/>
          <w:b/>
          <w:color w:val="auto"/>
          <w:sz w:val="24"/>
          <w:szCs w:val="24"/>
          <w:highlight w:val="none"/>
        </w:rPr>
        <w:t>是；</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00FE"/>
      </w:r>
      <w:r>
        <w:rPr>
          <w:rFonts w:hint="eastAsia" w:ascii="宋体" w:hAnsi="宋体" w:eastAsia="宋体" w:cs="宋体"/>
          <w:b/>
          <w:color w:val="auto"/>
          <w:sz w:val="24"/>
          <w:szCs w:val="24"/>
          <w:highlight w:val="none"/>
        </w:rPr>
        <w:t>否</w:t>
      </w:r>
      <w:r>
        <w:rPr>
          <w:rFonts w:hint="eastAsia" w:ascii="宋体" w:hAnsi="宋体" w:eastAsia="宋体" w:cs="宋体"/>
          <w:color w:val="auto"/>
          <w:kern w:val="0"/>
          <w:sz w:val="24"/>
          <w:szCs w:val="24"/>
          <w:highlight w:val="none"/>
        </w:rPr>
        <w:t>。</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二、申请人的资格要求：</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1</w:t>
      </w:r>
      <w:r>
        <w:rPr>
          <w:rFonts w:hint="eastAsia" w:ascii="宋体" w:hAnsi="宋体" w:eastAsia="宋体" w:cs="宋体"/>
          <w:snapToGrid w:val="0"/>
          <w:color w:val="auto"/>
          <w:kern w:val="28"/>
          <w:sz w:val="24"/>
          <w:szCs w:val="24"/>
          <w:highlight w:val="none"/>
          <w:lang w:eastAsia="zh-CN"/>
        </w:rPr>
        <w:t>、</w:t>
      </w:r>
      <w:r>
        <w:rPr>
          <w:rFonts w:hint="eastAsia" w:ascii="宋体" w:hAnsi="宋体" w:eastAsia="宋体" w:cs="宋体"/>
          <w:snapToGrid w:val="0"/>
          <w:color w:val="auto"/>
          <w:kern w:val="28"/>
          <w:sz w:val="24"/>
          <w:szCs w:val="24"/>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 xml:space="preserve">    2</w:t>
      </w:r>
      <w:r>
        <w:rPr>
          <w:rFonts w:hint="eastAsia" w:ascii="宋体" w:hAnsi="宋体" w:eastAsia="宋体" w:cs="宋体"/>
          <w:snapToGrid w:val="0"/>
          <w:color w:val="auto"/>
          <w:kern w:val="28"/>
          <w:sz w:val="24"/>
          <w:szCs w:val="24"/>
          <w:highlight w:val="none"/>
          <w:lang w:eastAsia="zh-CN"/>
        </w:rPr>
        <w:t>、</w:t>
      </w:r>
      <w:r>
        <w:rPr>
          <w:rFonts w:hint="eastAsia" w:ascii="宋体" w:hAnsi="宋体" w:eastAsia="宋体" w:cs="宋体"/>
          <w:snapToGrid w:val="0"/>
          <w:color w:val="auto"/>
          <w:kern w:val="28"/>
          <w:sz w:val="24"/>
          <w:szCs w:val="24"/>
          <w:highlight w:val="none"/>
        </w:rPr>
        <w:t>以联合体形式投标的，提供联合协议(本项目不接受联合体投标或者投标人不以联合体形式投标的，则不需要提供) ；</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3</w:t>
      </w:r>
      <w:r>
        <w:rPr>
          <w:rFonts w:hint="eastAsia" w:ascii="宋体" w:hAnsi="宋体" w:eastAsia="宋体" w:cs="宋体"/>
          <w:snapToGrid w:val="0"/>
          <w:color w:val="auto"/>
          <w:kern w:val="28"/>
          <w:sz w:val="24"/>
          <w:szCs w:val="24"/>
          <w:highlight w:val="none"/>
          <w:lang w:eastAsia="zh-CN"/>
        </w:rPr>
        <w:t>、</w:t>
      </w:r>
      <w:r>
        <w:rPr>
          <w:rFonts w:hint="eastAsia" w:ascii="宋体" w:hAnsi="宋体" w:eastAsia="宋体" w:cs="宋体"/>
          <w:snapToGrid w:val="0"/>
          <w:color w:val="auto"/>
          <w:kern w:val="28"/>
          <w:sz w:val="24"/>
          <w:szCs w:val="24"/>
          <w:highlight w:val="none"/>
        </w:rPr>
        <w:t>落实政府采购政策需满足的资格要求：</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无</w:t>
      </w:r>
      <w:r>
        <w:rPr>
          <w:rFonts w:hint="eastAsia" w:ascii="宋体" w:hAnsi="宋体" w:eastAsia="宋体" w:cs="宋体"/>
          <w:snapToGrid w:val="0"/>
          <w:color w:val="auto"/>
          <w:kern w:val="28"/>
          <w:sz w:val="24"/>
          <w:szCs w:val="24"/>
          <w:highlight w:val="none"/>
        </w:rPr>
        <w:t>（注：不得限制大中型企业与小微企业组成联合体参与投标）；</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sym w:font="Wingdings" w:char="00FE"/>
      </w:r>
      <w:r>
        <w:rPr>
          <w:rFonts w:hint="eastAsia" w:ascii="宋体" w:hAnsi="宋体" w:eastAsia="宋体" w:cs="宋体"/>
          <w:color w:val="auto"/>
          <w:kern w:val="0"/>
          <w:sz w:val="24"/>
          <w:szCs w:val="24"/>
          <w:highlight w:val="none"/>
        </w:rPr>
        <w:t>专</w:t>
      </w:r>
      <w:r>
        <w:rPr>
          <w:rFonts w:hint="eastAsia" w:ascii="宋体" w:hAnsi="宋体" w:eastAsia="宋体" w:cs="宋体"/>
          <w:color w:val="auto"/>
          <w:sz w:val="24"/>
          <w:szCs w:val="24"/>
          <w:highlight w:val="none"/>
        </w:rPr>
        <w:t>门面向中小企业</w:t>
      </w:r>
    </w:p>
    <w:p>
      <w:pPr>
        <w:keepNext w:val="0"/>
        <w:keepLines w:val="0"/>
        <w:pageBreakBefore w:val="0"/>
        <w:kinsoku/>
        <w:wordWrap/>
        <w:overflowPunct/>
        <w:topLinePunct w:val="0"/>
        <w:autoSpaceDE/>
        <w:autoSpaceDN/>
        <w:bidi w:val="0"/>
        <w:adjustRightInd w:val="0"/>
        <w:spacing w:line="600" w:lineRule="exact"/>
        <w:ind w:firstLine="897" w:firstLineChars="374"/>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sym w:font="Wingdings" w:char="00FE"/>
      </w:r>
      <w:r>
        <w:rPr>
          <w:rFonts w:hint="eastAsia" w:ascii="宋体" w:hAnsi="宋体" w:eastAsia="宋体" w:cs="宋体"/>
          <w:color w:val="auto"/>
          <w:sz w:val="24"/>
          <w:szCs w:val="24"/>
          <w:highlight w:val="none"/>
        </w:rPr>
        <w:t>服务全部由符合政策要求的中小企业承接，提供中小企业声明函；</w:t>
      </w:r>
    </w:p>
    <w:p>
      <w:pPr>
        <w:keepNext w:val="0"/>
        <w:keepLines w:val="0"/>
        <w:pageBreakBefore w:val="0"/>
        <w:kinsoku/>
        <w:wordWrap/>
        <w:overflowPunct/>
        <w:topLinePunct w:val="0"/>
        <w:autoSpaceDE/>
        <w:autoSpaceDN/>
        <w:bidi w:val="0"/>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sym w:font="Wingdings" w:char="00A8"/>
      </w:r>
      <w:r>
        <w:rPr>
          <w:rFonts w:hint="eastAsia" w:ascii="宋体" w:hAnsi="宋体" w:eastAsia="宋体" w:cs="宋体"/>
          <w:color w:val="auto"/>
          <w:sz w:val="24"/>
          <w:szCs w:val="24"/>
          <w:highlight w:val="none"/>
        </w:rPr>
        <w:t>服务全部由符合政策要求的小微企业承接，提供中小企业声明函；</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sym w:font="Wingdings" w:char="00A8"/>
      </w:r>
      <w:r>
        <w:rPr>
          <w:rFonts w:hint="eastAsia" w:ascii="宋体" w:hAnsi="宋体" w:eastAsia="宋体" w:cs="宋体"/>
          <w:color w:val="auto"/>
          <w:sz w:val="24"/>
          <w:szCs w:val="24"/>
          <w:highlight w:val="none"/>
        </w:rPr>
        <w:t>要求以联合体形式参加，提供联合协议和中小企业声明函，联合协议中中小企业合同金额应当达到</w:t>
      </w:r>
      <w:r>
        <w:rPr>
          <w:rFonts w:hint="eastAsia" w:ascii="宋体" w:hAnsi="宋体" w:eastAsia="宋体" w:cs="宋体"/>
          <w:color w:val="auto"/>
          <w:sz w:val="24"/>
          <w:szCs w:val="24"/>
          <w:highlight w:val="none"/>
          <w:u w:val="single"/>
          <w:lang w:val="en-US" w:eastAsia="zh-CN"/>
        </w:rPr>
        <w:t>40</w:t>
      </w:r>
      <w:r>
        <w:rPr>
          <w:rFonts w:hint="eastAsia" w:ascii="宋体" w:hAnsi="宋体" w:eastAsia="宋体" w:cs="宋体"/>
          <w:color w:val="auto"/>
          <w:sz w:val="24"/>
          <w:szCs w:val="24"/>
          <w:highlight w:val="none"/>
        </w:rPr>
        <w:t>%，其中小微企业合同金额应当达到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pacing w:val="8"/>
          <w:kern w:val="0"/>
          <w:sz w:val="24"/>
          <w:szCs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，其中小微企业合同金额应当达到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pacing w:val="8"/>
          <w:kern w:val="0"/>
          <w:sz w:val="24"/>
          <w:szCs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本项目的特定资格要求：</w:t>
      </w:r>
      <w:r>
        <w:rPr>
          <w:rFonts w:hint="eastAsia" w:ascii="宋体" w:hAnsi="宋体" w:eastAsia="宋体" w:cs="宋体"/>
          <w:color w:val="auto"/>
          <w:sz w:val="24"/>
          <w:szCs w:val="24"/>
          <w:highlight w:val="none"/>
          <w:lang w:eastAsia="zh-CN"/>
        </w:rPr>
        <w:t>无</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公益一类事业单位、使用事业编制且由财政拨款保障的群团组织，不作为政府购买服务的购买主体和承接主体；</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三、获取招标文件 </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时间：</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7</w:t>
      </w:r>
      <w:r>
        <w:rPr>
          <w:rFonts w:hint="eastAsia" w:ascii="宋体" w:hAnsi="宋体" w:eastAsia="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20</w:t>
      </w:r>
      <w:r>
        <w:rPr>
          <w:rFonts w:hint="eastAsia"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rPr>
        <w:t>，每天上午00:00至12:00 ，下午12:00至23:59（北京时间，线上获取法定节假日均可，线下获取文件法定节假日除外）</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地点（网址）：</w:t>
      </w:r>
      <w:r>
        <w:rPr>
          <w:rFonts w:hint="eastAsia" w:ascii="宋体" w:hAnsi="宋体" w:eastAsia="宋体" w:cs="宋体"/>
          <w:color w:val="auto"/>
          <w:sz w:val="24"/>
          <w:szCs w:val="24"/>
          <w:highlight w:val="none"/>
        </w:rPr>
        <w:t xml:space="preserve">政采云平台（https://www.zcygov.cn/） </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4"/>
          <w:szCs w:val="24"/>
          <w:highlight w:val="none"/>
        </w:rPr>
        <w:t>方式：</w:t>
      </w:r>
      <w:r>
        <w:rPr>
          <w:rFonts w:hint="eastAsia" w:ascii="宋体" w:hAnsi="宋体" w:eastAsia="宋体" w:cs="宋体"/>
          <w:color w:val="auto"/>
          <w:sz w:val="24"/>
          <w:szCs w:val="24"/>
          <w:highlight w:val="none"/>
        </w:rPr>
        <w:t>供应商登录政采云平台https://www.zcygov.cn/在线申请获取采购文件（进入“项目采购”应用，在获取采购文件菜单中选择项目，申请获取采购文件）</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售价（元）：</w:t>
      </w:r>
      <w:r>
        <w:rPr>
          <w:rFonts w:hint="eastAsia" w:ascii="宋体" w:hAnsi="宋体" w:eastAsia="宋体" w:cs="宋体"/>
          <w:color w:val="auto"/>
          <w:sz w:val="24"/>
          <w:szCs w:val="24"/>
          <w:highlight w:val="none"/>
        </w:rPr>
        <w:t xml:space="preserve">0 </w:t>
      </w:r>
      <w:r>
        <w:rPr>
          <w:rFonts w:hint="eastAsia" w:ascii="宋体" w:hAnsi="宋体" w:eastAsia="宋体" w:cs="宋体"/>
          <w:color w:val="auto"/>
          <w:sz w:val="24"/>
          <w:szCs w:val="24"/>
          <w:highlight w:val="none"/>
        </w:rPr>
        <w:tab/>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四、提交投标文件截止时间、开标时间和地点</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提交投标文件截止时间：</w:t>
      </w:r>
      <w:r>
        <w:rPr>
          <w:rFonts w:hint="eastAsia" w:ascii="宋体" w:hAnsi="宋体" w:eastAsia="宋体" w:cs="宋体"/>
          <w:color w:val="auto"/>
          <w:sz w:val="24"/>
          <w:szCs w:val="24"/>
          <w:highlight w:val="none"/>
          <w:u w:val="single"/>
        </w:rPr>
        <w:t xml:space="preserve"> </w:t>
      </w:r>
      <w:r>
        <w:rPr>
          <w:rStyle w:val="76"/>
          <w:rFonts w:hint="eastAsia" w:ascii="宋体" w:hAnsi="宋体" w:cs="宋体"/>
          <w:color w:val="auto"/>
          <w:kern w:val="2"/>
          <w:sz w:val="24"/>
          <w:szCs w:val="24"/>
          <w:highlight w:val="none"/>
          <w:u w:val="single"/>
          <w:lang w:eastAsia="zh-CN"/>
        </w:rPr>
        <w:t>2023年7月20日10点00分</w:t>
      </w:r>
      <w:r>
        <w:rPr>
          <w:rStyle w:val="76"/>
          <w:rFonts w:hint="eastAsia" w:ascii="宋体" w:hAnsi="宋体" w:eastAsia="宋体" w:cs="宋体"/>
          <w:color w:val="auto"/>
          <w:kern w:val="2"/>
          <w:sz w:val="24"/>
          <w:szCs w:val="24"/>
          <w:highlight w:val="none"/>
          <w:u w:val="single"/>
          <w:lang w:val="en-US" w:eastAsia="zh-CN"/>
        </w:rPr>
        <w:t>00</w:t>
      </w:r>
      <w:r>
        <w:rPr>
          <w:rStyle w:val="76"/>
          <w:rFonts w:hint="eastAsia" w:ascii="宋体" w:hAnsi="宋体" w:eastAsia="宋体" w:cs="宋体"/>
          <w:color w:val="auto"/>
          <w:kern w:val="2"/>
          <w:sz w:val="24"/>
          <w:szCs w:val="24"/>
          <w:highlight w:val="none"/>
          <w:u w:val="single"/>
        </w:rPr>
        <w:t>秒</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sz w:val="24"/>
          <w:szCs w:val="24"/>
          <w:highlight w:val="none"/>
        </w:rPr>
        <w:t>（北京时间）</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投标地点（网址）：</w:t>
      </w:r>
      <w:r>
        <w:rPr>
          <w:rFonts w:hint="eastAsia" w:ascii="宋体" w:hAnsi="宋体" w:eastAsia="宋体" w:cs="宋体"/>
          <w:color w:val="auto"/>
          <w:sz w:val="24"/>
          <w:szCs w:val="24"/>
          <w:highlight w:val="none"/>
        </w:rPr>
        <w:t xml:space="preserve">政采云平台（https://www.zcygov.cn/） </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
          <w:color w:val="auto"/>
          <w:sz w:val="24"/>
          <w:szCs w:val="24"/>
          <w:highlight w:val="none"/>
        </w:rPr>
        <w:t>开标时间：</w:t>
      </w:r>
      <w:r>
        <w:rPr>
          <w:rStyle w:val="76"/>
          <w:rFonts w:hint="eastAsia" w:ascii="宋体" w:hAnsi="宋体" w:cs="宋体"/>
          <w:color w:val="auto"/>
          <w:kern w:val="2"/>
          <w:sz w:val="24"/>
          <w:szCs w:val="24"/>
          <w:highlight w:val="none"/>
          <w:u w:val="single"/>
          <w:lang w:eastAsia="zh-CN"/>
        </w:rPr>
        <w:t>2023年7月20日10点00分</w:t>
      </w:r>
      <w:r>
        <w:rPr>
          <w:rStyle w:val="76"/>
          <w:rFonts w:hint="eastAsia" w:ascii="宋体" w:hAnsi="宋体" w:eastAsia="宋体" w:cs="宋体"/>
          <w:color w:val="auto"/>
          <w:kern w:val="2"/>
          <w:sz w:val="24"/>
          <w:szCs w:val="24"/>
          <w:highlight w:val="none"/>
          <w:u w:val="single"/>
          <w:lang w:val="en-US" w:eastAsia="zh-CN"/>
        </w:rPr>
        <w:t>00</w:t>
      </w:r>
      <w:r>
        <w:rPr>
          <w:rStyle w:val="76"/>
          <w:rFonts w:hint="eastAsia" w:ascii="宋体" w:hAnsi="宋体" w:eastAsia="宋体" w:cs="宋体"/>
          <w:color w:val="auto"/>
          <w:kern w:val="2"/>
          <w:sz w:val="24"/>
          <w:szCs w:val="24"/>
          <w:highlight w:val="none"/>
          <w:u w:val="single"/>
        </w:rPr>
        <w:t>秒</w:t>
      </w:r>
      <w:r>
        <w:rPr>
          <w:rFonts w:hint="eastAsia" w:ascii="宋体" w:hAnsi="宋体" w:eastAsia="宋体" w:cs="宋体"/>
          <w:bCs/>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开标地点（网址）：</w:t>
      </w:r>
      <w:r>
        <w:rPr>
          <w:rFonts w:hint="eastAsia" w:ascii="宋体" w:hAnsi="宋体" w:eastAsia="宋体" w:cs="宋体"/>
          <w:color w:val="auto"/>
          <w:sz w:val="24"/>
          <w:szCs w:val="24"/>
          <w:highlight w:val="none"/>
        </w:rPr>
        <w:t>政采云平台（https://www.zcygov.cn/）</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五、公告期限 </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自本公告发布之日起5个工作日。</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六、其他补充事宜</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6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七、对本次采购提出询问、质疑、投诉，请按以下方式联系</w:t>
      </w:r>
    </w:p>
    <w:p>
      <w:pPr>
        <w:spacing w:line="6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采购人信息</w:t>
      </w:r>
    </w:p>
    <w:p>
      <w:pPr>
        <w:spacing w:line="6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杭州市余杭区人民政府仓前街道办事处</w:t>
      </w:r>
    </w:p>
    <w:p>
      <w:pPr>
        <w:spacing w:line="600" w:lineRule="exact"/>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地    址：余杭区仓前街道向往街1008号乐富海邦园18幢</w:t>
      </w:r>
    </w:p>
    <w:p>
      <w:pPr>
        <w:spacing w:line="6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600" w:lineRule="exact"/>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w:t>
      </w:r>
      <w:r>
        <w:rPr>
          <w:rFonts w:hint="eastAsia" w:ascii="宋体" w:hAnsi="宋体" w:eastAsia="宋体" w:cs="宋体"/>
          <w:color w:val="auto"/>
          <w:sz w:val="24"/>
          <w:highlight w:val="none"/>
          <w:lang w:eastAsia="zh-CN"/>
        </w:rPr>
        <w:t>）：陈文钟</w:t>
      </w:r>
    </w:p>
    <w:p>
      <w:pPr>
        <w:spacing w:line="600" w:lineRule="exact"/>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项目联系方式（询问）：18657158390</w:t>
      </w:r>
    </w:p>
    <w:p>
      <w:pPr>
        <w:spacing w:line="600" w:lineRule="exact"/>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 xml:space="preserve">质疑联系人：周国平 </w:t>
      </w:r>
    </w:p>
    <w:p>
      <w:pPr>
        <w:spacing w:line="600" w:lineRule="exact"/>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质疑联系方式：13777592253 </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采购代理机构信息            </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名    称：杭州瑞拓工程咨询有限公司</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地    址：杭州市余杭区</w:t>
      </w:r>
      <w:r>
        <w:rPr>
          <w:rFonts w:hint="eastAsia" w:ascii="宋体" w:hAnsi="宋体" w:eastAsia="宋体" w:cs="宋体"/>
          <w:color w:val="auto"/>
          <w:sz w:val="24"/>
          <w:szCs w:val="24"/>
          <w:highlight w:val="none"/>
          <w:lang w:eastAsia="zh-CN"/>
        </w:rPr>
        <w:t>仓前街道</w:t>
      </w:r>
      <w:r>
        <w:rPr>
          <w:rFonts w:hint="eastAsia" w:ascii="宋体" w:hAnsi="宋体" w:eastAsia="宋体" w:cs="宋体"/>
          <w:color w:val="auto"/>
          <w:sz w:val="24"/>
          <w:szCs w:val="24"/>
          <w:highlight w:val="none"/>
        </w:rPr>
        <w:t>科技大道8-5号5幢</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 xml:space="preserve">层 </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传    真：0571-86243788             </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项目联系人（询问）：张诗佳        </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项目联系方式（询问）：0571-89282811</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质疑联系人：石敏           </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质疑联系方式：0571-86243788</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同级政府采购监督管理部门            </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名称：余杭区政府采购办公室 </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地址：杭州市余杭区</w:t>
      </w:r>
      <w:r>
        <w:rPr>
          <w:rFonts w:hint="eastAsia" w:ascii="宋体" w:hAnsi="宋体" w:eastAsia="宋体" w:cs="宋体"/>
          <w:color w:val="auto"/>
          <w:sz w:val="24"/>
          <w:szCs w:val="24"/>
          <w:highlight w:val="none"/>
          <w:lang w:val="en-US" w:eastAsia="zh-CN"/>
        </w:rPr>
        <w:t>文一西路1500号8号楼1201室</w:t>
      </w:r>
      <w:r>
        <w:rPr>
          <w:rFonts w:hint="eastAsia" w:ascii="宋体" w:hAnsi="宋体" w:eastAsia="宋体" w:cs="宋体"/>
          <w:color w:val="auto"/>
          <w:sz w:val="24"/>
          <w:szCs w:val="24"/>
          <w:highlight w:val="none"/>
        </w:rPr>
        <w:t> </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传真：0571-88728858</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联系人：杜国强 </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监督投诉电话：0571-88728858 </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若对项目采购电子交易系统操作有疑问，可登录政采云（https://www.zcygov.cn/），点击右侧咨询小采，获取采小蜜智能服务管家帮助，或拨打政采云服务热线95763获取热线服务帮助。</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CA问题联系电话（人工）：汇信CA 400-888-4636；天谷CA 400-087-8198。</w:t>
      </w:r>
    </w:p>
    <w:p>
      <w:pPr>
        <w:widowControl/>
        <w:adjustRightInd/>
        <w:jc w:val="left"/>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2"/>
        <w:tblW w:w="9472" w:type="dxa"/>
        <w:tblInd w:w="-8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818"/>
        <w:gridCol w:w="2043"/>
        <w:gridCol w:w="66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事项</w:t>
            </w:r>
          </w:p>
        </w:tc>
        <w:tc>
          <w:tcPr>
            <w:tcW w:w="6611"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项目属性</w:t>
            </w: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采购标的及其对应的中小企业划分标准所属行业</w:t>
            </w: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（1）标的：</w:t>
            </w:r>
            <w:r>
              <w:rPr>
                <w:rFonts w:hint="eastAsia" w:ascii="宋体" w:hAnsi="宋体" w:eastAsia="宋体" w:cs="宋体"/>
                <w:color w:val="auto"/>
                <w:sz w:val="24"/>
                <w:szCs w:val="24"/>
                <w:highlight w:val="none"/>
                <w:u w:val="single"/>
                <w:lang w:eastAsia="zh-CN"/>
              </w:rPr>
              <w:t>垃圾集中转运项目</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eastAsia="zh-CN"/>
              </w:rPr>
              <w:t>十六</w:t>
            </w:r>
            <w:r>
              <w:rPr>
                <w:rFonts w:hint="eastAsia" w:ascii="宋体" w:hAnsi="宋体" w:eastAsia="宋体" w:cs="宋体"/>
                <w:color w:val="auto"/>
                <w:sz w:val="24"/>
                <w:szCs w:val="24"/>
                <w:highlight w:val="none"/>
                <w:u w:val="single"/>
              </w:rPr>
              <w:t>）其他未列明行业</w:t>
            </w:r>
            <w:r>
              <w:rPr>
                <w:rFonts w:hint="eastAsia" w:ascii="宋体" w:hAnsi="宋体" w:eastAsia="宋体" w:cs="宋体"/>
                <w:color w:val="auto"/>
                <w:sz w:val="24"/>
                <w:szCs w:val="24"/>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是否允许采购进口产品</w:t>
            </w: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00FE"/>
            </w:r>
            <w:r>
              <w:rPr>
                <w:rFonts w:hint="eastAsia" w:ascii="宋体" w:hAnsi="宋体" w:eastAsia="宋体" w:cs="宋体"/>
                <w:color w:val="auto"/>
                <w:sz w:val="24"/>
                <w:szCs w:val="24"/>
                <w:highlight w:val="none"/>
              </w:rPr>
              <w:t>本项目不允许采购进口产品。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分包</w:t>
            </w: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00FE"/>
            </w:r>
            <w:r>
              <w:rPr>
                <w:rFonts w:hint="eastAsia" w:ascii="宋体" w:hAnsi="宋体" w:eastAsia="宋体" w:cs="宋体"/>
                <w:color w:val="auto"/>
                <w:sz w:val="24"/>
                <w:szCs w:val="24"/>
                <w:highlight w:val="none"/>
              </w:rPr>
              <w:t xml:space="preserve"> B不同意分包。</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注：不得限制大中型企业向小微企业合理分包。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开标前答疑会或现场考察</w:t>
            </w: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F0FE"/>
            </w:r>
            <w:r>
              <w:rPr>
                <w:rFonts w:hint="eastAsia" w:ascii="宋体" w:hAnsi="宋体" w:eastAsia="宋体" w:cs="宋体"/>
                <w:color w:val="auto"/>
                <w:sz w:val="24"/>
                <w:szCs w:val="24"/>
                <w:highlight w:val="none"/>
              </w:rPr>
              <w:t>A不组织。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2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样品提供</w:t>
            </w: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F0FE"/>
            </w:r>
            <w:r>
              <w:rPr>
                <w:rFonts w:hint="eastAsia" w:ascii="宋体" w:hAnsi="宋体" w:eastAsia="宋体" w:cs="宋体"/>
                <w:color w:val="auto"/>
                <w:sz w:val="24"/>
                <w:szCs w:val="24"/>
                <w:highlight w:val="none"/>
              </w:rPr>
              <w:t>A不要求提供。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2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方案讲解演示</w:t>
            </w: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sym w:font="Wingdings" w:char="F0FE"/>
            </w:r>
            <w:r>
              <w:rPr>
                <w:rFonts w:hint="eastAsia" w:ascii="宋体" w:hAnsi="宋体" w:eastAsia="宋体" w:cs="宋体"/>
                <w:color w:val="auto"/>
                <w:sz w:val="24"/>
                <w:szCs w:val="24"/>
                <w:highlight w:val="none"/>
              </w:rPr>
              <w:t>A不组织。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204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投标人应当提供的资格、资信证明文件</w:t>
            </w: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（1）资格证明文件：见招标文件第二部分11.1。</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p>
        </w:tc>
        <w:tc>
          <w:tcPr>
            <w:tcW w:w="20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2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节能产品、环境标志产品</w:t>
            </w: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2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报价要求</w:t>
            </w: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有关本项目实施所需的所有费用（含税费）均计入报价。投标文件</w:t>
            </w:r>
            <w:r>
              <w:rPr>
                <w:rFonts w:hint="eastAsia" w:ascii="宋体" w:hAnsi="宋体" w:eastAsia="宋体" w:cs="宋体"/>
                <w:color w:val="auto"/>
                <w:sz w:val="24"/>
                <w:szCs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sz w:val="24"/>
                <w:szCs w:val="24"/>
                <w:highlight w:val="none"/>
                <w:lang w:val="zh-CN"/>
              </w:rPr>
              <w:t>投标文件中价格全部采用人民币报价。招标文件未列明，而投标人认为必需的费用也需列入报价。提醒：验收时检测费用由采购人承担，不包含在投标总价中。</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投标人对根据修正原则修正后的报价不确认的。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2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中小企业信用融资</w:t>
            </w: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p>
        </w:tc>
        <w:tc>
          <w:tcPr>
            <w:tcW w:w="2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备份投标文件送达地点和签收人员</w:t>
            </w: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备份投标文件送达地点：杭州市临平区临平新丰路199号余杭商会大厦4号楼25楼；备份投标文件签收人员联系电话：</w:t>
            </w:r>
            <w:r>
              <w:rPr>
                <w:rFonts w:hint="eastAsia" w:ascii="宋体" w:hAnsi="宋体" w:eastAsia="宋体" w:cs="宋体"/>
                <w:color w:val="auto"/>
                <w:sz w:val="24"/>
                <w:szCs w:val="24"/>
                <w:highlight w:val="none"/>
                <w:lang w:val="en-US" w:eastAsia="zh-CN"/>
              </w:rPr>
              <w:t>0571-89282811</w:t>
            </w: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204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特别说明</w:t>
            </w: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联合体投标的，联合体各方分别提供与联合体协议中规定的分工内容相应的业绩证明材料，业绩数量以提供材料较少的一方为准。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p>
        </w:tc>
        <w:tc>
          <w:tcPr>
            <w:tcW w:w="20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p>
        </w:tc>
        <w:tc>
          <w:tcPr>
            <w:tcW w:w="66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00A8"/>
            </w:r>
            <w:r>
              <w:rPr>
                <w:rFonts w:hint="eastAsia" w:ascii="宋体" w:hAnsi="宋体" w:eastAsia="宋体" w:cs="宋体"/>
                <w:color w:val="auto"/>
                <w:sz w:val="24"/>
                <w:szCs w:val="24"/>
                <w:highlight w:val="none"/>
              </w:rPr>
              <w:t>联合体投标的，联合体中有一方或者联合体成员根据分工按招标文件第四部分评标标准要求提供资信证明文件的，视为符合了相关要求。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2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招标代理服务费</w:t>
            </w:r>
          </w:p>
        </w:tc>
        <w:tc>
          <w:tcPr>
            <w:tcW w:w="6611" w:type="dxa"/>
            <w:tcBorders>
              <w:tl2br w:val="nil"/>
              <w:tr2bl w:val="nil"/>
            </w:tcBorders>
            <w:vAlign w:val="center"/>
          </w:tcPr>
          <w:p>
            <w:pPr>
              <w:keepNext w:val="0"/>
              <w:keepLines w:val="0"/>
              <w:pageBreakBefore w:val="0"/>
              <w:widowControl w:val="0"/>
              <w:shd w:val="clear" w:color="auto" w:fill="auto"/>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招标服务费：本次代理服务费由中标人支付，代理服务费按照国家计委印发的《招标代理服务收费管理暂行办法》计价格[2002]1980号、发改办价格[2003]857号和《关于规范余杭区政府投资项目中介服务付费限额标准的通知》余财政〔20</w:t>
            </w:r>
            <w:r>
              <w:rPr>
                <w:rFonts w:hint="eastAsia" w:ascii="宋体" w:hAnsi="宋体" w:eastAsia="宋体" w:cs="宋体"/>
                <w:color w:val="auto"/>
                <w:sz w:val="24"/>
                <w:highlight w:val="none"/>
                <w:shd w:val="clear" w:color="auto" w:fill="auto"/>
                <w:lang w:val="en-US" w:eastAsia="zh-CN"/>
              </w:rPr>
              <w:t>18</w:t>
            </w:r>
            <w:r>
              <w:rPr>
                <w:rFonts w:hint="eastAsia" w:ascii="宋体" w:hAnsi="宋体" w:eastAsia="宋体" w:cs="宋体"/>
                <w:color w:val="auto"/>
                <w:sz w:val="24"/>
                <w:highlight w:val="none"/>
                <w:shd w:val="clear" w:color="auto" w:fill="auto"/>
              </w:rPr>
              <w:t>〕24号规定收费，代理服务费为人民币</w:t>
            </w:r>
            <w:r>
              <w:rPr>
                <w:rFonts w:hint="eastAsia" w:ascii="宋体" w:hAnsi="宋体" w:cs="宋体"/>
                <w:color w:val="auto"/>
                <w:sz w:val="24"/>
                <w:highlight w:val="none"/>
                <w:shd w:val="clear" w:color="auto" w:fill="auto"/>
                <w:lang w:val="en-US" w:eastAsia="zh-CN"/>
              </w:rPr>
              <w:t>44300</w:t>
            </w:r>
            <w:r>
              <w:rPr>
                <w:rFonts w:hint="eastAsia" w:ascii="宋体" w:hAnsi="宋体" w:eastAsia="宋体" w:cs="宋体"/>
                <w:color w:val="auto"/>
                <w:sz w:val="24"/>
                <w:highlight w:val="none"/>
                <w:shd w:val="clear" w:color="auto" w:fill="auto"/>
              </w:rPr>
              <w:t>元。各投标人应在投标报价中予以考虑。</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shd w:val="clear" w:color="auto" w:fill="auto"/>
              </w:rPr>
              <w:t>中标服务费的交纳方式：以转帐或支票的形式支付，开户行名称：浦发银行</w:t>
            </w:r>
            <w:r>
              <w:rPr>
                <w:rFonts w:hint="eastAsia" w:ascii="宋体" w:hAnsi="宋体" w:eastAsia="宋体" w:cs="宋体"/>
                <w:color w:val="auto"/>
                <w:sz w:val="24"/>
                <w:highlight w:val="none"/>
                <w:shd w:val="clear" w:color="auto" w:fill="auto"/>
                <w:lang w:eastAsia="zh-CN"/>
              </w:rPr>
              <w:t>临平</w:t>
            </w:r>
            <w:r>
              <w:rPr>
                <w:rFonts w:hint="eastAsia" w:ascii="宋体" w:hAnsi="宋体" w:eastAsia="宋体" w:cs="宋体"/>
                <w:color w:val="auto"/>
                <w:sz w:val="24"/>
                <w:highlight w:val="none"/>
                <w:shd w:val="clear" w:color="auto" w:fill="auto"/>
              </w:rPr>
              <w:t>支行；帐号：95110154800000633，收款单位（账户名称）：杭州瑞拓工程咨询有限公司。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8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865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4"/>
                <w:highlight w:val="none"/>
                <w:shd w:val="clear" w:color="auto" w:fill="auto"/>
              </w:rPr>
            </w:pPr>
            <w:r>
              <w:rPr>
                <w:rFonts w:hint="eastAsia" w:ascii="宋体" w:hAnsi="宋体" w:eastAsia="宋体" w:cs="宋体"/>
                <w:b/>
                <w:bCs/>
                <w:color w:val="auto"/>
                <w:sz w:val="24"/>
                <w:highlight w:val="none"/>
              </w:rPr>
              <w:t>采购</w:t>
            </w:r>
            <w:r>
              <w:rPr>
                <w:rFonts w:hint="eastAsia" w:ascii="宋体" w:hAnsi="宋体" w:eastAsia="宋体" w:cs="宋体"/>
                <w:b/>
                <w:bCs/>
                <w:color w:val="auto"/>
                <w:sz w:val="24"/>
                <w:highlight w:val="none"/>
                <w:lang w:val="en-US" w:eastAsia="zh-CN"/>
              </w:rPr>
              <w:t>文件</w:t>
            </w:r>
            <w:r>
              <w:rPr>
                <w:rFonts w:hint="eastAsia" w:ascii="宋体" w:hAnsi="宋体" w:eastAsia="宋体" w:cs="宋体"/>
                <w:b/>
                <w:bCs/>
                <w:color w:val="auto"/>
                <w:sz w:val="24"/>
                <w:highlight w:val="none"/>
              </w:rPr>
              <w:t>中带“</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”条款为</w:t>
            </w:r>
            <w:r>
              <w:rPr>
                <w:rFonts w:hint="eastAsia" w:ascii="宋体" w:hAnsi="宋体" w:eastAsia="宋体" w:cs="宋体"/>
                <w:b/>
                <w:bCs/>
                <w:color w:val="auto"/>
                <w:sz w:val="24"/>
                <w:highlight w:val="none"/>
                <w:lang w:val="en-US" w:eastAsia="zh-CN"/>
              </w:rPr>
              <w:t>招标文件要求的</w:t>
            </w:r>
            <w:r>
              <w:rPr>
                <w:rFonts w:hint="eastAsia" w:ascii="宋体" w:hAnsi="宋体" w:eastAsia="宋体" w:cs="宋体"/>
                <w:b/>
                <w:bCs/>
                <w:color w:val="auto"/>
                <w:sz w:val="24"/>
                <w:highlight w:val="none"/>
              </w:rPr>
              <w:t>实质性内容，投标人须在投标文件中提供《符合性审查资料》（格式见第</w:t>
            </w:r>
            <w:r>
              <w:rPr>
                <w:rFonts w:hint="eastAsia" w:ascii="宋体" w:hAnsi="宋体" w:eastAsia="宋体" w:cs="宋体"/>
                <w:b/>
                <w:bCs/>
                <w:color w:val="auto"/>
                <w:sz w:val="24"/>
                <w:highlight w:val="none"/>
                <w:lang w:val="en-US" w:eastAsia="zh-CN"/>
              </w:rPr>
              <w:t>六</w:t>
            </w:r>
            <w:r>
              <w:rPr>
                <w:rFonts w:hint="eastAsia" w:ascii="宋体" w:hAnsi="宋体" w:eastAsia="宋体" w:cs="宋体"/>
                <w:b/>
                <w:bCs/>
                <w:color w:val="auto"/>
                <w:sz w:val="24"/>
                <w:highlight w:val="none"/>
              </w:rPr>
              <w:t>部分  应提交的有关格式范例），如有任意一条未响应或不满足，将被视为无效。</w:t>
            </w:r>
          </w:p>
        </w:tc>
      </w:tr>
    </w:tbl>
    <w:p>
      <w:pPr>
        <w:snapToGrid w:val="0"/>
        <w:spacing w:line="360" w:lineRule="auto"/>
        <w:jc w:val="center"/>
        <w:rPr>
          <w:rFonts w:hint="eastAsia" w:ascii="宋体" w:hAnsi="宋体" w:eastAsia="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eastAsia="宋体" w:cs="宋体"/>
          <w:b/>
          <w:color w:val="auto"/>
          <w:sz w:val="32"/>
          <w:szCs w:val="20"/>
          <w:highlight w:val="none"/>
        </w:rPr>
      </w:pPr>
      <w:bookmarkStart w:id="11" w:name="_Toc164416483"/>
      <w:bookmarkStart w:id="12" w:name="第三部分"/>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keepNext w:val="0"/>
        <w:keepLines w:val="0"/>
        <w:pageBreakBefore w:val="0"/>
        <w:kinsoku/>
        <w:wordWrap/>
        <w:overflowPunct/>
        <w:topLinePunct w:val="0"/>
        <w:bidi w:val="0"/>
        <w:snapToGrid w:val="0"/>
        <w:spacing w:line="600" w:lineRule="exact"/>
        <w:ind w:firstLine="361" w:firstLineChars="150"/>
        <w:jc w:val="left"/>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 适用范围</w:t>
      </w:r>
    </w:p>
    <w:p>
      <w:pPr>
        <w:keepNext w:val="0"/>
        <w:keepLines w:val="0"/>
        <w:pageBreakBefore w:val="0"/>
        <w:kinsoku/>
        <w:wordWrap/>
        <w:overflowPunct/>
        <w:topLinePunct w:val="0"/>
        <w:bidi w:val="0"/>
        <w:snapToGri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bidi w:val="0"/>
        <w:adjustRightInd/>
        <w:spacing w:line="600" w:lineRule="exact"/>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2.定义</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“采购人”系指招标公告中载明的本项目的采购人。</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”系指招标公告中载明的本项目的</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“投标人”系指是指响应招标、参加投标竞争的法人、其他组织或者自然人。</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2.6“电子交易平台”</w:t>
      </w:r>
      <w:r>
        <w:rPr>
          <w:rFonts w:hint="eastAsia" w:ascii="宋体" w:hAnsi="宋体" w:eastAsia="宋体" w:cs="宋体"/>
          <w:color w:val="auto"/>
          <w:sz w:val="24"/>
          <w:szCs w:val="24"/>
          <w:highlight w:val="none"/>
          <w:lang w:val="en-US" w:eastAsia="zh-CN"/>
        </w:rPr>
        <w:t>系</w:t>
      </w:r>
      <w:r>
        <w:rPr>
          <w:rFonts w:hint="eastAsia" w:ascii="宋体" w:hAnsi="宋体" w:eastAsia="宋体" w:cs="宋体"/>
          <w:color w:val="auto"/>
          <w:sz w:val="24"/>
          <w:szCs w:val="24"/>
          <w:highlight w:val="none"/>
        </w:rPr>
        <w:t>指本项目政府采购活动所依托的政府采购云平台（https://www.zcygov.cn/）。</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系指实质性要求条款。</w:t>
      </w:r>
    </w:p>
    <w:p>
      <w:pPr>
        <w:keepNext w:val="0"/>
        <w:keepLines w:val="0"/>
        <w:pageBreakBefore w:val="0"/>
        <w:kinsoku/>
        <w:wordWrap/>
        <w:overflowPunct/>
        <w:topLinePunct w:val="0"/>
        <w:bidi w:val="0"/>
        <w:spacing w:line="600" w:lineRule="exact"/>
        <w:ind w:firstLine="241" w:firstLineChars="1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采购项目需要落实的政府采购政策</w:t>
      </w:r>
    </w:p>
    <w:p>
      <w:pPr>
        <w:keepNext w:val="0"/>
        <w:keepLines w:val="0"/>
        <w:pageBreakBefore w:val="0"/>
        <w:kinsoku/>
        <w:wordWrap/>
        <w:overflowPunct/>
        <w:topLinePunct w:val="0"/>
        <w:bidi w:val="0"/>
        <w:spacing w:line="60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不会对其加以限制，仍将按照公平竞争原则实施采购）；</w:t>
      </w:r>
      <w:r>
        <w:rPr>
          <w:rFonts w:hint="eastAsia" w:ascii="宋体" w:hAnsi="宋体" w:eastAsia="宋体" w:cs="宋体"/>
          <w:color w:val="auto"/>
          <w:kern w:val="0"/>
          <w:sz w:val="24"/>
          <w:szCs w:val="24"/>
          <w:highlight w:val="none"/>
        </w:rPr>
        <w:t>优先采购向我国企业转让技术、与我国企业签订消化吸收再创新方案的供应商的进口产品</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spacing w:line="60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支持绿色发展</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采购人拟采购的产品属于政府强制采购的节能产品品目清单范围的，投标人相应的投标产品未获得国家确定的认证机构出具的、处于有效期之内的节能产品认证证书的，投标无效。</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keepNext w:val="0"/>
        <w:keepLines w:val="0"/>
        <w:pageBreakBefore w:val="0"/>
        <w:kinsoku/>
        <w:wordWrap/>
        <w:overflowPunct/>
        <w:topLinePunct w:val="0"/>
        <w:bidi w:val="0"/>
        <w:spacing w:line="60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3.3支持中小企业发展</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符合中小企业划分标准的个体工商户，在政府采购活动中视同中小企业。</w:t>
      </w:r>
    </w:p>
    <w:p>
      <w:pPr>
        <w:keepNext w:val="0"/>
        <w:keepLines w:val="0"/>
        <w:pageBreakBefore w:val="0"/>
        <w:widowControl/>
        <w:kinsoku/>
        <w:wordWrap/>
        <w:overflowPunct/>
        <w:topLinePunct w:val="0"/>
        <w:bidi w:val="0"/>
        <w:spacing w:line="60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3.3.2</w:t>
      </w:r>
      <w:r>
        <w:rPr>
          <w:rFonts w:hint="eastAsia" w:ascii="宋体" w:hAnsi="宋体" w:eastAsia="宋体" w:cs="宋体"/>
          <w:color w:val="auto"/>
          <w:kern w:val="0"/>
          <w:sz w:val="24"/>
          <w:szCs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keepNext w:val="0"/>
        <w:keepLines w:val="0"/>
        <w:pageBreakBefore w:val="0"/>
        <w:widowControl/>
        <w:kinsoku/>
        <w:wordWrap/>
        <w:overflowPunct/>
        <w:topLinePunct w:val="0"/>
        <w:bidi w:val="0"/>
        <w:spacing w:line="60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3.3.7中小企业享受扶持政策获得政府采购合同的，小微企业不得将合同分包给大中型企业，中型企业不得将合同分包给大型企业。</w:t>
      </w:r>
    </w:p>
    <w:p>
      <w:pPr>
        <w:keepNext w:val="0"/>
        <w:keepLines w:val="0"/>
        <w:pageBreakBefore w:val="0"/>
        <w:kinsoku/>
        <w:wordWrap/>
        <w:overflowPunct/>
        <w:topLinePunct w:val="0"/>
        <w:bidi w:val="0"/>
        <w:spacing w:line="60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r>
        <w:rPr>
          <w:rFonts w:hint="eastAsia" w:ascii="宋体" w:hAnsi="宋体" w:eastAsia="宋体" w:cs="宋体"/>
          <w:bCs/>
          <w:color w:val="auto"/>
          <w:sz w:val="24"/>
          <w:szCs w:val="24"/>
          <w:highlight w:val="none"/>
        </w:rPr>
        <w:t>支持创新发展</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采购人优先采购被认定为首台套产品和“制造精品”的自主创新产品。</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3.5平等对待内外资企业和符合条件的破产重整企业</w:t>
      </w:r>
    </w:p>
    <w:p>
      <w:pPr>
        <w:keepNext w:val="0"/>
        <w:keepLines w:val="0"/>
        <w:pageBreakBefore w:val="0"/>
        <w:kinsoku/>
        <w:wordWrap/>
        <w:overflowPunct/>
        <w:topLinePunct w:val="0"/>
        <w:bidi w:val="0"/>
        <w:spacing w:line="600" w:lineRule="exact"/>
        <w:ind w:firstLine="240" w:firstLineChars="1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平等对待内外资企业和符合条件的破产重整企业，切实保障企业公平竞争，平等维护企业的合法利益。</w:t>
      </w:r>
      <w:r>
        <w:rPr>
          <w:rFonts w:hint="eastAsia" w:ascii="宋体" w:hAnsi="宋体" w:eastAsia="宋体" w:cs="宋体"/>
          <w:color w:val="auto"/>
          <w:sz w:val="24"/>
          <w:szCs w:val="24"/>
          <w:highlight w:val="none"/>
        </w:rPr>
        <w:cr/>
      </w:r>
      <w:r>
        <w:rPr>
          <w:rFonts w:hint="eastAsia" w:ascii="宋体" w:hAnsi="宋体" w:eastAsia="宋体" w:cs="宋体"/>
          <w:b/>
          <w:color w:val="auto"/>
          <w:sz w:val="24"/>
          <w:szCs w:val="24"/>
          <w:highlight w:val="none"/>
        </w:rPr>
        <w:t>4. 询问、质疑、投诉</w:t>
      </w:r>
    </w:p>
    <w:p>
      <w:pPr>
        <w:keepNext w:val="0"/>
        <w:keepLines w:val="0"/>
        <w:pageBreakBefore w:val="0"/>
        <w:kinsoku/>
        <w:wordWrap/>
        <w:overflowPunct/>
        <w:topLinePunct w:val="0"/>
        <w:autoSpaceDE w:val="0"/>
        <w:autoSpaceDN w:val="0"/>
        <w:bidi w:val="0"/>
        <w:spacing w:line="600" w:lineRule="exact"/>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val="0"/>
        <w:autoSpaceDN w:val="0"/>
        <w:bidi w:val="0"/>
        <w:spacing w:line="600" w:lineRule="exact"/>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4.2供应商询问</w:t>
      </w:r>
    </w:p>
    <w:p>
      <w:pPr>
        <w:keepNext w:val="0"/>
        <w:keepLines w:val="0"/>
        <w:pageBreakBefore w:val="0"/>
        <w:kinsoku/>
        <w:wordWrap/>
        <w:overflowPunct/>
        <w:topLinePunct w:val="0"/>
        <w:autoSpaceDE w:val="0"/>
        <w:autoSpaceDN w:val="0"/>
        <w:bidi w:val="0"/>
        <w:spacing w:line="600" w:lineRule="exact"/>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pacing w:line="600" w:lineRule="exact"/>
        <w:ind w:firstLine="240" w:firstLineChars="1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4.3供应商质疑</w:t>
      </w:r>
    </w:p>
    <w:p>
      <w:pPr>
        <w:pStyle w:val="34"/>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4.3</w:t>
      </w:r>
      <w:r>
        <w:rPr>
          <w:rFonts w:hint="eastAsia" w:ascii="宋体" w:hAnsi="宋体" w:eastAsia="宋体" w:cs="宋体"/>
          <w:color w:val="auto"/>
          <w:sz w:val="24"/>
          <w:szCs w:val="24"/>
          <w:highlight w:val="none"/>
        </w:rPr>
        <w:t>.1提出质疑的供应商应当是参与所质疑项目采购活动的供应商。潜在供应商已依法获取其可质疑的招标文件的，可以对该文件提出质疑。</w:t>
      </w:r>
    </w:p>
    <w:p>
      <w:pPr>
        <w:pStyle w:val="34"/>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4.3</w:t>
      </w:r>
      <w:r>
        <w:rPr>
          <w:rFonts w:hint="eastAsia" w:ascii="宋体" w:hAnsi="宋体" w:eastAsia="宋体" w:cs="宋体"/>
          <w:color w:val="auto"/>
          <w:sz w:val="24"/>
          <w:szCs w:val="24"/>
          <w:highlight w:val="none"/>
        </w:rPr>
        <w:t>.2供应商认为招标文件、采购过程和中标结果使自己的权益受到损害的，可以在知道或者应知其权益受到损害之日起七个工作日内，以书面形式向采购人或者</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提出质疑，否则，采购人或者</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不予受理：</w:t>
      </w:r>
    </w:p>
    <w:p>
      <w:pPr>
        <w:pStyle w:val="7"/>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4.3.2.1对招标文件提出质疑的，质疑期限为供应商获得招标文件之日或者招标文件公告期限届满之日起计算。</w:t>
      </w:r>
    </w:p>
    <w:p>
      <w:pPr>
        <w:pStyle w:val="34"/>
        <w:keepNext w:val="0"/>
        <w:keepLines w:val="0"/>
        <w:pageBreakBefore w:val="0"/>
        <w:kinsoku/>
        <w:wordWrap/>
        <w:overflowPunct/>
        <w:topLinePunct w:val="0"/>
        <w:bidi w:val="0"/>
        <w:spacing w:line="600" w:lineRule="exact"/>
        <w:ind w:left="479" w:leftChars="228"/>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4.3.2.2对采购过程提出质疑的，质疑期限为各采购程序环节结束之日起计算。4.3.2.3对采购结果提出质疑的，质疑期限自采购结果公告期限届满之日起计算。</w:t>
      </w:r>
    </w:p>
    <w:p>
      <w:pPr>
        <w:pStyle w:val="34"/>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w:t>
      </w:r>
      <w:r>
        <w:rPr>
          <w:rFonts w:hint="eastAsia" w:ascii="宋体" w:hAnsi="宋体" w:eastAsia="宋体" w:cs="宋体"/>
          <w:color w:val="auto"/>
          <w:sz w:val="24"/>
          <w:szCs w:val="24"/>
          <w:highlight w:val="none"/>
        </w:rPr>
        <w:t>供应商提出质疑应当提交质疑函和必要的证明材料。质疑函应当包括下列内容：</w:t>
      </w:r>
    </w:p>
    <w:p>
      <w:pPr>
        <w:pStyle w:val="34"/>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4.3.3.1供应商的姓名或者名称、地址、邮编、联系人及联系电话；</w:t>
      </w:r>
    </w:p>
    <w:p>
      <w:pPr>
        <w:pStyle w:val="34"/>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4.3.3.2质疑项目的名称、编号；</w:t>
      </w:r>
    </w:p>
    <w:p>
      <w:pPr>
        <w:pStyle w:val="34"/>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4.3.3.3具体、明确的质疑事项和与质疑事项相关的请求；</w:t>
      </w:r>
    </w:p>
    <w:p>
      <w:pPr>
        <w:pStyle w:val="34"/>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4.3.3.4事实依据；</w:t>
      </w:r>
    </w:p>
    <w:p>
      <w:pPr>
        <w:pStyle w:val="34"/>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4.3.3.5必要的法律依据；</w:t>
      </w:r>
    </w:p>
    <w:p>
      <w:pPr>
        <w:pStyle w:val="34"/>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4.3.3.6提出质疑的日期。</w:t>
      </w:r>
    </w:p>
    <w:p>
      <w:pPr>
        <w:pStyle w:val="572"/>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ind w:firstLine="403"/>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质疑函范本及制作说明详见附件2。</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4.3.4对同一采购程序环节的质疑，供应商须在法定质疑期内一次性提出。</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4.3</w:t>
      </w:r>
      <w:r>
        <w:rPr>
          <w:rFonts w:hint="eastAsia" w:ascii="宋体" w:hAnsi="宋体" w:eastAsia="宋体" w:cs="宋体"/>
          <w:color w:val="auto"/>
          <w:sz w:val="24"/>
          <w:szCs w:val="24"/>
          <w:highlight w:val="none"/>
        </w:rPr>
        <w:t>.5采购人或者</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在质疑回复后5个工作日内，在浙江政府采购网的“其他公告”栏目公开质疑答复，答复内容应当完整。质疑函作为附件上传。</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4.3</w:t>
      </w:r>
      <w:r>
        <w:rPr>
          <w:rFonts w:hint="eastAsia" w:ascii="宋体" w:hAnsi="宋体" w:eastAsia="宋体" w:cs="宋体"/>
          <w:color w:val="auto"/>
          <w:sz w:val="24"/>
          <w:szCs w:val="24"/>
          <w:highlight w:val="none"/>
        </w:rPr>
        <w:t>.6询问或者质疑事项可能影响采购结果的，采购人应当暂停签订合同，已经签订合同的，应当中止履行合同。</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80" w:firstLineChars="200"/>
        <w:contextualSpacing/>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4.4供应商投诉</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4.4.1质疑供应商对采购人、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的答复不满意或者采购人、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未在规定的时间内作出答复的，可以在答复期满后十五个工作日内向同级政府采购监督管理部门提出投诉。</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w:t>
      </w:r>
      <w:r>
        <w:rPr>
          <w:rFonts w:hint="eastAsia" w:ascii="宋体" w:hAnsi="宋体" w:eastAsia="宋体" w:cs="宋体"/>
          <w:color w:val="auto"/>
          <w:sz w:val="24"/>
          <w:szCs w:val="24"/>
          <w:highlight w:val="none"/>
          <w:lang w:val="zh-CN"/>
        </w:rPr>
        <w:t>2</w:t>
      </w:r>
      <w:r>
        <w:rPr>
          <w:rFonts w:hint="eastAsia" w:ascii="宋体" w:hAnsi="宋体" w:eastAsia="宋体" w:cs="宋体"/>
          <w:color w:val="auto"/>
          <w:sz w:val="24"/>
          <w:szCs w:val="24"/>
          <w:highlight w:val="none"/>
        </w:rPr>
        <w:t>供应商投诉的事项不得超出已质疑事项的范围，基于质疑答复内容提出的投诉事项除外。</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4.4.3供应商投诉应当有明确的请求和必要的证明材料。</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4.4.4以联合体形式参加政府采购活动的，其投诉应当由组成联合体的所有供应商共同提出。</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4.4.5</w:t>
      </w:r>
      <w:r>
        <w:rPr>
          <w:rFonts w:hint="eastAsia" w:ascii="宋体" w:hAnsi="宋体" w:eastAsia="宋体" w:cs="宋体"/>
          <w:color w:val="auto"/>
          <w:sz w:val="24"/>
          <w:szCs w:val="24"/>
          <w:highlight w:val="none"/>
          <w:lang w:eastAsia="zh-CN"/>
        </w:rPr>
        <w:t>余杭</w:t>
      </w:r>
      <w:r>
        <w:rPr>
          <w:rFonts w:hint="eastAsia" w:ascii="宋体" w:hAnsi="宋体" w:eastAsia="宋体" w:cs="宋体"/>
          <w:color w:val="auto"/>
          <w:sz w:val="24"/>
          <w:szCs w:val="24"/>
          <w:highlight w:val="none"/>
        </w:rPr>
        <w:t>区政府采购项目投诉材料可寄送至余杭区政府采购办公室，地址：杭州市余杭区</w:t>
      </w:r>
      <w:r>
        <w:rPr>
          <w:rFonts w:hint="eastAsia" w:ascii="宋体" w:hAnsi="宋体" w:eastAsia="宋体" w:cs="宋体"/>
          <w:color w:val="auto"/>
          <w:sz w:val="24"/>
          <w:szCs w:val="24"/>
          <w:highlight w:val="none"/>
          <w:lang w:val="en-US" w:eastAsia="zh-CN"/>
        </w:rPr>
        <w:t>文一西路1500号8号楼1201室</w:t>
      </w:r>
      <w:r>
        <w:rPr>
          <w:rFonts w:hint="eastAsia" w:ascii="宋体" w:hAnsi="宋体" w:eastAsia="宋体" w:cs="宋体"/>
          <w:color w:val="auto"/>
          <w:sz w:val="24"/>
          <w:szCs w:val="24"/>
          <w:highlight w:val="none"/>
        </w:rPr>
        <w:t>，收件人：</w:t>
      </w:r>
      <w:r>
        <w:rPr>
          <w:rFonts w:hint="eastAsia" w:ascii="宋体" w:hAnsi="宋体" w:eastAsia="宋体" w:cs="宋体"/>
          <w:color w:val="auto"/>
          <w:sz w:val="24"/>
          <w:szCs w:val="24"/>
          <w:highlight w:val="none"/>
          <w:lang w:eastAsia="zh-CN"/>
        </w:rPr>
        <w:t>杜国强</w:t>
      </w:r>
      <w:r>
        <w:rPr>
          <w:rFonts w:hint="eastAsia" w:ascii="宋体" w:hAnsi="宋体" w:eastAsia="宋体" w:cs="宋体"/>
          <w:color w:val="auto"/>
          <w:sz w:val="24"/>
          <w:szCs w:val="24"/>
          <w:highlight w:val="none"/>
        </w:rPr>
        <w:t>，电话：0571-88728858</w:t>
      </w:r>
      <w:r>
        <w:rPr>
          <w:rFonts w:hint="eastAsia" w:ascii="宋体" w:hAnsi="宋体" w:eastAsia="宋体" w:cs="宋体"/>
          <w:color w:val="auto"/>
          <w:sz w:val="24"/>
          <w:szCs w:val="24"/>
          <w:highlight w:val="none"/>
          <w:lang w:eastAsia="zh-CN"/>
        </w:rPr>
        <w:t>。</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投诉书范本及制作说明详见附件3。</w:t>
      </w:r>
    </w:p>
    <w:p>
      <w:pPr>
        <w:pStyle w:val="85"/>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4"/>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4"/>
        <w:keepNext w:val="0"/>
        <w:keepLines w:val="0"/>
        <w:pageBreakBefore w:val="0"/>
        <w:widowControl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4"/>
        <w:keepNext w:val="0"/>
        <w:keepLines w:val="0"/>
        <w:pageBreakBefore w:val="0"/>
        <w:widowControl w:val="0"/>
        <w:tabs>
          <w:tab w:val="left" w:pos="840"/>
        </w:tabs>
        <w:kinsoku/>
        <w:wordWrap/>
        <w:overflowPunct/>
        <w:topLinePunct w:val="0"/>
        <w:autoSpaceDE/>
        <w:autoSpaceDN/>
        <w:bidi w:val="0"/>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4"/>
        <w:keepNext w:val="0"/>
        <w:keepLines w:val="0"/>
        <w:pageBreakBefore w:val="0"/>
        <w:widowControl w:val="0"/>
        <w:tabs>
          <w:tab w:val="left" w:pos="840"/>
        </w:tabs>
        <w:kinsoku/>
        <w:wordWrap/>
        <w:overflowPunct/>
        <w:topLinePunct w:val="0"/>
        <w:autoSpaceDE/>
        <w:autoSpaceDN/>
        <w:bidi w:val="0"/>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4"/>
        <w:keepNext w:val="0"/>
        <w:keepLines w:val="0"/>
        <w:pageBreakBefore w:val="0"/>
        <w:widowControl w:val="0"/>
        <w:tabs>
          <w:tab w:val="left" w:pos="840"/>
        </w:tabs>
        <w:kinsoku/>
        <w:wordWrap/>
        <w:overflowPunct/>
        <w:topLinePunct w:val="0"/>
        <w:autoSpaceDE/>
        <w:autoSpaceDN/>
        <w:bidi w:val="0"/>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4"/>
        <w:keepNext w:val="0"/>
        <w:keepLines w:val="0"/>
        <w:pageBreakBefore w:val="0"/>
        <w:widowControl w:val="0"/>
        <w:tabs>
          <w:tab w:val="left" w:pos="840"/>
        </w:tabs>
        <w:kinsoku/>
        <w:wordWrap/>
        <w:overflowPunct/>
        <w:topLinePunct w:val="0"/>
        <w:autoSpaceDE/>
        <w:autoSpaceDN/>
        <w:bidi w:val="0"/>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4"/>
        <w:keepNext w:val="0"/>
        <w:keepLines w:val="0"/>
        <w:pageBreakBefore w:val="0"/>
        <w:widowControl w:val="0"/>
        <w:tabs>
          <w:tab w:val="left" w:pos="840"/>
        </w:tabs>
        <w:kinsoku/>
        <w:wordWrap/>
        <w:overflowPunct/>
        <w:topLinePunct w:val="0"/>
        <w:autoSpaceDE/>
        <w:autoSpaceDN/>
        <w:bidi w:val="0"/>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4"/>
        <w:keepNext w:val="0"/>
        <w:keepLines w:val="0"/>
        <w:pageBreakBefore w:val="0"/>
        <w:widowControl w:val="0"/>
        <w:tabs>
          <w:tab w:val="left" w:pos="840"/>
        </w:tabs>
        <w:kinsoku/>
        <w:wordWrap/>
        <w:overflowPunct/>
        <w:topLinePunct w:val="0"/>
        <w:autoSpaceDE/>
        <w:autoSpaceDN/>
        <w:bidi w:val="0"/>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keepNext w:val="0"/>
        <w:keepLines w:val="0"/>
        <w:pageBreakBefore w:val="0"/>
        <w:widowControl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4"/>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85"/>
        <w:keepNext w:val="0"/>
        <w:keepLines w:val="0"/>
        <w:pageBreakBefore w:val="0"/>
        <w:widowControl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提出。</w:t>
      </w:r>
    </w:p>
    <w:p>
      <w:pPr>
        <w:pStyle w:val="85"/>
        <w:keepNext w:val="0"/>
        <w:keepLines w:val="0"/>
        <w:pageBreakBefore w:val="0"/>
        <w:widowControl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6.2 </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4"/>
        <w:keepNext w:val="0"/>
        <w:keepLines w:val="0"/>
        <w:pageBreakBefore w:val="0"/>
        <w:kinsoku/>
        <w:wordWrap/>
        <w:overflowPunct/>
        <w:topLinePunct w:val="0"/>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详见招标公告中获取招标文件的时间期限、地点、方式及招标文件售价。</w:t>
      </w:r>
    </w:p>
    <w:p>
      <w:pPr>
        <w:pStyle w:val="34"/>
        <w:keepNext w:val="0"/>
        <w:keepLines w:val="0"/>
        <w:pageBreakBefore w:val="0"/>
        <w:kinsoku/>
        <w:wordWrap/>
        <w:overflowPunct/>
        <w:topLinePunct w:val="0"/>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4"/>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keepNext w:val="0"/>
        <w:keepLines w:val="0"/>
        <w:pageBreakBefore w:val="0"/>
        <w:kinsoku/>
        <w:wordWrap/>
        <w:overflowPunct/>
        <w:topLinePunct w:val="0"/>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kern w:val="28"/>
          <w:sz w:val="24"/>
          <w:szCs w:val="24"/>
          <w:highlight w:val="none"/>
        </w:rPr>
        <w:t>9.投标保证金</w:t>
      </w:r>
    </w:p>
    <w:p>
      <w:pPr>
        <w:pStyle w:val="7"/>
        <w:keepNext w:val="0"/>
        <w:keepLines w:val="0"/>
        <w:pageBreakBefore w:val="0"/>
        <w:kinsoku/>
        <w:wordWrap/>
        <w:overflowPunct/>
        <w:topLinePunct w:val="0"/>
        <w:bidi w:val="0"/>
        <w:adjustRightInd w:val="0"/>
        <w:spacing w:line="60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本项目不需缴纳投标保证金。</w:t>
      </w:r>
    </w:p>
    <w:p>
      <w:pPr>
        <w:pStyle w:val="34"/>
        <w:keepNext w:val="0"/>
        <w:keepLines w:val="0"/>
        <w:pageBreakBefore w:val="0"/>
        <w:kinsoku/>
        <w:wordWrap/>
        <w:overflowPunct/>
        <w:topLinePunct w:val="0"/>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keepNext w:val="0"/>
        <w:keepLines w:val="0"/>
        <w:pageBreakBefore w:val="0"/>
        <w:kinsoku/>
        <w:wordWrap/>
        <w:overflowPunct/>
        <w:topLinePunct w:val="0"/>
        <w:autoSpaceDE w:val="0"/>
        <w:autoSpaceDN w:val="0"/>
        <w:bidi w:val="0"/>
        <w:adjustRightInd w:val="0"/>
        <w:spacing w:line="6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投标文件及投标人与采购有关的来往通知、函件和文件均应使用中文。</w:t>
      </w:r>
    </w:p>
    <w:p>
      <w:pPr>
        <w:pStyle w:val="34"/>
        <w:keepNext w:val="0"/>
        <w:keepLines w:val="0"/>
        <w:pageBreakBefore w:val="0"/>
        <w:kinsoku/>
        <w:wordWrap/>
        <w:overflowPunct/>
        <w:topLinePunct w:val="0"/>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keepNext w:val="0"/>
        <w:keepLines w:val="0"/>
        <w:pageBreakBefore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b/>
          <w:color w:val="auto"/>
          <w:sz w:val="24"/>
          <w:szCs w:val="24"/>
          <w:highlight w:val="none"/>
        </w:rPr>
        <w:t>资格文件</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11.1.1符合参加政府采购活动应当具备的一般条件的承诺函；</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11.1.2</w:t>
      </w:r>
      <w:r>
        <w:rPr>
          <w:rFonts w:hint="eastAsia" w:ascii="宋体" w:hAnsi="宋体" w:eastAsia="宋体" w:cs="宋体"/>
          <w:snapToGrid w:val="0"/>
          <w:color w:val="auto"/>
          <w:kern w:val="28"/>
          <w:sz w:val="24"/>
          <w:szCs w:val="24"/>
          <w:highlight w:val="none"/>
        </w:rPr>
        <w:t>联合协议（如果有)；</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11.1.3落实政府采购政策需满足的资格要求</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11.1.4本项目的特定资格要求</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商务技术</w:t>
      </w:r>
      <w:r>
        <w:rPr>
          <w:rFonts w:hint="eastAsia" w:ascii="宋体" w:hAnsi="宋体" w:eastAsia="宋体" w:cs="宋体"/>
          <w:color w:val="auto"/>
          <w:sz w:val="24"/>
          <w:szCs w:val="24"/>
          <w:highlight w:val="none"/>
          <w:lang w:val="zh-CN"/>
        </w:rPr>
        <w:t>文件：</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11.2.1投标函；</w:t>
      </w:r>
      <w:r>
        <w:rPr>
          <w:rFonts w:hint="eastAsia" w:ascii="宋体" w:hAnsi="宋体" w:eastAsia="宋体" w:cs="宋体"/>
          <w:color w:val="auto"/>
          <w:sz w:val="24"/>
          <w:szCs w:val="24"/>
          <w:highlight w:val="none"/>
          <w:lang w:val="zh-CN"/>
        </w:rPr>
        <w:t xml:space="preserve"> </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11.2.2授权委托书或法定代表人（单位负责人、自然人本人）身份证明；</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11.2.3分包意向协议</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11.2.4符合性审查资料；</w:t>
      </w:r>
    </w:p>
    <w:p>
      <w:pPr>
        <w:keepNext w:val="0"/>
        <w:keepLines w:val="0"/>
        <w:pageBreakBefore w:val="0"/>
        <w:kinsoku/>
        <w:wordWrap/>
        <w:overflowPunct/>
        <w:topLinePunct w:val="0"/>
        <w:bidi w:val="0"/>
        <w:adjustRightInd w:val="0"/>
        <w:snapToGrid w:val="0"/>
        <w:spacing w:line="600" w:lineRule="exact"/>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11.2.5评标标准相应的商务技术资料；</w:t>
      </w:r>
    </w:p>
    <w:p>
      <w:pPr>
        <w:keepNext w:val="0"/>
        <w:keepLines w:val="0"/>
        <w:pageBreakBefore w:val="0"/>
        <w:kinsoku/>
        <w:wordWrap/>
        <w:overflowPunct/>
        <w:topLinePunct w:val="0"/>
        <w:bidi w:val="0"/>
        <w:adjustRightInd w:val="0"/>
        <w:snapToGrid w:val="0"/>
        <w:spacing w:line="600" w:lineRule="exact"/>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11.2.6投标标的清单；</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11.2.7商务技术偏离表；</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zh-CN"/>
        </w:rPr>
        <w:t>政府采购供应商廉洁自律承诺书；</w:t>
      </w:r>
    </w:p>
    <w:p>
      <w:pPr>
        <w:keepNext w:val="0"/>
        <w:keepLines w:val="0"/>
        <w:pageBreakBefore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color w:val="auto"/>
          <w:sz w:val="24"/>
          <w:szCs w:val="24"/>
          <w:highlight w:val="none"/>
          <w:u w:val="single"/>
          <w:lang w:val="zh-CN"/>
        </w:rPr>
      </w:pPr>
      <w:r>
        <w:rPr>
          <w:rFonts w:hint="eastAsia" w:ascii="宋体" w:hAnsi="宋体" w:eastAsia="宋体" w:cs="宋体"/>
          <w:color w:val="auto"/>
          <w:kern w:val="0"/>
          <w:sz w:val="24"/>
          <w:szCs w:val="24"/>
          <w:highlight w:val="none"/>
          <w:lang w:val="zh-CN"/>
        </w:rPr>
        <w:t>11.</w:t>
      </w:r>
      <w:r>
        <w:rPr>
          <w:rFonts w:hint="eastAsia" w:ascii="宋体" w:hAnsi="宋体" w:eastAsia="宋体" w:cs="宋体"/>
          <w:color w:val="auto"/>
          <w:kern w:val="0"/>
          <w:sz w:val="24"/>
          <w:szCs w:val="24"/>
          <w:highlight w:val="none"/>
        </w:rPr>
        <w:t>3</w:t>
      </w:r>
      <w:r>
        <w:rPr>
          <w:rFonts w:hint="eastAsia" w:ascii="宋体" w:hAnsi="宋体" w:eastAsia="宋体" w:cs="宋体"/>
          <w:b/>
          <w:color w:val="auto"/>
          <w:sz w:val="24"/>
          <w:szCs w:val="24"/>
          <w:highlight w:val="none"/>
        </w:rPr>
        <w:t>报价文件：</w:t>
      </w:r>
      <w:r>
        <w:rPr>
          <w:rFonts w:hint="eastAsia" w:ascii="宋体" w:hAnsi="宋体" w:eastAsia="宋体" w:cs="宋体"/>
          <w:color w:val="auto"/>
          <w:sz w:val="24"/>
          <w:szCs w:val="24"/>
          <w:highlight w:val="none"/>
        </w:rPr>
        <w:t xml:space="preserve"> </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11.3.1开标一览表（报价表）；</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11.3.2</w:t>
      </w:r>
      <w:r>
        <w:rPr>
          <w:rFonts w:hint="eastAsia" w:ascii="宋体" w:hAnsi="宋体" w:eastAsia="宋体" w:cs="宋体"/>
          <w:color w:val="auto"/>
          <w:sz w:val="24"/>
          <w:szCs w:val="24"/>
          <w:highlight w:val="none"/>
        </w:rPr>
        <w:t>中小企业声明函。</w:t>
      </w:r>
    </w:p>
    <w:p>
      <w:pPr>
        <w:keepNext w:val="0"/>
        <w:keepLines w:val="0"/>
        <w:pageBreakBefore w:val="0"/>
        <w:kinsoku/>
        <w:wordWrap/>
        <w:overflowPunct/>
        <w:topLinePunct w:val="0"/>
        <w:bidi w:val="0"/>
        <w:adjustRightInd w:val="0"/>
        <w:spacing w:line="600" w:lineRule="exact"/>
        <w:ind w:firstLine="723" w:firstLineChars="3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投标文件含有采购人不能接受的附加条件的，投标无效；</w:t>
      </w:r>
    </w:p>
    <w:p>
      <w:pPr>
        <w:keepNext w:val="0"/>
        <w:keepLines w:val="0"/>
        <w:pageBreakBefore w:val="0"/>
        <w:kinsoku/>
        <w:wordWrap/>
        <w:overflowPunct/>
        <w:topLinePunct w:val="0"/>
        <w:bidi w:val="0"/>
        <w:adjustRightInd w:val="0"/>
        <w:spacing w:line="600" w:lineRule="exact"/>
        <w:ind w:firstLine="723" w:firstLineChars="3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投标人提供虚假材料投标的，投标无效。</w:t>
      </w:r>
    </w:p>
    <w:p>
      <w:pPr>
        <w:pStyle w:val="85"/>
        <w:keepNext w:val="0"/>
        <w:keepLines w:val="0"/>
        <w:pageBreakBefore w:val="0"/>
        <w:kinsoku/>
        <w:wordWrap/>
        <w:overflowPunct/>
        <w:topLinePunct w:val="0"/>
        <w:bidi w:val="0"/>
        <w:adjustRightInd w:val="0"/>
        <w:snapToGrid w:val="0"/>
        <w:spacing w:before="0" w:line="600" w:lineRule="exact"/>
        <w:ind w:firstLine="0" w:firstLine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w:t>
      </w:r>
      <w:r>
        <w:rPr>
          <w:rFonts w:hint="eastAsia" w:ascii="宋体" w:hAnsi="宋体" w:eastAsia="宋体" w:cs="宋体"/>
          <w:b/>
          <w:color w:val="auto"/>
          <w:kern w:val="0"/>
          <w:sz w:val="24"/>
          <w:szCs w:val="24"/>
          <w:highlight w:val="none"/>
          <w:lang w:val="zh-CN"/>
        </w:rPr>
        <w:t xml:space="preserve">. </w:t>
      </w:r>
      <w:r>
        <w:rPr>
          <w:rFonts w:hint="eastAsia" w:ascii="宋体" w:hAnsi="宋体" w:eastAsia="宋体" w:cs="宋体"/>
          <w:b/>
          <w:color w:val="auto"/>
          <w:sz w:val="24"/>
          <w:szCs w:val="24"/>
          <w:highlight w:val="none"/>
        </w:rPr>
        <w:t>投标文件的编制</w:t>
      </w:r>
    </w:p>
    <w:p>
      <w:pPr>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adjustRightInd w:val="0"/>
        <w:snapToGri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13.投标文件的签署、盖章</w:t>
      </w:r>
    </w:p>
    <w:p>
      <w:pPr>
        <w:pStyle w:val="85"/>
        <w:keepNext w:val="0"/>
        <w:keepLines w:val="0"/>
        <w:pageBreakBefore w:val="0"/>
        <w:kinsoku/>
        <w:wordWrap/>
        <w:overflowPunct/>
        <w:topLinePunct w:val="0"/>
        <w:bidi w:val="0"/>
        <w:adjustRightInd w:val="0"/>
        <w:snapToGrid w:val="0"/>
        <w:spacing w:before="0" w:line="600" w:lineRule="exact"/>
        <w:ind w:firstLine="48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13.1投标文件按照招标文件第六部分格式要求进行签署、盖章。</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投标人的投标文件未按照招标文件要求签署、盖章的，其投标无效</w:t>
      </w:r>
      <w:r>
        <w:rPr>
          <w:rFonts w:hint="eastAsia" w:ascii="宋体" w:hAnsi="宋体" w:eastAsia="宋体" w:cs="宋体"/>
          <w:color w:val="auto"/>
          <w:sz w:val="24"/>
          <w:szCs w:val="24"/>
          <w:highlight w:val="none"/>
        </w:rPr>
        <w:t>。</w:t>
      </w:r>
    </w:p>
    <w:p>
      <w:pPr>
        <w:pStyle w:val="85"/>
        <w:keepNext w:val="0"/>
        <w:keepLines w:val="0"/>
        <w:pageBreakBefore w:val="0"/>
        <w:kinsoku/>
        <w:wordWrap/>
        <w:overflowPunct/>
        <w:topLinePunct w:val="0"/>
        <w:bidi w:val="0"/>
        <w:adjustRightInd w:val="0"/>
        <w:snapToGri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keepNext w:val="0"/>
        <w:keepLines w:val="0"/>
        <w:pageBreakBefore w:val="0"/>
        <w:kinsoku/>
        <w:wordWrap/>
        <w:overflowPunct/>
        <w:topLinePunct w:val="0"/>
        <w:bidi w:val="0"/>
        <w:adjustRightInd w:val="0"/>
        <w:snapToGri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13.3招标文件对投标文件签署、盖章的要求适用于电子签名。</w:t>
      </w:r>
    </w:p>
    <w:p>
      <w:pPr>
        <w:pStyle w:val="85"/>
        <w:keepNext w:val="0"/>
        <w:keepLines w:val="0"/>
        <w:pageBreakBefore w:val="0"/>
        <w:kinsoku/>
        <w:wordWrap/>
        <w:overflowPunct/>
        <w:topLinePunct w:val="0"/>
        <w:bidi w:val="0"/>
        <w:adjustRightInd w:val="0"/>
        <w:spacing w:before="0" w:line="600" w:lineRule="exact"/>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 投标文件的提交、补充、修改、撤回</w:t>
      </w:r>
    </w:p>
    <w:p>
      <w:pPr>
        <w:pStyle w:val="85"/>
        <w:keepNext w:val="0"/>
        <w:keepLines w:val="0"/>
        <w:pageBreakBefore w:val="0"/>
        <w:kinsoku/>
        <w:wordWrap/>
        <w:overflowPunct/>
        <w:topLinePunct w:val="0"/>
        <w:bidi w:val="0"/>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可以视情况延长投标文件提交的截止时间。在上述情况下，</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与投标人以前在投标截止期方面的全部权利、责任和义务，将适用于延长至新的投标截止期。</w:t>
      </w:r>
    </w:p>
    <w:p>
      <w:pPr>
        <w:pStyle w:val="34"/>
        <w:keepNext w:val="0"/>
        <w:keepLines w:val="0"/>
        <w:pageBreakBefore w:val="0"/>
        <w:kinsoku/>
        <w:wordWrap/>
        <w:overflowPunct/>
        <w:topLinePunct w:val="0"/>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4"/>
        <w:keepNext w:val="0"/>
        <w:keepLines w:val="0"/>
        <w:pageBreakBefore w:val="0"/>
        <w:kinsoku/>
        <w:wordWrap/>
        <w:overflowPunct/>
        <w:topLinePunct w:val="0"/>
        <w:bidi w:val="0"/>
        <w:adjustRightInd w:val="0"/>
        <w:spacing w:line="600" w:lineRule="exact"/>
        <w:ind w:firstLine="360" w:firstLineChars="15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不强制或变相强制投标人提交备份投标文件。</w:t>
      </w:r>
    </w:p>
    <w:p>
      <w:pPr>
        <w:pStyle w:val="34"/>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15.2备份投标文件须在“政采云投标客户端”制作生成，并储存在DVD光盘</w:t>
      </w:r>
      <w:r>
        <w:rPr>
          <w:rFonts w:hint="eastAsia" w:ascii="宋体" w:hAnsi="宋体" w:eastAsia="宋体" w:cs="宋体"/>
          <w:color w:val="auto"/>
          <w:sz w:val="24"/>
          <w:szCs w:val="24"/>
          <w:highlight w:val="none"/>
          <w:lang w:val="en-US" w:eastAsia="zh-CN"/>
        </w:rPr>
        <w:t>等存储介质</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szCs w:val="24"/>
          <w:highlight w:val="none"/>
        </w:rPr>
        <w:t>不符合上述制作、存储、密封规定的备份投标文件将被视为无效或者被拒绝接收。</w:t>
      </w:r>
    </w:p>
    <w:p>
      <w:pPr>
        <w:pStyle w:val="34"/>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w:t>
      </w:r>
    </w:p>
    <w:p>
      <w:pPr>
        <w:pStyle w:val="34"/>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将拒绝接受逾期送达的备份投标文件。邮寄过程中，电子备份投标文件发生泄露、遗失、损坏或延期送达等情况的，由投标人自行负责。</w:t>
      </w:r>
    </w:p>
    <w:p>
      <w:pPr>
        <w:pStyle w:val="34"/>
        <w:keepNext w:val="0"/>
        <w:keepLines w:val="0"/>
        <w:pageBreakBefore w:val="0"/>
        <w:kinsoku/>
        <w:wordWrap/>
        <w:overflowPunct/>
        <w:topLinePunct w:val="0"/>
        <w:bidi w:val="0"/>
        <w:adjustRightInd w:val="0"/>
        <w:spacing w:line="600" w:lineRule="exact"/>
        <w:ind w:firstLine="479" w:firstLine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15.5投标人仅提交备份投标文件，未在电子交易平台传输递交投标文件的，投标无效。</w:t>
      </w:r>
    </w:p>
    <w:p>
      <w:pPr>
        <w:pStyle w:val="85"/>
        <w:keepNext w:val="0"/>
        <w:keepLines w:val="0"/>
        <w:pageBreakBefore w:val="0"/>
        <w:kinsoku/>
        <w:wordWrap/>
        <w:overflowPunct/>
        <w:topLinePunct w:val="0"/>
        <w:bidi w:val="0"/>
        <w:adjustRightInd w:val="0"/>
        <w:spacing w:before="0" w:line="600" w:lineRule="exact"/>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16.投标文件的无效处理</w:t>
      </w:r>
    </w:p>
    <w:p>
      <w:pPr>
        <w:pStyle w:val="25"/>
        <w:keepNext w:val="0"/>
        <w:keepLines w:val="0"/>
        <w:pageBreakBefore w:val="0"/>
        <w:kinsoku/>
        <w:wordWrap/>
        <w:overflowPunct/>
        <w:topLinePunct w:val="0"/>
        <w:bidi w:val="0"/>
        <w:adjustRightInd w:val="0"/>
        <w:spacing w:line="600" w:lineRule="exact"/>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有招标文件第四部分4.2规定的情形之一的，投标无效：</w:t>
      </w:r>
    </w:p>
    <w:p>
      <w:pPr>
        <w:pStyle w:val="85"/>
        <w:keepNext w:val="0"/>
        <w:keepLines w:val="0"/>
        <w:pageBreakBefore w:val="0"/>
        <w:kinsoku/>
        <w:wordWrap/>
        <w:overflowPunct/>
        <w:topLinePunct w:val="0"/>
        <w:bidi w:val="0"/>
        <w:adjustRightInd w:val="0"/>
        <w:spacing w:before="0" w:line="600" w:lineRule="exact"/>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17.投标有效期</w:t>
      </w:r>
    </w:p>
    <w:p>
      <w:pPr>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17.1投标有效期为从提交投标文件的截止之日起90天。</w:t>
      </w:r>
      <w:r>
        <w:rPr>
          <w:rFonts w:hint="eastAsia" w:ascii="宋体" w:hAnsi="宋体" w:eastAsia="宋体" w:cs="宋体"/>
          <w:color w:val="auto"/>
          <w:sz w:val="24"/>
          <w:szCs w:val="24"/>
          <w:highlight w:val="none"/>
          <w:lang w:eastAsia="zh-CN"/>
        </w:rPr>
        <w:t>●</w:t>
      </w:r>
      <w:r>
        <w:rPr>
          <w:rFonts w:hint="eastAsia" w:ascii="宋体" w:hAnsi="宋体" w:eastAsia="宋体" w:cs="宋体"/>
          <w:b/>
          <w:color w:val="auto"/>
          <w:sz w:val="24"/>
          <w:szCs w:val="24"/>
          <w:highlight w:val="none"/>
        </w:rPr>
        <w:t>投标人的投标文件中承诺的投标有效期少于招标文件中载明的投标有效期的，投标无效。</w:t>
      </w:r>
    </w:p>
    <w:p>
      <w:pPr>
        <w:pStyle w:val="85"/>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17.2投标文件合格投递后，自投标截止日期起，在投标有效期内有效。</w:t>
      </w:r>
    </w:p>
    <w:p>
      <w:pPr>
        <w:pStyle w:val="85"/>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17.3在原定投标有效期满之前，如果出现特殊情况，</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可以以书面形式通知投标人延长投标有效期。投标人同意延长的，不得要求或被允许修改其投标文件，投标人拒绝延长的，其投标无效。</w:t>
      </w:r>
    </w:p>
    <w:p>
      <w:pPr>
        <w:pStyle w:val="85"/>
        <w:spacing w:before="0"/>
        <w:ind w:firstLine="643"/>
        <w:rPr>
          <w:rFonts w:hint="eastAsia" w:ascii="宋体" w:hAnsi="宋体" w:eastAsia="宋体" w:cs="宋体"/>
          <w:b/>
          <w:color w:val="auto"/>
          <w:sz w:val="32"/>
          <w:highlight w:val="none"/>
        </w:rPr>
      </w:pPr>
    </w:p>
    <w:p>
      <w:pPr>
        <w:pStyle w:val="85"/>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240"/>
        <w:keepNext w:val="0"/>
        <w:keepLines w:val="0"/>
        <w:pageBreakBefore w:val="0"/>
        <w:kinsoku/>
        <w:wordWrap/>
        <w:overflowPunct/>
        <w:topLinePunct w:val="0"/>
        <w:bidi w:val="0"/>
        <w:adjustRightInd w:val="0"/>
        <w:spacing w:before="0" w:line="600" w:lineRule="exact"/>
        <w:ind w:left="0" w:firstLine="241" w:firstLineChars="100"/>
        <w:contextualSpacing/>
        <w:textAlignment w:val="auto"/>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240"/>
        <w:keepNext w:val="0"/>
        <w:keepLines w:val="0"/>
        <w:pageBreakBefore w:val="0"/>
        <w:kinsoku/>
        <w:wordWrap/>
        <w:overflowPunct/>
        <w:topLinePunct w:val="0"/>
        <w:bidi w:val="0"/>
        <w:adjustRightInd w:val="0"/>
        <w:spacing w:before="0" w:line="600" w:lineRule="exact"/>
        <w:ind w:left="0" w:firstLine="480" w:firstLineChars="2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18.1</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按照招标文件规定的时间通过电子交易平台组织开标，所有投标人均应当准时在线参加。投标人不足3家的，不得开标。</w:t>
      </w:r>
    </w:p>
    <w:p>
      <w:pPr>
        <w:pStyle w:val="240"/>
        <w:keepNext w:val="0"/>
        <w:keepLines w:val="0"/>
        <w:pageBreakBefore w:val="0"/>
        <w:kinsoku/>
        <w:wordWrap/>
        <w:overflowPunct/>
        <w:topLinePunct w:val="0"/>
        <w:bidi w:val="0"/>
        <w:adjustRightInd w:val="0"/>
        <w:spacing w:before="0" w:line="600" w:lineRule="exact"/>
        <w:ind w:left="0" w:firstLine="240" w:firstLineChars="1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依托电子交易平台发起开始解密指令，投标人按照平台提示和招标文件的规定在半小时内完成在线解密。</w:t>
      </w:r>
    </w:p>
    <w:p>
      <w:pPr>
        <w:pStyle w:val="240"/>
        <w:keepNext w:val="0"/>
        <w:keepLines w:val="0"/>
        <w:pageBreakBefore w:val="0"/>
        <w:kinsoku/>
        <w:wordWrap/>
        <w:overflowPunct/>
        <w:topLinePunct w:val="0"/>
        <w:bidi w:val="0"/>
        <w:adjustRightInd w:val="0"/>
        <w:spacing w:before="0" w:line="600" w:lineRule="exact"/>
        <w:ind w:left="0" w:firstLine="240" w:firstLineChars="100"/>
        <w:contextualSpacing/>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pacing w:before="100" w:beforeAutospacing="1" w:after="240" w:line="600" w:lineRule="exact"/>
        <w:jc w:val="left"/>
        <w:textAlignment w:val="auto"/>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keepNext w:val="0"/>
        <w:keepLines w:val="0"/>
        <w:pageBreakBefore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sz w:val="24"/>
          <w:highlight w:val="none"/>
        </w:rPr>
        <w:t>采购人或</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依据法律法规和招标文件的规定，对投标人的资格进行审查。</w:t>
      </w:r>
    </w:p>
    <w:p>
      <w:pPr>
        <w:pStyle w:val="85"/>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kern w:val="0"/>
          <w:szCs w:val="24"/>
          <w:highlight w:val="none"/>
          <w:lang w:val="en-US" w:eastAsia="zh-CN"/>
        </w:rPr>
        <w:t>2</w:t>
      </w:r>
      <w:r>
        <w:rPr>
          <w:rFonts w:hint="eastAsia" w:ascii="宋体" w:hAnsi="宋体" w:eastAsia="宋体" w:cs="宋体"/>
          <w:color w:val="auto"/>
          <w:kern w:val="0"/>
          <w:szCs w:val="24"/>
          <w:highlight w:val="none"/>
        </w:rPr>
        <w:t>投标人未按照招标文件要求提供与</w:t>
      </w:r>
      <w:r>
        <w:rPr>
          <w:rFonts w:hint="eastAsia" w:ascii="宋体" w:hAnsi="宋体" w:eastAsia="宋体" w:cs="宋体"/>
          <w:color w:val="auto"/>
          <w:highlight w:val="none"/>
        </w:rPr>
        <w:t>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85"/>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对未通过资格审查的投标人，采购人或</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告知其未通过的原因。</w:t>
      </w:r>
    </w:p>
    <w:p>
      <w:pPr>
        <w:pStyle w:val="85"/>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合格投标人不足3家的，不再评标。</w:t>
      </w:r>
    </w:p>
    <w:p>
      <w:pPr>
        <w:pStyle w:val="85"/>
        <w:keepNext w:val="0"/>
        <w:keepLines w:val="0"/>
        <w:pageBreakBefore w:val="0"/>
        <w:kinsoku/>
        <w:wordWrap/>
        <w:overflowPunct/>
        <w:topLinePunct w:val="0"/>
        <w:bidi w:val="0"/>
        <w:adjustRightInd w:val="0"/>
        <w:spacing w:before="0" w:line="600" w:lineRule="exact"/>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85"/>
        <w:keepNext w:val="0"/>
        <w:keepLines w:val="0"/>
        <w:pageBreakBefore w:val="0"/>
        <w:kinsoku/>
        <w:wordWrap/>
        <w:overflowPunct/>
        <w:topLinePunct w:val="0"/>
        <w:bidi w:val="0"/>
        <w:adjustRightInd w:val="0"/>
        <w:spacing w:before="0" w:line="600" w:lineRule="exact"/>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w:t>
      </w:r>
      <w:r>
        <w:rPr>
          <w:rFonts w:hint="eastAsia" w:ascii="宋体" w:hAnsi="宋体" w:eastAsia="宋体" w:cs="宋体"/>
          <w:color w:val="auto"/>
          <w:kern w:val="0"/>
          <w:szCs w:val="24"/>
          <w:highlight w:val="none"/>
          <w:lang w:eastAsia="zh-CN"/>
        </w:rPr>
        <w:t>采购代理机构</w:t>
      </w:r>
      <w:r>
        <w:rPr>
          <w:rFonts w:hint="eastAsia" w:ascii="宋体" w:hAnsi="宋体" w:eastAsia="宋体" w:cs="宋体"/>
          <w:color w:val="auto"/>
          <w:kern w:val="0"/>
          <w:szCs w:val="24"/>
          <w:highlight w:val="none"/>
        </w:rPr>
        <w:t>将在资格审查时通过“信用中国”网站(www.creditchina.gov.cn)、中国政府采购网(www.ccgp.gov.cn)渠道查询投标人接受资格时的信用记录。</w:t>
      </w:r>
    </w:p>
    <w:p>
      <w:pPr>
        <w:pStyle w:val="85"/>
        <w:keepNext w:val="0"/>
        <w:keepLines w:val="0"/>
        <w:pageBreakBefore w:val="0"/>
        <w:kinsoku/>
        <w:wordWrap/>
        <w:overflowPunct/>
        <w:topLinePunct w:val="0"/>
        <w:bidi w:val="0"/>
        <w:adjustRightInd w:val="0"/>
        <w:spacing w:before="0" w:line="600" w:lineRule="exact"/>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85"/>
        <w:keepNext w:val="0"/>
        <w:keepLines w:val="0"/>
        <w:pageBreakBefore w:val="0"/>
        <w:kinsoku/>
        <w:wordWrap/>
        <w:overflowPunct/>
        <w:topLinePunct w:val="0"/>
        <w:bidi w:val="0"/>
        <w:adjustRightInd w:val="0"/>
        <w:spacing w:before="0" w:line="600" w:lineRule="exact"/>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85"/>
        <w:spacing w:before="0"/>
        <w:ind w:firstLine="0" w:firstLineChars="0"/>
        <w:rPr>
          <w:rFonts w:hint="eastAsia" w:ascii="宋体" w:hAnsi="宋体" w:eastAsia="宋体" w:cs="宋体"/>
          <w:color w:val="auto"/>
          <w:kern w:val="0"/>
          <w:szCs w:val="24"/>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bookmarkStart w:id="13" w:name="_Toc91899903"/>
      <w:r>
        <w:rPr>
          <w:rFonts w:hint="eastAsia" w:ascii="宋体" w:hAnsi="宋体" w:eastAsia="宋体" w:cs="宋体"/>
          <w:b/>
          <w:color w:val="auto"/>
          <w:sz w:val="24"/>
          <w:szCs w:val="24"/>
          <w:highlight w:val="none"/>
        </w:rPr>
        <w:t>21.</w:t>
      </w:r>
      <w:r>
        <w:rPr>
          <w:rFonts w:hint="eastAsia" w:ascii="宋体" w:hAnsi="宋体" w:eastAsia="宋体" w:cs="宋体"/>
          <w:color w:val="auto"/>
          <w:sz w:val="24"/>
          <w:szCs w:val="24"/>
          <w:highlight w:val="none"/>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szCs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25"/>
        <w:keepNext w:val="0"/>
        <w:keepLines w:val="0"/>
        <w:pageBreakBefore w:val="0"/>
        <w:kinsoku/>
        <w:wordWrap/>
        <w:overflowPunct/>
        <w:topLinePunct w:val="0"/>
        <w:autoSpaceDE/>
        <w:autoSpaceDN/>
        <w:bidi w:val="0"/>
        <w:adjustRightInd w:val="0"/>
        <w:spacing w:line="600" w:lineRule="exact"/>
        <w:ind w:left="479" w:hanging="479" w:hangingChars="199"/>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85"/>
        <w:keepNext w:val="0"/>
        <w:keepLines w:val="0"/>
        <w:pageBreakBefore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5"/>
        <w:keepNext w:val="0"/>
        <w:keepLines w:val="0"/>
        <w:pageBreakBefore w:val="0"/>
        <w:kinsoku/>
        <w:wordWrap/>
        <w:overflowPunct/>
        <w:topLinePunct w:val="0"/>
        <w:autoSpaceDE/>
        <w:autoSpaceDN/>
        <w:bidi w:val="0"/>
        <w:adjustRightInd w:val="0"/>
        <w:snapToGrid w:val="0"/>
        <w:spacing w:before="0" w:line="600" w:lineRule="exact"/>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keepNext w:val="0"/>
        <w:keepLines w:val="0"/>
        <w:pageBreakBefore w:val="0"/>
        <w:widowControl/>
        <w:shd w:val="clear" w:color="auto" w:fill="FFFFFF"/>
        <w:kinsoku/>
        <w:wordWrap/>
        <w:overflowPunct/>
        <w:topLinePunct w:val="0"/>
        <w:autoSpaceDE/>
        <w:autoSpaceDN/>
        <w:bidi w:val="0"/>
        <w:adjustRightInd w:val="0"/>
        <w:spacing w:line="600" w:lineRule="exact"/>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通过电子交易平台向中标人发出中标通知书，同时编制发布采购结果公告。</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也可以以纸质形式进行中标通知。</w:t>
      </w:r>
    </w:p>
    <w:p>
      <w:pPr>
        <w:keepNext w:val="0"/>
        <w:keepLines w:val="0"/>
        <w:pageBreakBefore w:val="0"/>
        <w:widowControl/>
        <w:shd w:val="clear" w:color="auto" w:fill="FFFFFF"/>
        <w:kinsoku/>
        <w:wordWrap/>
        <w:overflowPunct/>
        <w:topLinePunct w:val="0"/>
        <w:autoSpaceDE/>
        <w:autoSpaceDN/>
        <w:bidi w:val="0"/>
        <w:adjustRightInd w:val="0"/>
        <w:spacing w:line="600" w:lineRule="exact"/>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color w:val="auto"/>
          <w:sz w:val="24"/>
          <w:highlight w:val="none"/>
        </w:rPr>
        <w:t>资格审查情况、评审专家抽取规则、符合性审查情况、</w:t>
      </w:r>
      <w:bookmarkEnd w:id="14"/>
      <w:r>
        <w:rPr>
          <w:rFonts w:hint="eastAsia" w:ascii="宋体" w:hAnsi="宋体" w:eastAsia="宋体" w:cs="宋体"/>
          <w:color w:val="auto"/>
          <w:sz w:val="24"/>
          <w:highlight w:val="none"/>
        </w:rPr>
        <w:t>未中标情况说明、中标公告期限以及评审专家名单、评分汇总及明细。</w:t>
      </w:r>
    </w:p>
    <w:p>
      <w:pPr>
        <w:keepNext w:val="0"/>
        <w:keepLines w:val="0"/>
        <w:pageBreakBefore w:val="0"/>
        <w:widowControl/>
        <w:shd w:val="clear" w:color="auto" w:fill="FFFFFF"/>
        <w:kinsoku/>
        <w:wordWrap/>
        <w:overflowPunct/>
        <w:topLinePunct w:val="0"/>
        <w:autoSpaceDE/>
        <w:autoSpaceDN/>
        <w:bidi w:val="0"/>
        <w:adjustRightInd w:val="0"/>
        <w:spacing w:line="600" w:lineRule="exact"/>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5"/>
        <w:pageBreakBefore w:val="0"/>
        <w:kinsoku/>
        <w:wordWrap/>
        <w:overflowPunct/>
        <w:topLinePunct w:val="0"/>
        <w:autoSpaceDE/>
        <w:autoSpaceDN/>
        <w:bidi w:val="0"/>
        <w:spacing w:line="600" w:lineRule="exact"/>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24. </w:t>
      </w:r>
      <w:r>
        <w:rPr>
          <w:rFonts w:hint="eastAsia" w:ascii="宋体" w:hAnsi="宋体" w:eastAsia="宋体" w:cs="宋体"/>
          <w:color w:val="auto"/>
          <w:sz w:val="24"/>
          <w:szCs w:val="24"/>
          <w:highlight w:val="none"/>
        </w:rPr>
        <w:t>合同主要条款详见第五部分拟签订的合同文本。</w:t>
      </w:r>
    </w:p>
    <w:p>
      <w:pPr>
        <w:pStyle w:val="25"/>
        <w:pageBreakBefore w:val="0"/>
        <w:kinsoku/>
        <w:wordWrap/>
        <w:overflowPunct/>
        <w:topLinePunct w:val="0"/>
        <w:autoSpaceDE/>
        <w:autoSpaceDN/>
        <w:bidi w:val="0"/>
        <w:spacing w:line="600" w:lineRule="exact"/>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25. 合同的签订</w:t>
      </w:r>
    </w:p>
    <w:p>
      <w:pPr>
        <w:pageBreakBefore w:val="0"/>
        <w:widowControl/>
        <w:shd w:val="clear" w:color="auto" w:fill="FFFFFF"/>
        <w:kinsoku/>
        <w:wordWrap/>
        <w:overflowPunct/>
        <w:topLinePunct w:val="0"/>
        <w:autoSpaceDE/>
        <w:autoSpaceDN/>
        <w:bidi w:val="0"/>
        <w:spacing w:line="600" w:lineRule="exac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25.1</w:t>
      </w:r>
      <w:r>
        <w:rPr>
          <w:rFonts w:hint="eastAsia" w:ascii="宋体" w:hAnsi="宋体" w:eastAsia="宋体" w:cs="宋体"/>
          <w:color w:val="auto"/>
          <w:kern w:val="0"/>
          <w:sz w:val="24"/>
          <w:szCs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pageBreakBefore w:val="0"/>
        <w:kinsoku/>
        <w:wordWrap/>
        <w:overflowPunct/>
        <w:topLinePunct w:val="0"/>
        <w:autoSpaceDE/>
        <w:autoSpaceDN/>
        <w:bidi w:val="0"/>
        <w:snapToGrid w:val="0"/>
        <w:spacing w:before="0" w:line="600" w:lineRule="exact"/>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pageBreakBefore w:val="0"/>
        <w:kinsoku/>
        <w:wordWrap/>
        <w:overflowPunct/>
        <w:topLinePunct w:val="0"/>
        <w:autoSpaceDE/>
        <w:autoSpaceDN/>
        <w:bidi w:val="0"/>
        <w:snapToGri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25.3如签订合同并生效后，供应商无故拒绝或延期，除按照合同条款处理外，列入不良行为记录一次，并给予通报。</w:t>
      </w:r>
    </w:p>
    <w:p>
      <w:pPr>
        <w:pStyle w:val="85"/>
        <w:pageBreakBefore w:val="0"/>
        <w:kinsoku/>
        <w:wordWrap/>
        <w:overflowPunct/>
        <w:topLinePunct w:val="0"/>
        <w:autoSpaceDE/>
        <w:autoSpaceDN/>
        <w:bidi w:val="0"/>
        <w:snapToGri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25.4中标供应商拒绝与采购人签订合同的，采购人可以按照评审报告推荐的中标或者成交候选人名单排序，确定下一候选人为中标供应商，也可以重新开展政府采购活动。</w:t>
      </w:r>
    </w:p>
    <w:p>
      <w:pPr>
        <w:pStyle w:val="85"/>
        <w:pageBreakBefore w:val="0"/>
        <w:kinsoku/>
        <w:wordWrap/>
        <w:overflowPunct/>
        <w:topLinePunct w:val="0"/>
        <w:autoSpaceDE/>
        <w:autoSpaceDN/>
        <w:bidi w:val="0"/>
        <w:snapToGrid w:val="0"/>
        <w:spacing w:before="0" w:after="12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25.5采购合同由采购人与中标供应商根据招标文件、投标文件等内容通过政府采购电子交易平台在线签订，自动备案。</w:t>
      </w:r>
    </w:p>
    <w:p>
      <w:pPr>
        <w:pStyle w:val="25"/>
        <w:pageBreakBefore w:val="0"/>
        <w:kinsoku/>
        <w:wordWrap/>
        <w:overflowPunct/>
        <w:topLinePunct w:val="0"/>
        <w:autoSpaceDE/>
        <w:autoSpaceDN/>
        <w:bidi w:val="0"/>
        <w:spacing w:line="600" w:lineRule="exact"/>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26. 履约保证金</w:t>
      </w:r>
    </w:p>
    <w:p>
      <w:pPr>
        <w:pageBreakBefore w:val="0"/>
        <w:tabs>
          <w:tab w:val="left" w:pos="0"/>
        </w:tabs>
        <w:kinsoku/>
        <w:wordWrap/>
        <w:overflowPunct/>
        <w:topLinePunct w:val="0"/>
        <w:autoSpaceDE/>
        <w:autoSpaceDN/>
        <w:bidi w:val="0"/>
        <w:spacing w:line="60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szCs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5"/>
        <w:pageBreakBefore w:val="0"/>
        <w:kinsoku/>
        <w:wordWrap/>
        <w:overflowPunct/>
        <w:topLinePunct w:val="0"/>
        <w:autoSpaceDE/>
        <w:autoSpaceDN/>
        <w:bidi w:val="0"/>
        <w:spacing w:line="600" w:lineRule="exact"/>
        <w:ind w:left="0" w:firstLine="480" w:firstLineChars="200"/>
        <w:textAlignment w:val="auto"/>
        <w:rPr>
          <w:rFonts w:hint="eastAsia" w:ascii="宋体" w:hAnsi="宋体" w:eastAsia="宋体" w:cs="宋体"/>
          <w:b w:val="0"/>
          <w:bCs w:val="0"/>
          <w:snapToGrid w:val="0"/>
          <w:color w:val="auto"/>
          <w:kern w:val="28"/>
          <w:sz w:val="24"/>
          <w:szCs w:val="24"/>
          <w:highlight w:val="none"/>
        </w:rPr>
      </w:pPr>
      <w:r>
        <w:rPr>
          <w:rFonts w:hint="eastAsia" w:ascii="宋体" w:hAnsi="宋体" w:eastAsia="宋体" w:cs="宋体"/>
          <w:b w:val="0"/>
          <w:bCs w:val="0"/>
          <w:snapToGrid w:val="0"/>
          <w:color w:val="auto"/>
          <w:kern w:val="28"/>
          <w:sz w:val="24"/>
          <w:szCs w:val="24"/>
          <w:highlight w:val="none"/>
        </w:rPr>
        <w:t>供应商</w:t>
      </w:r>
      <w:r>
        <w:rPr>
          <w:rFonts w:hint="eastAsia" w:ascii="宋体" w:hAnsi="宋体" w:eastAsia="宋体" w:cs="宋体"/>
          <w:b w:val="0"/>
          <w:bCs w:val="0"/>
          <w:snapToGrid w:val="0"/>
          <w:color w:val="auto"/>
          <w:kern w:val="28"/>
          <w:sz w:val="24"/>
          <w:szCs w:val="24"/>
          <w:highlight w:val="none"/>
          <w:lang w:val="en-US"/>
        </w:rPr>
        <w:t>可</w:t>
      </w:r>
      <w:r>
        <w:rPr>
          <w:rFonts w:hint="eastAsia" w:ascii="宋体" w:hAnsi="宋体" w:eastAsia="宋体" w:cs="宋体"/>
          <w:b w:val="0"/>
          <w:bCs w:val="0"/>
          <w:snapToGrid w:val="0"/>
          <w:color w:val="auto"/>
          <w:kern w:val="28"/>
          <w:sz w:val="24"/>
          <w:szCs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pageBreakBefore w:val="0"/>
        <w:kinsoku/>
        <w:wordWrap/>
        <w:overflowPunct/>
        <w:topLinePunct w:val="0"/>
        <w:autoSpaceDE/>
        <w:autoSpaceDN/>
        <w:bidi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rPr>
        <w:t>27.预付款</w:t>
      </w:r>
    </w:p>
    <w:p>
      <w:pPr>
        <w:pageBreakBefore w:val="0"/>
        <w:kinsoku/>
        <w:wordWrap/>
        <w:overflowPunct/>
        <w:topLinePunct w:val="0"/>
        <w:autoSpaceDE/>
        <w:autoSpaceDN/>
        <w:bidi w:val="0"/>
        <w:adjustRightInd/>
        <w:spacing w:line="60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宋体" w:hAnsi="宋体" w:eastAsia="宋体" w:cs="宋体"/>
          <w:color w:val="auto"/>
          <w:highlight w:val="none"/>
        </w:rPr>
      </w:pP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85"/>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b/>
          <w:bCs/>
          <w:color w:val="auto"/>
          <w:sz w:val="24"/>
          <w:szCs w:val="20"/>
          <w:highlight w:val="none"/>
        </w:rPr>
        <w:t>2</w:t>
      </w:r>
      <w:r>
        <w:rPr>
          <w:rFonts w:hint="eastAsia" w:ascii="宋体" w:hAnsi="宋体" w:eastAsia="宋体" w:cs="宋体"/>
          <w:b/>
          <w:bCs/>
          <w:color w:val="auto"/>
          <w:sz w:val="24"/>
          <w:szCs w:val="24"/>
          <w:highlight w:val="none"/>
        </w:rPr>
        <w:t>8</w:t>
      </w:r>
      <w:r>
        <w:rPr>
          <w:rFonts w:hint="eastAsia" w:ascii="宋体" w:hAnsi="宋体" w:eastAsia="宋体" w:cs="宋体"/>
          <w:b/>
          <w:color w:val="auto"/>
          <w:szCs w:val="24"/>
          <w:highlight w:val="none"/>
        </w:rPr>
        <w:t>.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可中止电子交易活动：</w:t>
      </w:r>
    </w:p>
    <w:p>
      <w:pPr>
        <w:pStyle w:val="85"/>
        <w:keepNext w:val="0"/>
        <w:keepLines w:val="0"/>
        <w:pageBreakBefore w:val="0"/>
        <w:widowControl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28.1电子交易平台发生故障而无法登录访问的； </w:t>
      </w:r>
    </w:p>
    <w:p>
      <w:pPr>
        <w:pStyle w:val="85"/>
        <w:keepNext w:val="0"/>
        <w:keepLines w:val="0"/>
        <w:pageBreakBefore w:val="0"/>
        <w:widowControl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28.2电子交易平台应用或数据库出现错误，不能进行正常操作的；</w:t>
      </w:r>
    </w:p>
    <w:p>
      <w:pPr>
        <w:pStyle w:val="85"/>
        <w:keepNext w:val="0"/>
        <w:keepLines w:val="0"/>
        <w:pageBreakBefore w:val="0"/>
        <w:widowControl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28.3电子交易平台发现严重安全漏洞，有潜在泄密危险的；</w:t>
      </w:r>
    </w:p>
    <w:p>
      <w:pPr>
        <w:pStyle w:val="85"/>
        <w:keepNext w:val="0"/>
        <w:keepLines w:val="0"/>
        <w:pageBreakBefore w:val="0"/>
        <w:widowControl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28.4病毒发作导致不能进行正常操作的； </w:t>
      </w:r>
    </w:p>
    <w:p>
      <w:pPr>
        <w:pStyle w:val="85"/>
        <w:keepNext w:val="0"/>
        <w:keepLines w:val="0"/>
        <w:pageBreakBefore w:val="0"/>
        <w:widowControl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28.5其他无法保证电子交易的公平、公正和安全的情况。</w:t>
      </w:r>
    </w:p>
    <w:p>
      <w:pPr>
        <w:pStyle w:val="85"/>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5"/>
        <w:keepNext w:val="0"/>
        <w:keepLines w:val="0"/>
        <w:pageBreakBefore w:val="0"/>
        <w:widowControl w:val="0"/>
        <w:kinsoku/>
        <w:wordWrap/>
        <w:overflowPunct/>
        <w:topLinePunct w:val="0"/>
        <w:autoSpaceDE/>
        <w:autoSpaceDN/>
        <w:bidi w:val="0"/>
        <w:adjustRightInd w:val="0"/>
        <w:snapToGrid/>
        <w:spacing w:line="600" w:lineRule="exact"/>
        <w:ind w:firstLine="0" w:firstLineChars="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30.验收</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480"/>
        <w:textAlignment w:val="auto"/>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auto"/>
          <w:kern w:val="0"/>
          <w:sz w:val="24"/>
          <w:highlight w:val="none"/>
        </w:rPr>
        <w:sectPr>
          <w:headerReference r:id="rId4" w:type="first"/>
          <w:footerReference r:id="rId6" w:type="first"/>
          <w:headerReference r:id="rId3" w:type="default"/>
          <w:footerReference r:id="rId5" w:type="default"/>
          <w:pgSz w:w="11905" w:h="16838"/>
          <w:pgMar w:top="1531" w:right="1304" w:bottom="1531" w:left="1361" w:header="851" w:footer="992" w:gutter="0"/>
          <w:pgBorders>
            <w:top w:val="none" w:sz="0" w:space="0"/>
            <w:left w:val="none" w:sz="0" w:space="0"/>
            <w:bottom w:val="none" w:sz="0" w:space="0"/>
            <w:right w:val="none" w:sz="0" w:space="0"/>
          </w:pgBorders>
          <w:cols w:space="0" w:num="1"/>
          <w:titlePg/>
          <w:rtlGutter w:val="0"/>
          <w:docGrid w:linePitch="312" w:charSpace="0"/>
        </w:sectPr>
      </w:pPr>
      <w:bookmarkStart w:id="15" w:name="_Hlt74729768"/>
      <w:bookmarkEnd w:id="15"/>
      <w:bookmarkStart w:id="16" w:name="_Hlt68072998"/>
      <w:bookmarkEnd w:id="16"/>
      <w:bookmarkStart w:id="17" w:name="_Hlt68403820"/>
      <w:bookmarkEnd w:id="17"/>
      <w:bookmarkStart w:id="18" w:name="_Hlt68072990"/>
      <w:bookmarkEnd w:id="18"/>
      <w:bookmarkStart w:id="19" w:name="_Hlt75236290"/>
      <w:bookmarkEnd w:id="19"/>
      <w:bookmarkStart w:id="20" w:name="_Hlt68073093"/>
      <w:bookmarkEnd w:id="20"/>
      <w:bookmarkStart w:id="21" w:name="_Hlt75236011"/>
      <w:bookmarkEnd w:id="21"/>
      <w:bookmarkStart w:id="22" w:name="_Hlt75236101"/>
      <w:bookmarkEnd w:id="22"/>
      <w:bookmarkStart w:id="23" w:name="_Hlt68057669"/>
      <w:bookmarkEnd w:id="23"/>
      <w:bookmarkStart w:id="24" w:name="_Hlt74730295"/>
      <w:bookmarkEnd w:id="24"/>
      <w:bookmarkStart w:id="25" w:name="_Hlt74714665"/>
      <w:bookmarkEnd w:id="25"/>
      <w:bookmarkStart w:id="26" w:name="_Hlt74707468"/>
      <w:bookmarkEnd w:id="26"/>
    </w:p>
    <w:bookmarkEnd w:id="11"/>
    <w:bookmarkEnd w:id="12"/>
    <w:p>
      <w:pPr>
        <w:keepNext w:val="0"/>
        <w:keepLines w:val="0"/>
        <w:pageBreakBefore w:val="0"/>
        <w:widowControl w:val="0"/>
        <w:kinsoku/>
        <w:wordWrap/>
        <w:overflowPunct/>
        <w:topLinePunct w:val="0"/>
        <w:autoSpaceDE/>
        <w:autoSpaceDN/>
        <w:bidi w:val="0"/>
        <w:adjustRightInd w:val="0"/>
        <w:snapToGrid/>
        <w:spacing w:line="600" w:lineRule="atLeast"/>
        <w:jc w:val="center"/>
        <w:textAlignment w:val="auto"/>
        <w:outlineLvl w:val="0"/>
        <w:rPr>
          <w:rFonts w:hint="eastAsia" w:ascii="宋体" w:hAnsi="宋体" w:eastAsia="宋体" w:cs="宋体"/>
          <w:b/>
          <w:color w:val="auto"/>
          <w:sz w:val="24"/>
          <w:szCs w:val="24"/>
          <w:highlight w:val="none"/>
        </w:rPr>
      </w:pPr>
      <w:bookmarkStart w:id="27" w:name="第四部分"/>
      <w:r>
        <w:rPr>
          <w:rFonts w:hint="eastAsia" w:ascii="宋体" w:hAnsi="宋体" w:eastAsia="宋体" w:cs="宋体"/>
          <w:b/>
          <w:color w:val="auto"/>
          <w:sz w:val="24"/>
          <w:szCs w:val="24"/>
          <w:highlight w:val="none"/>
        </w:rPr>
        <w:t>第三部分   采购需求</w:t>
      </w:r>
    </w:p>
    <w:p>
      <w:pPr>
        <w:keepNext w:val="0"/>
        <w:keepLines w:val="0"/>
        <w:pageBreakBefore w:val="0"/>
        <w:kinsoku/>
        <w:wordWrap/>
        <w:overflowPunct/>
        <w:topLinePunct w:val="0"/>
        <w:bidi w:val="0"/>
        <w:spacing w:line="600" w:lineRule="atLeas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一、项目概述：</w:t>
      </w:r>
    </w:p>
    <w:p>
      <w:pPr>
        <w:pStyle w:val="21"/>
        <w:keepNext w:val="0"/>
        <w:keepLines w:val="0"/>
        <w:pageBreakBefore w:val="0"/>
        <w:kinsoku/>
        <w:wordWrap/>
        <w:overflowPunct/>
        <w:topLinePunct w:val="0"/>
        <w:autoSpaceDE/>
        <w:autoSpaceDN/>
        <w:bidi w:val="0"/>
        <w:adjustRightInd w:val="0"/>
        <w:spacing w:line="600" w:lineRule="atLeast"/>
        <w:ind w:firstLine="480" w:firstLineChars="200"/>
        <w:textAlignment w:val="auto"/>
        <w:rPr>
          <w:rFonts w:hint="eastAsia" w:ascii="宋体" w:hAnsi="宋体" w:eastAsia="宋体" w:cs="宋体"/>
          <w:bCs/>
          <w:color w:val="auto"/>
          <w:spacing w:val="0"/>
          <w:sz w:val="24"/>
          <w:szCs w:val="24"/>
          <w:highlight w:val="none"/>
          <w:u w:val="none"/>
          <w:lang w:val="en-US" w:eastAsia="zh-CN"/>
        </w:rPr>
      </w:pPr>
      <w:r>
        <w:rPr>
          <w:rFonts w:hint="eastAsia" w:ascii="宋体" w:hAnsi="宋体" w:eastAsia="宋体" w:cs="宋体"/>
          <w:bCs/>
          <w:color w:val="auto"/>
          <w:spacing w:val="0"/>
          <w:sz w:val="24"/>
          <w:szCs w:val="24"/>
          <w:highlight w:val="none"/>
          <w:u w:val="none"/>
        </w:rPr>
        <w:t>本项目</w:t>
      </w:r>
      <w:r>
        <w:rPr>
          <w:rFonts w:hint="eastAsia" w:ascii="宋体" w:hAnsi="宋体" w:eastAsia="宋体" w:cs="宋体"/>
          <w:bCs/>
          <w:color w:val="auto"/>
          <w:spacing w:val="0"/>
          <w:sz w:val="24"/>
          <w:szCs w:val="24"/>
          <w:highlight w:val="none"/>
          <w:u w:val="none"/>
          <w:lang w:val="en-US" w:eastAsia="zh-CN"/>
        </w:rPr>
        <w:t>主要是仓前街道生活垃圾集中转运，具体内容包括：仓前街道范围内的各居民小区、机关单位、学校、医院、商场综合体、酒店、企业等所有单位的</w:t>
      </w:r>
      <w:r>
        <w:rPr>
          <w:rFonts w:hint="eastAsia" w:ascii="宋体" w:hAnsi="宋体" w:eastAsia="宋体" w:cs="宋体"/>
          <w:bCs/>
          <w:color w:val="auto"/>
          <w:spacing w:val="0"/>
          <w:sz w:val="24"/>
          <w:szCs w:val="24"/>
          <w:highlight w:val="none"/>
          <w:u w:val="none"/>
        </w:rPr>
        <w:t>生活垃圾</w:t>
      </w:r>
      <w:r>
        <w:rPr>
          <w:rFonts w:hint="eastAsia" w:ascii="宋体" w:hAnsi="宋体" w:eastAsia="宋体" w:cs="宋体"/>
          <w:bCs/>
          <w:color w:val="auto"/>
          <w:spacing w:val="0"/>
          <w:sz w:val="24"/>
          <w:szCs w:val="24"/>
          <w:highlight w:val="none"/>
          <w:u w:val="none"/>
          <w:lang w:val="en-US" w:eastAsia="zh-CN"/>
        </w:rPr>
        <w:t>运至中标人提供的垃圾中转站压缩、污水处理等，完成后由中标人运至九峰垃圾场。</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atLeast"/>
        <w:ind w:firstLine="480" w:firstLineChars="200"/>
        <w:jc w:val="left"/>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u w:val="none"/>
          <w:lang w:val="en-US" w:eastAsia="zh-CN"/>
        </w:rPr>
        <w:t>投标报价应</w:t>
      </w:r>
      <w:r>
        <w:rPr>
          <w:rFonts w:hint="eastAsia" w:ascii="宋体" w:hAnsi="宋体" w:eastAsia="宋体" w:cs="宋体"/>
          <w:b w:val="0"/>
          <w:bCs/>
          <w:color w:val="auto"/>
          <w:sz w:val="24"/>
          <w:szCs w:val="24"/>
          <w:highlight w:val="none"/>
        </w:rPr>
        <w:t>包括但不限于人工工资（含节假日加班费）、</w:t>
      </w:r>
      <w:r>
        <w:rPr>
          <w:rFonts w:hint="eastAsia" w:ascii="宋体" w:hAnsi="宋体" w:eastAsia="宋体" w:cs="宋体"/>
          <w:b w:val="0"/>
          <w:bCs/>
          <w:color w:val="auto"/>
          <w:sz w:val="24"/>
          <w:szCs w:val="24"/>
          <w:highlight w:val="none"/>
          <w:lang w:val="en-US" w:eastAsia="zh-CN"/>
        </w:rPr>
        <w:t>设备费、</w:t>
      </w:r>
      <w:r>
        <w:rPr>
          <w:rFonts w:hint="eastAsia" w:ascii="宋体" w:hAnsi="宋体" w:eastAsia="宋体" w:cs="宋体"/>
          <w:b w:val="0"/>
          <w:bCs/>
          <w:color w:val="auto"/>
          <w:sz w:val="24"/>
          <w:szCs w:val="24"/>
          <w:highlight w:val="none"/>
        </w:rPr>
        <w:t>易损材料、生产工具、运输工具、修理费、清洗费、卫生用具、办公、车辆停放场地、食宿、通信、劳保（含高温补贴费、反光服、雨衣、夏令防暑等）、福利、利润、税金、保险（包括医疗、工伤、养老等社会保险及人身意外保险）以及因国家政策性调整（包括但不限于最低工资调整和社保保障缴费调整）等一切费用</w:t>
      </w:r>
      <w:r>
        <w:rPr>
          <w:rFonts w:hint="eastAsia" w:ascii="宋体" w:hAnsi="宋体" w:eastAsia="宋体" w:cs="宋体"/>
          <w:bCs/>
          <w:color w:val="auto"/>
          <w:spacing w:val="0"/>
          <w:sz w:val="24"/>
          <w:szCs w:val="24"/>
          <w:highlight w:val="none"/>
        </w:rPr>
        <w:t>。综合单价应考虑风险因素，招标文件未列明，而投标人认为必需的费用也需列入报价内。</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atLeast"/>
        <w:ind w:firstLine="480" w:firstLineChars="200"/>
        <w:jc w:val="left"/>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rPr>
        <w:t>本次招标采用</w:t>
      </w:r>
      <w:r>
        <w:rPr>
          <w:rFonts w:hint="eastAsia" w:ascii="宋体" w:hAnsi="宋体" w:eastAsia="宋体" w:cs="宋体"/>
          <w:color w:val="auto"/>
          <w:spacing w:val="0"/>
          <w:sz w:val="24"/>
          <w:szCs w:val="24"/>
          <w:highlight w:val="none"/>
          <w:lang w:val="en-US" w:eastAsia="zh-CN"/>
        </w:rPr>
        <w:t>综合</w:t>
      </w:r>
      <w:r>
        <w:rPr>
          <w:rFonts w:hint="eastAsia" w:ascii="宋体" w:hAnsi="宋体" w:eastAsia="宋体" w:cs="宋体"/>
          <w:color w:val="auto"/>
          <w:spacing w:val="0"/>
          <w:sz w:val="24"/>
          <w:szCs w:val="24"/>
          <w:highlight w:val="none"/>
        </w:rPr>
        <w:t>单价招标，最高限价：1</w:t>
      </w:r>
      <w:r>
        <w:rPr>
          <w:rFonts w:hint="eastAsia" w:ascii="宋体" w:hAnsi="宋体" w:eastAsia="宋体" w:cs="宋体"/>
          <w:color w:val="auto"/>
          <w:spacing w:val="0"/>
          <w:sz w:val="24"/>
          <w:szCs w:val="24"/>
          <w:highlight w:val="none"/>
          <w:lang w:val="en-US" w:eastAsia="zh-CN"/>
        </w:rPr>
        <w:t>10</w:t>
      </w:r>
      <w:r>
        <w:rPr>
          <w:rFonts w:hint="eastAsia" w:ascii="宋体" w:hAnsi="宋体" w:eastAsia="宋体" w:cs="宋体"/>
          <w:color w:val="auto"/>
          <w:spacing w:val="0"/>
          <w:sz w:val="24"/>
          <w:szCs w:val="24"/>
          <w:highlight w:val="none"/>
        </w:rPr>
        <w:t>元/吨</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lang w:val="en-US" w:eastAsia="zh-CN"/>
        </w:rPr>
        <w:t>每天生活垃圾做到日产日清，最终以实际</w:t>
      </w:r>
      <w:r>
        <w:rPr>
          <w:rFonts w:hint="eastAsia" w:ascii="宋体" w:hAnsi="宋体" w:eastAsia="宋体" w:cs="宋体"/>
          <w:bCs/>
          <w:color w:val="auto"/>
          <w:spacing w:val="0"/>
          <w:sz w:val="24"/>
          <w:szCs w:val="24"/>
          <w:highlight w:val="none"/>
          <w:u w:val="none"/>
          <w:lang w:val="en-US" w:eastAsia="zh-CN"/>
        </w:rPr>
        <w:t>转</w:t>
      </w:r>
      <w:r>
        <w:rPr>
          <w:rFonts w:hint="eastAsia" w:ascii="宋体" w:hAnsi="宋体" w:eastAsia="宋体" w:cs="宋体"/>
          <w:color w:val="auto"/>
          <w:spacing w:val="0"/>
          <w:sz w:val="24"/>
          <w:szCs w:val="24"/>
          <w:highlight w:val="none"/>
          <w:lang w:val="en-US" w:eastAsia="zh-CN"/>
        </w:rPr>
        <w:t>运量进行结算</w:t>
      </w:r>
      <w:r>
        <w:rPr>
          <w:rFonts w:hint="eastAsia" w:ascii="宋体" w:hAnsi="宋体" w:eastAsia="宋体" w:cs="宋体"/>
          <w:color w:val="auto"/>
          <w:spacing w:val="0"/>
          <w:sz w:val="24"/>
          <w:szCs w:val="24"/>
          <w:highlight w:val="none"/>
          <w:lang w:eastAsia="zh-CN"/>
        </w:rPr>
        <w:t>。</w:t>
      </w:r>
    </w:p>
    <w:p>
      <w:pPr>
        <w:keepNext w:val="0"/>
        <w:keepLines w:val="0"/>
        <w:pageBreakBefore w:val="0"/>
        <w:kinsoku/>
        <w:wordWrap/>
        <w:overflowPunct/>
        <w:topLinePunct w:val="0"/>
        <w:bidi w:val="0"/>
        <w:spacing w:line="600" w:lineRule="atLeas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二、具体服务要求</w:t>
      </w:r>
    </w:p>
    <w:p>
      <w:pPr>
        <w:keepNext w:val="0"/>
        <w:keepLines w:val="0"/>
        <w:pageBreakBefore w:val="0"/>
        <w:kinsoku/>
        <w:wordWrap/>
        <w:overflowPunct/>
        <w:topLinePunct w:val="0"/>
        <w:bidi w:val="0"/>
        <w:spacing w:line="600" w:lineRule="atLeast"/>
        <w:ind w:firstLine="480" w:firstLineChars="200"/>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lang w:val="en-US" w:eastAsia="zh-CN"/>
        </w:rPr>
        <w:t>1</w:t>
      </w:r>
      <w:r>
        <w:rPr>
          <w:rFonts w:hint="eastAsia" w:ascii="宋体" w:hAnsi="宋体" w:eastAsia="宋体" w:cs="宋体"/>
          <w:b w:val="0"/>
          <w:bCs/>
          <w:color w:val="auto"/>
          <w:spacing w:val="0"/>
          <w:sz w:val="24"/>
          <w:szCs w:val="24"/>
          <w:highlight w:val="none"/>
        </w:rPr>
        <w:t>、在承包期内，迎检和各类创建活动中，</w:t>
      </w:r>
      <w:r>
        <w:rPr>
          <w:rFonts w:hint="eastAsia" w:ascii="宋体" w:hAnsi="宋体" w:eastAsia="宋体" w:cs="宋体"/>
          <w:b w:val="0"/>
          <w:bCs/>
          <w:color w:val="auto"/>
          <w:spacing w:val="0"/>
          <w:sz w:val="24"/>
          <w:szCs w:val="24"/>
          <w:highlight w:val="none"/>
          <w:lang w:eastAsia="zh-CN"/>
        </w:rPr>
        <w:t>中标人</w:t>
      </w:r>
      <w:r>
        <w:rPr>
          <w:rFonts w:hint="eastAsia" w:ascii="宋体" w:hAnsi="宋体" w:eastAsia="宋体" w:cs="宋体"/>
          <w:b w:val="0"/>
          <w:bCs/>
          <w:color w:val="auto"/>
          <w:spacing w:val="0"/>
          <w:sz w:val="24"/>
          <w:szCs w:val="24"/>
          <w:highlight w:val="none"/>
        </w:rPr>
        <w:t>应无条件服从</w:t>
      </w:r>
      <w:r>
        <w:rPr>
          <w:rFonts w:hint="eastAsia" w:ascii="宋体" w:hAnsi="宋体" w:eastAsia="宋体" w:cs="宋体"/>
          <w:b w:val="0"/>
          <w:bCs/>
          <w:color w:val="auto"/>
          <w:spacing w:val="0"/>
          <w:sz w:val="24"/>
          <w:szCs w:val="24"/>
          <w:highlight w:val="none"/>
          <w:lang w:eastAsia="zh-CN"/>
        </w:rPr>
        <w:t>采购人</w:t>
      </w:r>
      <w:r>
        <w:rPr>
          <w:rFonts w:hint="eastAsia" w:ascii="宋体" w:hAnsi="宋体" w:eastAsia="宋体" w:cs="宋体"/>
          <w:b w:val="0"/>
          <w:bCs/>
          <w:color w:val="auto"/>
          <w:spacing w:val="0"/>
          <w:sz w:val="24"/>
          <w:szCs w:val="24"/>
          <w:highlight w:val="none"/>
        </w:rPr>
        <w:t>的安排，圆满完成各项任务，由于</w:t>
      </w:r>
      <w:r>
        <w:rPr>
          <w:rFonts w:hint="eastAsia" w:ascii="宋体" w:hAnsi="宋体" w:eastAsia="宋体" w:cs="宋体"/>
          <w:b w:val="0"/>
          <w:bCs/>
          <w:color w:val="auto"/>
          <w:spacing w:val="0"/>
          <w:sz w:val="24"/>
          <w:szCs w:val="24"/>
          <w:highlight w:val="none"/>
          <w:lang w:eastAsia="zh-CN"/>
        </w:rPr>
        <w:t>中标人</w:t>
      </w:r>
      <w:r>
        <w:rPr>
          <w:rFonts w:hint="eastAsia" w:ascii="宋体" w:hAnsi="宋体" w:eastAsia="宋体" w:cs="宋体"/>
          <w:b w:val="0"/>
          <w:bCs/>
          <w:color w:val="auto"/>
          <w:spacing w:val="0"/>
          <w:sz w:val="24"/>
          <w:szCs w:val="24"/>
          <w:highlight w:val="none"/>
        </w:rPr>
        <w:t>的原因失分或造成不良影响的，</w:t>
      </w:r>
      <w:r>
        <w:rPr>
          <w:rFonts w:hint="eastAsia" w:ascii="宋体" w:hAnsi="宋体" w:eastAsia="宋体" w:cs="宋体"/>
          <w:b w:val="0"/>
          <w:bCs/>
          <w:color w:val="auto"/>
          <w:spacing w:val="0"/>
          <w:sz w:val="24"/>
          <w:szCs w:val="24"/>
          <w:highlight w:val="none"/>
          <w:lang w:eastAsia="zh-CN"/>
        </w:rPr>
        <w:t>采购人</w:t>
      </w:r>
      <w:r>
        <w:rPr>
          <w:rFonts w:hint="eastAsia" w:ascii="宋体" w:hAnsi="宋体" w:eastAsia="宋体" w:cs="宋体"/>
          <w:b w:val="0"/>
          <w:bCs/>
          <w:color w:val="auto"/>
          <w:spacing w:val="0"/>
          <w:sz w:val="24"/>
          <w:szCs w:val="24"/>
          <w:highlight w:val="none"/>
        </w:rPr>
        <w:t>有权进行</w:t>
      </w:r>
      <w:r>
        <w:rPr>
          <w:rFonts w:hint="eastAsia" w:ascii="宋体" w:hAnsi="宋体" w:eastAsia="宋体" w:cs="宋体"/>
          <w:b w:val="0"/>
          <w:bCs/>
          <w:color w:val="auto"/>
          <w:spacing w:val="0"/>
          <w:sz w:val="24"/>
          <w:szCs w:val="24"/>
          <w:highlight w:val="none"/>
          <w:lang w:val="en-US" w:eastAsia="zh-CN"/>
        </w:rPr>
        <w:t>处</w:t>
      </w:r>
      <w:r>
        <w:rPr>
          <w:rFonts w:hint="eastAsia" w:ascii="宋体" w:hAnsi="宋体" w:eastAsia="宋体" w:cs="宋体"/>
          <w:b w:val="0"/>
          <w:bCs/>
          <w:color w:val="auto"/>
          <w:spacing w:val="0"/>
          <w:sz w:val="24"/>
          <w:szCs w:val="24"/>
          <w:highlight w:val="none"/>
        </w:rPr>
        <w:t>罚和终止合同</w:t>
      </w:r>
      <w:r>
        <w:rPr>
          <w:rFonts w:hint="eastAsia" w:ascii="宋体" w:hAnsi="宋体" w:eastAsia="宋体" w:cs="宋体"/>
          <w:b w:val="0"/>
          <w:bCs/>
          <w:color w:val="auto"/>
          <w:spacing w:val="0"/>
          <w:sz w:val="24"/>
          <w:szCs w:val="24"/>
          <w:highlight w:val="none"/>
          <w:lang w:eastAsia="zh-CN"/>
        </w:rPr>
        <w:t>。</w:t>
      </w:r>
      <w:r>
        <w:rPr>
          <w:rFonts w:hint="eastAsia" w:ascii="宋体" w:hAnsi="宋体" w:eastAsia="宋体" w:cs="宋体"/>
          <w:b w:val="0"/>
          <w:bCs/>
          <w:color w:val="auto"/>
          <w:spacing w:val="0"/>
          <w:sz w:val="24"/>
          <w:szCs w:val="24"/>
          <w:highlight w:val="none"/>
        </w:rPr>
        <w:t>在迎检过程中，由于</w:t>
      </w:r>
      <w:r>
        <w:rPr>
          <w:rFonts w:hint="eastAsia" w:ascii="宋体" w:hAnsi="宋体" w:eastAsia="宋体" w:cs="宋体"/>
          <w:b w:val="0"/>
          <w:bCs/>
          <w:color w:val="auto"/>
          <w:spacing w:val="0"/>
          <w:sz w:val="24"/>
          <w:szCs w:val="24"/>
          <w:highlight w:val="none"/>
          <w:lang w:eastAsia="zh-CN"/>
        </w:rPr>
        <w:t>中标人</w:t>
      </w:r>
      <w:r>
        <w:rPr>
          <w:rFonts w:hint="eastAsia" w:ascii="宋体" w:hAnsi="宋体" w:eastAsia="宋体" w:cs="宋体"/>
          <w:b w:val="0"/>
          <w:bCs/>
          <w:color w:val="auto"/>
          <w:spacing w:val="0"/>
          <w:sz w:val="24"/>
          <w:szCs w:val="24"/>
          <w:highlight w:val="none"/>
        </w:rPr>
        <w:t>组织不力，</w:t>
      </w:r>
      <w:r>
        <w:rPr>
          <w:rFonts w:hint="eastAsia" w:ascii="宋体" w:hAnsi="宋体" w:eastAsia="宋体" w:cs="宋体"/>
          <w:b w:val="0"/>
          <w:bCs/>
          <w:color w:val="auto"/>
          <w:spacing w:val="0"/>
          <w:sz w:val="24"/>
          <w:szCs w:val="24"/>
          <w:highlight w:val="none"/>
          <w:lang w:eastAsia="zh-CN"/>
        </w:rPr>
        <w:t>采购人</w:t>
      </w:r>
      <w:r>
        <w:rPr>
          <w:rFonts w:hint="eastAsia" w:ascii="宋体" w:hAnsi="宋体" w:eastAsia="宋体" w:cs="宋体"/>
          <w:b w:val="0"/>
          <w:bCs/>
          <w:color w:val="auto"/>
          <w:spacing w:val="0"/>
          <w:sz w:val="24"/>
          <w:szCs w:val="24"/>
          <w:highlight w:val="none"/>
        </w:rPr>
        <w:t>组织的人力、物力进行整治所涉及的费用，由</w:t>
      </w:r>
      <w:r>
        <w:rPr>
          <w:rFonts w:hint="eastAsia" w:ascii="宋体" w:hAnsi="宋体" w:eastAsia="宋体" w:cs="宋体"/>
          <w:b w:val="0"/>
          <w:bCs/>
          <w:color w:val="auto"/>
          <w:spacing w:val="0"/>
          <w:sz w:val="24"/>
          <w:szCs w:val="24"/>
          <w:highlight w:val="none"/>
          <w:lang w:eastAsia="zh-CN"/>
        </w:rPr>
        <w:t>中标人</w:t>
      </w:r>
      <w:r>
        <w:rPr>
          <w:rFonts w:hint="eastAsia" w:ascii="宋体" w:hAnsi="宋体" w:eastAsia="宋体" w:cs="宋体"/>
          <w:b w:val="0"/>
          <w:bCs/>
          <w:color w:val="auto"/>
          <w:spacing w:val="0"/>
          <w:sz w:val="24"/>
          <w:szCs w:val="24"/>
          <w:highlight w:val="none"/>
        </w:rPr>
        <w:t>双倍偿还</w:t>
      </w:r>
      <w:r>
        <w:rPr>
          <w:rFonts w:hint="eastAsia" w:ascii="宋体" w:hAnsi="宋体" w:eastAsia="宋体" w:cs="宋体"/>
          <w:b w:val="0"/>
          <w:bCs/>
          <w:color w:val="auto"/>
          <w:spacing w:val="0"/>
          <w:sz w:val="24"/>
          <w:szCs w:val="24"/>
          <w:highlight w:val="none"/>
          <w:lang w:eastAsia="zh-CN"/>
        </w:rPr>
        <w:t>采购人</w:t>
      </w: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sz w:val="24"/>
          <w:szCs w:val="24"/>
          <w:highlight w:val="none"/>
          <w:lang w:eastAsia="zh-CN"/>
        </w:rPr>
        <w:t>采购人</w:t>
      </w:r>
      <w:r>
        <w:rPr>
          <w:rFonts w:hint="eastAsia" w:ascii="宋体" w:hAnsi="宋体" w:eastAsia="宋体" w:cs="宋体"/>
          <w:b w:val="0"/>
          <w:bCs/>
          <w:color w:val="auto"/>
          <w:spacing w:val="0"/>
          <w:sz w:val="24"/>
          <w:szCs w:val="24"/>
          <w:highlight w:val="none"/>
        </w:rPr>
        <w:t>将直接在承包费中予以扣除。</w:t>
      </w:r>
    </w:p>
    <w:p>
      <w:pPr>
        <w:keepNext w:val="0"/>
        <w:keepLines w:val="0"/>
        <w:pageBreakBefore w:val="0"/>
        <w:kinsoku/>
        <w:wordWrap/>
        <w:overflowPunct/>
        <w:topLinePunct w:val="0"/>
        <w:bidi w:val="0"/>
        <w:spacing w:line="600" w:lineRule="atLeast"/>
        <w:ind w:firstLine="480" w:firstLineChars="200"/>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lang w:val="en-US" w:eastAsia="zh-CN"/>
        </w:rPr>
        <w:t>2</w:t>
      </w:r>
      <w:r>
        <w:rPr>
          <w:rFonts w:hint="eastAsia" w:ascii="宋体" w:hAnsi="宋体" w:eastAsia="宋体" w:cs="宋体"/>
          <w:b w:val="0"/>
          <w:bCs/>
          <w:color w:val="auto"/>
          <w:spacing w:val="0"/>
          <w:sz w:val="24"/>
          <w:szCs w:val="24"/>
          <w:highlight w:val="none"/>
        </w:rPr>
        <w:t>、投标人中标后，在垃圾</w:t>
      </w:r>
      <w:r>
        <w:rPr>
          <w:rFonts w:hint="eastAsia" w:ascii="宋体" w:hAnsi="宋体" w:eastAsia="宋体" w:cs="宋体"/>
          <w:b w:val="0"/>
          <w:bCs/>
          <w:color w:val="auto"/>
          <w:spacing w:val="0"/>
          <w:sz w:val="24"/>
          <w:szCs w:val="24"/>
          <w:highlight w:val="none"/>
          <w:lang w:val="en-US" w:eastAsia="zh-CN"/>
        </w:rPr>
        <w:t>转</w:t>
      </w:r>
      <w:r>
        <w:rPr>
          <w:rFonts w:hint="eastAsia" w:ascii="宋体" w:hAnsi="宋体" w:eastAsia="宋体" w:cs="宋体"/>
          <w:b w:val="0"/>
          <w:bCs/>
          <w:color w:val="auto"/>
          <w:spacing w:val="0"/>
          <w:sz w:val="24"/>
          <w:szCs w:val="24"/>
          <w:highlight w:val="none"/>
        </w:rPr>
        <w:t>运期间所发生的任何安全事故一律由承包人负责，</w:t>
      </w:r>
      <w:r>
        <w:rPr>
          <w:rFonts w:hint="eastAsia" w:ascii="宋体" w:hAnsi="宋体" w:eastAsia="宋体" w:cs="宋体"/>
          <w:b w:val="0"/>
          <w:bCs/>
          <w:color w:val="auto"/>
          <w:spacing w:val="0"/>
          <w:sz w:val="24"/>
          <w:szCs w:val="24"/>
          <w:highlight w:val="none"/>
          <w:lang w:eastAsia="zh-CN"/>
        </w:rPr>
        <w:t>采购人</w:t>
      </w:r>
      <w:r>
        <w:rPr>
          <w:rFonts w:hint="eastAsia" w:ascii="宋体" w:hAnsi="宋体" w:eastAsia="宋体" w:cs="宋体"/>
          <w:b w:val="0"/>
          <w:bCs/>
          <w:color w:val="auto"/>
          <w:spacing w:val="0"/>
          <w:sz w:val="24"/>
          <w:szCs w:val="24"/>
          <w:highlight w:val="none"/>
        </w:rPr>
        <w:t>不承担任何责任。</w:t>
      </w:r>
    </w:p>
    <w:p>
      <w:pPr>
        <w:keepNext w:val="0"/>
        <w:keepLines w:val="0"/>
        <w:pageBreakBefore w:val="0"/>
        <w:kinsoku/>
        <w:wordWrap/>
        <w:overflowPunct/>
        <w:topLinePunct w:val="0"/>
        <w:bidi w:val="0"/>
        <w:spacing w:line="600" w:lineRule="atLeast"/>
        <w:ind w:firstLine="480" w:firstLineChars="200"/>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lang w:val="en-US" w:eastAsia="zh-CN"/>
        </w:rPr>
        <w:t>3</w:t>
      </w: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sz w:val="24"/>
          <w:szCs w:val="24"/>
          <w:highlight w:val="none"/>
          <w:lang w:eastAsia="zh-CN"/>
        </w:rPr>
        <w:t>中标人</w:t>
      </w:r>
      <w:r>
        <w:rPr>
          <w:rFonts w:hint="eastAsia" w:ascii="宋体" w:hAnsi="宋体" w:eastAsia="宋体" w:cs="宋体"/>
          <w:b w:val="0"/>
          <w:bCs/>
          <w:color w:val="auto"/>
          <w:spacing w:val="0"/>
          <w:sz w:val="24"/>
          <w:szCs w:val="24"/>
          <w:highlight w:val="none"/>
        </w:rPr>
        <w:t>在合同期内所产生的创建费用、突击整治费用等，由</w:t>
      </w:r>
      <w:r>
        <w:rPr>
          <w:rFonts w:hint="eastAsia" w:ascii="宋体" w:hAnsi="宋体" w:eastAsia="宋体" w:cs="宋体"/>
          <w:b w:val="0"/>
          <w:bCs/>
          <w:color w:val="auto"/>
          <w:spacing w:val="0"/>
          <w:sz w:val="24"/>
          <w:szCs w:val="24"/>
          <w:highlight w:val="none"/>
          <w:lang w:eastAsia="zh-CN"/>
        </w:rPr>
        <w:t>中标人</w:t>
      </w:r>
      <w:r>
        <w:rPr>
          <w:rFonts w:hint="eastAsia" w:ascii="宋体" w:hAnsi="宋体" w:eastAsia="宋体" w:cs="宋体"/>
          <w:b w:val="0"/>
          <w:bCs/>
          <w:color w:val="auto"/>
          <w:spacing w:val="0"/>
          <w:sz w:val="24"/>
          <w:szCs w:val="24"/>
          <w:highlight w:val="none"/>
        </w:rPr>
        <w:t>充分考虑在投标报价内，实施期间不再另行增加费用。</w:t>
      </w:r>
    </w:p>
    <w:p>
      <w:pPr>
        <w:keepNext w:val="0"/>
        <w:keepLines w:val="0"/>
        <w:pageBreakBefore w:val="0"/>
        <w:kinsoku/>
        <w:wordWrap/>
        <w:overflowPunct/>
        <w:topLinePunct w:val="0"/>
        <w:bidi w:val="0"/>
        <w:spacing w:line="600" w:lineRule="atLeast"/>
        <w:ind w:firstLine="480" w:firstLineChars="200"/>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lang w:val="en-US" w:eastAsia="zh-CN"/>
        </w:rPr>
        <w:t>4</w:t>
      </w: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sz w:val="24"/>
          <w:highlight w:val="none"/>
        </w:rPr>
        <w:t>投标人中标后应向</w:t>
      </w:r>
      <w:r>
        <w:rPr>
          <w:rFonts w:hint="eastAsia" w:ascii="宋体" w:hAnsi="宋体" w:eastAsia="宋体" w:cs="宋体"/>
          <w:b w:val="0"/>
          <w:bCs/>
          <w:color w:val="auto"/>
          <w:spacing w:val="0"/>
          <w:sz w:val="24"/>
          <w:highlight w:val="none"/>
          <w:lang w:eastAsia="zh-CN"/>
        </w:rPr>
        <w:t>采购</w:t>
      </w:r>
      <w:r>
        <w:rPr>
          <w:rFonts w:hint="eastAsia" w:ascii="宋体" w:hAnsi="宋体" w:eastAsia="宋体" w:cs="宋体"/>
          <w:b w:val="0"/>
          <w:bCs/>
          <w:color w:val="auto"/>
          <w:spacing w:val="0"/>
          <w:sz w:val="24"/>
          <w:highlight w:val="none"/>
        </w:rPr>
        <w:t>人</w:t>
      </w:r>
      <w:r>
        <w:rPr>
          <w:rFonts w:hint="eastAsia" w:ascii="宋体" w:hAnsi="宋体" w:eastAsia="宋体" w:cs="宋体"/>
          <w:b w:val="0"/>
          <w:bCs/>
          <w:color w:val="auto"/>
          <w:spacing w:val="0"/>
          <w:sz w:val="24"/>
          <w:highlight w:val="none"/>
          <w:lang w:eastAsia="zh-CN"/>
        </w:rPr>
        <w:t>交</w:t>
      </w:r>
      <w:r>
        <w:rPr>
          <w:rFonts w:hint="eastAsia" w:ascii="宋体" w:hAnsi="宋体" w:eastAsia="宋体" w:cs="宋体"/>
          <w:b w:val="0"/>
          <w:bCs/>
          <w:color w:val="auto"/>
          <w:spacing w:val="0"/>
          <w:sz w:val="24"/>
          <w:highlight w:val="none"/>
        </w:rPr>
        <w:t>纳相应的履约保证金</w:t>
      </w:r>
      <w:r>
        <w:rPr>
          <w:rFonts w:hint="eastAsia" w:ascii="宋体" w:hAnsi="宋体" w:eastAsia="宋体" w:cs="宋体"/>
          <w:b w:val="0"/>
          <w:bCs/>
          <w:color w:val="auto"/>
          <w:spacing w:val="0"/>
          <w:sz w:val="24"/>
          <w:highlight w:val="none"/>
          <w:lang w:eastAsia="zh-CN"/>
        </w:rPr>
        <w:t>，</w:t>
      </w:r>
      <w:r>
        <w:rPr>
          <w:rFonts w:hint="eastAsia" w:ascii="宋体" w:hAnsi="宋体" w:eastAsia="宋体" w:cs="宋体"/>
          <w:b w:val="0"/>
          <w:bCs/>
          <w:color w:val="auto"/>
          <w:spacing w:val="0"/>
          <w:sz w:val="24"/>
          <w:szCs w:val="24"/>
          <w:highlight w:val="none"/>
          <w:lang w:eastAsia="zh-CN"/>
        </w:rPr>
        <w:t>采购人</w:t>
      </w:r>
      <w:r>
        <w:rPr>
          <w:rFonts w:hint="eastAsia" w:ascii="宋体" w:hAnsi="宋体" w:eastAsia="宋体" w:cs="宋体"/>
          <w:b w:val="0"/>
          <w:bCs/>
          <w:color w:val="auto"/>
          <w:spacing w:val="0"/>
          <w:sz w:val="24"/>
          <w:szCs w:val="24"/>
          <w:highlight w:val="none"/>
        </w:rPr>
        <w:t>根据清运考核评分标准对生活垃圾</w:t>
      </w:r>
      <w:r>
        <w:rPr>
          <w:rFonts w:hint="eastAsia" w:ascii="宋体" w:hAnsi="宋体" w:eastAsia="宋体" w:cs="宋体"/>
          <w:bCs/>
          <w:color w:val="auto"/>
          <w:spacing w:val="0"/>
          <w:sz w:val="24"/>
          <w:szCs w:val="24"/>
          <w:highlight w:val="none"/>
          <w:u w:val="none"/>
          <w:lang w:val="en-US" w:eastAsia="zh-CN"/>
        </w:rPr>
        <w:t>转</w:t>
      </w:r>
      <w:r>
        <w:rPr>
          <w:rFonts w:hint="eastAsia" w:ascii="宋体" w:hAnsi="宋体" w:eastAsia="宋体" w:cs="宋体"/>
          <w:b w:val="0"/>
          <w:bCs/>
          <w:color w:val="auto"/>
          <w:spacing w:val="0"/>
          <w:sz w:val="24"/>
          <w:szCs w:val="24"/>
          <w:highlight w:val="none"/>
        </w:rPr>
        <w:t>运进行考核。</w:t>
      </w:r>
    </w:p>
    <w:p>
      <w:pPr>
        <w:keepNext w:val="0"/>
        <w:keepLines w:val="0"/>
        <w:pageBreakBefore w:val="0"/>
        <w:kinsoku/>
        <w:wordWrap/>
        <w:overflowPunct/>
        <w:topLinePunct w:val="0"/>
        <w:bidi w:val="0"/>
        <w:spacing w:line="600" w:lineRule="atLeast"/>
        <w:ind w:firstLine="480" w:firstLineChars="200"/>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lang w:val="en-US" w:eastAsia="zh-CN"/>
        </w:rPr>
        <w:t>5</w:t>
      </w: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sz w:val="24"/>
          <w:szCs w:val="24"/>
          <w:highlight w:val="none"/>
          <w:lang w:eastAsia="zh-CN"/>
        </w:rPr>
        <w:t>中标人</w:t>
      </w:r>
      <w:r>
        <w:rPr>
          <w:rFonts w:hint="eastAsia" w:ascii="宋体" w:hAnsi="宋体" w:eastAsia="宋体" w:cs="宋体"/>
          <w:b w:val="0"/>
          <w:bCs/>
          <w:color w:val="auto"/>
          <w:spacing w:val="0"/>
          <w:sz w:val="24"/>
          <w:szCs w:val="24"/>
          <w:highlight w:val="none"/>
        </w:rPr>
        <w:t>不得将本项目分包和转包，否则</w:t>
      </w:r>
      <w:r>
        <w:rPr>
          <w:rFonts w:hint="eastAsia" w:ascii="宋体" w:hAnsi="宋体" w:eastAsia="宋体" w:cs="宋体"/>
          <w:b w:val="0"/>
          <w:bCs/>
          <w:color w:val="auto"/>
          <w:spacing w:val="0"/>
          <w:sz w:val="24"/>
          <w:szCs w:val="24"/>
          <w:highlight w:val="none"/>
          <w:lang w:eastAsia="zh-CN"/>
        </w:rPr>
        <w:t>采购人</w:t>
      </w:r>
      <w:r>
        <w:rPr>
          <w:rFonts w:hint="eastAsia" w:ascii="宋体" w:hAnsi="宋体" w:eastAsia="宋体" w:cs="宋体"/>
          <w:b w:val="0"/>
          <w:bCs/>
          <w:color w:val="auto"/>
          <w:spacing w:val="0"/>
          <w:sz w:val="24"/>
          <w:szCs w:val="24"/>
          <w:highlight w:val="none"/>
        </w:rPr>
        <w:t>有权责令其停止作业并终止承包合同，所造成的损失由</w:t>
      </w:r>
      <w:r>
        <w:rPr>
          <w:rFonts w:hint="eastAsia" w:ascii="宋体" w:hAnsi="宋体" w:eastAsia="宋体" w:cs="宋体"/>
          <w:b w:val="0"/>
          <w:bCs/>
          <w:color w:val="auto"/>
          <w:spacing w:val="0"/>
          <w:sz w:val="24"/>
          <w:szCs w:val="24"/>
          <w:highlight w:val="none"/>
          <w:lang w:eastAsia="zh-CN"/>
        </w:rPr>
        <w:t>中标人</w:t>
      </w:r>
      <w:r>
        <w:rPr>
          <w:rFonts w:hint="eastAsia" w:ascii="宋体" w:hAnsi="宋体" w:eastAsia="宋体" w:cs="宋体"/>
          <w:b w:val="0"/>
          <w:bCs/>
          <w:color w:val="auto"/>
          <w:spacing w:val="0"/>
          <w:sz w:val="24"/>
          <w:szCs w:val="24"/>
          <w:highlight w:val="none"/>
        </w:rPr>
        <w:t>负责。</w:t>
      </w:r>
    </w:p>
    <w:p>
      <w:pPr>
        <w:keepNext w:val="0"/>
        <w:keepLines w:val="0"/>
        <w:pageBreakBefore w:val="0"/>
        <w:kinsoku/>
        <w:wordWrap/>
        <w:overflowPunct/>
        <w:topLinePunct w:val="0"/>
        <w:bidi w:val="0"/>
        <w:spacing w:line="600" w:lineRule="atLeast"/>
        <w:ind w:firstLine="480" w:firstLineChars="200"/>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lang w:val="en-US" w:eastAsia="zh-CN"/>
        </w:rPr>
        <w:t>6</w:t>
      </w: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sz w:val="24"/>
          <w:szCs w:val="24"/>
          <w:highlight w:val="none"/>
          <w:lang w:eastAsia="zh-CN"/>
        </w:rPr>
        <w:t>中标人</w:t>
      </w:r>
      <w:r>
        <w:rPr>
          <w:rFonts w:hint="eastAsia" w:ascii="宋体" w:hAnsi="宋体" w:eastAsia="宋体" w:cs="宋体"/>
          <w:b w:val="0"/>
          <w:bCs/>
          <w:color w:val="auto"/>
          <w:spacing w:val="0"/>
          <w:sz w:val="24"/>
          <w:szCs w:val="24"/>
          <w:highlight w:val="none"/>
        </w:rPr>
        <w:t>不得向街道范围内的单位和个人另处收取任何</w:t>
      </w:r>
      <w:r>
        <w:rPr>
          <w:rFonts w:hint="eastAsia" w:ascii="宋体" w:hAnsi="宋体" w:eastAsia="宋体" w:cs="宋体"/>
          <w:bCs/>
          <w:color w:val="auto"/>
          <w:spacing w:val="0"/>
          <w:sz w:val="24"/>
          <w:szCs w:val="24"/>
          <w:highlight w:val="none"/>
          <w:u w:val="none"/>
          <w:lang w:val="en-US" w:eastAsia="zh-CN"/>
        </w:rPr>
        <w:t>转</w:t>
      </w:r>
      <w:r>
        <w:rPr>
          <w:rFonts w:hint="eastAsia" w:ascii="宋体" w:hAnsi="宋体" w:eastAsia="宋体" w:cs="宋体"/>
          <w:b w:val="0"/>
          <w:bCs/>
          <w:color w:val="auto"/>
          <w:spacing w:val="0"/>
          <w:sz w:val="24"/>
          <w:szCs w:val="24"/>
          <w:highlight w:val="none"/>
        </w:rPr>
        <w:t>运费用。</w:t>
      </w:r>
    </w:p>
    <w:p>
      <w:pPr>
        <w:keepNext w:val="0"/>
        <w:keepLines w:val="0"/>
        <w:pageBreakBefore w:val="0"/>
        <w:kinsoku/>
        <w:wordWrap/>
        <w:overflowPunct/>
        <w:topLinePunct w:val="0"/>
        <w:bidi w:val="0"/>
        <w:spacing w:line="600" w:lineRule="atLeast"/>
        <w:ind w:firstLine="480" w:firstLineChars="200"/>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lang w:val="en-US" w:eastAsia="zh-CN"/>
        </w:rPr>
        <w:t>7</w:t>
      </w: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sz w:val="24"/>
          <w:szCs w:val="24"/>
          <w:highlight w:val="none"/>
          <w:lang w:eastAsia="zh-CN"/>
        </w:rPr>
        <w:t>中标人</w:t>
      </w:r>
      <w:r>
        <w:rPr>
          <w:rFonts w:hint="eastAsia" w:ascii="宋体" w:hAnsi="宋体" w:eastAsia="宋体" w:cs="宋体"/>
          <w:b w:val="0"/>
          <w:bCs/>
          <w:color w:val="auto"/>
          <w:spacing w:val="0"/>
          <w:sz w:val="24"/>
          <w:szCs w:val="24"/>
          <w:highlight w:val="none"/>
        </w:rPr>
        <w:t>的清运车必须安装称重系统及GPS，并接入区级平台。中型垃圾清运车需安装车载称重系统并接入区级平台。</w:t>
      </w:r>
    </w:p>
    <w:p>
      <w:pPr>
        <w:keepNext w:val="0"/>
        <w:keepLines w:val="0"/>
        <w:pageBreakBefore w:val="0"/>
        <w:kinsoku/>
        <w:wordWrap/>
        <w:overflowPunct/>
        <w:topLinePunct w:val="0"/>
        <w:bidi w:val="0"/>
        <w:spacing w:line="600" w:lineRule="atLeast"/>
        <w:ind w:firstLine="480" w:firstLineChars="200"/>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lang w:val="en-US" w:eastAsia="zh-CN"/>
        </w:rPr>
        <w:t>8</w:t>
      </w:r>
      <w:r>
        <w:rPr>
          <w:rFonts w:hint="eastAsia" w:ascii="宋体" w:hAnsi="宋体" w:eastAsia="宋体" w:cs="宋体"/>
          <w:b w:val="0"/>
          <w:bCs/>
          <w:color w:val="auto"/>
          <w:spacing w:val="0"/>
          <w:sz w:val="24"/>
          <w:szCs w:val="24"/>
          <w:highlight w:val="none"/>
        </w:rPr>
        <w:t>、垃圾</w:t>
      </w:r>
      <w:r>
        <w:rPr>
          <w:rFonts w:hint="eastAsia" w:ascii="宋体" w:hAnsi="宋体" w:eastAsia="宋体" w:cs="宋体"/>
          <w:b w:val="0"/>
          <w:bCs/>
          <w:color w:val="auto"/>
          <w:spacing w:val="0"/>
          <w:sz w:val="24"/>
          <w:szCs w:val="24"/>
          <w:highlight w:val="none"/>
          <w:lang w:val="en-US" w:eastAsia="zh-CN"/>
        </w:rPr>
        <w:t>转</w:t>
      </w:r>
      <w:r>
        <w:rPr>
          <w:rFonts w:hint="eastAsia" w:ascii="宋体" w:hAnsi="宋体" w:eastAsia="宋体" w:cs="宋体"/>
          <w:b w:val="0"/>
          <w:bCs/>
          <w:color w:val="auto"/>
          <w:spacing w:val="0"/>
          <w:sz w:val="24"/>
          <w:szCs w:val="24"/>
          <w:highlight w:val="none"/>
        </w:rPr>
        <w:t>运过程中必须分类清运，不得混装，不得随意更改车辆清运，如需更换车辆，应提前向</w:t>
      </w:r>
      <w:r>
        <w:rPr>
          <w:rFonts w:hint="eastAsia" w:ascii="宋体" w:hAnsi="宋体" w:eastAsia="宋体" w:cs="宋体"/>
          <w:b w:val="0"/>
          <w:bCs/>
          <w:color w:val="auto"/>
          <w:spacing w:val="0"/>
          <w:sz w:val="24"/>
          <w:szCs w:val="24"/>
          <w:highlight w:val="none"/>
          <w:lang w:eastAsia="zh-CN"/>
        </w:rPr>
        <w:t>采购人</w:t>
      </w:r>
      <w:r>
        <w:rPr>
          <w:rFonts w:hint="eastAsia" w:ascii="宋体" w:hAnsi="宋体" w:eastAsia="宋体" w:cs="宋体"/>
          <w:b w:val="0"/>
          <w:bCs/>
          <w:color w:val="auto"/>
          <w:spacing w:val="0"/>
          <w:sz w:val="24"/>
          <w:szCs w:val="24"/>
          <w:highlight w:val="none"/>
        </w:rPr>
        <w:t>提交书面报告。</w:t>
      </w:r>
    </w:p>
    <w:p>
      <w:pPr>
        <w:pStyle w:val="965"/>
        <w:keepNext w:val="0"/>
        <w:keepLines w:val="0"/>
        <w:pageBreakBefore w:val="0"/>
        <w:kinsoku/>
        <w:wordWrap/>
        <w:overflowPunct/>
        <w:topLinePunct w:val="0"/>
        <w:bidi w:val="0"/>
        <w:spacing w:line="600" w:lineRule="atLeas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10、承包服务期内，必须投入相应的机械等设备，符合环卫行业标准化管理的要求。</w:t>
      </w:r>
    </w:p>
    <w:p>
      <w:pPr>
        <w:pStyle w:val="965"/>
        <w:keepNext w:val="0"/>
        <w:keepLines w:val="0"/>
        <w:pageBreakBefore w:val="0"/>
        <w:kinsoku/>
        <w:wordWrap/>
        <w:overflowPunct/>
        <w:topLinePunct w:val="0"/>
        <w:bidi w:val="0"/>
        <w:spacing w:line="600" w:lineRule="atLeas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11、承包服务期内，中标人所产生的各项费用（垃圾转运费用、设备运维管理费用、创建费用、突击整治费等），已由招标单位一并计入综合单价中。水、电及其他耗材费用由中标人负责。</w:t>
      </w:r>
    </w:p>
    <w:p>
      <w:pPr>
        <w:keepNext w:val="0"/>
        <w:keepLines w:val="0"/>
        <w:pageBreakBefore w:val="0"/>
        <w:kinsoku/>
        <w:wordWrap/>
        <w:overflowPunct/>
        <w:topLinePunct w:val="0"/>
        <w:bidi w:val="0"/>
        <w:spacing w:line="600" w:lineRule="atLeast"/>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kern w:val="0"/>
          <w:sz w:val="24"/>
          <w:szCs w:val="24"/>
          <w:highlight w:val="none"/>
          <w:lang w:val="en-US" w:eastAsia="zh-CN" w:bidi="ar-SA"/>
        </w:rPr>
        <w:t>12、中标人在签订本项目服务合同前必须具备符合投标文件中承诺的投入本项目所需作业场地、人员、机具配备数量条件，设备必须提前到场，对主要机械设备安装GPS卫星定位系统及车载称重系统，所有清运人员配带智能手环，统一纳入区环卫监管系统平台管理，所产生的费用由中标人承担。中标人若不能满足此条件的采购人有权更换中标人，所造成的损失由中标人自负。</w:t>
      </w:r>
    </w:p>
    <w:p>
      <w:pPr>
        <w:keepNext w:val="0"/>
        <w:keepLines w:val="0"/>
        <w:pageBreakBefore w:val="0"/>
        <w:kinsoku/>
        <w:wordWrap/>
        <w:overflowPunct/>
        <w:topLinePunct w:val="0"/>
        <w:bidi w:val="0"/>
        <w:spacing w:line="600" w:lineRule="atLeast"/>
        <w:ind w:firstLine="482" w:firstLineChars="200"/>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13、</w:t>
      </w:r>
      <w:r>
        <w:rPr>
          <w:rFonts w:hint="eastAsia" w:ascii="宋体" w:hAnsi="宋体" w:eastAsia="宋体" w:cs="宋体"/>
          <w:b/>
          <w:bCs/>
          <w:color w:val="auto"/>
          <w:sz w:val="24"/>
          <w:szCs w:val="24"/>
          <w:highlight w:val="none"/>
        </w:rPr>
        <w:t>生活垃圾运输车辆的车载称重设备必须严格按照杭分类办[2021]15号文件“关于印</w:t>
      </w:r>
      <w:r>
        <w:rPr>
          <w:rFonts w:hint="eastAsia" w:ascii="宋体" w:hAnsi="宋体" w:eastAsia="宋体" w:cs="宋体"/>
          <w:b/>
          <w:bCs/>
          <w:color w:val="auto"/>
          <w:kern w:val="0"/>
          <w:sz w:val="24"/>
          <w:szCs w:val="24"/>
          <w:highlight w:val="none"/>
          <w:lang w:val="en-US" w:eastAsia="zh-CN" w:bidi="ar-SA"/>
        </w:rPr>
        <w:t>发《杭州市生活垃圾运输车辆车载称重设备技术要求》的通知”执行。</w:t>
      </w:r>
    </w:p>
    <w:p>
      <w:pPr>
        <w:keepNext w:val="0"/>
        <w:keepLines w:val="0"/>
        <w:pageBreakBefore w:val="0"/>
        <w:numPr>
          <w:ilvl w:val="0"/>
          <w:numId w:val="0"/>
        </w:numPr>
        <w:kinsoku/>
        <w:wordWrap/>
        <w:overflowPunct/>
        <w:topLinePunct w:val="0"/>
        <w:bidi w:val="0"/>
        <w:spacing w:line="600" w:lineRule="atLeast"/>
        <w:ind w:firstLine="482" w:firstLineChars="200"/>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14、主要设备和人员配备表</w:t>
      </w:r>
    </w:p>
    <w:p>
      <w:pPr>
        <w:pStyle w:val="2"/>
        <w:numPr>
          <w:ilvl w:val="0"/>
          <w:numId w:val="0"/>
        </w:numPr>
        <w:ind w:left="961" w:leftChars="0"/>
        <w:rPr>
          <w:rFonts w:hint="eastAsia" w:ascii="宋体" w:hAnsi="宋体" w:eastAsia="宋体" w:cs="宋体"/>
          <w:color w:val="auto"/>
          <w:highlight w:val="none"/>
          <w:lang w:val="en-US" w:eastAsia="zh-CN"/>
        </w:rPr>
      </w:pPr>
    </w:p>
    <w:p>
      <w:pPr>
        <w:pStyle w:val="3"/>
        <w:rPr>
          <w:rFonts w:hint="eastAsia" w:ascii="宋体" w:hAnsi="宋体" w:eastAsia="宋体" w:cs="宋体"/>
          <w:color w:val="auto"/>
          <w:highlight w:val="none"/>
          <w:lang w:val="en-US" w:eastAsia="zh-CN"/>
        </w:rPr>
      </w:pPr>
    </w:p>
    <w:tbl>
      <w:tblPr>
        <w:tblStyle w:val="62"/>
        <w:tblW w:w="91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0"/>
        <w:gridCol w:w="1447"/>
        <w:gridCol w:w="5957"/>
        <w:gridCol w:w="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内容</w:t>
            </w:r>
          </w:p>
        </w:tc>
        <w:tc>
          <w:tcPr>
            <w:tcW w:w="595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数量</w:t>
            </w: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p>
        </w:tc>
        <w:tc>
          <w:tcPr>
            <w:tcW w:w="1447" w:type="dxa"/>
            <w:vMerge w:val="restart"/>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主要设备</w:t>
            </w:r>
          </w:p>
        </w:tc>
        <w:tc>
          <w:tcPr>
            <w:tcW w:w="595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both"/>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lang w:eastAsia="zh-CN"/>
              </w:rPr>
              <w:t>垃圾直运车（重</w:t>
            </w:r>
            <w:r>
              <w:rPr>
                <w:rFonts w:hint="eastAsia" w:ascii="宋体" w:hAnsi="宋体" w:eastAsia="宋体" w:cs="宋体"/>
                <w:color w:val="auto"/>
                <w:highlight w:val="none"/>
                <w:lang w:val="en-US" w:eastAsia="zh-CN"/>
              </w:rPr>
              <w:t>15吨及以上</w:t>
            </w:r>
            <w:r>
              <w:rPr>
                <w:rFonts w:hint="eastAsia" w:ascii="宋体" w:hAnsi="宋体" w:eastAsia="宋体" w:cs="宋体"/>
                <w:color w:val="auto"/>
                <w:highlight w:val="none"/>
                <w:lang w:eastAsia="zh-CN"/>
              </w:rPr>
              <w:t>勾臂车）不少于</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辆</w:t>
            </w: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p>
        </w:tc>
        <w:tc>
          <w:tcPr>
            <w:tcW w:w="1447"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rPr>
            </w:pPr>
          </w:p>
        </w:tc>
        <w:tc>
          <w:tcPr>
            <w:tcW w:w="595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lang w:eastAsia="zh-CN"/>
              </w:rPr>
              <w:t>压缩箱体不少于</w:t>
            </w:r>
            <w:r>
              <w:rPr>
                <w:rFonts w:hint="eastAsia" w:ascii="宋体" w:hAnsi="宋体" w:eastAsia="宋体" w:cs="宋体"/>
                <w:color w:val="auto"/>
                <w:highlight w:val="none"/>
                <w:lang w:val="en-US" w:eastAsia="zh-CN"/>
              </w:rPr>
              <w:t>8台</w:t>
            </w: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p>
        </w:tc>
        <w:tc>
          <w:tcPr>
            <w:tcW w:w="1447"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rPr>
            </w:pPr>
          </w:p>
        </w:tc>
        <w:tc>
          <w:tcPr>
            <w:tcW w:w="595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渗滤液处理设施</w:t>
            </w:r>
            <w:r>
              <w:rPr>
                <w:rFonts w:hint="eastAsia" w:ascii="宋体" w:hAnsi="宋体" w:eastAsia="宋体" w:cs="宋体"/>
                <w:color w:val="auto"/>
                <w:highlight w:val="none"/>
                <w:lang w:val="en-US" w:eastAsia="zh-CN"/>
              </w:rPr>
              <w:t>系统：污水</w:t>
            </w:r>
            <w:r>
              <w:rPr>
                <w:rFonts w:hint="eastAsia" w:ascii="宋体" w:hAnsi="宋体" w:eastAsia="宋体" w:cs="宋体"/>
                <w:color w:val="auto"/>
                <w:highlight w:val="none"/>
                <w:lang w:eastAsia="zh-CN"/>
              </w:rPr>
              <w:t>日处理</w:t>
            </w:r>
            <w:r>
              <w:rPr>
                <w:rFonts w:hint="eastAsia" w:ascii="宋体" w:hAnsi="宋体" w:eastAsia="宋体" w:cs="宋体"/>
                <w:color w:val="auto"/>
                <w:highlight w:val="none"/>
                <w:lang w:val="en-US" w:eastAsia="zh-CN"/>
              </w:rPr>
              <w:t>量</w:t>
            </w:r>
            <w:r>
              <w:rPr>
                <w:rFonts w:hint="eastAsia" w:ascii="宋体" w:hAnsi="宋体" w:eastAsia="宋体" w:cs="宋体"/>
                <w:color w:val="auto"/>
                <w:highlight w:val="none"/>
                <w:lang w:eastAsia="zh-CN"/>
              </w:rPr>
              <w:t>不少于</w:t>
            </w:r>
            <w:r>
              <w:rPr>
                <w:rFonts w:hint="eastAsia" w:ascii="宋体" w:hAnsi="宋体" w:eastAsia="宋体" w:cs="宋体"/>
                <w:color w:val="auto"/>
                <w:highlight w:val="none"/>
                <w:lang w:val="en-US" w:eastAsia="zh-CN"/>
              </w:rPr>
              <w:t>20吨</w:t>
            </w: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w:t>
            </w:r>
          </w:p>
        </w:tc>
        <w:tc>
          <w:tcPr>
            <w:tcW w:w="144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rPr>
            </w:pPr>
          </w:p>
        </w:tc>
        <w:tc>
          <w:tcPr>
            <w:tcW w:w="595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称重计量设备不少于2台</w:t>
            </w: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w:t>
            </w:r>
          </w:p>
        </w:tc>
        <w:tc>
          <w:tcPr>
            <w:tcW w:w="1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人员</w:t>
            </w:r>
          </w:p>
        </w:tc>
        <w:tc>
          <w:tcPr>
            <w:tcW w:w="595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不少于</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人</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含项目负责人、驾驶员、管理人员、服务人员等</w:t>
            </w:r>
            <w:r>
              <w:rPr>
                <w:rFonts w:hint="eastAsia" w:ascii="宋体" w:hAnsi="宋体" w:eastAsia="宋体" w:cs="宋体"/>
                <w:color w:val="auto"/>
                <w:highlight w:val="none"/>
                <w:lang w:eastAsia="zh-CN"/>
              </w:rPr>
              <w:t>）</w:t>
            </w:r>
          </w:p>
        </w:tc>
        <w:tc>
          <w:tcPr>
            <w:tcW w:w="9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18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备注：清运作业要求，根据区城管局等主管部门适时更新。</w:t>
            </w:r>
          </w:p>
        </w:tc>
      </w:tr>
    </w:tbl>
    <w:p>
      <w:pPr>
        <w:spacing w:line="600" w:lineRule="exact"/>
        <w:ind w:firstLine="482" w:firstLineChars="200"/>
        <w:rPr>
          <w:rFonts w:hint="eastAsia" w:ascii="宋体" w:hAnsi="宋体" w:eastAsia="宋体" w:cs="宋体"/>
          <w:bCs/>
          <w:color w:val="auto"/>
          <w:sz w:val="24"/>
          <w:highlight w:val="none"/>
        </w:rPr>
      </w:pPr>
      <w:r>
        <w:rPr>
          <w:rFonts w:hint="eastAsia" w:ascii="宋体" w:hAnsi="宋体" w:eastAsia="宋体" w:cs="宋体"/>
          <w:b/>
          <w:bCs/>
          <w:color w:val="auto"/>
          <w:spacing w:val="0"/>
          <w:sz w:val="24"/>
          <w:szCs w:val="24"/>
          <w:highlight w:val="none"/>
          <w:lang w:val="en-US" w:eastAsia="zh-CN"/>
        </w:rPr>
        <w:t>15、</w:t>
      </w:r>
      <w:r>
        <w:rPr>
          <w:rFonts w:hint="eastAsia" w:ascii="宋体" w:hAnsi="宋体" w:eastAsia="宋体" w:cs="宋体"/>
          <w:bCs/>
          <w:color w:val="auto"/>
          <w:sz w:val="24"/>
          <w:highlight w:val="none"/>
        </w:rPr>
        <w:t>要求必须每天日产日清，渗滤液处理达到《污水排入城镇下水道水质标准》（GB/T31962-2015）纳管要求。</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745"/>
        <w:gridCol w:w="1269"/>
        <w:gridCol w:w="1109"/>
        <w:gridCol w:w="1110"/>
        <w:gridCol w:w="111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897" w:type="dxa"/>
            <w:vMerge w:val="restart"/>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名称</w:t>
            </w:r>
          </w:p>
        </w:tc>
        <w:tc>
          <w:tcPr>
            <w:tcW w:w="1745"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水量</w:t>
            </w:r>
          </w:p>
        </w:tc>
        <w:tc>
          <w:tcPr>
            <w:tcW w:w="1269"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COD</w:t>
            </w:r>
            <w:r>
              <w:rPr>
                <w:rFonts w:hint="eastAsia" w:ascii="宋体" w:hAnsi="宋体" w:eastAsia="宋体" w:cs="宋体"/>
                <w:bCs/>
                <w:color w:val="auto"/>
                <w:szCs w:val="21"/>
                <w:highlight w:val="none"/>
                <w:vertAlign w:val="subscript"/>
              </w:rPr>
              <w:t>Cr</w:t>
            </w:r>
          </w:p>
        </w:tc>
        <w:tc>
          <w:tcPr>
            <w:tcW w:w="1109"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SS</w:t>
            </w:r>
          </w:p>
        </w:tc>
        <w:tc>
          <w:tcPr>
            <w:tcW w:w="1110"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BOD</w:t>
            </w:r>
            <w:r>
              <w:rPr>
                <w:rFonts w:hint="eastAsia" w:ascii="宋体" w:hAnsi="宋体" w:eastAsia="宋体" w:cs="宋体"/>
                <w:bCs/>
                <w:color w:val="auto"/>
                <w:szCs w:val="21"/>
                <w:highlight w:val="none"/>
                <w:vertAlign w:val="subscript"/>
              </w:rPr>
              <w:t>5</w:t>
            </w:r>
          </w:p>
        </w:tc>
        <w:tc>
          <w:tcPr>
            <w:tcW w:w="1110"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NH</w:t>
            </w:r>
            <w:r>
              <w:rPr>
                <w:rFonts w:hint="eastAsia" w:ascii="宋体" w:hAnsi="宋体" w:eastAsia="宋体" w:cs="宋体"/>
                <w:bCs/>
                <w:color w:val="auto"/>
                <w:szCs w:val="21"/>
                <w:highlight w:val="none"/>
                <w:vertAlign w:val="subscript"/>
              </w:rPr>
              <w:t>3</w:t>
            </w:r>
            <w:r>
              <w:rPr>
                <w:rFonts w:hint="eastAsia" w:ascii="宋体" w:hAnsi="宋体" w:eastAsia="宋体" w:cs="宋体"/>
                <w:bCs/>
                <w:color w:val="auto"/>
                <w:szCs w:val="21"/>
                <w:highlight w:val="none"/>
              </w:rPr>
              <w:t>-N</w:t>
            </w:r>
          </w:p>
        </w:tc>
        <w:tc>
          <w:tcPr>
            <w:tcW w:w="1040"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897" w:type="dxa"/>
            <w:vMerge w:val="continue"/>
            <w:noWrap w:val="0"/>
            <w:vAlign w:val="center"/>
          </w:tcPr>
          <w:p>
            <w:pPr>
              <w:jc w:val="center"/>
              <w:rPr>
                <w:rFonts w:hint="eastAsia" w:ascii="宋体" w:hAnsi="宋体" w:eastAsia="宋体" w:cs="宋体"/>
                <w:bCs/>
                <w:color w:val="auto"/>
                <w:szCs w:val="21"/>
                <w:highlight w:val="none"/>
              </w:rPr>
            </w:pPr>
            <w:bookmarkStart w:id="28" w:name="_Hlk530749304"/>
          </w:p>
        </w:tc>
        <w:tc>
          <w:tcPr>
            <w:tcW w:w="1745"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t/d</w:t>
            </w:r>
          </w:p>
        </w:tc>
        <w:tc>
          <w:tcPr>
            <w:tcW w:w="1269"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mg/l</w:t>
            </w:r>
          </w:p>
        </w:tc>
        <w:tc>
          <w:tcPr>
            <w:tcW w:w="1109"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mg/l</w:t>
            </w:r>
          </w:p>
        </w:tc>
        <w:tc>
          <w:tcPr>
            <w:tcW w:w="1110"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mg/l</w:t>
            </w:r>
          </w:p>
        </w:tc>
        <w:tc>
          <w:tcPr>
            <w:tcW w:w="1110"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mg/l</w:t>
            </w:r>
          </w:p>
        </w:tc>
        <w:tc>
          <w:tcPr>
            <w:tcW w:w="1040"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mg/l</w:t>
            </w:r>
          </w:p>
        </w:tc>
      </w:tr>
      <w:bookmark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897"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设计水量水质</w:t>
            </w:r>
          </w:p>
        </w:tc>
        <w:tc>
          <w:tcPr>
            <w:tcW w:w="1745"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50</w:t>
            </w:r>
          </w:p>
        </w:tc>
        <w:tc>
          <w:tcPr>
            <w:tcW w:w="1269"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500</w:t>
            </w:r>
          </w:p>
        </w:tc>
        <w:tc>
          <w:tcPr>
            <w:tcW w:w="1109"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400</w:t>
            </w:r>
          </w:p>
        </w:tc>
        <w:tc>
          <w:tcPr>
            <w:tcW w:w="1110"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350</w:t>
            </w:r>
          </w:p>
        </w:tc>
        <w:tc>
          <w:tcPr>
            <w:tcW w:w="1110"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45</w:t>
            </w:r>
          </w:p>
        </w:tc>
        <w:tc>
          <w:tcPr>
            <w:tcW w:w="1040" w:type="dxa"/>
            <w:noWrap w:val="0"/>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70</w:t>
            </w:r>
          </w:p>
        </w:tc>
      </w:tr>
    </w:tbl>
    <w:p>
      <w:pPr>
        <w:keepNext w:val="0"/>
        <w:keepLines w:val="0"/>
        <w:pageBreakBefore w:val="0"/>
        <w:widowControl/>
        <w:numPr>
          <w:ilvl w:val="0"/>
          <w:numId w:val="0"/>
        </w:numPr>
        <w:kinsoku/>
        <w:wordWrap/>
        <w:overflowPunct/>
        <w:topLinePunct w:val="0"/>
        <w:bidi w:val="0"/>
        <w:adjustRightInd w:val="0"/>
        <w:snapToGrid w:val="0"/>
        <w:spacing w:line="600" w:lineRule="atLeast"/>
        <w:jc w:val="left"/>
        <w:rPr>
          <w:rFonts w:hint="eastAsia" w:ascii="宋体" w:hAnsi="宋体" w:eastAsia="宋体" w:cs="宋体"/>
          <w:b/>
          <w:bCs w:val="0"/>
          <w:color w:val="auto"/>
          <w:spacing w:val="0"/>
          <w:kern w:val="20"/>
          <w:sz w:val="24"/>
          <w:szCs w:val="24"/>
          <w:highlight w:val="none"/>
          <w:lang w:val="en-US" w:eastAsia="zh-CN"/>
        </w:rPr>
      </w:pPr>
      <w:r>
        <w:rPr>
          <w:rFonts w:hint="eastAsia" w:ascii="宋体" w:hAnsi="宋体" w:eastAsia="宋体" w:cs="宋体"/>
          <w:b/>
          <w:bCs w:val="0"/>
          <w:color w:val="auto"/>
          <w:spacing w:val="0"/>
          <w:kern w:val="20"/>
          <w:sz w:val="24"/>
          <w:szCs w:val="24"/>
          <w:highlight w:val="none"/>
          <w:lang w:val="en-US" w:eastAsia="zh-CN"/>
        </w:rPr>
        <w:t>三、服务期限</w:t>
      </w:r>
    </w:p>
    <w:p>
      <w:pPr>
        <w:keepNext w:val="0"/>
        <w:keepLines w:val="0"/>
        <w:pageBreakBefore w:val="0"/>
        <w:widowControl/>
        <w:numPr>
          <w:ilvl w:val="0"/>
          <w:numId w:val="0"/>
        </w:numPr>
        <w:kinsoku/>
        <w:wordWrap/>
        <w:overflowPunct/>
        <w:topLinePunct w:val="0"/>
        <w:bidi w:val="0"/>
        <w:adjustRightInd w:val="0"/>
        <w:snapToGrid w:val="0"/>
        <w:spacing w:line="600" w:lineRule="atLeast"/>
        <w:ind w:firstLine="482" w:firstLineChars="200"/>
        <w:jc w:val="left"/>
        <w:rPr>
          <w:rFonts w:hint="eastAsia" w:ascii="宋体" w:hAnsi="宋体" w:eastAsia="宋体" w:cs="宋体"/>
          <w:b/>
          <w:bCs/>
          <w:color w:val="auto"/>
          <w:spacing w:val="0"/>
          <w:kern w:val="0"/>
          <w:sz w:val="24"/>
          <w:szCs w:val="24"/>
          <w:highlight w:val="none"/>
          <w:lang w:eastAsia="zh-CN"/>
        </w:rPr>
      </w:pPr>
      <w:r>
        <w:rPr>
          <w:rFonts w:hint="eastAsia" w:ascii="宋体" w:hAnsi="宋体" w:eastAsia="宋体" w:cs="宋体"/>
          <w:b/>
          <w:bCs w:val="0"/>
          <w:color w:val="auto"/>
          <w:spacing w:val="0"/>
          <w:kern w:val="20"/>
          <w:sz w:val="24"/>
          <w:szCs w:val="24"/>
          <w:highlight w:val="none"/>
        </w:rPr>
        <w:t>服务期为</w:t>
      </w:r>
      <w:r>
        <w:rPr>
          <w:rFonts w:hint="eastAsia" w:ascii="宋体" w:hAnsi="宋体" w:eastAsia="宋体" w:cs="宋体"/>
          <w:b/>
          <w:bCs w:val="0"/>
          <w:color w:val="auto"/>
          <w:spacing w:val="0"/>
          <w:kern w:val="20"/>
          <w:sz w:val="24"/>
          <w:szCs w:val="24"/>
          <w:highlight w:val="none"/>
          <w:lang w:eastAsia="zh-CN"/>
        </w:rPr>
        <w:t>一</w:t>
      </w:r>
      <w:r>
        <w:rPr>
          <w:rFonts w:hint="eastAsia" w:ascii="宋体" w:hAnsi="宋体" w:eastAsia="宋体" w:cs="宋体"/>
          <w:b/>
          <w:bCs w:val="0"/>
          <w:color w:val="auto"/>
          <w:spacing w:val="0"/>
          <w:kern w:val="20"/>
          <w:sz w:val="24"/>
          <w:szCs w:val="24"/>
          <w:highlight w:val="none"/>
        </w:rPr>
        <w:t>年</w:t>
      </w:r>
      <w:r>
        <w:rPr>
          <w:rFonts w:hint="eastAsia" w:ascii="宋体" w:hAnsi="宋体" w:eastAsia="宋体" w:cs="宋体"/>
          <w:b/>
          <w:bCs w:val="0"/>
          <w:color w:val="auto"/>
          <w:spacing w:val="0"/>
          <w:sz w:val="24"/>
          <w:szCs w:val="24"/>
          <w:highlight w:val="none"/>
          <w:lang w:eastAsia="zh-CN"/>
        </w:rPr>
        <w:t>，实际以合同签订时间为准。（在合同期限内结算总价达到</w:t>
      </w:r>
      <w:r>
        <w:rPr>
          <w:rFonts w:hint="eastAsia" w:ascii="宋体" w:hAnsi="宋体" w:eastAsia="宋体" w:cs="宋体"/>
          <w:b/>
          <w:bCs w:val="0"/>
          <w:color w:val="auto"/>
          <w:spacing w:val="0"/>
          <w:sz w:val="24"/>
          <w:szCs w:val="24"/>
          <w:highlight w:val="none"/>
          <w:lang w:val="en-US" w:eastAsia="zh-CN"/>
        </w:rPr>
        <w:t>600</w:t>
      </w:r>
      <w:r>
        <w:rPr>
          <w:rFonts w:hint="eastAsia" w:ascii="宋体" w:hAnsi="宋体" w:eastAsia="宋体" w:cs="宋体"/>
          <w:b/>
          <w:bCs w:val="0"/>
          <w:color w:val="auto"/>
          <w:spacing w:val="0"/>
          <w:sz w:val="24"/>
          <w:szCs w:val="24"/>
          <w:highlight w:val="none"/>
          <w:lang w:eastAsia="zh-CN"/>
        </w:rPr>
        <w:t>万元，合同自动终止。若在合同期内乙方有不配合甲方工作等严重违约行为或连续三个月考核不合格的（80分（不含）以下视为考核不合格）或连续两次被媒体曝光的，甲方有权提前终止合同，由此造成的一切后果和损失由乙方承担。</w:t>
      </w:r>
    </w:p>
    <w:p>
      <w:pPr>
        <w:keepNext w:val="0"/>
        <w:keepLines w:val="0"/>
        <w:pageBreakBefore w:val="0"/>
        <w:numPr>
          <w:ilvl w:val="0"/>
          <w:numId w:val="0"/>
        </w:numPr>
        <w:kinsoku/>
        <w:wordWrap/>
        <w:overflowPunct/>
        <w:topLinePunct w:val="0"/>
        <w:bidi w:val="0"/>
        <w:adjustRightInd w:val="0"/>
        <w:snapToGrid w:val="0"/>
        <w:spacing w:line="600" w:lineRule="atLeast"/>
        <w:rPr>
          <w:rFonts w:hint="eastAsia" w:ascii="宋体" w:hAnsi="宋体" w:eastAsia="宋体" w:cs="宋体"/>
          <w:b/>
          <w:bCs/>
          <w:color w:val="auto"/>
          <w:spacing w:val="0"/>
          <w:sz w:val="24"/>
          <w:szCs w:val="24"/>
          <w:highlight w:val="none"/>
          <w:lang w:val="en-US" w:eastAsia="zh-CN"/>
        </w:rPr>
      </w:pPr>
      <w:r>
        <w:rPr>
          <w:rFonts w:hint="eastAsia" w:ascii="宋体" w:hAnsi="宋体" w:eastAsia="宋体" w:cs="宋体"/>
          <w:b/>
          <w:bCs/>
          <w:color w:val="auto"/>
          <w:spacing w:val="0"/>
          <w:sz w:val="24"/>
          <w:szCs w:val="24"/>
          <w:highlight w:val="none"/>
          <w:lang w:val="en-US" w:eastAsia="zh-CN"/>
        </w:rPr>
        <w:t>四、采购人的考核标准、考核管理办法：</w:t>
      </w:r>
    </w:p>
    <w:p>
      <w:pPr>
        <w:keepNext w:val="0"/>
        <w:keepLines w:val="0"/>
        <w:pageBreakBefore w:val="0"/>
        <w:numPr>
          <w:ilvl w:val="0"/>
          <w:numId w:val="0"/>
        </w:numPr>
        <w:kinsoku/>
        <w:wordWrap/>
        <w:overflowPunct/>
        <w:topLinePunct w:val="0"/>
        <w:bidi w:val="0"/>
        <w:adjustRightInd w:val="0"/>
        <w:snapToGrid w:val="0"/>
        <w:spacing w:line="600" w:lineRule="atLeast"/>
        <w:ind w:firstLine="480" w:firstLineChars="200"/>
        <w:rPr>
          <w:rFonts w:hint="eastAsia" w:ascii="宋体" w:hAnsi="宋体" w:eastAsia="宋体" w:cs="宋体"/>
          <w:b w:val="0"/>
          <w:bCs w:val="0"/>
          <w:color w:val="auto"/>
          <w:spacing w:val="0"/>
          <w:sz w:val="24"/>
          <w:szCs w:val="24"/>
          <w:highlight w:val="none"/>
          <w:lang w:val="en-US" w:eastAsia="zh-CN"/>
        </w:rPr>
      </w:pPr>
      <w:r>
        <w:rPr>
          <w:rFonts w:hint="eastAsia" w:ascii="宋体" w:hAnsi="宋体" w:eastAsia="宋体" w:cs="宋体"/>
          <w:b w:val="0"/>
          <w:bCs w:val="0"/>
          <w:color w:val="auto"/>
          <w:spacing w:val="0"/>
          <w:sz w:val="24"/>
          <w:szCs w:val="24"/>
          <w:highlight w:val="none"/>
          <w:lang w:val="en-US" w:eastAsia="zh-CN"/>
        </w:rPr>
        <w:t>详见附件。</w:t>
      </w:r>
    </w:p>
    <w:p>
      <w:pPr>
        <w:keepNext w:val="0"/>
        <w:keepLines w:val="0"/>
        <w:pageBreakBefore w:val="0"/>
        <w:numPr>
          <w:ilvl w:val="0"/>
          <w:numId w:val="0"/>
        </w:numPr>
        <w:kinsoku/>
        <w:wordWrap/>
        <w:overflowPunct/>
        <w:topLinePunct w:val="0"/>
        <w:bidi w:val="0"/>
        <w:adjustRightInd w:val="0"/>
        <w:snapToGrid w:val="0"/>
        <w:spacing w:line="600" w:lineRule="atLeast"/>
        <w:rPr>
          <w:rFonts w:hint="eastAsia" w:ascii="宋体" w:hAnsi="宋体" w:eastAsia="宋体" w:cs="宋体"/>
          <w:color w:val="auto"/>
          <w:sz w:val="24"/>
          <w:szCs w:val="24"/>
          <w:highlight w:val="none"/>
        </w:rPr>
      </w:pPr>
      <w:r>
        <w:rPr>
          <w:rFonts w:hint="eastAsia" w:ascii="宋体" w:hAnsi="宋体" w:eastAsia="宋体" w:cs="宋体"/>
          <w:b/>
          <w:bCs/>
          <w:color w:val="auto"/>
          <w:spacing w:val="0"/>
          <w:sz w:val="24"/>
          <w:szCs w:val="24"/>
          <w:highlight w:val="none"/>
          <w:lang w:val="en-US" w:eastAsia="zh-CN"/>
        </w:rPr>
        <w:t>五、服务费用的结算标准和支付方式</w:t>
      </w:r>
      <w:bookmarkStart w:id="29" w:name="_bookmark163"/>
      <w:bookmarkEnd w:id="29"/>
    </w:p>
    <w:p>
      <w:pPr>
        <w:keepNext w:val="0"/>
        <w:keepLines w:val="0"/>
        <w:pageBreakBefore w:val="0"/>
        <w:kinsoku/>
        <w:wordWrap/>
        <w:overflowPunct/>
        <w:topLinePunct w:val="0"/>
        <w:bidi w:val="0"/>
        <w:adjustRightInd w:val="0"/>
        <w:snapToGrid w:val="0"/>
        <w:spacing w:line="600" w:lineRule="atLeast"/>
        <w:ind w:firstLine="508" w:firstLineChars="21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中标人在签订合同时需向</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提交</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%的合同履约保证金，在合同期内，如因承包人原因造成</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财产损失的或承包人没有按要求履行合同的，</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有权酌情扣去履约保证金；保证金在合同期满后三十天内退还（不计息）。</w:t>
      </w:r>
    </w:p>
    <w:p>
      <w:pPr>
        <w:keepNext w:val="0"/>
        <w:keepLines w:val="0"/>
        <w:pageBreakBefore w:val="0"/>
        <w:kinsoku/>
        <w:wordWrap/>
        <w:overflowPunct/>
        <w:topLinePunct w:val="0"/>
        <w:bidi w:val="0"/>
        <w:adjustRightInd w:val="0"/>
        <w:snapToGrid w:val="0"/>
        <w:spacing w:line="600" w:lineRule="atLeast"/>
        <w:ind w:firstLine="508" w:firstLineChars="21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经甲方首次考核后，按投标单价*实际清运重量*90%计算清运费用，每两个月支付一次清运款项；剩余10%的清运费用作为考核费用，依据《仓前街道生活垃圾集中转运考核评分标准》甲方对乙方当月服务进行考核，根据考核结果进行奖罚。剩余10%考核费用，待合同到期后按考核成绩一次性付清。</w:t>
      </w:r>
    </w:p>
    <w:p>
      <w:pPr>
        <w:keepNext w:val="0"/>
        <w:keepLines w:val="0"/>
        <w:pageBreakBefore w:val="0"/>
        <w:numPr>
          <w:ilvl w:val="0"/>
          <w:numId w:val="0"/>
        </w:numPr>
        <w:kinsoku/>
        <w:wordWrap/>
        <w:overflowPunct/>
        <w:topLinePunct w:val="0"/>
        <w:bidi w:val="0"/>
        <w:adjustRightInd w:val="0"/>
        <w:snapToGrid w:val="0"/>
        <w:spacing w:line="600" w:lineRule="atLeas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考核办法：根据区、街道两级环卫保洁考核细则确定的垃圾收集清运作业标准，进行检查考核。考核办法、标准详见附件。（《</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"http://yhdzgw.yuhang.gov.cn/explorer.jsp" \o "关于印发《余杭区城市管理范围内洁化、市政亮化、绿化、序化分级分类及考核办法》的通知"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关于印发《余杭区城市管理范围内洁化、市政亮化、绿化、序化分级分类及考核办法》的通知 </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》余城组〔2019〕1号 ）。在合同期内如遇上级有新考核文件的依照新的考核文件执行。</w:t>
      </w:r>
    </w:p>
    <w:p>
      <w:pPr>
        <w:keepNext w:val="0"/>
        <w:keepLines w:val="0"/>
        <w:pageBreakBefore w:val="0"/>
        <w:numPr>
          <w:ilvl w:val="0"/>
          <w:numId w:val="0"/>
        </w:numPr>
        <w:kinsoku/>
        <w:wordWrap/>
        <w:overflowPunct/>
        <w:topLinePunct w:val="0"/>
        <w:bidi w:val="0"/>
        <w:adjustRightInd w:val="0"/>
        <w:snapToGrid w:val="0"/>
        <w:spacing w:line="600" w:lineRule="atLeast"/>
        <w:rPr>
          <w:rFonts w:hint="eastAsia" w:ascii="宋体" w:hAnsi="宋体" w:eastAsia="宋体" w:cs="宋体"/>
          <w:b/>
          <w:bCs/>
          <w:color w:val="auto"/>
          <w:spacing w:val="0"/>
          <w:sz w:val="24"/>
          <w:szCs w:val="24"/>
          <w:highlight w:val="none"/>
          <w:lang w:val="en-US" w:eastAsia="zh-CN"/>
        </w:rPr>
      </w:pPr>
      <w:r>
        <w:rPr>
          <w:rFonts w:hint="eastAsia" w:ascii="宋体" w:hAnsi="宋体" w:eastAsia="宋体" w:cs="宋体"/>
          <w:b/>
          <w:bCs/>
          <w:color w:val="auto"/>
          <w:spacing w:val="0"/>
          <w:sz w:val="24"/>
          <w:szCs w:val="24"/>
          <w:highlight w:val="none"/>
          <w:lang w:val="en-US" w:eastAsia="zh-CN"/>
        </w:rPr>
        <w:t>六、费用支付</w:t>
      </w:r>
    </w:p>
    <w:p>
      <w:pPr>
        <w:keepNext w:val="0"/>
        <w:keepLines w:val="0"/>
        <w:pageBreakBefore w:val="0"/>
        <w:kinsoku/>
        <w:wordWrap/>
        <w:overflowPunct/>
        <w:topLinePunct w:val="0"/>
        <w:bidi w:val="0"/>
        <w:spacing w:line="600" w:lineRule="atLeast"/>
        <w:ind w:firstLine="482" w:firstLineChars="200"/>
        <w:rPr>
          <w:rFonts w:hint="eastAsia" w:ascii="宋体" w:hAnsi="宋体" w:eastAsia="宋体" w:cs="宋体"/>
          <w:b/>
          <w:color w:val="auto"/>
          <w:sz w:val="24"/>
          <w:szCs w:val="24"/>
          <w:highlight w:val="none"/>
        </w:rPr>
      </w:pPr>
      <w:r>
        <w:rPr>
          <w:rFonts w:hint="eastAsia" w:ascii="宋体" w:hAnsi="宋体" w:eastAsia="宋体" w:cs="宋体"/>
          <w:b/>
          <w:bCs/>
          <w:color w:val="auto"/>
          <w:kern w:val="0"/>
          <w:sz w:val="24"/>
          <w:szCs w:val="24"/>
          <w:highlight w:val="none"/>
        </w:rPr>
        <w:t>本项目采用单价招标方式，</w:t>
      </w:r>
      <w:r>
        <w:rPr>
          <w:rFonts w:hint="eastAsia" w:ascii="宋体" w:hAnsi="宋体" w:eastAsia="宋体" w:cs="宋体"/>
          <w:color w:val="auto"/>
          <w:kern w:val="0"/>
          <w:sz w:val="24"/>
          <w:szCs w:val="24"/>
          <w:highlight w:val="none"/>
        </w:rPr>
        <w:t>最终收集清运工程量根据实际收集清运工程量按实结算，单价按投标时的单价。</w:t>
      </w:r>
    </w:p>
    <w:p>
      <w:pPr>
        <w:pStyle w:val="2"/>
        <w:keepNext w:val="0"/>
        <w:keepLines w:val="0"/>
        <w:pageBreakBefore w:val="0"/>
        <w:kinsoku/>
        <w:wordWrap/>
        <w:overflowPunct/>
        <w:topLinePunct w:val="0"/>
        <w:bidi w:val="0"/>
        <w:spacing w:line="600" w:lineRule="atLeast"/>
        <w:rPr>
          <w:rFonts w:hint="eastAsia" w:ascii="宋体" w:hAnsi="宋体" w:eastAsia="宋体" w:cs="宋体"/>
          <w:b/>
          <w:color w:val="auto"/>
          <w:sz w:val="24"/>
          <w:szCs w:val="24"/>
          <w:highlight w:val="none"/>
        </w:rPr>
      </w:pPr>
    </w:p>
    <w:p>
      <w:pPr>
        <w:pStyle w:val="3"/>
        <w:keepNext w:val="0"/>
        <w:keepLines w:val="0"/>
        <w:pageBreakBefore w:val="0"/>
        <w:kinsoku/>
        <w:wordWrap/>
        <w:overflowPunct/>
        <w:topLinePunct w:val="0"/>
        <w:bidi w:val="0"/>
        <w:spacing w:line="600" w:lineRule="atLeast"/>
        <w:rPr>
          <w:rFonts w:hint="eastAsia" w:ascii="宋体" w:hAnsi="宋体" w:eastAsia="宋体" w:cs="宋体"/>
          <w:b/>
          <w:color w:val="auto"/>
          <w:sz w:val="24"/>
          <w:szCs w:val="24"/>
          <w:highlight w:val="none"/>
        </w:rPr>
      </w:pPr>
    </w:p>
    <w:p>
      <w:pPr>
        <w:keepNext w:val="0"/>
        <w:keepLines w:val="0"/>
        <w:pageBreakBefore w:val="0"/>
        <w:kinsoku/>
        <w:wordWrap/>
        <w:overflowPunct/>
        <w:topLinePunct w:val="0"/>
        <w:bidi w:val="0"/>
        <w:spacing w:line="600" w:lineRule="atLeast"/>
        <w:rPr>
          <w:rFonts w:hint="eastAsia" w:ascii="宋体" w:hAnsi="宋体" w:eastAsia="宋体" w:cs="宋体"/>
          <w:b/>
          <w:color w:val="auto"/>
          <w:sz w:val="24"/>
          <w:szCs w:val="24"/>
          <w:highlight w:val="none"/>
        </w:rPr>
      </w:pPr>
    </w:p>
    <w:p>
      <w:pPr>
        <w:pStyle w:val="2"/>
        <w:keepNext w:val="0"/>
        <w:keepLines w:val="0"/>
        <w:pageBreakBefore w:val="0"/>
        <w:kinsoku/>
        <w:wordWrap/>
        <w:overflowPunct/>
        <w:topLinePunct w:val="0"/>
        <w:bidi w:val="0"/>
        <w:spacing w:line="600" w:lineRule="atLeast"/>
        <w:rPr>
          <w:rFonts w:hint="eastAsia" w:ascii="宋体" w:hAnsi="宋体" w:eastAsia="宋体" w:cs="宋体"/>
          <w:b/>
          <w:color w:val="auto"/>
          <w:sz w:val="24"/>
          <w:szCs w:val="24"/>
          <w:highlight w:val="none"/>
        </w:rPr>
      </w:pPr>
    </w:p>
    <w:p>
      <w:pPr>
        <w:pStyle w:val="3"/>
        <w:keepNext w:val="0"/>
        <w:keepLines w:val="0"/>
        <w:pageBreakBefore w:val="0"/>
        <w:kinsoku/>
        <w:wordWrap/>
        <w:overflowPunct/>
        <w:topLinePunct w:val="0"/>
        <w:bidi w:val="0"/>
        <w:spacing w:line="600" w:lineRule="atLeast"/>
        <w:rPr>
          <w:rFonts w:hint="eastAsia" w:ascii="宋体" w:hAnsi="宋体" w:eastAsia="宋体" w:cs="宋体"/>
          <w:b/>
          <w:color w:val="auto"/>
          <w:sz w:val="24"/>
          <w:szCs w:val="24"/>
          <w:highlight w:val="none"/>
        </w:rPr>
      </w:pPr>
    </w:p>
    <w:p>
      <w:pPr>
        <w:keepNext w:val="0"/>
        <w:keepLines w:val="0"/>
        <w:pageBreakBefore w:val="0"/>
        <w:kinsoku/>
        <w:wordWrap/>
        <w:overflowPunct/>
        <w:topLinePunct w:val="0"/>
        <w:bidi w:val="0"/>
        <w:spacing w:line="600" w:lineRule="atLeast"/>
        <w:rPr>
          <w:rFonts w:hint="eastAsia" w:ascii="宋体" w:hAnsi="宋体" w:eastAsia="宋体" w:cs="宋体"/>
          <w:color w:val="auto"/>
          <w:sz w:val="24"/>
          <w:szCs w:val="24"/>
          <w:highlight w:val="none"/>
        </w:rPr>
        <w:sectPr>
          <w:headerReference r:id="rId7" w:type="default"/>
          <w:footerReference r:id="rId8" w:type="default"/>
          <w:pgSz w:w="11905" w:h="16838"/>
          <w:pgMar w:top="1531" w:right="1304" w:bottom="1531" w:left="1361" w:header="851" w:footer="992" w:gutter="0"/>
          <w:pgBorders>
            <w:top w:val="none" w:sz="0" w:space="0"/>
            <w:left w:val="none" w:sz="0" w:space="0"/>
            <w:bottom w:val="none" w:sz="0" w:space="0"/>
            <w:right w:val="none" w:sz="0" w:space="0"/>
          </w:pgBorders>
          <w:cols w:space="0" w:num="1"/>
          <w:titlePg/>
          <w:rtlGutter w:val="0"/>
          <w:docGrid w:linePitch="0" w:charSpace="0"/>
        </w:sectPr>
      </w:pP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一、</w:t>
      </w:r>
      <w:r>
        <w:rPr>
          <w:rFonts w:hint="eastAsia" w:ascii="宋体" w:hAnsi="宋体" w:eastAsia="宋体" w:cs="宋体"/>
          <w:b/>
          <w:color w:val="auto"/>
          <w:kern w:val="0"/>
          <w:sz w:val="24"/>
          <w:szCs w:val="24"/>
          <w:highlight w:val="none"/>
          <w:lang w:val="zh-CN" w:eastAsia="zh-CN"/>
        </w:rPr>
        <w:t>生活垃圾集中转运</w:t>
      </w:r>
      <w:r>
        <w:rPr>
          <w:rFonts w:hint="eastAsia" w:ascii="宋体" w:hAnsi="宋体" w:eastAsia="宋体" w:cs="宋体"/>
          <w:b/>
          <w:color w:val="auto"/>
          <w:kern w:val="0"/>
          <w:sz w:val="24"/>
          <w:szCs w:val="24"/>
          <w:highlight w:val="none"/>
          <w:lang w:val="zh-CN"/>
        </w:rPr>
        <w:t>管理制度</w:t>
      </w:r>
    </w:p>
    <w:p>
      <w:pPr>
        <w:keepNext w:val="0"/>
        <w:keepLines w:val="0"/>
        <w:pageBreakBefore w:val="0"/>
        <w:widowControl w:val="0"/>
        <w:kinsoku/>
        <w:wordWrap/>
        <w:overflowPunct/>
        <w:topLinePunct w:val="0"/>
        <w:autoSpaceDE/>
        <w:autoSpaceDN/>
        <w:bidi w:val="0"/>
        <w:adjustRightInd w:val="0"/>
        <w:snapToGrid/>
        <w:spacing w:line="600" w:lineRule="exact"/>
        <w:ind w:firstLine="600" w:firstLineChars="25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为了加强</w:t>
      </w:r>
      <w:r>
        <w:rPr>
          <w:rFonts w:hint="eastAsia" w:ascii="宋体" w:hAnsi="宋体" w:eastAsia="宋体" w:cs="宋体"/>
          <w:color w:val="auto"/>
          <w:sz w:val="24"/>
          <w:szCs w:val="24"/>
          <w:highlight w:val="none"/>
          <w:lang w:val="zh-CN" w:eastAsia="zh-CN"/>
        </w:rPr>
        <w:t>生活垃圾集中转运</w:t>
      </w:r>
      <w:r>
        <w:rPr>
          <w:rFonts w:hint="eastAsia" w:ascii="宋体" w:hAnsi="宋体" w:eastAsia="宋体" w:cs="宋体"/>
          <w:color w:val="auto"/>
          <w:sz w:val="24"/>
          <w:szCs w:val="24"/>
          <w:highlight w:val="none"/>
          <w:lang w:val="zh-CN"/>
        </w:rPr>
        <w:t>管理</w:t>
      </w:r>
      <w:r>
        <w:rPr>
          <w:rFonts w:hint="eastAsia" w:ascii="宋体" w:hAnsi="宋体" w:eastAsia="宋体" w:cs="宋体"/>
          <w:color w:val="auto"/>
          <w:sz w:val="24"/>
          <w:szCs w:val="24"/>
          <w:highlight w:val="none"/>
        </w:rPr>
        <w:t>，根据《国家市容环境卫生管理条例》并结合实际情况，制订如下暂行规定：</w:t>
      </w:r>
    </w:p>
    <w:p>
      <w:pPr>
        <w:keepNext w:val="0"/>
        <w:keepLines w:val="0"/>
        <w:pageBreakBefore w:val="0"/>
        <w:widowControl w:val="0"/>
        <w:kinsoku/>
        <w:wordWrap/>
        <w:overflowPunct/>
        <w:topLinePunct w:val="0"/>
        <w:autoSpaceDE/>
        <w:autoSpaceDN/>
        <w:bidi w:val="0"/>
        <w:adjustRightInd w:val="0"/>
        <w:snapToGrid/>
        <w:spacing w:line="600" w:lineRule="exact"/>
        <w:ind w:firstLine="600" w:firstLineChars="25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一、作息时间：</w:t>
      </w:r>
    </w:p>
    <w:p>
      <w:pPr>
        <w:keepNext w:val="0"/>
        <w:keepLines w:val="0"/>
        <w:pageBreakBefore w:val="0"/>
        <w:widowControl w:val="0"/>
        <w:kinsoku/>
        <w:wordWrap/>
        <w:overflowPunct/>
        <w:topLinePunct w:val="0"/>
        <w:autoSpaceDE/>
        <w:autoSpaceDN/>
        <w:bidi w:val="0"/>
        <w:adjustRightInd w:val="0"/>
        <w:snapToGrid/>
        <w:spacing w:line="600" w:lineRule="exact"/>
        <w:ind w:firstLine="600" w:firstLineChars="25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w:t>
      </w:r>
      <w:r>
        <w:rPr>
          <w:rFonts w:hint="eastAsia" w:ascii="宋体" w:hAnsi="宋体" w:eastAsia="宋体" w:cs="宋体"/>
          <w:color w:val="auto"/>
          <w:sz w:val="24"/>
          <w:szCs w:val="24"/>
          <w:highlight w:val="none"/>
          <w:lang w:val="en-US" w:eastAsia="zh-CN"/>
        </w:rPr>
        <w:t xml:space="preserve">  1</w:t>
      </w:r>
      <w:r>
        <w:rPr>
          <w:rFonts w:hint="eastAsia" w:ascii="宋体" w:hAnsi="宋体" w:eastAsia="宋体" w:cs="宋体"/>
          <w:color w:val="auto"/>
          <w:sz w:val="24"/>
          <w:szCs w:val="24"/>
          <w:highlight w:val="none"/>
        </w:rPr>
        <w:t>月1日一1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月31日</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en-US" w:eastAsia="zh-CN"/>
        </w:rPr>
        <w:t>00</w:t>
      </w:r>
      <w:r>
        <w:rPr>
          <w:rFonts w:hint="eastAsia" w:ascii="宋体" w:hAnsi="宋体" w:eastAsia="宋体" w:cs="宋体"/>
          <w:color w:val="auto"/>
          <w:sz w:val="24"/>
          <w:szCs w:val="24"/>
          <w:highlight w:val="none"/>
        </w:rPr>
        <w:t>分开机1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时前结束</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firstLine="602" w:firstLineChars="250"/>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其余时间应须安排人员值班并加强巡视，采取相应措施，以确保安全。</w:t>
      </w:r>
    </w:p>
    <w:p>
      <w:pPr>
        <w:keepNext w:val="0"/>
        <w:keepLines w:val="0"/>
        <w:pageBreakBefore w:val="0"/>
        <w:widowControl w:val="0"/>
        <w:kinsoku/>
        <w:wordWrap/>
        <w:overflowPunct/>
        <w:topLinePunct w:val="0"/>
        <w:autoSpaceDE/>
        <w:autoSpaceDN/>
        <w:bidi w:val="0"/>
        <w:adjustRightInd w:val="0"/>
        <w:snapToGrid/>
        <w:spacing w:line="600" w:lineRule="exact"/>
        <w:ind w:firstLine="600" w:firstLineChars="25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二、做好消杀工作。严格做到每天上午10:00左右消杀一次，下午</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:00左右消杀一次，另视垃圾产量及垃圾成份等具体情况可适当增加消杀次数，尽量减少苍蝇密度。车出中转站必消杀。</w:t>
      </w:r>
    </w:p>
    <w:p>
      <w:pPr>
        <w:keepNext w:val="0"/>
        <w:keepLines w:val="0"/>
        <w:pageBreakBefore w:val="0"/>
        <w:widowControl w:val="0"/>
        <w:kinsoku/>
        <w:wordWrap/>
        <w:overflowPunct/>
        <w:topLinePunct w:val="0"/>
        <w:autoSpaceDE/>
        <w:autoSpaceDN/>
        <w:bidi w:val="0"/>
        <w:adjustRightInd w:val="0"/>
        <w:snapToGrid/>
        <w:spacing w:line="600" w:lineRule="exact"/>
        <w:ind w:firstLine="600" w:firstLineChars="25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三、如停电，机械、汽车发生故障等原因，清运人员倒垃圾时必须服从管理人员统一指挥，不得擅自将垃圾倒入中转站场地内。</w:t>
      </w:r>
    </w:p>
    <w:p>
      <w:pPr>
        <w:keepNext w:val="0"/>
        <w:keepLines w:val="0"/>
        <w:pageBreakBefore w:val="0"/>
        <w:widowControl w:val="0"/>
        <w:kinsoku/>
        <w:wordWrap/>
        <w:overflowPunct/>
        <w:topLinePunct w:val="0"/>
        <w:autoSpaceDE/>
        <w:autoSpaceDN/>
        <w:bidi w:val="0"/>
        <w:adjustRightInd w:val="0"/>
        <w:snapToGrid/>
        <w:spacing w:line="600" w:lineRule="exact"/>
        <w:ind w:firstLine="600" w:firstLineChars="25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四、中转站内要做到随脏随打扫，垃圾不得吹到围墙外以及中转站附近的河边、田间，垃圾清场后要认真冲洗。</w:t>
      </w:r>
    </w:p>
    <w:p>
      <w:pPr>
        <w:keepNext w:val="0"/>
        <w:keepLines w:val="0"/>
        <w:pageBreakBefore w:val="0"/>
        <w:widowControl w:val="0"/>
        <w:kinsoku/>
        <w:wordWrap/>
        <w:overflowPunct/>
        <w:topLinePunct w:val="0"/>
        <w:autoSpaceDE/>
        <w:autoSpaceDN/>
        <w:bidi w:val="0"/>
        <w:adjustRightInd w:val="0"/>
        <w:snapToGrid/>
        <w:spacing w:line="600" w:lineRule="exact"/>
        <w:ind w:firstLine="600" w:firstLineChars="25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五、外单位物件未经许可不得在中转站内存放。</w:t>
      </w:r>
    </w:p>
    <w:p>
      <w:pPr>
        <w:keepNext w:val="0"/>
        <w:keepLines w:val="0"/>
        <w:pageBreakBefore w:val="0"/>
        <w:widowControl w:val="0"/>
        <w:kinsoku/>
        <w:wordWrap/>
        <w:overflowPunct/>
        <w:topLinePunct w:val="0"/>
        <w:autoSpaceDE/>
        <w:autoSpaceDN/>
        <w:bidi w:val="0"/>
        <w:adjustRightInd w:val="0"/>
        <w:snapToGrid/>
        <w:spacing w:line="600" w:lineRule="exact"/>
        <w:ind w:firstLine="600" w:firstLineChars="25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六、废品不得堆放在中转站内外，不得在垃圾场内外燃烧废品，若发现垃圾堆不明起火要及时采取灭火措施。</w:t>
      </w:r>
    </w:p>
    <w:p>
      <w:pPr>
        <w:keepNext w:val="0"/>
        <w:keepLines w:val="0"/>
        <w:pageBreakBefore w:val="0"/>
        <w:widowControl w:val="0"/>
        <w:kinsoku/>
        <w:wordWrap/>
        <w:overflowPunct/>
        <w:topLinePunct w:val="0"/>
        <w:autoSpaceDE/>
        <w:autoSpaceDN/>
        <w:bidi w:val="0"/>
        <w:adjustRightInd w:val="0"/>
        <w:snapToGrid/>
        <w:spacing w:line="600" w:lineRule="exact"/>
        <w:ind w:firstLine="600" w:firstLineChars="25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七、拾荒人员不得进入中转站捡拾废品。</w:t>
      </w:r>
    </w:p>
    <w:p>
      <w:pPr>
        <w:keepNext w:val="0"/>
        <w:keepLines w:val="0"/>
        <w:pageBreakBefore w:val="0"/>
        <w:widowControl w:val="0"/>
        <w:kinsoku/>
        <w:wordWrap/>
        <w:overflowPunct/>
        <w:topLinePunct w:val="0"/>
        <w:autoSpaceDE/>
        <w:autoSpaceDN/>
        <w:bidi w:val="0"/>
        <w:adjustRightInd w:val="0"/>
        <w:snapToGrid/>
        <w:spacing w:line="600" w:lineRule="exact"/>
        <w:ind w:firstLine="600" w:firstLineChars="25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八、外单位人员和车辆进入中转站必须办理相关手续。</w:t>
      </w:r>
    </w:p>
    <w:p>
      <w:pPr>
        <w:keepNext w:val="0"/>
        <w:keepLines w:val="0"/>
        <w:pageBreakBefore w:val="0"/>
        <w:widowControl w:val="0"/>
        <w:kinsoku/>
        <w:wordWrap/>
        <w:overflowPunct/>
        <w:topLinePunct w:val="0"/>
        <w:autoSpaceDE/>
        <w:autoSpaceDN/>
        <w:bidi w:val="0"/>
        <w:adjustRightInd w:val="0"/>
        <w:snapToGrid/>
        <w:spacing w:line="600" w:lineRule="exact"/>
        <w:ind w:firstLine="600" w:firstLineChars="2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九、工作结束后搞好室内外环境卫生，切断电源，关闭水龙头，关锁好门窗。</w:t>
      </w:r>
    </w:p>
    <w:p>
      <w:pPr>
        <w:keepNext w:val="0"/>
        <w:keepLines w:val="0"/>
        <w:pageBreakBefore w:val="0"/>
        <w:widowControl w:val="0"/>
        <w:kinsoku/>
        <w:wordWrap/>
        <w:overflowPunct/>
        <w:topLinePunct w:val="0"/>
        <w:autoSpaceDE/>
        <w:autoSpaceDN/>
        <w:bidi w:val="0"/>
        <w:adjustRightInd w:val="0"/>
        <w:snapToGrid/>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p>
    <w:p>
      <w:pPr>
        <w:pStyle w:val="2"/>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kern w:val="0"/>
          <w:sz w:val="28"/>
          <w:szCs w:val="28"/>
          <w:highlight w:val="none"/>
          <w:lang w:val="zh-CN"/>
        </w:rPr>
      </w:pPr>
      <w:r>
        <w:rPr>
          <w:rFonts w:hint="eastAsia" w:ascii="宋体" w:hAnsi="宋体" w:eastAsia="宋体" w:cs="宋体"/>
          <w:b/>
          <w:color w:val="auto"/>
          <w:kern w:val="0"/>
          <w:sz w:val="28"/>
          <w:szCs w:val="28"/>
          <w:highlight w:val="none"/>
          <w:lang w:val="zh-CN"/>
        </w:rPr>
        <w:t>二、仓前街道</w:t>
      </w:r>
      <w:r>
        <w:rPr>
          <w:rFonts w:hint="eastAsia" w:ascii="宋体" w:hAnsi="宋体" w:eastAsia="宋体" w:cs="宋体"/>
          <w:b/>
          <w:color w:val="auto"/>
          <w:kern w:val="0"/>
          <w:sz w:val="28"/>
          <w:szCs w:val="28"/>
          <w:highlight w:val="none"/>
          <w:lang w:val="zh-CN" w:eastAsia="zh-CN"/>
        </w:rPr>
        <w:t>生活垃圾集中转运</w:t>
      </w:r>
      <w:r>
        <w:rPr>
          <w:rFonts w:hint="eastAsia" w:ascii="宋体" w:hAnsi="宋体" w:eastAsia="宋体" w:cs="宋体"/>
          <w:b/>
          <w:color w:val="auto"/>
          <w:kern w:val="0"/>
          <w:sz w:val="28"/>
          <w:szCs w:val="28"/>
          <w:highlight w:val="none"/>
          <w:lang w:val="zh-CN"/>
        </w:rPr>
        <w:t>考核评分标准</w:t>
      </w:r>
    </w:p>
    <w:tbl>
      <w:tblPr>
        <w:tblStyle w:val="62"/>
        <w:tblW w:w="0" w:type="auto"/>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3622"/>
        <w:gridCol w:w="3075"/>
        <w:gridCol w:w="1125"/>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85" w:type="dxa"/>
            <w:tcBorders>
              <w:top w:val="single" w:color="auto" w:sz="4" w:space="0"/>
            </w:tcBorders>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3622" w:type="dxa"/>
            <w:tcBorders>
              <w:top w:val="single" w:color="auto" w:sz="4" w:space="0"/>
            </w:tcBorders>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考核内容及要求</w:t>
            </w:r>
          </w:p>
        </w:tc>
        <w:tc>
          <w:tcPr>
            <w:tcW w:w="3075" w:type="dxa"/>
            <w:tcBorders>
              <w:top w:val="single" w:color="auto" w:sz="4" w:space="0"/>
            </w:tcBorders>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评分标准</w:t>
            </w:r>
          </w:p>
        </w:tc>
        <w:tc>
          <w:tcPr>
            <w:tcW w:w="1125" w:type="dxa"/>
            <w:tcBorders>
              <w:top w:val="single" w:color="auto" w:sz="4" w:space="0"/>
            </w:tcBorders>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考核得分</w:t>
            </w:r>
          </w:p>
        </w:tc>
        <w:tc>
          <w:tcPr>
            <w:tcW w:w="868" w:type="dxa"/>
            <w:tcBorders>
              <w:top w:val="single" w:color="auto" w:sz="4" w:space="0"/>
            </w:tcBorders>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85"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3622" w:type="dxa"/>
            <w:noWrap w:val="0"/>
            <w:vAlign w:val="top"/>
          </w:tcPr>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圾运输车辆有编号、有监督电话、有责任单位，运输过程中应密闭运输，无抛、撒、漏、吊挂等现象，车辆无破损、证照齐全等。（本项最高得20分）</w:t>
            </w:r>
          </w:p>
        </w:tc>
        <w:tc>
          <w:tcPr>
            <w:tcW w:w="3075" w:type="dxa"/>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垃圾运输车辆无编号、无监督电话、无责任单位，运输过程中不密闭运输，有抛、撒、漏、吊挂等现象，车辆破损、证照不齐等存在一项问题扣2分。</w:t>
            </w:r>
          </w:p>
        </w:tc>
        <w:tc>
          <w:tcPr>
            <w:tcW w:w="1125" w:type="dxa"/>
            <w:noWrap w:val="0"/>
            <w:vAlign w:val="top"/>
          </w:tcPr>
          <w:p>
            <w:pPr>
              <w:spacing w:line="360" w:lineRule="auto"/>
              <w:rPr>
                <w:rFonts w:hint="eastAsia" w:ascii="宋体" w:hAnsi="宋体" w:eastAsia="宋体" w:cs="宋体"/>
                <w:color w:val="auto"/>
                <w:sz w:val="28"/>
                <w:szCs w:val="28"/>
                <w:highlight w:val="none"/>
              </w:rPr>
            </w:pPr>
          </w:p>
        </w:tc>
        <w:tc>
          <w:tcPr>
            <w:tcW w:w="868" w:type="dxa"/>
            <w:noWrap w:val="0"/>
            <w:vAlign w:val="top"/>
          </w:tcPr>
          <w:p>
            <w:pPr>
              <w:spacing w:line="360" w:lineRule="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85"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3622" w:type="dxa"/>
            <w:noWrap w:val="0"/>
            <w:vAlign w:val="top"/>
          </w:tcPr>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垃圾应运输到指定地点，无焚烧垃圾现象。（本项最高得20分）</w:t>
            </w:r>
          </w:p>
        </w:tc>
        <w:tc>
          <w:tcPr>
            <w:tcW w:w="3075" w:type="dxa"/>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垃圾未倒入指定地点的，每发现一次扣5分；垃圾有焚烧现象的，每发现一次扣5分。</w:t>
            </w:r>
          </w:p>
        </w:tc>
        <w:tc>
          <w:tcPr>
            <w:tcW w:w="1125" w:type="dxa"/>
            <w:noWrap w:val="0"/>
            <w:vAlign w:val="top"/>
          </w:tcPr>
          <w:p>
            <w:pPr>
              <w:spacing w:line="360" w:lineRule="auto"/>
              <w:rPr>
                <w:rFonts w:hint="eastAsia" w:ascii="宋体" w:hAnsi="宋体" w:eastAsia="宋体" w:cs="宋体"/>
                <w:color w:val="auto"/>
                <w:sz w:val="28"/>
                <w:szCs w:val="28"/>
                <w:highlight w:val="none"/>
              </w:rPr>
            </w:pPr>
          </w:p>
        </w:tc>
        <w:tc>
          <w:tcPr>
            <w:tcW w:w="868" w:type="dxa"/>
            <w:noWrap w:val="0"/>
            <w:vAlign w:val="top"/>
          </w:tcPr>
          <w:p>
            <w:pPr>
              <w:spacing w:line="360" w:lineRule="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685"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3622" w:type="dxa"/>
            <w:noWrap w:val="0"/>
            <w:vAlign w:val="top"/>
          </w:tcPr>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中转站内外环境整洁，无堆放杂物、乱停车辆等现象，无严重异味。（本项最高得15分）</w:t>
            </w:r>
          </w:p>
        </w:tc>
        <w:tc>
          <w:tcPr>
            <w:tcW w:w="3075" w:type="dxa"/>
            <w:noWrap w:val="0"/>
            <w:vAlign w:val="top"/>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Cs w:val="21"/>
                <w:highlight w:val="none"/>
              </w:rPr>
              <w:t>中转站内外环境不洁，有堆放杂物、乱停车辆等现象，存在严重异味。每发现一次扣3分。</w:t>
            </w:r>
          </w:p>
        </w:tc>
        <w:tc>
          <w:tcPr>
            <w:tcW w:w="1125" w:type="dxa"/>
            <w:noWrap w:val="0"/>
            <w:vAlign w:val="top"/>
          </w:tcPr>
          <w:p>
            <w:pPr>
              <w:spacing w:line="360" w:lineRule="auto"/>
              <w:rPr>
                <w:rFonts w:hint="eastAsia" w:ascii="宋体" w:hAnsi="宋体" w:eastAsia="宋体" w:cs="宋体"/>
                <w:color w:val="auto"/>
                <w:sz w:val="28"/>
                <w:szCs w:val="28"/>
                <w:highlight w:val="none"/>
              </w:rPr>
            </w:pPr>
          </w:p>
        </w:tc>
        <w:tc>
          <w:tcPr>
            <w:tcW w:w="868" w:type="dxa"/>
            <w:noWrap w:val="0"/>
            <w:vAlign w:val="top"/>
          </w:tcPr>
          <w:p>
            <w:pPr>
              <w:spacing w:line="360" w:lineRule="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685" w:type="dxa"/>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3622" w:type="dxa"/>
            <w:noWrap w:val="0"/>
            <w:vAlign w:val="top"/>
          </w:tcPr>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中转站设备设施的操作管理，按各设备设施操作流程操作。中转站的运输车辆及其他设备要日常维护保养，发现问题及时上报并修复。（本项最高得15分）</w:t>
            </w:r>
          </w:p>
        </w:tc>
        <w:tc>
          <w:tcPr>
            <w:tcW w:w="3075" w:type="dxa"/>
            <w:noWrap w:val="0"/>
            <w:vAlign w:val="top"/>
          </w:tcPr>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不按设备设施规定流程操作的，每发现一次扣2分；对设备设施未及时进行维护保养的，每发现一次扣2分；发现问题未及时上报并修复的，每发现一次扣2分。</w:t>
            </w:r>
          </w:p>
        </w:tc>
        <w:tc>
          <w:tcPr>
            <w:tcW w:w="1125" w:type="dxa"/>
            <w:noWrap w:val="0"/>
            <w:vAlign w:val="top"/>
          </w:tcPr>
          <w:p>
            <w:pPr>
              <w:spacing w:line="360" w:lineRule="auto"/>
              <w:rPr>
                <w:rFonts w:hint="eastAsia" w:ascii="宋体" w:hAnsi="宋体" w:eastAsia="宋体" w:cs="宋体"/>
                <w:color w:val="auto"/>
                <w:sz w:val="28"/>
                <w:szCs w:val="28"/>
                <w:highlight w:val="none"/>
              </w:rPr>
            </w:pPr>
          </w:p>
        </w:tc>
        <w:tc>
          <w:tcPr>
            <w:tcW w:w="868" w:type="dxa"/>
            <w:noWrap w:val="0"/>
            <w:vAlign w:val="top"/>
          </w:tcPr>
          <w:p>
            <w:pPr>
              <w:spacing w:line="360" w:lineRule="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685"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3622" w:type="dxa"/>
            <w:noWrap w:val="0"/>
            <w:vAlign w:val="top"/>
          </w:tcPr>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垃圾日产日清，垃圾不准堆压。（本项最高得10分）</w:t>
            </w:r>
          </w:p>
        </w:tc>
        <w:tc>
          <w:tcPr>
            <w:tcW w:w="3075"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每发现一次扣2分。</w:t>
            </w:r>
          </w:p>
        </w:tc>
        <w:tc>
          <w:tcPr>
            <w:tcW w:w="1125" w:type="dxa"/>
            <w:noWrap w:val="0"/>
            <w:vAlign w:val="top"/>
          </w:tcPr>
          <w:p>
            <w:pPr>
              <w:spacing w:line="360" w:lineRule="auto"/>
              <w:rPr>
                <w:rFonts w:hint="eastAsia" w:ascii="宋体" w:hAnsi="宋体" w:eastAsia="宋体" w:cs="宋体"/>
                <w:color w:val="auto"/>
                <w:sz w:val="28"/>
                <w:szCs w:val="28"/>
                <w:highlight w:val="none"/>
              </w:rPr>
            </w:pPr>
          </w:p>
        </w:tc>
        <w:tc>
          <w:tcPr>
            <w:tcW w:w="868" w:type="dxa"/>
            <w:noWrap w:val="0"/>
            <w:vAlign w:val="top"/>
          </w:tcPr>
          <w:p>
            <w:pPr>
              <w:spacing w:line="360" w:lineRule="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685"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3622" w:type="dxa"/>
            <w:noWrap w:val="0"/>
            <w:vAlign w:val="top"/>
          </w:tcPr>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落实上下班制度，不得迟到早退，落实请假制度，并按规定要求统一着装。（本项最高得20分）</w:t>
            </w:r>
          </w:p>
        </w:tc>
        <w:tc>
          <w:tcPr>
            <w:tcW w:w="3075" w:type="dxa"/>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每发现一次扣2分。</w:t>
            </w:r>
          </w:p>
        </w:tc>
        <w:tc>
          <w:tcPr>
            <w:tcW w:w="1125" w:type="dxa"/>
            <w:noWrap w:val="0"/>
            <w:vAlign w:val="top"/>
          </w:tcPr>
          <w:p>
            <w:pPr>
              <w:spacing w:line="360" w:lineRule="auto"/>
              <w:rPr>
                <w:rFonts w:hint="eastAsia" w:ascii="宋体" w:hAnsi="宋体" w:eastAsia="宋体" w:cs="宋体"/>
                <w:color w:val="auto"/>
                <w:sz w:val="28"/>
                <w:szCs w:val="28"/>
                <w:highlight w:val="none"/>
              </w:rPr>
            </w:pPr>
          </w:p>
        </w:tc>
        <w:tc>
          <w:tcPr>
            <w:tcW w:w="868" w:type="dxa"/>
            <w:noWrap w:val="0"/>
            <w:vAlign w:val="top"/>
          </w:tcPr>
          <w:p>
            <w:pPr>
              <w:spacing w:line="360" w:lineRule="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5"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3622" w:type="dxa"/>
            <w:noWrap w:val="0"/>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合计</w:t>
            </w:r>
          </w:p>
        </w:tc>
        <w:tc>
          <w:tcPr>
            <w:tcW w:w="3075"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100分</w:t>
            </w:r>
          </w:p>
        </w:tc>
        <w:tc>
          <w:tcPr>
            <w:tcW w:w="1125" w:type="dxa"/>
            <w:noWrap w:val="0"/>
            <w:vAlign w:val="top"/>
          </w:tcPr>
          <w:p>
            <w:pPr>
              <w:spacing w:line="360" w:lineRule="auto"/>
              <w:rPr>
                <w:rFonts w:hint="eastAsia" w:ascii="宋体" w:hAnsi="宋体" w:eastAsia="宋体" w:cs="宋体"/>
                <w:color w:val="auto"/>
                <w:sz w:val="28"/>
                <w:szCs w:val="28"/>
                <w:highlight w:val="none"/>
              </w:rPr>
            </w:pPr>
          </w:p>
        </w:tc>
        <w:tc>
          <w:tcPr>
            <w:tcW w:w="868" w:type="dxa"/>
            <w:noWrap w:val="0"/>
            <w:vAlign w:val="top"/>
          </w:tcPr>
          <w:p>
            <w:pPr>
              <w:spacing w:line="360" w:lineRule="auto"/>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375" w:type="dxa"/>
            <w:gridSpan w:val="5"/>
            <w:noWrap w:val="0"/>
            <w:vAlign w:val="top"/>
          </w:tcPr>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1、市级、区级抄告每条扣1分，如不按要求整改加扣1分；信访问题每件扣1分，整改不及时加扣1分；被新闻媒体曝光的，每件扣2分；</w:t>
            </w:r>
            <w:r>
              <w:rPr>
                <w:rFonts w:hint="eastAsia" w:ascii="宋体" w:hAnsi="宋体" w:eastAsia="宋体" w:cs="宋体"/>
                <w:color w:val="auto"/>
                <w:szCs w:val="21"/>
                <w:highlight w:val="none"/>
                <w:lang w:eastAsia="zh-CN"/>
              </w:rPr>
              <w:t>仓前</w:t>
            </w:r>
            <w:r>
              <w:rPr>
                <w:rFonts w:hint="eastAsia" w:ascii="宋体" w:hAnsi="宋体" w:eastAsia="宋体" w:cs="宋体"/>
                <w:color w:val="auto"/>
                <w:szCs w:val="21"/>
                <w:highlight w:val="none"/>
              </w:rPr>
              <w:t>街道城管服务中心检查出现问题的每发现一次扣1分，如不按要求整改或整改不彻底的加扣1分；</w:t>
            </w:r>
          </w:p>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2、考核总分值为100分，每项扣分不超过考核项目的总分值，分数扣完为止；</w:t>
            </w:r>
          </w:p>
          <w:p>
            <w:pPr>
              <w:spacing w:line="440" w:lineRule="exact"/>
              <w:rPr>
                <w:rFonts w:hint="eastAsia" w:ascii="宋体" w:hAnsi="宋体" w:eastAsia="宋体" w:cs="宋体"/>
                <w:color w:val="auto"/>
                <w:sz w:val="28"/>
                <w:szCs w:val="28"/>
                <w:highlight w:val="none"/>
              </w:rPr>
            </w:pPr>
            <w:r>
              <w:rPr>
                <w:rFonts w:hint="eastAsia" w:ascii="宋体" w:hAnsi="宋体" w:eastAsia="宋体" w:cs="宋体"/>
                <w:color w:val="auto"/>
                <w:szCs w:val="21"/>
                <w:highlight w:val="none"/>
              </w:rPr>
              <w:t>3、每次考核分达到90分（含）以上为合格，90分以下为不合格。</w:t>
            </w:r>
          </w:p>
        </w:tc>
      </w:tr>
    </w:tbl>
    <w:p>
      <w:pPr>
        <w:keepNext w:val="0"/>
        <w:keepLines w:val="0"/>
        <w:pageBreakBefore w:val="0"/>
        <w:widowControl/>
        <w:kinsoku/>
        <w:wordWrap/>
        <w:overflowPunct/>
        <w:topLinePunct w:val="0"/>
        <w:bidi w:val="0"/>
        <w:adjustRightInd w:val="0"/>
        <w:snapToGrid w:val="0"/>
        <w:spacing w:line="600" w:lineRule="atLeast"/>
        <w:ind w:firstLine="480" w:firstLineChars="200"/>
        <w:jc w:val="left"/>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b/>
          <w:color w:val="auto"/>
          <w:kern w:val="0"/>
          <w:sz w:val="24"/>
          <w:szCs w:val="24"/>
          <w:highlight w:val="none"/>
        </w:rPr>
        <w:t xml:space="preserve"> 2、评分考核。</w:t>
      </w:r>
      <w:r>
        <w:rPr>
          <w:rFonts w:hint="eastAsia" w:ascii="宋体" w:hAnsi="宋体" w:eastAsia="宋体" w:cs="宋体"/>
          <w:bCs/>
          <w:color w:val="auto"/>
          <w:kern w:val="0"/>
          <w:sz w:val="24"/>
          <w:szCs w:val="24"/>
          <w:highlight w:val="none"/>
        </w:rPr>
        <w:t>评分考核每月进行</w:t>
      </w:r>
      <w:r>
        <w:rPr>
          <w:rFonts w:hint="eastAsia" w:ascii="宋体" w:hAnsi="宋体" w:eastAsia="宋体" w:cs="宋体"/>
          <w:bCs/>
          <w:color w:val="auto"/>
          <w:kern w:val="0"/>
          <w:sz w:val="24"/>
          <w:szCs w:val="24"/>
          <w:highlight w:val="none"/>
          <w:lang w:eastAsia="zh-CN"/>
        </w:rPr>
        <w:t>一</w:t>
      </w:r>
      <w:r>
        <w:rPr>
          <w:rFonts w:hint="eastAsia" w:ascii="宋体" w:hAnsi="宋体" w:eastAsia="宋体" w:cs="宋体"/>
          <w:bCs/>
          <w:color w:val="auto"/>
          <w:kern w:val="0"/>
          <w:sz w:val="24"/>
          <w:szCs w:val="24"/>
          <w:highlight w:val="none"/>
        </w:rPr>
        <w:t>次，由</w:t>
      </w:r>
      <w:r>
        <w:rPr>
          <w:rFonts w:hint="eastAsia" w:ascii="宋体" w:hAnsi="宋体" w:eastAsia="宋体" w:cs="宋体"/>
          <w:bCs/>
          <w:color w:val="auto"/>
          <w:kern w:val="0"/>
          <w:sz w:val="24"/>
          <w:szCs w:val="24"/>
          <w:highlight w:val="none"/>
          <w:lang w:eastAsia="zh-CN"/>
        </w:rPr>
        <w:t>城建管理办公室</w:t>
      </w:r>
      <w:r>
        <w:rPr>
          <w:rFonts w:hint="eastAsia" w:ascii="宋体" w:hAnsi="宋体" w:eastAsia="宋体" w:cs="宋体"/>
          <w:bCs/>
          <w:color w:val="auto"/>
          <w:kern w:val="0"/>
          <w:sz w:val="24"/>
          <w:szCs w:val="24"/>
          <w:highlight w:val="none"/>
        </w:rPr>
        <w:t>组织人员每月进行</w:t>
      </w:r>
      <w:r>
        <w:rPr>
          <w:rFonts w:hint="eastAsia" w:ascii="宋体" w:hAnsi="宋体" w:eastAsia="宋体" w:cs="宋体"/>
          <w:bCs/>
          <w:color w:val="auto"/>
          <w:kern w:val="0"/>
          <w:sz w:val="24"/>
          <w:szCs w:val="24"/>
          <w:highlight w:val="none"/>
          <w:lang w:eastAsia="zh-CN"/>
        </w:rPr>
        <w:t>一</w:t>
      </w:r>
      <w:r>
        <w:rPr>
          <w:rFonts w:hint="eastAsia" w:ascii="宋体" w:hAnsi="宋体" w:eastAsia="宋体" w:cs="宋体"/>
          <w:bCs/>
          <w:color w:val="auto"/>
          <w:kern w:val="0"/>
          <w:sz w:val="24"/>
          <w:szCs w:val="24"/>
          <w:highlight w:val="none"/>
        </w:rPr>
        <w:t>次集中考核，并按照按照</w:t>
      </w:r>
      <w:r>
        <w:rPr>
          <w:rFonts w:hint="eastAsia" w:ascii="宋体" w:hAnsi="宋体" w:eastAsia="宋体" w:cs="宋体"/>
          <w:color w:val="auto"/>
          <w:kern w:val="0"/>
          <w:sz w:val="24"/>
          <w:szCs w:val="24"/>
          <w:highlight w:val="none"/>
        </w:rPr>
        <w:t>《关于开展“垃圾不落地 余杭更美丽”主题活动相关城市管理工作的通知》（</w:t>
      </w:r>
      <w:r>
        <w:rPr>
          <w:rFonts w:hint="eastAsia" w:ascii="宋体" w:hAnsi="宋体" w:eastAsia="宋体" w:cs="宋体"/>
          <w:color w:val="auto"/>
          <w:sz w:val="24"/>
          <w:szCs w:val="24"/>
          <w:highlight w:val="none"/>
        </w:rPr>
        <w:t>余城组〔2018〕1号</w:t>
      </w:r>
      <w:r>
        <w:rPr>
          <w:rFonts w:hint="eastAsia" w:ascii="宋体" w:hAnsi="宋体" w:eastAsia="宋体" w:cs="宋体"/>
          <w:color w:val="auto"/>
          <w:kern w:val="0"/>
          <w:sz w:val="24"/>
          <w:szCs w:val="24"/>
          <w:highlight w:val="none"/>
        </w:rPr>
        <w:t>）文件精神和</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"http://yhdzgw.yuhang.gov.cn/explorer.jsp" \o "关于印发《余杭区城市管理范围内洁化、市政亮化、绿化、序化分级分类及考核办法》的通知"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关于印发《余杭区城市管理范围内洁化、市政亮化、绿化、序化分级分类及考核办法》的通知 </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》（余城组〔2019〕1号 ）文件精神</w:t>
      </w:r>
      <w:r>
        <w:rPr>
          <w:rFonts w:hint="eastAsia" w:ascii="宋体" w:hAnsi="宋体" w:eastAsia="宋体" w:cs="宋体"/>
          <w:color w:val="auto"/>
          <w:kern w:val="0"/>
          <w:sz w:val="24"/>
          <w:szCs w:val="24"/>
          <w:highlight w:val="none"/>
        </w:rPr>
        <w:t>文件进行打分</w:t>
      </w:r>
      <w:r>
        <w:rPr>
          <w:rFonts w:hint="eastAsia" w:ascii="宋体" w:hAnsi="宋体" w:eastAsia="宋体" w:cs="宋体"/>
          <w:bCs/>
          <w:color w:val="auto"/>
          <w:kern w:val="0"/>
          <w:sz w:val="24"/>
          <w:szCs w:val="24"/>
          <w:highlight w:val="none"/>
        </w:rPr>
        <w:t>，每月考核与资金支付金额挂钩。合同</w:t>
      </w:r>
      <w:r>
        <w:rPr>
          <w:rFonts w:hint="eastAsia" w:ascii="宋体" w:hAnsi="宋体" w:eastAsia="宋体" w:cs="宋体"/>
          <w:bCs/>
          <w:color w:val="auto"/>
          <w:sz w:val="24"/>
          <w:szCs w:val="24"/>
          <w:highlight w:val="none"/>
        </w:rPr>
        <w:t>周期内存在三个月（含）以上月度考核不合格的，</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有权直接终止合同，并按招标文件及合同有关条款执行没收履约保证金等措施。</w:t>
      </w:r>
      <w:r>
        <w:rPr>
          <w:rFonts w:hint="eastAsia" w:ascii="宋体" w:hAnsi="宋体" w:eastAsia="宋体" w:cs="宋体"/>
          <w:bCs/>
          <w:color w:val="auto"/>
          <w:kern w:val="0"/>
          <w:sz w:val="24"/>
          <w:szCs w:val="24"/>
          <w:highlight w:val="none"/>
        </w:rPr>
        <w:t>每月考核得分加和除以12，得出年度平均得分，年度考核得分作为</w:t>
      </w:r>
      <w:r>
        <w:rPr>
          <w:rFonts w:hint="eastAsia" w:ascii="宋体" w:hAnsi="宋体" w:eastAsia="宋体" w:cs="宋体"/>
          <w:bCs/>
          <w:color w:val="auto"/>
          <w:kern w:val="0"/>
          <w:sz w:val="24"/>
          <w:szCs w:val="24"/>
          <w:highlight w:val="none"/>
          <w:lang w:eastAsia="zh-CN"/>
        </w:rPr>
        <w:t>采购人</w:t>
      </w:r>
      <w:r>
        <w:rPr>
          <w:rFonts w:hint="eastAsia" w:ascii="宋体" w:hAnsi="宋体" w:eastAsia="宋体" w:cs="宋体"/>
          <w:bCs/>
          <w:color w:val="auto"/>
          <w:kern w:val="0"/>
          <w:sz w:val="24"/>
          <w:szCs w:val="24"/>
          <w:highlight w:val="none"/>
        </w:rPr>
        <w:t>对养护单位工作完成情况总体评价的重要依据。</w:t>
      </w:r>
    </w:p>
    <w:p>
      <w:pPr>
        <w:keepNext w:val="0"/>
        <w:keepLines w:val="0"/>
        <w:pageBreakBefore w:val="0"/>
        <w:widowControl/>
        <w:kinsoku/>
        <w:wordWrap/>
        <w:overflowPunct/>
        <w:topLinePunct w:val="0"/>
        <w:bidi w:val="0"/>
        <w:adjustRightInd w:val="0"/>
        <w:snapToGrid w:val="0"/>
        <w:spacing w:line="600" w:lineRule="atLeast"/>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（1）评分专项督查考核</w:t>
      </w:r>
    </w:p>
    <w:p>
      <w:pPr>
        <w:keepNext w:val="0"/>
        <w:keepLines w:val="0"/>
        <w:pageBreakBefore w:val="0"/>
        <w:widowControl/>
        <w:tabs>
          <w:tab w:val="left" w:pos="3960"/>
        </w:tabs>
        <w:kinsoku/>
        <w:wordWrap/>
        <w:overflowPunct/>
        <w:topLinePunct w:val="0"/>
        <w:bidi w:val="0"/>
        <w:adjustRightInd w:val="0"/>
        <w:snapToGrid w:val="0"/>
        <w:spacing w:line="6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区长公开电话受理、领导督办、政务平台市民投诉的问题未在规定期限内整改解决的按评分标准从当月清洁度中直接扣0.5分；区级以上检查失分、重大活动保障不力的</w:t>
      </w:r>
      <w:r>
        <w:rPr>
          <w:rFonts w:hint="eastAsia" w:ascii="宋体" w:hAnsi="宋体" w:eastAsia="宋体" w:cs="宋体"/>
          <w:color w:val="auto"/>
          <w:sz w:val="24"/>
          <w:szCs w:val="24"/>
          <w:highlight w:val="none"/>
        </w:rPr>
        <w:t>清运</w:t>
      </w:r>
      <w:r>
        <w:rPr>
          <w:rFonts w:hint="eastAsia" w:ascii="宋体" w:hAnsi="宋体" w:eastAsia="宋体" w:cs="宋体"/>
          <w:color w:val="auto"/>
          <w:kern w:val="0"/>
          <w:sz w:val="24"/>
          <w:szCs w:val="24"/>
          <w:highlight w:val="none"/>
        </w:rPr>
        <w:t>问题经确认有责的按评分标准从当月清洁度中直接扣1分，并视情节予以通报处罚。瞒报交通事故的经查实按考核评分标准在当月清洁度中直接扣0.5分。</w:t>
      </w:r>
    </w:p>
    <w:p>
      <w:pPr>
        <w:keepNext w:val="0"/>
        <w:keepLines w:val="0"/>
        <w:pageBreakBefore w:val="0"/>
        <w:widowControl/>
        <w:tabs>
          <w:tab w:val="left" w:pos="3960"/>
        </w:tabs>
        <w:kinsoku/>
        <w:wordWrap/>
        <w:overflowPunct/>
        <w:topLinePunct w:val="0"/>
        <w:bidi w:val="0"/>
        <w:adjustRightInd w:val="0"/>
        <w:snapToGrid w:val="0"/>
        <w:spacing w:line="6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日常检查时发现途经的问题多，质量差，及时摄录现状情况，并第一时间告知相关责任单位立即整改，同时扣0.5分。若复查发现整改不力的，每发生一次所在标段当月扣1分，计入当月考核成绩。</w:t>
      </w:r>
    </w:p>
    <w:p>
      <w:pPr>
        <w:keepNext w:val="0"/>
        <w:keepLines w:val="0"/>
        <w:pageBreakBefore w:val="0"/>
        <w:widowControl/>
        <w:tabs>
          <w:tab w:val="left" w:pos="3960"/>
        </w:tabs>
        <w:kinsoku/>
        <w:wordWrap/>
        <w:overflowPunct/>
        <w:topLinePunct w:val="0"/>
        <w:bidi w:val="0"/>
        <w:adjustRightInd w:val="0"/>
        <w:snapToGrid w:val="0"/>
        <w:spacing w:line="600" w:lineRule="atLeast"/>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（2）对影响检查考核行为的处理</w:t>
      </w:r>
    </w:p>
    <w:p>
      <w:pPr>
        <w:keepNext w:val="0"/>
        <w:keepLines w:val="0"/>
        <w:pageBreakBefore w:val="0"/>
        <w:widowControl/>
        <w:tabs>
          <w:tab w:val="left" w:pos="3960"/>
        </w:tabs>
        <w:kinsoku/>
        <w:wordWrap/>
        <w:overflowPunct/>
        <w:topLinePunct w:val="0"/>
        <w:bidi w:val="0"/>
        <w:adjustRightInd w:val="0"/>
        <w:snapToGrid w:val="0"/>
        <w:spacing w:line="6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要严格按照招标文件规定积极做好日常保洁及清运工作，要对台帐资料的真实性、准确性负责，不得采用不正常方式应对检查。对影响妨碍检查考核工作正常进行的行为，按下列规定处理：</w:t>
      </w:r>
    </w:p>
    <w:p>
      <w:pPr>
        <w:keepNext w:val="0"/>
        <w:keepLines w:val="0"/>
        <w:pageBreakBefore w:val="0"/>
        <w:widowControl/>
        <w:kinsoku/>
        <w:wordWrap/>
        <w:overflowPunct/>
        <w:topLinePunct w:val="0"/>
        <w:bidi w:val="0"/>
        <w:adjustRightInd w:val="0"/>
        <w:snapToGrid w:val="0"/>
        <w:spacing w:line="600" w:lineRule="atLeast"/>
        <w:ind w:firstLine="472" w:firstLineChars="196"/>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sym w:font="Wingdings" w:char="F081"/>
      </w:r>
      <w:r>
        <w:rPr>
          <w:rFonts w:hint="eastAsia" w:ascii="宋体" w:hAnsi="宋体" w:eastAsia="宋体" w:cs="宋体"/>
          <w:color w:val="auto"/>
          <w:kern w:val="0"/>
          <w:sz w:val="24"/>
          <w:szCs w:val="24"/>
          <w:highlight w:val="none"/>
        </w:rPr>
        <w:t>采用不正常方式有意妨碍、干扰正常检查考核秩序的，每次扣0.5分，扣分值计入所在标段当月考核成绩。</w:t>
      </w:r>
    </w:p>
    <w:p>
      <w:pPr>
        <w:keepNext w:val="0"/>
        <w:keepLines w:val="0"/>
        <w:pageBreakBefore w:val="0"/>
        <w:widowControl/>
        <w:kinsoku/>
        <w:wordWrap/>
        <w:overflowPunct/>
        <w:topLinePunct w:val="0"/>
        <w:bidi w:val="0"/>
        <w:adjustRightInd w:val="0"/>
        <w:snapToGrid w:val="0"/>
        <w:spacing w:line="600" w:lineRule="atLeast"/>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sym w:font="Wingdings" w:char="F082"/>
      </w:r>
      <w:r>
        <w:rPr>
          <w:rFonts w:hint="eastAsia" w:ascii="宋体" w:hAnsi="宋体" w:eastAsia="宋体" w:cs="宋体"/>
          <w:color w:val="auto"/>
          <w:kern w:val="0"/>
          <w:sz w:val="24"/>
          <w:szCs w:val="24"/>
          <w:highlight w:val="none"/>
        </w:rPr>
        <w:t>检查时，阻挠、延误检查人员开展检查的，每次扣1分；</w:t>
      </w:r>
      <w:r>
        <w:rPr>
          <w:rFonts w:hint="eastAsia" w:ascii="宋体" w:hAnsi="宋体" w:eastAsia="宋体" w:cs="宋体"/>
          <w:color w:val="auto"/>
          <w:sz w:val="24"/>
          <w:szCs w:val="24"/>
          <w:highlight w:val="none"/>
        </w:rPr>
        <w:t>清运</w:t>
      </w:r>
      <w:r>
        <w:rPr>
          <w:rFonts w:hint="eastAsia" w:ascii="宋体" w:hAnsi="宋体" w:eastAsia="宋体" w:cs="宋体"/>
          <w:color w:val="auto"/>
          <w:kern w:val="0"/>
          <w:sz w:val="24"/>
          <w:szCs w:val="24"/>
          <w:highlight w:val="none"/>
        </w:rPr>
        <w:t>管理人员或</w:t>
      </w:r>
      <w:r>
        <w:rPr>
          <w:rFonts w:hint="eastAsia" w:ascii="宋体" w:hAnsi="宋体" w:eastAsia="宋体" w:cs="宋体"/>
          <w:color w:val="auto"/>
          <w:sz w:val="24"/>
          <w:szCs w:val="24"/>
          <w:highlight w:val="none"/>
        </w:rPr>
        <w:t>清运</w:t>
      </w:r>
      <w:r>
        <w:rPr>
          <w:rFonts w:hint="eastAsia" w:ascii="宋体" w:hAnsi="宋体" w:eastAsia="宋体" w:cs="宋体"/>
          <w:color w:val="auto"/>
          <w:kern w:val="0"/>
          <w:sz w:val="24"/>
          <w:szCs w:val="24"/>
          <w:highlight w:val="none"/>
        </w:rPr>
        <w:t>员在检查组周边进行突击</w:t>
      </w:r>
      <w:r>
        <w:rPr>
          <w:rFonts w:hint="eastAsia" w:ascii="宋体" w:hAnsi="宋体" w:eastAsia="宋体" w:cs="宋体"/>
          <w:color w:val="auto"/>
          <w:sz w:val="24"/>
          <w:szCs w:val="24"/>
          <w:highlight w:val="none"/>
        </w:rPr>
        <w:t>清运</w:t>
      </w:r>
      <w:r>
        <w:rPr>
          <w:rFonts w:hint="eastAsia" w:ascii="宋体" w:hAnsi="宋体" w:eastAsia="宋体" w:cs="宋体"/>
          <w:color w:val="auto"/>
          <w:kern w:val="0"/>
          <w:sz w:val="24"/>
          <w:szCs w:val="24"/>
          <w:highlight w:val="none"/>
        </w:rPr>
        <w:t>影响正常检查的，每次扣0.5分；扣分值计入所在区当月考核成绩。</w:t>
      </w:r>
    </w:p>
    <w:p>
      <w:pPr>
        <w:keepNext w:val="0"/>
        <w:keepLines w:val="0"/>
        <w:pageBreakBefore w:val="0"/>
        <w:widowControl/>
        <w:tabs>
          <w:tab w:val="left" w:pos="180"/>
        </w:tabs>
        <w:kinsoku/>
        <w:wordWrap/>
        <w:overflowPunct/>
        <w:topLinePunct w:val="0"/>
        <w:bidi w:val="0"/>
        <w:adjustRightInd w:val="0"/>
        <w:snapToGrid w:val="0"/>
        <w:spacing w:line="6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检查组初步认定为跟踪、突击行为的，可立即停止检查，另行安排时间重新检查考核，确保检查考核结果的真实性和公平性。</w:t>
      </w:r>
    </w:p>
    <w:p>
      <w:pPr>
        <w:keepNext w:val="0"/>
        <w:keepLines w:val="0"/>
        <w:pageBreakBefore w:val="0"/>
        <w:widowControl/>
        <w:kinsoku/>
        <w:wordWrap/>
        <w:overflowPunct/>
        <w:topLinePunct w:val="0"/>
        <w:bidi w:val="0"/>
        <w:adjustRightInd w:val="0"/>
        <w:snapToGrid w:val="0"/>
        <w:spacing w:line="600" w:lineRule="atLeas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 xml:space="preserve">   （3）考核结果的公布</w:t>
      </w:r>
    </w:p>
    <w:p>
      <w:pPr>
        <w:keepNext w:val="0"/>
        <w:keepLines w:val="0"/>
        <w:pageBreakBefore w:val="0"/>
        <w:widowControl/>
        <w:kinsoku/>
        <w:wordWrap/>
        <w:overflowPunct/>
        <w:topLinePunct w:val="0"/>
        <w:bidi w:val="0"/>
        <w:adjustRightInd w:val="0"/>
        <w:snapToGrid w:val="0"/>
        <w:spacing w:line="600" w:lineRule="atLeast"/>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管理检查考核年度得分在90分（含）以上的标段为优秀单位，90-85分（含）为良好单位，85-80分（含）为及格单位，80分以下为不合格单位。优胜单位以年度考核成绩得分在90分（含）以上为年度优胜单位。</w:t>
      </w:r>
    </w:p>
    <w:p>
      <w:pPr>
        <w:keepNext w:val="0"/>
        <w:keepLines w:val="0"/>
        <w:pageBreakBefore w:val="0"/>
        <w:kinsoku/>
        <w:wordWrap/>
        <w:overflowPunct/>
        <w:topLinePunct w:val="0"/>
        <w:bidi w:val="0"/>
        <w:spacing w:line="600" w:lineRule="atLeast"/>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4）奖惩措施。</w:t>
      </w:r>
      <w:r>
        <w:rPr>
          <w:rFonts w:hint="eastAsia" w:ascii="宋体" w:hAnsi="宋体" w:eastAsia="宋体" w:cs="宋体"/>
          <w:color w:val="auto"/>
          <w:kern w:val="0"/>
          <w:sz w:val="24"/>
          <w:szCs w:val="24"/>
          <w:highlight w:val="none"/>
        </w:rPr>
        <w:t>①月度考核的奖惩：月度考核成绩得分在90分（含）以上的，全额支付当月经费；月度考核得分在90分以下，每扣1分扣除500元，每月考核成绩与拨付金额挂钩。②年终评比的奖惩：年度考核成绩以12个月考核成绩的平均分作为年度考核成绩，如年终考核90分以上的全额支付合同标的，90分-85分的扣除合同标10%的30%，85分-80分的扣除合同标的10%的50%，80分以下扣除合同标的10%的全部。</w:t>
      </w:r>
      <w:r>
        <w:rPr>
          <w:rFonts w:hint="eastAsia" w:ascii="宋体" w:hAnsi="宋体" w:eastAsia="宋体" w:cs="宋体"/>
          <w:color w:val="auto"/>
          <w:sz w:val="24"/>
          <w:szCs w:val="24"/>
          <w:highlight w:val="none"/>
        </w:rPr>
        <w:t>中标人</w:t>
      </w:r>
      <w:r>
        <w:rPr>
          <w:rFonts w:hint="eastAsia" w:ascii="宋体" w:hAnsi="宋体" w:eastAsia="宋体" w:cs="宋体"/>
          <w:b/>
          <w:color w:val="auto"/>
          <w:sz w:val="24"/>
          <w:szCs w:val="24"/>
          <w:highlight w:val="none"/>
        </w:rPr>
        <w:t>连续三个月考核不合格</w:t>
      </w:r>
      <w:r>
        <w:rPr>
          <w:rFonts w:hint="eastAsia" w:ascii="宋体" w:hAnsi="宋体" w:eastAsia="宋体" w:cs="宋体"/>
          <w:color w:val="auto"/>
          <w:kern w:val="0"/>
          <w:sz w:val="24"/>
          <w:szCs w:val="24"/>
          <w:highlight w:val="none"/>
        </w:rPr>
        <w:t>的标段，</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将提前终止合同，由此造成的损失由中标人自行承担。</w:t>
      </w:r>
    </w:p>
    <w:p>
      <w:pPr>
        <w:keepNext w:val="0"/>
        <w:keepLines w:val="0"/>
        <w:pageBreakBefore w:val="0"/>
        <w:widowControl/>
        <w:kinsoku/>
        <w:wordWrap/>
        <w:overflowPunct/>
        <w:topLinePunct w:val="0"/>
        <w:bidi w:val="0"/>
        <w:adjustRightInd w:val="0"/>
        <w:snapToGrid w:val="0"/>
        <w:spacing w:line="600" w:lineRule="atLeast"/>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 xml:space="preserve">  （三）保障与奖惩措施</w:t>
      </w:r>
    </w:p>
    <w:p>
      <w:pPr>
        <w:keepNext w:val="0"/>
        <w:keepLines w:val="0"/>
        <w:pageBreakBefore w:val="0"/>
        <w:widowControl/>
        <w:kinsoku/>
        <w:wordWrap/>
        <w:overflowPunct/>
        <w:topLinePunct w:val="0"/>
        <w:bidi w:val="0"/>
        <w:adjustRightInd w:val="0"/>
        <w:snapToGrid w:val="0"/>
        <w:spacing w:line="600" w:lineRule="atLeast"/>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 xml:space="preserve">    1、人员保障，</w:t>
      </w:r>
      <w:r>
        <w:rPr>
          <w:rFonts w:hint="eastAsia" w:ascii="宋体" w:hAnsi="宋体" w:eastAsia="宋体" w:cs="宋体"/>
          <w:color w:val="auto"/>
          <w:kern w:val="0"/>
          <w:sz w:val="24"/>
          <w:szCs w:val="24"/>
          <w:highlight w:val="none"/>
        </w:rPr>
        <w:t>检查考核人员原则上由杭州市余杭区仓前街道城建管理办公室人员组成。</w:t>
      </w:r>
    </w:p>
    <w:p>
      <w:pPr>
        <w:keepNext w:val="0"/>
        <w:keepLines w:val="0"/>
        <w:pageBreakBefore w:val="0"/>
        <w:widowControl/>
        <w:kinsoku/>
        <w:wordWrap/>
        <w:overflowPunct/>
        <w:topLinePunct w:val="0"/>
        <w:bidi w:val="0"/>
        <w:adjustRightInd w:val="0"/>
        <w:snapToGrid w:val="0"/>
        <w:spacing w:line="600" w:lineRule="atLeast"/>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 xml:space="preserve">    2、纪律监督</w:t>
      </w:r>
      <w:r>
        <w:rPr>
          <w:rFonts w:hint="eastAsia" w:ascii="宋体" w:hAnsi="宋体" w:eastAsia="宋体" w:cs="宋体"/>
          <w:color w:val="auto"/>
          <w:kern w:val="0"/>
          <w:sz w:val="24"/>
          <w:szCs w:val="24"/>
          <w:highlight w:val="none"/>
        </w:rPr>
        <w:t>。检查考核人员要做到廉洁自律，秉公办事，文明工作，严格检查考核纪律，严格执行检查考核操作规程。检查组成员在检查考核期间一律不得使用私人通讯工具，严禁泄漏检查考核中抽签内容、检查路线、考核成绩等信息。要自觉接受监督，做到检查考核工作客观、透明、公正。</w:t>
      </w:r>
    </w:p>
    <w:p>
      <w:pPr>
        <w:keepNext w:val="0"/>
        <w:keepLines w:val="0"/>
        <w:pageBreakBefore w:val="0"/>
        <w:widowControl/>
        <w:kinsoku/>
        <w:wordWrap/>
        <w:overflowPunct/>
        <w:topLinePunct w:val="0"/>
        <w:bidi w:val="0"/>
        <w:adjustRightInd w:val="0"/>
        <w:snapToGrid w:val="0"/>
        <w:spacing w:line="600" w:lineRule="atLeast"/>
        <w:ind w:firstLine="470" w:firstLineChars="195"/>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3、信息查询。</w:t>
      </w:r>
      <w:r>
        <w:rPr>
          <w:rFonts w:hint="eastAsia" w:ascii="宋体" w:hAnsi="宋体" w:eastAsia="宋体" w:cs="宋体"/>
          <w:color w:val="auto"/>
          <w:kern w:val="0"/>
          <w:sz w:val="24"/>
          <w:szCs w:val="24"/>
          <w:highlight w:val="none"/>
        </w:rPr>
        <w:t>检查考核的全过程对外公开，检查考核的信息和结果公开透明,接受监督和查询。</w:t>
      </w:r>
    </w:p>
    <w:p>
      <w:pPr>
        <w:keepNext w:val="0"/>
        <w:keepLines w:val="0"/>
        <w:pageBreakBefore w:val="0"/>
        <w:widowControl/>
        <w:kinsoku/>
        <w:wordWrap/>
        <w:overflowPunct/>
        <w:topLinePunct w:val="0"/>
        <w:bidi w:val="0"/>
        <w:adjustRightInd w:val="0"/>
        <w:snapToGrid w:val="0"/>
        <w:spacing w:line="600" w:lineRule="atLeast"/>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4、反馈检查情况。</w:t>
      </w:r>
      <w:r>
        <w:rPr>
          <w:rFonts w:hint="eastAsia" w:ascii="宋体" w:hAnsi="宋体" w:eastAsia="宋体" w:cs="宋体"/>
          <w:color w:val="auto"/>
          <w:kern w:val="0"/>
          <w:sz w:val="24"/>
          <w:szCs w:val="24"/>
          <w:highlight w:val="none"/>
        </w:rPr>
        <w:t>杭州市余杭区仓前街道城建管理办公室应于次日将前一日检查考核中发现的问题以书面形式或电子文档形式告知相关单位落实整改；并接受相关单位对当次检查记录的查询。</w:t>
      </w:r>
    </w:p>
    <w:p>
      <w:pPr>
        <w:keepNext w:val="0"/>
        <w:keepLines w:val="0"/>
        <w:pageBreakBefore w:val="0"/>
        <w:widowControl/>
        <w:kinsoku/>
        <w:wordWrap/>
        <w:overflowPunct/>
        <w:topLinePunct w:val="0"/>
        <w:bidi w:val="0"/>
        <w:adjustRightInd w:val="0"/>
        <w:snapToGrid w:val="0"/>
        <w:spacing w:line="600" w:lineRule="atLeast"/>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 xml:space="preserve">  （四）加扣惩罚措施：</w:t>
      </w:r>
    </w:p>
    <w:p>
      <w:pPr>
        <w:keepNext w:val="0"/>
        <w:keepLines w:val="0"/>
        <w:pageBreakBefore w:val="0"/>
        <w:kinsoku/>
        <w:wordWrap/>
        <w:overflowPunct/>
        <w:topLinePunct w:val="0"/>
        <w:bidi w:val="0"/>
        <w:adjustRightInd w:val="0"/>
        <w:snapToGrid w:val="0"/>
        <w:spacing w:line="600" w:lineRule="atLeas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1、仓前街道城建管理办公室对</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承诺用于中标区块范围内的机械设备，每月进行GPS的线路点检，如承诺的设备出现垃圾转运以外线路的情况，每发现一次扣5000元。设备车牌号需同承诺的车牌号码一致，如不一致，视为未能到场。</w:t>
      </w:r>
    </w:p>
    <w:p>
      <w:pPr>
        <w:keepNext w:val="0"/>
        <w:keepLines w:val="0"/>
        <w:pageBreakBefore w:val="0"/>
        <w:kinsoku/>
        <w:wordWrap/>
        <w:overflowPunct/>
        <w:topLinePunct w:val="0"/>
        <w:bidi w:val="0"/>
        <w:adjustRightInd w:val="0"/>
        <w:snapToGrid w:val="0"/>
        <w:spacing w:line="600" w:lineRule="atLeas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2、</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不得将生活垃圾进行混运，可腐垃圾与不可腐垃圾需分类运输，发现一次扣5000元。</w:t>
      </w:r>
    </w:p>
    <w:p>
      <w:pPr>
        <w:keepNext w:val="0"/>
        <w:keepLines w:val="0"/>
        <w:pageBreakBefore w:val="0"/>
        <w:kinsoku/>
        <w:wordWrap/>
        <w:overflowPunct/>
        <w:topLinePunct w:val="0"/>
        <w:bidi w:val="0"/>
        <w:adjustRightInd w:val="0"/>
        <w:snapToGrid w:val="0"/>
        <w:spacing w:line="600" w:lineRule="atLeas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3、被区市有关部门抄告的每次扣5000元</w:t>
      </w:r>
    </w:p>
    <w:p>
      <w:pPr>
        <w:keepNext w:val="0"/>
        <w:keepLines w:val="0"/>
        <w:pageBreakBefore w:val="0"/>
        <w:kinsoku/>
        <w:wordWrap/>
        <w:overflowPunct/>
        <w:topLinePunct w:val="0"/>
        <w:bidi w:val="0"/>
        <w:adjustRightInd w:val="0"/>
        <w:snapToGrid w:val="0"/>
        <w:spacing w:line="600" w:lineRule="atLeas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4、被区级媒体通报的每次扣10000元</w:t>
      </w:r>
    </w:p>
    <w:p>
      <w:pPr>
        <w:keepNext w:val="0"/>
        <w:keepLines w:val="0"/>
        <w:pageBreakBefore w:val="0"/>
        <w:kinsoku/>
        <w:wordWrap/>
        <w:overflowPunct/>
        <w:topLinePunct w:val="0"/>
        <w:bidi w:val="0"/>
        <w:adjustRightInd w:val="0"/>
        <w:snapToGrid w:val="0"/>
        <w:spacing w:line="600" w:lineRule="atLeas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5、被省市媒体通报的每次扣20000元</w:t>
      </w:r>
    </w:p>
    <w:p>
      <w:pPr>
        <w:keepNext w:val="0"/>
        <w:keepLines w:val="0"/>
        <w:pageBreakBefore w:val="0"/>
        <w:kinsoku/>
        <w:wordWrap/>
        <w:overflowPunct/>
        <w:topLinePunct w:val="0"/>
        <w:bidi w:val="0"/>
        <w:adjustRightInd w:val="0"/>
        <w:snapToGrid w:val="0"/>
        <w:spacing w:line="600" w:lineRule="atLeas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6、连续两次被媒体曝光的，甲方有权解除合同。</w:t>
      </w:r>
    </w:p>
    <w:p>
      <w:pPr>
        <w:keepNext w:val="0"/>
        <w:keepLines w:val="0"/>
        <w:pageBreakBefore w:val="0"/>
        <w:numPr>
          <w:ilvl w:val="0"/>
          <w:numId w:val="0"/>
        </w:numPr>
        <w:kinsoku/>
        <w:wordWrap/>
        <w:overflowPunct/>
        <w:topLinePunct w:val="0"/>
        <w:bidi w:val="0"/>
        <w:spacing w:line="600" w:lineRule="atLeast"/>
        <w:ind w:firstLine="480" w:firstLineChars="200"/>
        <w:jc w:val="left"/>
        <w:rPr>
          <w:rFonts w:hint="eastAsia" w:ascii="宋体" w:hAnsi="宋体" w:eastAsia="宋体" w:cs="宋体"/>
          <w:b w:val="0"/>
          <w:bCs w:val="0"/>
          <w:color w:val="auto"/>
          <w:sz w:val="24"/>
          <w:szCs w:val="24"/>
          <w:highlight w:val="none"/>
          <w:lang w:eastAsia="zh-CN"/>
        </w:rPr>
      </w:pPr>
      <w:r>
        <w:rPr>
          <w:rFonts w:hint="eastAsia" w:ascii="宋体" w:hAnsi="宋体" w:eastAsia="宋体" w:cs="宋体"/>
          <w:color w:val="auto"/>
          <w:kern w:val="0"/>
          <w:sz w:val="24"/>
          <w:szCs w:val="24"/>
          <w:highlight w:val="none"/>
        </w:rPr>
        <w:t>7、区级季度考核中，清运单项考核成绩累计最差两次或区级城市管理考核领导小组在示范街创建考核中，因清运不合格导致创建不成功的，甲方有权终止合同。</w:t>
      </w:r>
    </w:p>
    <w:p>
      <w:pPr>
        <w:numPr>
          <w:ilvl w:val="0"/>
          <w:numId w:val="0"/>
        </w:numPr>
        <w:spacing w:line="600" w:lineRule="exact"/>
        <w:ind w:firstLine="480" w:firstLineChars="200"/>
        <w:jc w:val="left"/>
        <w:rPr>
          <w:rFonts w:hint="eastAsia" w:ascii="宋体" w:hAnsi="宋体" w:eastAsia="宋体" w:cs="宋体"/>
          <w:b w:val="0"/>
          <w:bCs w:val="0"/>
          <w:color w:val="auto"/>
          <w:sz w:val="24"/>
          <w:szCs w:val="24"/>
          <w:highlight w:val="none"/>
          <w:lang w:eastAsia="zh-CN"/>
        </w:rPr>
      </w:pPr>
    </w:p>
    <w:p>
      <w:pPr>
        <w:numPr>
          <w:ilvl w:val="0"/>
          <w:numId w:val="0"/>
        </w:numPr>
        <w:spacing w:line="600" w:lineRule="exact"/>
        <w:ind w:firstLine="480" w:firstLineChars="200"/>
        <w:jc w:val="left"/>
        <w:rPr>
          <w:rFonts w:hint="eastAsia" w:ascii="宋体" w:hAnsi="宋体" w:eastAsia="宋体" w:cs="宋体"/>
          <w:b w:val="0"/>
          <w:bCs w:val="0"/>
          <w:color w:val="auto"/>
          <w:sz w:val="24"/>
          <w:szCs w:val="24"/>
          <w:highlight w:val="none"/>
          <w:lang w:eastAsia="zh-CN"/>
        </w:rPr>
        <w:sectPr>
          <w:pgSz w:w="11905" w:h="16838"/>
          <w:pgMar w:top="1531" w:right="1304" w:bottom="1531" w:left="1361" w:header="851" w:footer="992" w:gutter="0"/>
          <w:pgBorders>
            <w:top w:val="none" w:sz="0" w:space="0"/>
            <w:left w:val="none" w:sz="0" w:space="0"/>
            <w:bottom w:val="none" w:sz="0" w:space="0"/>
            <w:right w:val="none" w:sz="0" w:space="0"/>
          </w:pgBorders>
          <w:cols w:space="0" w:num="1"/>
          <w:titlePg/>
          <w:rtlGutter w:val="0"/>
          <w:docGrid w:linePitch="0" w:charSpace="0"/>
        </w:sectPr>
      </w:pP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30" w:name="_Toc184308060"/>
      <w:bookmarkEnd w:id="30"/>
      <w:bookmarkStart w:id="31" w:name="_Toc184308056"/>
      <w:bookmarkEnd w:id="31"/>
      <w:bookmarkStart w:id="32" w:name="_Toc184314420"/>
      <w:bookmarkEnd w:id="32"/>
      <w:bookmarkStart w:id="33" w:name="_Toc184310307"/>
      <w:bookmarkEnd w:id="33"/>
      <w:bookmarkStart w:id="34" w:name="_Toc184312076"/>
      <w:bookmarkEnd w:id="34"/>
      <w:bookmarkStart w:id="35" w:name="_Toc184308053"/>
      <w:bookmarkEnd w:id="35"/>
      <w:bookmarkStart w:id="36" w:name="_Toc184312095"/>
      <w:bookmarkEnd w:id="36"/>
      <w:bookmarkStart w:id="37" w:name="_Toc184314469"/>
      <w:bookmarkEnd w:id="37"/>
      <w:bookmarkStart w:id="38" w:name="_Toc184314456"/>
      <w:bookmarkEnd w:id="38"/>
      <w:bookmarkStart w:id="39" w:name="_Toc184312078"/>
      <w:bookmarkEnd w:id="39"/>
      <w:bookmarkStart w:id="40" w:name="_Toc184313281"/>
      <w:bookmarkEnd w:id="40"/>
      <w:bookmarkStart w:id="41" w:name="_Toc184308054"/>
      <w:bookmarkEnd w:id="41"/>
      <w:bookmarkStart w:id="42" w:name="_Toc184314481"/>
      <w:bookmarkEnd w:id="42"/>
      <w:bookmarkStart w:id="43" w:name="_Toc184312122"/>
      <w:bookmarkEnd w:id="43"/>
      <w:bookmarkStart w:id="44" w:name="_Toc184312107"/>
      <w:bookmarkEnd w:id="44"/>
      <w:bookmarkStart w:id="45" w:name="_Toc184308077"/>
      <w:bookmarkEnd w:id="45"/>
      <w:bookmarkStart w:id="46" w:name="_Toc184313300"/>
      <w:bookmarkEnd w:id="46"/>
      <w:bookmarkStart w:id="47" w:name="_Toc184310323"/>
      <w:bookmarkEnd w:id="47"/>
      <w:bookmarkStart w:id="48" w:name="_Toc184314428"/>
      <w:bookmarkEnd w:id="48"/>
      <w:bookmarkStart w:id="49" w:name="_Toc184312079"/>
      <w:bookmarkEnd w:id="49"/>
      <w:bookmarkStart w:id="50" w:name="_Toc184308074"/>
      <w:bookmarkEnd w:id="50"/>
      <w:bookmarkStart w:id="51" w:name="_Toc184313293"/>
      <w:bookmarkEnd w:id="51"/>
      <w:bookmarkStart w:id="52" w:name="_Toc184308082"/>
      <w:bookmarkEnd w:id="52"/>
      <w:bookmarkStart w:id="53" w:name="_Toc184314444"/>
      <w:bookmarkEnd w:id="53"/>
      <w:bookmarkStart w:id="54" w:name="_Toc184313248"/>
      <w:bookmarkEnd w:id="54"/>
      <w:bookmarkStart w:id="55" w:name="_Toc184310313"/>
      <w:bookmarkEnd w:id="55"/>
      <w:bookmarkStart w:id="56" w:name="_Toc184314475"/>
      <w:bookmarkEnd w:id="56"/>
      <w:bookmarkStart w:id="57" w:name="_Toc184310285"/>
      <w:bookmarkEnd w:id="57"/>
      <w:bookmarkStart w:id="58" w:name="_Toc184308095"/>
      <w:bookmarkEnd w:id="58"/>
      <w:bookmarkStart w:id="59" w:name="_Toc184308094"/>
      <w:bookmarkEnd w:id="59"/>
      <w:bookmarkStart w:id="60" w:name="_Toc184310315"/>
      <w:bookmarkEnd w:id="60"/>
      <w:bookmarkStart w:id="61" w:name="_Toc184312138"/>
      <w:bookmarkEnd w:id="61"/>
      <w:bookmarkStart w:id="62" w:name="_Toc184312117"/>
      <w:bookmarkEnd w:id="62"/>
      <w:bookmarkStart w:id="63" w:name="_Toc184310294"/>
      <w:bookmarkEnd w:id="63"/>
      <w:bookmarkStart w:id="64" w:name="_Toc184313239"/>
      <w:bookmarkEnd w:id="64"/>
      <w:bookmarkStart w:id="65" w:name="_Toc184310329"/>
      <w:bookmarkEnd w:id="65"/>
      <w:bookmarkStart w:id="66" w:name="_Toc184308046"/>
      <w:bookmarkEnd w:id="66"/>
      <w:bookmarkStart w:id="67" w:name="_Toc184313276"/>
      <w:bookmarkEnd w:id="67"/>
      <w:bookmarkStart w:id="68" w:name="_Toc184313291"/>
      <w:bookmarkEnd w:id="68"/>
      <w:bookmarkStart w:id="69" w:name="_Toc184313304"/>
      <w:bookmarkEnd w:id="69"/>
      <w:bookmarkStart w:id="70" w:name="_Toc184308107"/>
      <w:bookmarkEnd w:id="70"/>
      <w:bookmarkStart w:id="71" w:name="_Toc184312104"/>
      <w:bookmarkEnd w:id="71"/>
      <w:bookmarkStart w:id="72" w:name="_Toc184314470"/>
      <w:bookmarkEnd w:id="72"/>
      <w:bookmarkStart w:id="73" w:name="_Toc184310341"/>
      <w:bookmarkEnd w:id="73"/>
      <w:bookmarkStart w:id="74" w:name="_Toc184310328"/>
      <w:bookmarkEnd w:id="74"/>
      <w:bookmarkStart w:id="75" w:name="_Toc184310324"/>
      <w:bookmarkEnd w:id="75"/>
      <w:bookmarkStart w:id="76" w:name="_Toc184314429"/>
      <w:bookmarkEnd w:id="76"/>
      <w:bookmarkStart w:id="77" w:name="_Toc184314416"/>
      <w:bookmarkEnd w:id="77"/>
      <w:bookmarkStart w:id="78" w:name="_Toc184314437"/>
      <w:bookmarkEnd w:id="78"/>
      <w:bookmarkStart w:id="79" w:name="_Toc184312086"/>
      <w:bookmarkEnd w:id="79"/>
      <w:bookmarkStart w:id="80" w:name="_Toc184313282"/>
      <w:bookmarkEnd w:id="80"/>
      <w:bookmarkStart w:id="81" w:name="_Toc184310295"/>
      <w:bookmarkEnd w:id="81"/>
      <w:bookmarkStart w:id="82" w:name="_Toc184312126"/>
      <w:bookmarkEnd w:id="82"/>
      <w:bookmarkStart w:id="83" w:name="_Toc184310339"/>
      <w:bookmarkEnd w:id="83"/>
      <w:bookmarkStart w:id="84" w:name="_Toc184314443"/>
      <w:bookmarkEnd w:id="84"/>
      <w:bookmarkStart w:id="85" w:name="_Toc184312124"/>
      <w:bookmarkEnd w:id="85"/>
      <w:bookmarkStart w:id="86" w:name="_Toc184313271"/>
      <w:bookmarkEnd w:id="86"/>
      <w:bookmarkStart w:id="87" w:name="_Toc184308052"/>
      <w:bookmarkEnd w:id="87"/>
      <w:bookmarkStart w:id="88" w:name="_Toc184308085"/>
      <w:bookmarkEnd w:id="88"/>
      <w:bookmarkStart w:id="89" w:name="_Toc184312119"/>
      <w:bookmarkEnd w:id="89"/>
      <w:bookmarkStart w:id="90" w:name="_Toc184312121"/>
      <w:bookmarkEnd w:id="90"/>
      <w:bookmarkStart w:id="91" w:name="_Toc184314449"/>
      <w:bookmarkEnd w:id="91"/>
      <w:bookmarkStart w:id="92" w:name="_Toc184308058"/>
      <w:bookmarkEnd w:id="92"/>
      <w:bookmarkStart w:id="93" w:name="_Toc184314422"/>
      <w:bookmarkEnd w:id="93"/>
      <w:bookmarkStart w:id="94" w:name="_Toc184312125"/>
      <w:bookmarkEnd w:id="94"/>
      <w:bookmarkStart w:id="95" w:name="_Toc184314455"/>
      <w:bookmarkEnd w:id="95"/>
      <w:bookmarkStart w:id="96" w:name="_Toc184310291"/>
      <w:bookmarkEnd w:id="96"/>
      <w:bookmarkStart w:id="97" w:name="_Toc184313246"/>
      <w:bookmarkEnd w:id="97"/>
      <w:bookmarkStart w:id="98" w:name="_Toc184310321"/>
      <w:bookmarkEnd w:id="98"/>
      <w:bookmarkStart w:id="99" w:name="_Toc184310327"/>
      <w:bookmarkEnd w:id="99"/>
      <w:bookmarkStart w:id="100" w:name="_Toc184313269"/>
      <w:bookmarkEnd w:id="100"/>
      <w:bookmarkStart w:id="101" w:name="_Toc184314419"/>
      <w:bookmarkEnd w:id="101"/>
      <w:bookmarkStart w:id="102" w:name="_Toc184308036"/>
      <w:bookmarkEnd w:id="102"/>
      <w:bookmarkStart w:id="103" w:name="_Toc184312135"/>
      <w:bookmarkEnd w:id="103"/>
      <w:bookmarkStart w:id="104" w:name="_Toc184312088"/>
      <w:bookmarkEnd w:id="104"/>
      <w:bookmarkStart w:id="105" w:name="_Toc184313309"/>
      <w:bookmarkEnd w:id="105"/>
      <w:bookmarkStart w:id="106" w:name="_Toc184308088"/>
      <w:bookmarkEnd w:id="106"/>
      <w:bookmarkStart w:id="107" w:name="_Toc184310312"/>
      <w:bookmarkEnd w:id="107"/>
      <w:bookmarkStart w:id="108" w:name="_Toc184312090"/>
      <w:bookmarkEnd w:id="108"/>
      <w:bookmarkStart w:id="109" w:name="_Toc184314430"/>
      <w:bookmarkEnd w:id="109"/>
      <w:bookmarkStart w:id="110" w:name="_Toc184312103"/>
      <w:bookmarkEnd w:id="110"/>
      <w:bookmarkStart w:id="111" w:name="_Toc184310288"/>
      <w:bookmarkEnd w:id="111"/>
      <w:bookmarkStart w:id="112" w:name="_Toc184310310"/>
      <w:bookmarkEnd w:id="112"/>
      <w:bookmarkStart w:id="113" w:name="_Toc184310337"/>
      <w:bookmarkEnd w:id="113"/>
      <w:bookmarkStart w:id="114" w:name="_Toc184314435"/>
      <w:bookmarkEnd w:id="114"/>
      <w:bookmarkStart w:id="115" w:name="_Toc184314461"/>
      <w:bookmarkEnd w:id="115"/>
      <w:bookmarkStart w:id="116" w:name="_Toc184313297"/>
      <w:bookmarkEnd w:id="116"/>
      <w:bookmarkStart w:id="117" w:name="_Toc184308079"/>
      <w:bookmarkEnd w:id="117"/>
      <w:bookmarkStart w:id="118" w:name="_Toc184313238"/>
      <w:bookmarkEnd w:id="118"/>
      <w:bookmarkStart w:id="119" w:name="_Toc184312131"/>
      <w:bookmarkEnd w:id="119"/>
      <w:bookmarkStart w:id="120" w:name="_Toc184310286"/>
      <w:bookmarkEnd w:id="120"/>
      <w:bookmarkStart w:id="121" w:name="_Toc184310303"/>
      <w:bookmarkEnd w:id="121"/>
      <w:bookmarkStart w:id="122" w:name="_Toc184312080"/>
      <w:bookmarkEnd w:id="122"/>
      <w:bookmarkStart w:id="123" w:name="_Toc184313252"/>
      <w:bookmarkEnd w:id="123"/>
      <w:bookmarkStart w:id="124" w:name="_Toc184312093"/>
      <w:bookmarkEnd w:id="124"/>
      <w:bookmarkStart w:id="125" w:name="_Toc184314415"/>
      <w:bookmarkEnd w:id="125"/>
      <w:bookmarkStart w:id="126" w:name="_Toc184312110"/>
      <w:bookmarkEnd w:id="126"/>
      <w:bookmarkStart w:id="127" w:name="_Toc184314472"/>
      <w:bookmarkEnd w:id="127"/>
      <w:bookmarkStart w:id="128" w:name="_Toc184308101"/>
      <w:bookmarkEnd w:id="128"/>
      <w:bookmarkStart w:id="129" w:name="_Toc184312130"/>
      <w:bookmarkEnd w:id="129"/>
      <w:bookmarkStart w:id="130" w:name="_Toc184313284"/>
      <w:bookmarkEnd w:id="130"/>
      <w:bookmarkStart w:id="131" w:name="_Toc184312136"/>
      <w:bookmarkEnd w:id="131"/>
      <w:bookmarkStart w:id="132" w:name="_Toc184313240"/>
      <w:bookmarkEnd w:id="132"/>
      <w:bookmarkStart w:id="133" w:name="_Toc184314413"/>
      <w:bookmarkEnd w:id="133"/>
      <w:bookmarkStart w:id="134" w:name="_Toc184310275"/>
      <w:bookmarkEnd w:id="134"/>
      <w:bookmarkStart w:id="135" w:name="_Toc184312132"/>
      <w:bookmarkEnd w:id="135"/>
      <w:bookmarkStart w:id="136" w:name="_Toc184314426"/>
      <w:bookmarkEnd w:id="136"/>
      <w:bookmarkStart w:id="137" w:name="_Toc184313302"/>
      <w:bookmarkEnd w:id="137"/>
      <w:bookmarkStart w:id="138" w:name="_Toc184312091"/>
      <w:bookmarkEnd w:id="138"/>
      <w:bookmarkStart w:id="139" w:name="_Toc184314466"/>
      <w:bookmarkEnd w:id="139"/>
      <w:bookmarkStart w:id="140" w:name="_Toc184312134"/>
      <w:bookmarkEnd w:id="140"/>
      <w:bookmarkStart w:id="141" w:name="_Toc184313294"/>
      <w:bookmarkEnd w:id="141"/>
      <w:bookmarkStart w:id="142" w:name="_Toc184310293"/>
      <w:bookmarkEnd w:id="142"/>
      <w:bookmarkStart w:id="143" w:name="_Toc184314457"/>
      <w:bookmarkEnd w:id="143"/>
      <w:bookmarkStart w:id="144" w:name="_Toc184308069"/>
      <w:bookmarkEnd w:id="144"/>
      <w:bookmarkStart w:id="145" w:name="_Toc184308051"/>
      <w:bookmarkEnd w:id="145"/>
      <w:bookmarkStart w:id="146" w:name="_Toc184314471"/>
      <w:bookmarkEnd w:id="146"/>
      <w:bookmarkStart w:id="147" w:name="_Toc184312082"/>
      <w:bookmarkEnd w:id="147"/>
      <w:bookmarkStart w:id="148" w:name="_Toc184308075"/>
      <w:bookmarkEnd w:id="148"/>
      <w:bookmarkStart w:id="149" w:name="_Toc184310318"/>
      <w:bookmarkEnd w:id="149"/>
      <w:bookmarkStart w:id="150" w:name="_Toc184310308"/>
      <w:bookmarkEnd w:id="150"/>
      <w:bookmarkStart w:id="151" w:name="_Toc184308103"/>
      <w:bookmarkEnd w:id="151"/>
      <w:bookmarkStart w:id="152" w:name="_Toc184313288"/>
      <w:bookmarkEnd w:id="152"/>
      <w:bookmarkStart w:id="153" w:name="_Toc184310282"/>
      <w:bookmarkEnd w:id="153"/>
      <w:bookmarkStart w:id="154" w:name="_Toc184313283"/>
      <w:bookmarkEnd w:id="154"/>
      <w:bookmarkStart w:id="155" w:name="_Toc184310306"/>
      <w:bookmarkEnd w:id="155"/>
      <w:bookmarkStart w:id="156" w:name="_Toc184313255"/>
      <w:bookmarkEnd w:id="156"/>
      <w:bookmarkStart w:id="157" w:name="_Toc184312133"/>
      <w:bookmarkEnd w:id="157"/>
      <w:bookmarkStart w:id="158" w:name="_Toc184310331"/>
      <w:bookmarkEnd w:id="158"/>
      <w:bookmarkStart w:id="159" w:name="_Toc184314414"/>
      <w:bookmarkEnd w:id="159"/>
      <w:bookmarkStart w:id="160" w:name="_Toc184314452"/>
      <w:bookmarkEnd w:id="160"/>
      <w:bookmarkStart w:id="161" w:name="_Toc184312069"/>
      <w:bookmarkEnd w:id="161"/>
      <w:bookmarkStart w:id="162" w:name="_Toc184308070"/>
      <w:bookmarkEnd w:id="162"/>
      <w:bookmarkStart w:id="163" w:name="_Toc184313277"/>
      <w:bookmarkEnd w:id="163"/>
      <w:bookmarkStart w:id="164" w:name="_Toc184313249"/>
      <w:bookmarkEnd w:id="164"/>
      <w:bookmarkStart w:id="165" w:name="_Toc184308097"/>
      <w:bookmarkEnd w:id="165"/>
      <w:bookmarkStart w:id="166" w:name="_Toc184308055"/>
      <w:bookmarkEnd w:id="166"/>
      <w:bookmarkStart w:id="167" w:name="_Toc184310305"/>
      <w:bookmarkEnd w:id="167"/>
      <w:bookmarkStart w:id="168" w:name="_Toc184314424"/>
      <w:bookmarkEnd w:id="168"/>
      <w:bookmarkStart w:id="169" w:name="_Toc184314454"/>
      <w:bookmarkEnd w:id="169"/>
      <w:bookmarkStart w:id="170" w:name="_Toc184308084"/>
      <w:bookmarkEnd w:id="170"/>
      <w:bookmarkStart w:id="171" w:name="_Toc184313306"/>
      <w:bookmarkEnd w:id="171"/>
      <w:bookmarkStart w:id="172" w:name="_Toc184313307"/>
      <w:bookmarkEnd w:id="172"/>
      <w:bookmarkStart w:id="173" w:name="_Toc184313310"/>
      <w:bookmarkEnd w:id="173"/>
      <w:bookmarkStart w:id="174" w:name="_Toc184308105"/>
      <w:bookmarkEnd w:id="174"/>
      <w:bookmarkStart w:id="175" w:name="_Toc184314412"/>
      <w:bookmarkEnd w:id="175"/>
      <w:bookmarkStart w:id="176" w:name="_Toc184310320"/>
      <w:bookmarkEnd w:id="176"/>
      <w:bookmarkStart w:id="177" w:name="_Toc184314448"/>
      <w:bookmarkEnd w:id="177"/>
      <w:bookmarkStart w:id="178" w:name="_Toc184313258"/>
      <w:bookmarkEnd w:id="178"/>
      <w:bookmarkStart w:id="179" w:name="_Toc184310319"/>
      <w:bookmarkEnd w:id="179"/>
      <w:bookmarkStart w:id="180" w:name="_Toc184310300"/>
      <w:bookmarkEnd w:id="180"/>
      <w:bookmarkStart w:id="181" w:name="_Toc184308073"/>
      <w:bookmarkEnd w:id="181"/>
      <w:bookmarkStart w:id="182" w:name="_Toc184312073"/>
      <w:bookmarkEnd w:id="182"/>
      <w:bookmarkStart w:id="183" w:name="_Toc184313286"/>
      <w:bookmarkEnd w:id="183"/>
      <w:bookmarkStart w:id="184" w:name="_Toc184313289"/>
      <w:bookmarkEnd w:id="184"/>
      <w:bookmarkStart w:id="185" w:name="_Toc184310317"/>
      <w:bookmarkEnd w:id="185"/>
      <w:bookmarkStart w:id="186" w:name="_Toc184314451"/>
      <w:bookmarkEnd w:id="186"/>
      <w:bookmarkStart w:id="187" w:name="_Toc184308093"/>
      <w:bookmarkEnd w:id="187"/>
      <w:bookmarkStart w:id="188" w:name="_Toc184308045"/>
      <w:bookmarkEnd w:id="188"/>
      <w:bookmarkStart w:id="189" w:name="_Toc184310281"/>
      <w:bookmarkEnd w:id="189"/>
      <w:bookmarkStart w:id="190" w:name="_Toc184314445"/>
      <w:bookmarkEnd w:id="190"/>
      <w:bookmarkStart w:id="191" w:name="_Toc184314476"/>
      <w:bookmarkEnd w:id="191"/>
      <w:bookmarkStart w:id="192" w:name="_Toc184310283"/>
      <w:bookmarkEnd w:id="192"/>
      <w:bookmarkStart w:id="193" w:name="_Toc184314450"/>
      <w:bookmarkEnd w:id="193"/>
      <w:bookmarkStart w:id="194" w:name="_Toc184314459"/>
      <w:bookmarkEnd w:id="194"/>
      <w:bookmarkStart w:id="195" w:name="_Toc184310330"/>
      <w:bookmarkEnd w:id="195"/>
      <w:bookmarkStart w:id="196" w:name="_Toc184308108"/>
      <w:bookmarkEnd w:id="196"/>
      <w:bookmarkStart w:id="197" w:name="_Toc184314464"/>
      <w:bookmarkEnd w:id="197"/>
      <w:bookmarkStart w:id="198" w:name="_Toc184312112"/>
      <w:bookmarkEnd w:id="198"/>
      <w:bookmarkStart w:id="199" w:name="_Toc184312115"/>
      <w:bookmarkEnd w:id="199"/>
      <w:bookmarkStart w:id="200" w:name="_Toc184312071"/>
      <w:bookmarkEnd w:id="200"/>
      <w:bookmarkStart w:id="201" w:name="_Toc184310284"/>
      <w:bookmarkEnd w:id="201"/>
      <w:bookmarkStart w:id="202" w:name="_Toc184310332"/>
      <w:bookmarkEnd w:id="202"/>
      <w:bookmarkStart w:id="203" w:name="_Toc184308042"/>
      <w:bookmarkEnd w:id="203"/>
      <w:bookmarkStart w:id="204" w:name="_Toc184314427"/>
      <w:bookmarkEnd w:id="204"/>
      <w:bookmarkStart w:id="205" w:name="_Toc184308076"/>
      <w:bookmarkEnd w:id="205"/>
      <w:bookmarkStart w:id="206" w:name="_Toc184312114"/>
      <w:bookmarkEnd w:id="206"/>
      <w:bookmarkStart w:id="207" w:name="_Toc184308104"/>
      <w:bookmarkEnd w:id="207"/>
      <w:bookmarkStart w:id="208" w:name="_Toc184310309"/>
      <w:bookmarkEnd w:id="208"/>
      <w:bookmarkStart w:id="209" w:name="_Toc184314411"/>
      <w:bookmarkEnd w:id="209"/>
      <w:bookmarkStart w:id="210" w:name="_Toc184308078"/>
      <w:bookmarkEnd w:id="210"/>
      <w:bookmarkStart w:id="211" w:name="_Toc184308099"/>
      <w:bookmarkEnd w:id="211"/>
      <w:bookmarkStart w:id="212" w:name="_Toc184310298"/>
      <w:bookmarkEnd w:id="212"/>
      <w:bookmarkStart w:id="213" w:name="_Toc184314421"/>
      <w:bookmarkEnd w:id="213"/>
      <w:bookmarkStart w:id="214" w:name="_Toc184314474"/>
      <w:bookmarkEnd w:id="214"/>
      <w:bookmarkStart w:id="215" w:name="_Toc184308048"/>
      <w:bookmarkEnd w:id="215"/>
      <w:bookmarkStart w:id="216" w:name="_Toc184312120"/>
      <w:bookmarkEnd w:id="216"/>
      <w:bookmarkStart w:id="217" w:name="_Toc184308059"/>
      <w:bookmarkEnd w:id="217"/>
      <w:bookmarkStart w:id="218" w:name="_Toc184312108"/>
      <w:bookmarkEnd w:id="218"/>
      <w:bookmarkStart w:id="219" w:name="_Toc184314468"/>
      <w:bookmarkEnd w:id="219"/>
      <w:bookmarkStart w:id="220" w:name="_Toc184310302"/>
      <w:bookmarkEnd w:id="220"/>
      <w:bookmarkStart w:id="221" w:name="_Toc184310296"/>
      <w:bookmarkEnd w:id="221"/>
      <w:bookmarkStart w:id="222" w:name="_Toc184312139"/>
      <w:bookmarkEnd w:id="222"/>
      <w:bookmarkStart w:id="223" w:name="_Toc184313279"/>
      <w:bookmarkEnd w:id="223"/>
      <w:bookmarkStart w:id="224" w:name="_Toc184312077"/>
      <w:bookmarkEnd w:id="224"/>
      <w:bookmarkStart w:id="225" w:name="_Toc184308047"/>
      <w:bookmarkEnd w:id="225"/>
      <w:bookmarkStart w:id="226" w:name="_Toc184314447"/>
      <w:bookmarkEnd w:id="226"/>
      <w:bookmarkStart w:id="227" w:name="_Toc184313251"/>
      <w:bookmarkEnd w:id="227"/>
      <w:bookmarkStart w:id="228" w:name="_Toc184310299"/>
      <w:bookmarkEnd w:id="228"/>
      <w:bookmarkStart w:id="229" w:name="_Toc184312075"/>
      <w:bookmarkEnd w:id="229"/>
      <w:bookmarkStart w:id="230" w:name="_Toc184312096"/>
      <w:bookmarkEnd w:id="230"/>
      <w:bookmarkStart w:id="231" w:name="_Toc184308040"/>
      <w:bookmarkEnd w:id="231"/>
      <w:bookmarkStart w:id="232" w:name="_Toc184313275"/>
      <w:bookmarkEnd w:id="232"/>
      <w:bookmarkStart w:id="233" w:name="_Toc184310276"/>
      <w:bookmarkEnd w:id="233"/>
      <w:bookmarkStart w:id="234" w:name="_Toc184312089"/>
      <w:bookmarkEnd w:id="234"/>
      <w:bookmarkStart w:id="235" w:name="_Toc184310273"/>
      <w:bookmarkEnd w:id="235"/>
      <w:bookmarkStart w:id="236" w:name="_Toc184310316"/>
      <w:bookmarkEnd w:id="236"/>
      <w:bookmarkStart w:id="237" w:name="_Toc184314479"/>
      <w:bookmarkEnd w:id="237"/>
      <w:bookmarkStart w:id="238" w:name="_Toc184308041"/>
      <w:bookmarkEnd w:id="238"/>
      <w:bookmarkStart w:id="239" w:name="_Toc184310274"/>
      <w:bookmarkEnd w:id="239"/>
      <w:bookmarkStart w:id="240" w:name="_Toc184312087"/>
      <w:bookmarkEnd w:id="240"/>
      <w:bookmarkStart w:id="241" w:name="_Toc184308091"/>
      <w:bookmarkEnd w:id="241"/>
      <w:bookmarkStart w:id="242" w:name="_Toc184308096"/>
      <w:bookmarkEnd w:id="242"/>
      <w:bookmarkStart w:id="243" w:name="_Toc184312070"/>
      <w:bookmarkEnd w:id="243"/>
      <w:bookmarkStart w:id="244" w:name="_Toc184312101"/>
      <w:bookmarkEnd w:id="244"/>
      <w:bookmarkStart w:id="245" w:name="_Toc184308089"/>
      <w:bookmarkEnd w:id="245"/>
      <w:bookmarkStart w:id="246" w:name="_Toc184314439"/>
      <w:bookmarkEnd w:id="246"/>
      <w:bookmarkStart w:id="247" w:name="_Toc184310297"/>
      <w:bookmarkEnd w:id="247"/>
      <w:bookmarkStart w:id="248" w:name="_Toc184312113"/>
      <w:bookmarkEnd w:id="248"/>
      <w:bookmarkStart w:id="249" w:name="_Toc184312123"/>
      <w:bookmarkEnd w:id="249"/>
      <w:bookmarkStart w:id="250" w:name="_Toc184312099"/>
      <w:bookmarkEnd w:id="250"/>
      <w:bookmarkStart w:id="251" w:name="_Toc184308106"/>
      <w:bookmarkEnd w:id="251"/>
      <w:bookmarkStart w:id="252" w:name="_Toc184308081"/>
      <w:bookmarkEnd w:id="252"/>
      <w:bookmarkStart w:id="253" w:name="_Toc184308102"/>
      <w:bookmarkEnd w:id="253"/>
      <w:bookmarkStart w:id="254" w:name="_Toc184312085"/>
      <w:bookmarkEnd w:id="254"/>
      <w:bookmarkStart w:id="255" w:name="_Toc184312098"/>
      <w:bookmarkEnd w:id="255"/>
      <w:bookmarkStart w:id="256" w:name="_Toc184314423"/>
      <w:bookmarkEnd w:id="256"/>
      <w:bookmarkStart w:id="257" w:name="_Toc184313244"/>
      <w:bookmarkEnd w:id="257"/>
      <w:bookmarkStart w:id="258" w:name="_Toc184313243"/>
      <w:bookmarkEnd w:id="258"/>
      <w:bookmarkStart w:id="259" w:name="_Toc184313298"/>
      <w:bookmarkEnd w:id="259"/>
      <w:bookmarkStart w:id="260" w:name="_Toc184312128"/>
      <w:bookmarkEnd w:id="260"/>
      <w:bookmarkStart w:id="261" w:name="_Toc184310344"/>
      <w:bookmarkEnd w:id="261"/>
      <w:bookmarkStart w:id="262" w:name="_Toc184310325"/>
      <w:bookmarkEnd w:id="262"/>
      <w:bookmarkStart w:id="263" w:name="_Toc184308090"/>
      <w:bookmarkEnd w:id="263"/>
      <w:bookmarkStart w:id="264" w:name="_Toc184313296"/>
      <w:bookmarkEnd w:id="264"/>
      <w:bookmarkStart w:id="265" w:name="_Toc184313308"/>
      <w:bookmarkEnd w:id="265"/>
      <w:bookmarkStart w:id="266" w:name="_Toc184310333"/>
      <w:bookmarkEnd w:id="266"/>
      <w:bookmarkStart w:id="267" w:name="_Toc184313245"/>
      <w:bookmarkEnd w:id="267"/>
      <w:bookmarkStart w:id="268" w:name="_Toc184308061"/>
      <w:bookmarkEnd w:id="268"/>
      <w:bookmarkStart w:id="269" w:name="_Toc184313270"/>
      <w:bookmarkEnd w:id="269"/>
      <w:bookmarkStart w:id="270" w:name="_Toc184313241"/>
      <w:bookmarkEnd w:id="270"/>
      <w:bookmarkStart w:id="271" w:name="_Toc184310340"/>
      <w:bookmarkEnd w:id="271"/>
      <w:bookmarkStart w:id="272" w:name="_Toc184308049"/>
      <w:bookmarkEnd w:id="272"/>
      <w:bookmarkStart w:id="273" w:name="_Toc184308037"/>
      <w:bookmarkEnd w:id="273"/>
      <w:bookmarkStart w:id="274" w:name="_Toc184312106"/>
      <w:bookmarkEnd w:id="274"/>
      <w:bookmarkStart w:id="275" w:name="_Toc184308038"/>
      <w:bookmarkEnd w:id="275"/>
      <w:bookmarkStart w:id="276" w:name="_Toc184308098"/>
      <w:bookmarkEnd w:id="276"/>
      <w:bookmarkStart w:id="277" w:name="_Toc184308086"/>
      <w:bookmarkEnd w:id="277"/>
      <w:bookmarkStart w:id="278" w:name="_Toc184314463"/>
      <w:bookmarkEnd w:id="278"/>
      <w:bookmarkStart w:id="279" w:name="_Toc184313287"/>
      <w:bookmarkEnd w:id="279"/>
      <w:bookmarkStart w:id="280" w:name="_Toc184313303"/>
      <w:bookmarkEnd w:id="280"/>
      <w:bookmarkStart w:id="281" w:name="_Toc184313295"/>
      <w:bookmarkEnd w:id="281"/>
      <w:bookmarkStart w:id="282" w:name="_Toc184310272"/>
      <w:bookmarkEnd w:id="282"/>
      <w:bookmarkStart w:id="283" w:name="_Toc184313305"/>
      <w:bookmarkEnd w:id="283"/>
      <w:bookmarkStart w:id="284" w:name="_Toc184314433"/>
      <w:bookmarkEnd w:id="284"/>
      <w:bookmarkStart w:id="285" w:name="_Toc184314442"/>
      <w:bookmarkEnd w:id="285"/>
      <w:bookmarkStart w:id="286" w:name="_Toc184308092"/>
      <w:bookmarkEnd w:id="286"/>
      <w:bookmarkStart w:id="287" w:name="_Toc184310311"/>
      <w:bookmarkEnd w:id="287"/>
      <w:bookmarkStart w:id="288" w:name="_Toc184310335"/>
      <w:bookmarkEnd w:id="288"/>
      <w:bookmarkStart w:id="289" w:name="_Toc184313259"/>
      <w:bookmarkEnd w:id="289"/>
      <w:bookmarkStart w:id="290" w:name="_Toc184308087"/>
      <w:bookmarkEnd w:id="290"/>
      <w:bookmarkStart w:id="291" w:name="_Toc184313273"/>
      <w:bookmarkEnd w:id="291"/>
      <w:bookmarkStart w:id="292" w:name="_Toc184313274"/>
      <w:bookmarkEnd w:id="292"/>
      <w:bookmarkStart w:id="293" w:name="_Toc184314418"/>
      <w:bookmarkEnd w:id="293"/>
      <w:bookmarkStart w:id="294" w:name="_Toc184314477"/>
      <w:bookmarkEnd w:id="294"/>
      <w:bookmarkStart w:id="295" w:name="_Toc184308065"/>
      <w:bookmarkEnd w:id="295"/>
      <w:bookmarkStart w:id="296" w:name="_Toc184312094"/>
      <w:bookmarkEnd w:id="296"/>
      <w:bookmarkStart w:id="297" w:name="_Toc184312083"/>
      <w:bookmarkEnd w:id="297"/>
      <w:bookmarkStart w:id="298" w:name="_Toc184314440"/>
      <w:bookmarkEnd w:id="298"/>
      <w:bookmarkStart w:id="299" w:name="_Toc184312097"/>
      <w:bookmarkEnd w:id="299"/>
      <w:bookmarkStart w:id="300" w:name="_Toc184308071"/>
      <w:bookmarkEnd w:id="300"/>
      <w:bookmarkStart w:id="301" w:name="_Toc184314473"/>
      <w:bookmarkEnd w:id="301"/>
      <w:bookmarkStart w:id="302" w:name="_Toc184312068"/>
      <w:bookmarkEnd w:id="302"/>
      <w:bookmarkStart w:id="303" w:name="_Toc184313262"/>
      <w:bookmarkEnd w:id="303"/>
      <w:bookmarkStart w:id="304" w:name="_Toc184308044"/>
      <w:bookmarkEnd w:id="304"/>
      <w:bookmarkStart w:id="305" w:name="_Toc184313272"/>
      <w:bookmarkEnd w:id="305"/>
      <w:bookmarkStart w:id="306" w:name="_Toc184308066"/>
      <w:bookmarkEnd w:id="306"/>
      <w:bookmarkStart w:id="307" w:name="_Toc184310290"/>
      <w:bookmarkEnd w:id="307"/>
      <w:bookmarkStart w:id="308" w:name="_Toc184313256"/>
      <w:bookmarkEnd w:id="308"/>
      <w:bookmarkStart w:id="309" w:name="_Toc184312092"/>
      <w:bookmarkEnd w:id="309"/>
      <w:bookmarkStart w:id="310" w:name="_Toc184312072"/>
      <w:bookmarkEnd w:id="310"/>
      <w:bookmarkStart w:id="311" w:name="_Toc184313254"/>
      <w:bookmarkEnd w:id="311"/>
      <w:bookmarkStart w:id="312" w:name="_Toc184308064"/>
      <w:bookmarkEnd w:id="312"/>
      <w:bookmarkStart w:id="313" w:name="_Toc184314432"/>
      <w:bookmarkEnd w:id="313"/>
      <w:bookmarkStart w:id="314" w:name="_Toc184308063"/>
      <w:bookmarkEnd w:id="314"/>
      <w:bookmarkStart w:id="315" w:name="_Toc184310278"/>
      <w:bookmarkEnd w:id="315"/>
      <w:bookmarkStart w:id="316" w:name="_Toc184314480"/>
      <w:bookmarkEnd w:id="316"/>
      <w:bookmarkStart w:id="317" w:name="_Toc184314425"/>
      <w:bookmarkEnd w:id="317"/>
      <w:bookmarkStart w:id="318" w:name="_Toc184314431"/>
      <w:bookmarkEnd w:id="318"/>
      <w:bookmarkStart w:id="319" w:name="_Toc184314458"/>
      <w:bookmarkEnd w:id="319"/>
      <w:bookmarkStart w:id="320" w:name="_Toc184313242"/>
      <w:bookmarkEnd w:id="320"/>
      <w:bookmarkStart w:id="321" w:name="_Toc184313264"/>
      <w:bookmarkEnd w:id="321"/>
      <w:bookmarkStart w:id="322" w:name="_Toc184313268"/>
      <w:bookmarkEnd w:id="322"/>
      <w:bookmarkStart w:id="323" w:name="_Toc184313267"/>
      <w:bookmarkEnd w:id="323"/>
      <w:bookmarkStart w:id="324" w:name="_Toc184313266"/>
      <w:bookmarkEnd w:id="324"/>
      <w:bookmarkStart w:id="325" w:name="_Toc184313260"/>
      <w:bookmarkEnd w:id="325"/>
      <w:bookmarkStart w:id="326" w:name="_Toc184314462"/>
      <w:bookmarkEnd w:id="326"/>
      <w:bookmarkStart w:id="327" w:name="_Toc184313265"/>
      <w:bookmarkEnd w:id="327"/>
      <w:bookmarkStart w:id="328" w:name="_Toc184313261"/>
      <w:bookmarkEnd w:id="328"/>
      <w:bookmarkStart w:id="329" w:name="_Toc184308100"/>
      <w:bookmarkEnd w:id="329"/>
      <w:bookmarkStart w:id="330" w:name="_Toc184308067"/>
      <w:bookmarkEnd w:id="330"/>
      <w:bookmarkStart w:id="331" w:name="_Toc184312102"/>
      <w:bookmarkEnd w:id="331"/>
      <w:bookmarkStart w:id="332" w:name="_Toc184312081"/>
      <w:bookmarkEnd w:id="332"/>
      <w:bookmarkStart w:id="333" w:name="_Toc184312109"/>
      <w:bookmarkEnd w:id="333"/>
      <w:bookmarkStart w:id="334" w:name="_Toc184313278"/>
      <w:bookmarkEnd w:id="334"/>
      <w:bookmarkStart w:id="335" w:name="_Toc184308080"/>
      <w:bookmarkEnd w:id="335"/>
      <w:bookmarkStart w:id="336" w:name="_Toc184310342"/>
      <w:bookmarkEnd w:id="336"/>
      <w:bookmarkStart w:id="337" w:name="_Toc184312100"/>
      <w:bookmarkEnd w:id="337"/>
      <w:bookmarkStart w:id="338" w:name="_Toc184308043"/>
      <w:bookmarkEnd w:id="338"/>
      <w:bookmarkStart w:id="339" w:name="_Toc184308083"/>
      <w:bookmarkEnd w:id="339"/>
      <w:bookmarkStart w:id="340" w:name="_Toc184308072"/>
      <w:bookmarkEnd w:id="340"/>
      <w:bookmarkStart w:id="341" w:name="_Toc184310326"/>
      <w:bookmarkEnd w:id="341"/>
      <w:bookmarkStart w:id="342" w:name="_Toc184310322"/>
      <w:bookmarkEnd w:id="342"/>
      <w:bookmarkStart w:id="343" w:name="_Toc184312116"/>
      <w:bookmarkEnd w:id="343"/>
      <w:bookmarkStart w:id="344" w:name="_Toc184308039"/>
      <w:bookmarkEnd w:id="344"/>
      <w:bookmarkStart w:id="345" w:name="_Toc184313285"/>
      <w:bookmarkEnd w:id="345"/>
      <w:bookmarkStart w:id="346" w:name="_Toc184310343"/>
      <w:bookmarkEnd w:id="346"/>
      <w:bookmarkStart w:id="347" w:name="_Toc184308057"/>
      <w:bookmarkEnd w:id="347"/>
      <w:bookmarkStart w:id="348" w:name="_Toc184310334"/>
      <w:bookmarkEnd w:id="348"/>
      <w:bookmarkStart w:id="349" w:name="_Toc184312067"/>
      <w:bookmarkEnd w:id="349"/>
      <w:bookmarkStart w:id="350" w:name="_Toc184314453"/>
      <w:bookmarkEnd w:id="350"/>
      <w:bookmarkStart w:id="351" w:name="_Toc184314434"/>
      <w:bookmarkEnd w:id="351"/>
      <w:bookmarkStart w:id="352" w:name="_Toc184310314"/>
      <w:bookmarkEnd w:id="352"/>
      <w:bookmarkStart w:id="353" w:name="_Toc184314460"/>
      <w:bookmarkEnd w:id="353"/>
      <w:bookmarkStart w:id="354" w:name="_Toc184313292"/>
      <w:bookmarkEnd w:id="354"/>
      <w:bookmarkStart w:id="355" w:name="_Toc184312111"/>
      <w:bookmarkEnd w:id="355"/>
      <w:bookmarkStart w:id="356" w:name="_Toc184313299"/>
      <w:bookmarkEnd w:id="356"/>
      <w:bookmarkStart w:id="357" w:name="_Toc184308062"/>
      <w:bookmarkEnd w:id="357"/>
      <w:bookmarkStart w:id="358" w:name="_Toc184314465"/>
      <w:bookmarkEnd w:id="358"/>
      <w:bookmarkStart w:id="359" w:name="_Toc184310301"/>
      <w:bookmarkEnd w:id="359"/>
      <w:bookmarkStart w:id="360" w:name="_Toc184310277"/>
      <w:bookmarkEnd w:id="360"/>
      <w:bookmarkStart w:id="361" w:name="_Toc184310338"/>
      <w:bookmarkEnd w:id="361"/>
      <w:bookmarkStart w:id="362" w:name="_Toc184308050"/>
      <w:bookmarkEnd w:id="362"/>
      <w:bookmarkStart w:id="363" w:name="_Toc184314467"/>
      <w:bookmarkEnd w:id="363"/>
      <w:bookmarkStart w:id="364" w:name="_Toc184314482"/>
      <w:bookmarkEnd w:id="364"/>
      <w:bookmarkStart w:id="365" w:name="_Toc184308068"/>
      <w:bookmarkEnd w:id="365"/>
      <w:bookmarkStart w:id="366" w:name="_Toc184314438"/>
      <w:bookmarkEnd w:id="366"/>
      <w:bookmarkStart w:id="367" w:name="_Toc184312074"/>
      <w:bookmarkEnd w:id="367"/>
      <w:bookmarkStart w:id="368" w:name="_Toc184312105"/>
      <w:bookmarkEnd w:id="368"/>
      <w:bookmarkStart w:id="369" w:name="_Toc184312127"/>
      <w:bookmarkEnd w:id="369"/>
      <w:bookmarkStart w:id="370" w:name="_Toc184314410"/>
      <w:bookmarkEnd w:id="370"/>
      <w:bookmarkStart w:id="371" w:name="_Toc184310292"/>
      <w:bookmarkEnd w:id="371"/>
      <w:bookmarkStart w:id="372" w:name="_Toc184313250"/>
      <w:bookmarkEnd w:id="372"/>
      <w:bookmarkStart w:id="373" w:name="_Toc184312137"/>
      <w:bookmarkEnd w:id="373"/>
      <w:bookmarkStart w:id="374" w:name="_Toc184313257"/>
      <w:bookmarkEnd w:id="374"/>
      <w:bookmarkStart w:id="375" w:name="_Toc184313253"/>
      <w:bookmarkEnd w:id="375"/>
      <w:bookmarkStart w:id="376" w:name="_Toc184310304"/>
      <w:bookmarkEnd w:id="376"/>
      <w:bookmarkStart w:id="377" w:name="_Toc184314436"/>
      <w:bookmarkEnd w:id="377"/>
      <w:bookmarkStart w:id="378" w:name="_Toc184313247"/>
      <w:bookmarkEnd w:id="378"/>
      <w:bookmarkStart w:id="379" w:name="_Toc184310279"/>
      <w:bookmarkEnd w:id="379"/>
      <w:bookmarkStart w:id="380" w:name="_Toc184310289"/>
      <w:bookmarkEnd w:id="380"/>
      <w:bookmarkStart w:id="381" w:name="_Toc184313301"/>
      <w:bookmarkEnd w:id="381"/>
      <w:bookmarkStart w:id="382" w:name="_Toc184314417"/>
      <w:bookmarkEnd w:id="382"/>
      <w:bookmarkStart w:id="383" w:name="_Toc184314478"/>
      <w:bookmarkEnd w:id="383"/>
      <w:bookmarkStart w:id="384" w:name="_Toc184314441"/>
      <w:bookmarkEnd w:id="384"/>
      <w:bookmarkStart w:id="385" w:name="_Toc184310336"/>
      <w:bookmarkEnd w:id="385"/>
      <w:bookmarkStart w:id="386" w:name="_Toc184312118"/>
      <w:bookmarkEnd w:id="386"/>
      <w:bookmarkStart w:id="387" w:name="_Toc184313290"/>
      <w:bookmarkEnd w:id="387"/>
      <w:bookmarkStart w:id="388" w:name="_Toc184312084"/>
      <w:bookmarkEnd w:id="388"/>
      <w:bookmarkStart w:id="389" w:name="_Toc184313280"/>
      <w:bookmarkEnd w:id="389"/>
      <w:bookmarkStart w:id="390" w:name="_Toc184313263"/>
      <w:bookmarkEnd w:id="390"/>
      <w:bookmarkStart w:id="391" w:name="_Toc184310287"/>
      <w:bookmarkEnd w:id="391"/>
      <w:bookmarkStart w:id="392" w:name="_Toc184314446"/>
      <w:bookmarkEnd w:id="392"/>
      <w:bookmarkStart w:id="393" w:name="_Toc184312129"/>
      <w:bookmarkEnd w:id="393"/>
      <w:bookmarkStart w:id="394" w:name="_Toc184310280"/>
      <w:bookmarkEnd w:id="394"/>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tbl>
      <w:tblPr>
        <w:tblStyle w:val="62"/>
        <w:tblW w:w="9799" w:type="dxa"/>
        <w:tblInd w:w="-2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3"/>
        <w:gridCol w:w="6408"/>
        <w:gridCol w:w="654"/>
        <w:gridCol w:w="921"/>
        <w:gridCol w:w="1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13" w:type="dxa"/>
            <w:noWrap w:val="0"/>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6408" w:type="dxa"/>
            <w:noWrap w:val="0"/>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评分内容</w:t>
            </w:r>
          </w:p>
        </w:tc>
        <w:tc>
          <w:tcPr>
            <w:tcW w:w="654" w:type="dxa"/>
            <w:noWrap w:val="0"/>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分值（30分）</w:t>
            </w:r>
          </w:p>
        </w:tc>
        <w:tc>
          <w:tcPr>
            <w:tcW w:w="921" w:type="dxa"/>
            <w:noWrap w:val="0"/>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主观分/客观分属性</w:t>
            </w:r>
          </w:p>
        </w:tc>
        <w:tc>
          <w:tcPr>
            <w:tcW w:w="1103" w:type="dxa"/>
            <w:noWrap w:val="0"/>
            <w:vAlign w:val="top"/>
          </w:tcPr>
          <w:p>
            <w:pPr>
              <w:keepNext w:val="0"/>
              <w:keepLines w:val="0"/>
              <w:pageBreakBefore w:val="0"/>
              <w:kinsoku/>
              <w:wordWrap/>
              <w:overflowPunct/>
              <w:topLinePunct w:val="0"/>
              <w:autoSpaceDE/>
              <w:autoSpaceDN/>
              <w:bidi w:val="0"/>
              <w:snapToGrid/>
              <w:spacing w:line="240" w:lineRule="auto"/>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投标文件中评标标准相应的商务技术资料目录*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1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p>
        </w:tc>
        <w:tc>
          <w:tcPr>
            <w:tcW w:w="6408"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管理组织方案：投标人提供管理组织方案</w:t>
            </w:r>
            <w:r>
              <w:rPr>
                <w:rFonts w:hint="eastAsia" w:ascii="宋体" w:hAnsi="宋体" w:eastAsia="宋体" w:cs="宋体"/>
                <w:color w:val="auto"/>
                <w:sz w:val="21"/>
                <w:szCs w:val="21"/>
                <w:highlight w:val="none"/>
                <w:lang w:eastAsia="zh-CN"/>
              </w:rPr>
              <w:t>，完全符合得</w:t>
            </w:r>
            <w:r>
              <w:rPr>
                <w:rFonts w:hint="eastAsia" w:ascii="宋体" w:hAnsi="宋体" w:eastAsia="宋体" w:cs="宋体"/>
                <w:color w:val="auto"/>
                <w:sz w:val="21"/>
                <w:szCs w:val="21"/>
                <w:highlight w:val="none"/>
                <w:lang w:val="en-US" w:eastAsia="zh-CN"/>
              </w:rPr>
              <w:t>7分，基本符合得5分,部分符合得2分，不符合不得分</w:t>
            </w:r>
          </w:p>
        </w:tc>
        <w:tc>
          <w:tcPr>
            <w:tcW w:w="654"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7</w:t>
            </w:r>
          </w:p>
        </w:tc>
        <w:tc>
          <w:tcPr>
            <w:tcW w:w="921"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c>
          <w:tcPr>
            <w:tcW w:w="1103"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13" w:type="dxa"/>
            <w:noWrap w:val="0"/>
            <w:vAlign w:val="center"/>
          </w:tcPr>
          <w:p>
            <w:pPr>
              <w:pStyle w:val="2"/>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p>
        </w:tc>
        <w:tc>
          <w:tcPr>
            <w:tcW w:w="6408"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管理制度方案：投标人提供管理制度方案</w:t>
            </w:r>
            <w:r>
              <w:rPr>
                <w:rFonts w:hint="eastAsia" w:ascii="宋体" w:hAnsi="宋体" w:eastAsia="宋体" w:cs="宋体"/>
                <w:color w:val="auto"/>
                <w:sz w:val="21"/>
                <w:szCs w:val="21"/>
                <w:highlight w:val="none"/>
                <w:lang w:eastAsia="zh-CN"/>
              </w:rPr>
              <w:t>，完全符合得</w:t>
            </w:r>
            <w:r>
              <w:rPr>
                <w:rFonts w:hint="eastAsia" w:ascii="宋体" w:hAnsi="宋体" w:eastAsia="宋体" w:cs="宋体"/>
                <w:color w:val="auto"/>
                <w:sz w:val="21"/>
                <w:szCs w:val="21"/>
                <w:highlight w:val="none"/>
                <w:lang w:val="en-US" w:eastAsia="zh-CN"/>
              </w:rPr>
              <w:t>7分，基本符合得5分,部分符合得2分，不符合不得分</w:t>
            </w:r>
          </w:p>
        </w:tc>
        <w:tc>
          <w:tcPr>
            <w:tcW w:w="654"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7</w:t>
            </w:r>
          </w:p>
        </w:tc>
        <w:tc>
          <w:tcPr>
            <w:tcW w:w="921"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c>
          <w:tcPr>
            <w:tcW w:w="1103"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13" w:type="dxa"/>
            <w:noWrap w:val="0"/>
            <w:vAlign w:val="center"/>
          </w:tcPr>
          <w:p>
            <w:pPr>
              <w:pStyle w:val="2"/>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p>
        </w:tc>
        <w:tc>
          <w:tcPr>
            <w:tcW w:w="6408"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投标人自行提供转运场地，转运场地应手续齐全满足环保消防要求：</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1）提供转运场地环评批复文件的得5分；</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2）提供转运场地消防备案登记表的得5分；</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3）提供转运场地污水已接入市政污水管道证明文件的得5分；</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4）提供转运场地污水检测报告并符合污水排入城镇下水道水质标准的得5分。</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投标文件中提供相关证明材料复印件；</w:t>
            </w:r>
          </w:p>
        </w:tc>
        <w:tc>
          <w:tcPr>
            <w:tcW w:w="65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20</w:t>
            </w:r>
          </w:p>
        </w:tc>
        <w:tc>
          <w:tcPr>
            <w:tcW w:w="921"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客观分</w:t>
            </w:r>
          </w:p>
        </w:tc>
        <w:tc>
          <w:tcPr>
            <w:tcW w:w="1103"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13" w:type="dxa"/>
            <w:noWrap w:val="0"/>
            <w:vAlign w:val="center"/>
          </w:tcPr>
          <w:p>
            <w:pPr>
              <w:pStyle w:val="2"/>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w:t>
            </w:r>
          </w:p>
        </w:tc>
        <w:tc>
          <w:tcPr>
            <w:tcW w:w="6408"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投标人进场作业人员情况：投标人承诺拟派人员不少于20人的得10分，没有不得分；</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rPr>
            </w:pPr>
            <w:r>
              <w:rPr>
                <w:rFonts w:hint="eastAsia" w:ascii="宋体" w:hAnsi="宋体" w:eastAsia="宋体" w:cs="宋体"/>
                <w:b/>
                <w:bCs/>
                <w:color w:val="auto"/>
                <w:sz w:val="21"/>
                <w:szCs w:val="21"/>
                <w:highlight w:val="none"/>
                <w:lang w:val="en-US" w:eastAsia="zh-CN"/>
              </w:rPr>
              <w:t>投标文件中提供承诺书（格式自拟）；</w:t>
            </w:r>
          </w:p>
        </w:tc>
        <w:tc>
          <w:tcPr>
            <w:tcW w:w="654"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10</w:t>
            </w:r>
          </w:p>
        </w:tc>
        <w:tc>
          <w:tcPr>
            <w:tcW w:w="921"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客观分</w:t>
            </w:r>
          </w:p>
        </w:tc>
        <w:tc>
          <w:tcPr>
            <w:tcW w:w="1103"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13" w:type="dxa"/>
            <w:noWrap w:val="0"/>
            <w:vAlign w:val="center"/>
          </w:tcPr>
          <w:p>
            <w:pPr>
              <w:pStyle w:val="2"/>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w:t>
            </w:r>
          </w:p>
        </w:tc>
        <w:tc>
          <w:tcPr>
            <w:tcW w:w="6408"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投标人进场作业设备情况：</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1）投标人承诺重15吨及以上勾臂车不少于3辆的得5分，没有不得分；</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2）投标人承诺压缩箱体不少于8台的得5分，没有不得分；</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3）投标人承诺</w:t>
            </w:r>
            <w:r>
              <w:rPr>
                <w:rFonts w:hint="eastAsia" w:ascii="宋体" w:hAnsi="宋体" w:eastAsia="宋体" w:cs="宋体"/>
                <w:color w:val="auto"/>
                <w:highlight w:val="none"/>
                <w:lang w:eastAsia="zh-CN"/>
              </w:rPr>
              <w:t>处理设施日处理不少于</w:t>
            </w:r>
            <w:r>
              <w:rPr>
                <w:rFonts w:hint="eastAsia" w:ascii="宋体" w:hAnsi="宋体" w:eastAsia="宋体" w:cs="宋体"/>
                <w:color w:val="auto"/>
                <w:highlight w:val="none"/>
                <w:lang w:val="en-US" w:eastAsia="zh-CN"/>
              </w:rPr>
              <w:t>20吨</w:t>
            </w:r>
            <w:r>
              <w:rPr>
                <w:rFonts w:hint="eastAsia" w:ascii="宋体" w:hAnsi="宋体" w:eastAsia="宋体" w:cs="宋体"/>
                <w:color w:val="auto"/>
                <w:sz w:val="21"/>
                <w:szCs w:val="21"/>
                <w:highlight w:val="none"/>
                <w:lang w:val="en-US" w:eastAsia="zh-CN"/>
              </w:rPr>
              <w:t>的得5分，没有不得分；</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sz w:val="21"/>
                <w:szCs w:val="21"/>
                <w:highlight w:val="none"/>
                <w:lang w:val="en-US" w:eastAsia="zh-CN"/>
              </w:rPr>
              <w:t>投标人承诺</w:t>
            </w:r>
            <w:r>
              <w:rPr>
                <w:rFonts w:hint="eastAsia" w:ascii="宋体" w:hAnsi="宋体" w:eastAsia="宋体" w:cs="宋体"/>
                <w:color w:val="auto"/>
                <w:highlight w:val="none"/>
                <w:lang w:val="en-US" w:eastAsia="zh-CN"/>
              </w:rPr>
              <w:t>称重计量设备不少于2台</w:t>
            </w:r>
            <w:r>
              <w:rPr>
                <w:rFonts w:hint="eastAsia" w:ascii="宋体" w:hAnsi="宋体" w:eastAsia="宋体" w:cs="宋体"/>
                <w:color w:val="auto"/>
                <w:sz w:val="21"/>
                <w:szCs w:val="21"/>
                <w:highlight w:val="none"/>
                <w:lang w:val="en-US" w:eastAsia="zh-CN"/>
              </w:rPr>
              <w:t>的得5分，没有不得分；</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投标文件中提供承诺书（格式自拟）；</w:t>
            </w:r>
          </w:p>
        </w:tc>
        <w:tc>
          <w:tcPr>
            <w:tcW w:w="65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20</w:t>
            </w:r>
          </w:p>
        </w:tc>
        <w:tc>
          <w:tcPr>
            <w:tcW w:w="921"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客观分</w:t>
            </w:r>
          </w:p>
        </w:tc>
        <w:tc>
          <w:tcPr>
            <w:tcW w:w="1103"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13" w:type="dxa"/>
            <w:noWrap w:val="0"/>
            <w:vAlign w:val="center"/>
          </w:tcPr>
          <w:p>
            <w:pPr>
              <w:pStyle w:val="2"/>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w:t>
            </w:r>
          </w:p>
        </w:tc>
        <w:tc>
          <w:tcPr>
            <w:tcW w:w="6408"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转运方案：投标人提供生活垃圾集中转运方案</w:t>
            </w:r>
            <w:r>
              <w:rPr>
                <w:rFonts w:hint="eastAsia" w:ascii="宋体" w:hAnsi="宋体" w:eastAsia="宋体" w:cs="宋体"/>
                <w:color w:val="auto"/>
                <w:sz w:val="21"/>
                <w:szCs w:val="21"/>
                <w:highlight w:val="none"/>
                <w:lang w:eastAsia="zh-CN"/>
              </w:rPr>
              <w:t>，完全符合得</w:t>
            </w:r>
            <w:r>
              <w:rPr>
                <w:rFonts w:hint="eastAsia" w:ascii="宋体" w:hAnsi="宋体" w:eastAsia="宋体" w:cs="宋体"/>
                <w:color w:val="auto"/>
                <w:sz w:val="21"/>
                <w:szCs w:val="21"/>
                <w:highlight w:val="none"/>
                <w:lang w:val="en-US" w:eastAsia="zh-CN"/>
              </w:rPr>
              <w:t>5分，基本符合得3分,部分符合得1分，不符合不得分；</w:t>
            </w:r>
          </w:p>
        </w:tc>
        <w:tc>
          <w:tcPr>
            <w:tcW w:w="654"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921"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c>
          <w:tcPr>
            <w:tcW w:w="1103"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13" w:type="dxa"/>
            <w:noWrap w:val="0"/>
            <w:vAlign w:val="center"/>
          </w:tcPr>
          <w:p>
            <w:pPr>
              <w:pStyle w:val="2"/>
              <w:jc w:val="center"/>
              <w:rPr>
                <w:rFonts w:hint="eastAsia" w:ascii="宋体" w:hAnsi="宋体" w:eastAsia="宋体" w:cs="宋体"/>
                <w:snapToGrid w:val="0"/>
                <w:color w:val="auto"/>
                <w:kern w:val="2"/>
                <w:sz w:val="24"/>
                <w:szCs w:val="21"/>
                <w:highlight w:val="none"/>
                <w:lang w:val="en-US" w:eastAsia="zh-CN" w:bidi="ar-SA"/>
              </w:rPr>
            </w:pPr>
            <w:r>
              <w:rPr>
                <w:rFonts w:hint="eastAsia" w:ascii="宋体" w:hAnsi="宋体" w:eastAsia="宋体" w:cs="宋体"/>
                <w:color w:val="auto"/>
                <w:highlight w:val="none"/>
                <w:lang w:val="en-US" w:eastAsia="zh-CN"/>
              </w:rPr>
              <w:t>7</w:t>
            </w:r>
          </w:p>
        </w:tc>
        <w:tc>
          <w:tcPr>
            <w:tcW w:w="6408"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针对投标人提供的垃圾中转站与采购人的远近进行打分；</w:t>
            </w:r>
            <w:r>
              <w:rPr>
                <w:rFonts w:hint="eastAsia" w:ascii="宋体" w:hAnsi="宋体" w:eastAsia="宋体" w:cs="宋体"/>
                <w:b/>
                <w:bCs/>
                <w:color w:val="auto"/>
                <w:sz w:val="21"/>
                <w:szCs w:val="21"/>
                <w:highlight w:val="none"/>
                <w:lang w:val="en-US" w:eastAsia="zh-CN"/>
              </w:rPr>
              <w:t>投标文件中提供响应证明材料复印件；</w:t>
            </w:r>
          </w:p>
        </w:tc>
        <w:tc>
          <w:tcPr>
            <w:tcW w:w="65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w:t>
            </w:r>
          </w:p>
        </w:tc>
        <w:tc>
          <w:tcPr>
            <w:tcW w:w="921"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c>
          <w:tcPr>
            <w:tcW w:w="1103"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1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8</w:t>
            </w:r>
          </w:p>
        </w:tc>
        <w:tc>
          <w:tcPr>
            <w:tcW w:w="6408"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质量保证措施方案：投标人提供质量保证体系和质量保证措施方案</w:t>
            </w:r>
            <w:r>
              <w:rPr>
                <w:rFonts w:hint="eastAsia" w:ascii="宋体" w:hAnsi="宋体" w:eastAsia="宋体" w:cs="宋体"/>
                <w:color w:val="auto"/>
                <w:sz w:val="21"/>
                <w:szCs w:val="21"/>
                <w:highlight w:val="none"/>
                <w:lang w:eastAsia="zh-CN"/>
              </w:rPr>
              <w:t>，完全符合得</w:t>
            </w:r>
            <w:r>
              <w:rPr>
                <w:rFonts w:hint="eastAsia" w:ascii="宋体" w:hAnsi="宋体" w:eastAsia="宋体" w:cs="宋体"/>
                <w:color w:val="auto"/>
                <w:sz w:val="21"/>
                <w:szCs w:val="21"/>
                <w:highlight w:val="none"/>
                <w:lang w:val="en-US" w:eastAsia="zh-CN"/>
              </w:rPr>
              <w:t>5分，基本符合得3分,部分符合得1分，不符合不得分；</w:t>
            </w:r>
          </w:p>
        </w:tc>
        <w:tc>
          <w:tcPr>
            <w:tcW w:w="654"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5</w:t>
            </w:r>
          </w:p>
        </w:tc>
        <w:tc>
          <w:tcPr>
            <w:tcW w:w="921"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c>
          <w:tcPr>
            <w:tcW w:w="1103"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1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9</w:t>
            </w:r>
          </w:p>
        </w:tc>
        <w:tc>
          <w:tcPr>
            <w:tcW w:w="6408"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安全保证措施方案：投标人提供安全保证体系和安全保证措施方案</w:t>
            </w:r>
            <w:r>
              <w:rPr>
                <w:rFonts w:hint="eastAsia" w:ascii="宋体" w:hAnsi="宋体" w:eastAsia="宋体" w:cs="宋体"/>
                <w:color w:val="auto"/>
                <w:sz w:val="21"/>
                <w:szCs w:val="21"/>
                <w:highlight w:val="none"/>
                <w:lang w:eastAsia="zh-CN"/>
              </w:rPr>
              <w:t>，完全符合得</w:t>
            </w:r>
            <w:r>
              <w:rPr>
                <w:rFonts w:hint="eastAsia" w:ascii="宋体" w:hAnsi="宋体" w:eastAsia="宋体" w:cs="宋体"/>
                <w:color w:val="auto"/>
                <w:sz w:val="21"/>
                <w:szCs w:val="21"/>
                <w:highlight w:val="none"/>
                <w:lang w:val="en-US" w:eastAsia="zh-CN"/>
              </w:rPr>
              <w:t>5分，基本符合得3分,部分符合得1分，不符合不得分；</w:t>
            </w:r>
          </w:p>
        </w:tc>
        <w:tc>
          <w:tcPr>
            <w:tcW w:w="654"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5</w:t>
            </w:r>
          </w:p>
        </w:tc>
        <w:tc>
          <w:tcPr>
            <w:tcW w:w="921"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c>
          <w:tcPr>
            <w:tcW w:w="1103"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1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10</w:t>
            </w:r>
          </w:p>
        </w:tc>
        <w:tc>
          <w:tcPr>
            <w:tcW w:w="6408"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color w:val="auto"/>
                <w:sz w:val="21"/>
                <w:szCs w:val="21"/>
                <w:highlight w:val="none"/>
              </w:rPr>
            </w:pPr>
            <w:bookmarkStart w:id="521" w:name="_GoBack"/>
            <w:r>
              <w:rPr>
                <w:rFonts w:hint="eastAsia" w:ascii="宋体" w:hAnsi="宋体" w:eastAsia="宋体" w:cs="宋体"/>
                <w:color w:val="auto"/>
                <w:sz w:val="21"/>
                <w:szCs w:val="21"/>
                <w:highlight w:val="none"/>
                <w:lang w:val="en-US" w:eastAsia="zh-CN"/>
              </w:rPr>
              <w:t>应急方案：投标人提供应急方案</w:t>
            </w:r>
            <w:r>
              <w:rPr>
                <w:rFonts w:hint="eastAsia" w:ascii="宋体" w:hAnsi="宋体" w:eastAsia="宋体" w:cs="宋体"/>
                <w:color w:val="auto"/>
                <w:sz w:val="21"/>
                <w:szCs w:val="21"/>
                <w:highlight w:val="none"/>
                <w:lang w:eastAsia="zh-CN"/>
              </w:rPr>
              <w:t>，完全符合得</w:t>
            </w:r>
            <w:r>
              <w:rPr>
                <w:rFonts w:hint="eastAsia" w:ascii="宋体" w:hAnsi="宋体" w:eastAsia="宋体" w:cs="宋体"/>
                <w:color w:val="auto"/>
                <w:sz w:val="21"/>
                <w:szCs w:val="21"/>
                <w:highlight w:val="none"/>
                <w:lang w:val="en-US" w:eastAsia="zh-CN"/>
              </w:rPr>
              <w:t>5分，基本符合得3分,部分符合得1分，不符合不得分；</w:t>
            </w:r>
            <w:bookmarkEnd w:id="521"/>
          </w:p>
        </w:tc>
        <w:tc>
          <w:tcPr>
            <w:tcW w:w="654"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5</w:t>
            </w:r>
          </w:p>
        </w:tc>
        <w:tc>
          <w:tcPr>
            <w:tcW w:w="921"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c>
          <w:tcPr>
            <w:tcW w:w="1103"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71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6408" w:type="dxa"/>
            <w:noWrap w:val="0"/>
            <w:vAlign w:val="top"/>
          </w:tcPr>
          <w:p>
            <w:pPr>
              <w:keepNext w:val="0"/>
              <w:keepLines w:val="0"/>
              <w:pageBreakBefore w:val="0"/>
              <w:kinsoku/>
              <w:wordWrap/>
              <w:overflowPunct/>
              <w:topLinePunct w:val="0"/>
              <w:autoSpaceDE/>
              <w:autoSpaceDN/>
              <w:bidi w:val="0"/>
              <w:snapToGrid/>
              <w:spacing w:line="240" w:lineRule="auto"/>
              <w:jc w:val="left"/>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有效投标报价的最低价作为评标基准价，其最低报价为满分；按［投标报价得分=（评标基准价/投标报价）*权重］的计算公式计算。</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2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对于未预留份额专门面向中小企业的政府采购服务项目，以及预留份额政府采购服务项目中的非预留部分标项，对小型和微型企业的投标报价给予</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%的扣除，用扣除后的价格参加评审。</w:t>
            </w:r>
          </w:p>
        </w:tc>
        <w:tc>
          <w:tcPr>
            <w:tcW w:w="654" w:type="dxa"/>
            <w:noWrap w:val="0"/>
            <w:vAlign w:val="center"/>
          </w:tcPr>
          <w:p>
            <w:pPr>
              <w:keepNext w:val="0"/>
              <w:keepLines w:val="0"/>
              <w:pageBreakBefore w:val="0"/>
              <w:kinsoku/>
              <w:wordWrap/>
              <w:overflowPunct/>
              <w:topLinePunct w:val="0"/>
              <w:autoSpaceDE/>
              <w:autoSpaceDN/>
              <w:bidi w:val="0"/>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10</w:t>
            </w:r>
          </w:p>
        </w:tc>
        <w:tc>
          <w:tcPr>
            <w:tcW w:w="921"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lang w:eastAsia="zh-CN"/>
              </w:rPr>
            </w:pPr>
          </w:p>
        </w:tc>
        <w:tc>
          <w:tcPr>
            <w:tcW w:w="1103" w:type="dxa"/>
            <w:noWrap w:val="0"/>
            <w:vAlign w:val="center"/>
          </w:tcPr>
          <w:p>
            <w:pPr>
              <w:keepNext w:val="0"/>
              <w:keepLines w:val="0"/>
              <w:pageBreakBefore w:val="0"/>
              <w:kinsoku/>
              <w:wordWrap/>
              <w:overflowPunct/>
              <w:topLinePunct w:val="0"/>
              <w:autoSpaceDE/>
              <w:autoSpaceDN/>
              <w:bidi w:val="0"/>
              <w:snapToGrid/>
              <w:spacing w:line="240" w:lineRule="auto"/>
              <w:textAlignment w:val="auto"/>
              <w:rPr>
                <w:rFonts w:hint="eastAsia" w:ascii="宋体" w:hAnsi="宋体" w:eastAsia="宋体" w:cs="宋体"/>
                <w:color w:val="auto"/>
                <w:sz w:val="21"/>
                <w:szCs w:val="21"/>
                <w:highlight w:val="none"/>
              </w:rPr>
            </w:pPr>
          </w:p>
        </w:tc>
      </w:tr>
    </w:tbl>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85"/>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85"/>
        <w:spacing w:before="0"/>
        <w:ind w:firstLine="480"/>
        <w:rPr>
          <w:rFonts w:hint="eastAsia" w:ascii="宋体" w:hAnsi="宋体" w:eastAsia="宋体" w:cs="宋体"/>
          <w:color w:val="auto"/>
          <w:kern w:val="0"/>
          <w:szCs w:val="24"/>
          <w:highlight w:val="none"/>
          <w:lang w:eastAsia="zh-CN"/>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r>
        <w:rPr>
          <w:rFonts w:hint="eastAsia" w:ascii="宋体" w:hAnsi="宋体" w:eastAsia="宋体" w:cs="宋体"/>
          <w:color w:val="auto"/>
          <w:kern w:val="0"/>
          <w:szCs w:val="24"/>
          <w:highlight w:val="none"/>
          <w:lang w:eastAsia="zh-CN"/>
        </w:rPr>
        <w:t>；</w:t>
      </w:r>
    </w:p>
    <w:p>
      <w:pPr>
        <w:pStyle w:val="85"/>
        <w:spacing w:before="0"/>
        <w:ind w:firstLine="480"/>
        <w:rPr>
          <w:rFonts w:hint="eastAsia" w:ascii="宋体" w:hAnsi="宋体" w:eastAsia="宋体" w:cs="宋体"/>
          <w:color w:val="auto"/>
          <w:kern w:val="0"/>
          <w:szCs w:val="24"/>
          <w:highlight w:val="none"/>
          <w:lang w:eastAsia="zh-CN"/>
        </w:rPr>
      </w:pPr>
      <w:r>
        <w:rPr>
          <w:rFonts w:hint="eastAsia" w:ascii="宋体" w:hAnsi="宋体" w:eastAsia="宋体" w:cs="宋体"/>
          <w:color w:val="auto"/>
          <w:kern w:val="0"/>
          <w:szCs w:val="24"/>
          <w:highlight w:val="none"/>
        </w:rPr>
        <w:t>3.4.1.2大写金额和小写金额不一致的，以大写金额为准</w:t>
      </w:r>
      <w:r>
        <w:rPr>
          <w:rFonts w:hint="eastAsia" w:ascii="宋体" w:hAnsi="宋体" w:eastAsia="宋体" w:cs="宋体"/>
          <w:color w:val="auto"/>
          <w:kern w:val="0"/>
          <w:szCs w:val="24"/>
          <w:highlight w:val="none"/>
          <w:lang w:eastAsia="zh-CN"/>
        </w:rPr>
        <w:t>；</w:t>
      </w:r>
    </w:p>
    <w:p>
      <w:pPr>
        <w:pStyle w:val="85"/>
        <w:spacing w:before="0"/>
        <w:ind w:firstLine="480"/>
        <w:rPr>
          <w:rFonts w:hint="eastAsia" w:ascii="宋体" w:hAnsi="宋体" w:eastAsia="宋体" w:cs="宋体"/>
          <w:color w:val="auto"/>
          <w:kern w:val="0"/>
          <w:szCs w:val="24"/>
          <w:highlight w:val="none"/>
          <w:lang w:eastAsia="zh-CN"/>
        </w:rPr>
      </w:pPr>
      <w:r>
        <w:rPr>
          <w:rFonts w:hint="eastAsia" w:ascii="宋体" w:hAnsi="宋体" w:eastAsia="宋体" w:cs="宋体"/>
          <w:color w:val="auto"/>
          <w:kern w:val="0"/>
          <w:szCs w:val="24"/>
          <w:highlight w:val="none"/>
        </w:rPr>
        <w:t>3.4.1.3单价金额小数点或者百分比有明显错位的，以开标一览表的总价为准，并修改单价</w:t>
      </w:r>
      <w:r>
        <w:rPr>
          <w:rFonts w:hint="eastAsia" w:ascii="宋体" w:hAnsi="宋体" w:eastAsia="宋体" w:cs="宋体"/>
          <w:color w:val="auto"/>
          <w:kern w:val="0"/>
          <w:szCs w:val="24"/>
          <w:highlight w:val="none"/>
          <w:lang w:eastAsia="zh-CN"/>
        </w:rPr>
        <w:t>；</w:t>
      </w:r>
    </w:p>
    <w:p>
      <w:pPr>
        <w:pStyle w:val="85"/>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85"/>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85"/>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eastAsia="宋体" w:cs="宋体"/>
          <w:color w:val="auto"/>
          <w:kern w:val="0"/>
          <w:szCs w:val="24"/>
          <w:highlight w:val="none"/>
          <w:lang w:eastAsia="zh-CN"/>
        </w:rPr>
        <w:t>；</w:t>
      </w:r>
      <w:r>
        <w:rPr>
          <w:rFonts w:hint="eastAsia" w:ascii="宋体" w:hAnsi="宋体" w:eastAsia="宋体" w:cs="宋体"/>
          <w:color w:val="auto"/>
          <w:kern w:val="0"/>
          <w:szCs w:val="24"/>
          <w:highlight w:val="none"/>
        </w:rPr>
        <w:t>投标人不能证明其报价合理性的，评标委员会应当将其作为无效投标处理。</w:t>
      </w:r>
    </w:p>
    <w:p>
      <w:pPr>
        <w:pStyle w:val="85"/>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85"/>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有下列情形之一的，投标无效：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 xml:space="preserve">   4.2.6投标文件出现不是唯一的、有选择性投标报价的</w:t>
      </w:r>
      <w:r>
        <w:rPr>
          <w:rFonts w:hint="eastAsia" w:ascii="宋体" w:hAnsi="宋体" w:eastAsia="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4.2.7投标报价超过招标文件中规定的预算金额或者最高限价的</w:t>
      </w:r>
      <w:r>
        <w:rPr>
          <w:rFonts w:hint="eastAsia" w:ascii="宋体" w:hAnsi="宋体" w:eastAsia="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eastAsia="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4.2.12投标人仅提交备份投标文件，未在电子交易平台传输递交投标文件的，投标无效；</w:t>
      </w:r>
    </w:p>
    <w:p>
      <w:pPr>
        <w:pStyle w:val="5"/>
        <w:ind w:left="862" w:leftChars="205"/>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应当将废标理由通知所有投标人。</w:t>
      </w:r>
    </w:p>
    <w:p>
      <w:pPr>
        <w:pStyle w:val="25"/>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沟通并作书面记录。采购人、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确认后，将修改招标文件，重新组织采购活动。</w:t>
      </w:r>
    </w:p>
    <w:p>
      <w:pPr>
        <w:pStyle w:val="25"/>
        <w:snapToGrid w:val="0"/>
        <w:spacing w:line="360" w:lineRule="auto"/>
        <w:ind w:firstLine="482"/>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有政府采购法第七十一条、第七十二条规定的违法行为之一，影响或者可能影响中标结果的，依照下列规定处理：</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7.1未确定中标供应商的，终止本次政府采购活动，重新开展政府采购活动。</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5"/>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hint="eastAsia" w:ascii="宋体" w:hAnsi="宋体" w:eastAsia="宋体" w:cs="宋体"/>
          <w:color w:val="auto"/>
          <w:highlight w:val="none"/>
        </w:rPr>
      </w:pPr>
    </w:p>
    <w:bookmarkEnd w:id="27"/>
    <w:p>
      <w:pP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395" w:name="第五部分"/>
      <w:bookmarkStart w:id="396" w:name="_Toc86217003"/>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    </w:t>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widowControl/>
        <w:adjustRightInd/>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385"/>
        <w:ind w:firstLine="2843" w:firstLineChars="118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第一部分 合同书</w:t>
      </w:r>
    </w:p>
    <w:p>
      <w:pPr>
        <w:spacing w:before="120" w:line="22" w:lineRule="atLeast"/>
        <w:rPr>
          <w:rFonts w:hint="eastAsia" w:ascii="宋体" w:hAnsi="宋体" w:eastAsia="宋体" w:cs="宋体"/>
          <w:color w:val="auto"/>
          <w:sz w:val="24"/>
          <w:highlight w:val="none"/>
        </w:rPr>
      </w:pPr>
    </w:p>
    <w:p>
      <w:pPr>
        <w:pStyle w:val="5"/>
        <w:rPr>
          <w:rFonts w:hint="eastAsia" w:ascii="宋体" w:hAnsi="宋体" w:eastAsia="宋体" w:cs="宋体"/>
          <w:color w:val="auto"/>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282"/>
        <w:spacing w:before="120" w:line="22" w:lineRule="atLeast"/>
        <w:rPr>
          <w:rFonts w:hint="eastAsia" w:ascii="宋体" w:hAnsi="宋体" w:eastAsia="宋体" w:cs="宋体"/>
          <w:color w:val="auto"/>
          <w:szCs w:val="24"/>
          <w:highlight w:val="none"/>
        </w:rPr>
      </w:pPr>
    </w:p>
    <w:p>
      <w:pPr>
        <w:pStyle w:val="282"/>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pgSz w:w="11905" w:h="16838"/>
          <w:pgMar w:top="1531" w:right="1304" w:bottom="1531" w:left="1361" w:header="851" w:footer="992" w:gutter="0"/>
          <w:pgBorders>
            <w:top w:val="none" w:sz="0" w:space="0"/>
            <w:left w:val="none" w:sz="0" w:space="0"/>
            <w:bottom w:val="none" w:sz="0" w:space="0"/>
            <w:right w:val="none" w:sz="0" w:space="0"/>
          </w:pgBorders>
          <w:cols w:space="0" w:num="1"/>
          <w:titlePg/>
          <w:rtlGutter w:val="0"/>
          <w:docGrid w:linePitch="0" w:charSpace="0"/>
        </w:sectPr>
      </w:pPr>
    </w:p>
    <w:p>
      <w:pPr>
        <w:rPr>
          <w:rFonts w:hint="eastAsia" w:ascii="宋体" w:hAnsi="宋体" w:eastAsia="宋体" w:cs="宋体"/>
          <w:b/>
          <w:color w:val="auto"/>
          <w:sz w:val="24"/>
          <w:highlight w:val="none"/>
        </w:r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（政府采购方式）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仓前街道生活垃圾集中转运项目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（相关评定主体名称）   </w:t>
      </w:r>
      <w:r>
        <w:rPr>
          <w:rFonts w:hint="eastAsia" w:ascii="宋体" w:hAnsi="宋体" w:eastAsia="宋体" w:cs="宋体"/>
          <w:color w:val="auto"/>
          <w:sz w:val="24"/>
          <w:highlight w:val="none"/>
        </w:rPr>
        <w:t>评定，</w:t>
      </w:r>
      <w:r>
        <w:rPr>
          <w:rFonts w:hint="eastAsia" w:ascii="宋体" w:hAnsi="宋体" w:eastAsia="宋体" w:cs="宋体"/>
          <w:color w:val="auto"/>
          <w:sz w:val="24"/>
          <w:highlight w:val="none"/>
          <w:u w:val="single"/>
        </w:rPr>
        <w:t xml:space="preserve">   （中标或者成交供应商名称） </w:t>
      </w:r>
      <w:r>
        <w:rPr>
          <w:rFonts w:hint="eastAsia" w:ascii="宋体" w:hAnsi="宋体" w:eastAsia="宋体" w:cs="宋体"/>
          <w:color w:val="auto"/>
          <w:sz w:val="24"/>
          <w:highlight w:val="none"/>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（中或者成交标供应商名称）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spacing w:line="560" w:lineRule="exact"/>
        <w:ind w:firstLine="482" w:firstLineChars="200"/>
        <w:outlineLvl w:val="0"/>
        <w:rPr>
          <w:rFonts w:hint="eastAsia" w:ascii="宋体" w:hAnsi="宋体" w:eastAsia="宋体" w:cs="宋体"/>
          <w:color w:val="auto"/>
          <w:sz w:val="24"/>
          <w:highlight w:val="none"/>
        </w:rPr>
      </w:pPr>
      <w:bookmarkStart w:id="397" w:name="_Toc19273"/>
      <w:bookmarkStart w:id="398" w:name="_Toc20421"/>
      <w:bookmarkStart w:id="399" w:name="_Toc15367"/>
      <w:bookmarkStart w:id="400" w:name="_Toc22967"/>
      <w:bookmarkStart w:id="401" w:name="_Toc28855"/>
      <w:r>
        <w:rPr>
          <w:rFonts w:hint="eastAsia" w:ascii="宋体" w:hAnsi="宋体" w:eastAsia="宋体" w:cs="宋体"/>
          <w:b/>
          <w:color w:val="auto"/>
          <w:sz w:val="24"/>
          <w:highlight w:val="none"/>
        </w:rPr>
        <w:t>1.1 合同组成部分</w:t>
      </w:r>
      <w:bookmarkEnd w:id="397"/>
      <w:bookmarkEnd w:id="398"/>
      <w:bookmarkEnd w:id="399"/>
      <w:bookmarkEnd w:id="400"/>
      <w:bookmarkEnd w:id="40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中标或者成交通知书；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投标或者响应文件（含澄清或者说明文件）；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采购文件（含澄清或者修改文件）；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其他相关采购文件。</w:t>
      </w:r>
    </w:p>
    <w:p>
      <w:pPr>
        <w:spacing w:line="560" w:lineRule="exact"/>
        <w:ind w:firstLine="482" w:firstLineChars="200"/>
        <w:outlineLvl w:val="0"/>
        <w:rPr>
          <w:rFonts w:hint="eastAsia" w:ascii="宋体" w:hAnsi="宋体" w:eastAsia="宋体" w:cs="宋体"/>
          <w:b/>
          <w:color w:val="auto"/>
          <w:sz w:val="24"/>
          <w:highlight w:val="none"/>
        </w:rPr>
      </w:pPr>
      <w:bookmarkStart w:id="402" w:name="_Toc2918"/>
      <w:bookmarkStart w:id="403" w:name="_Toc22185"/>
      <w:bookmarkStart w:id="404" w:name="_Toc18585"/>
      <w:bookmarkStart w:id="405" w:name="_Toc6311"/>
      <w:bookmarkStart w:id="406" w:name="_Toc6773"/>
      <w:r>
        <w:rPr>
          <w:rFonts w:hint="eastAsia" w:ascii="宋体" w:hAnsi="宋体" w:eastAsia="宋体" w:cs="宋体"/>
          <w:b/>
          <w:color w:val="auto"/>
          <w:sz w:val="24"/>
          <w:highlight w:val="none"/>
        </w:rPr>
        <w:t>1.2 标的</w:t>
      </w:r>
      <w:bookmarkEnd w:id="402"/>
      <w:bookmarkEnd w:id="403"/>
      <w:bookmarkEnd w:id="404"/>
      <w:bookmarkEnd w:id="405"/>
      <w:bookmarkEnd w:id="406"/>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1.2.1 服务内容：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1.2.2 服务标准：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1.2.3 技术保障：</w:t>
      </w:r>
      <w:r>
        <w:rPr>
          <w:rFonts w:hint="eastAsia" w:ascii="宋体" w:hAnsi="宋体" w:eastAsia="宋体" w:cs="宋体"/>
          <w:color w:val="auto"/>
          <w:sz w:val="24"/>
          <w:highlight w:val="none"/>
          <w:u w:val="single"/>
        </w:rPr>
        <w:t>　　　　　　　　　                      　      ；</w:t>
      </w:r>
    </w:p>
    <w:p>
      <w:pPr>
        <w:spacing w:line="5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1.2.4 服务人员组成：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1.2.5合同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（是/否）涉及货物。若涉及货物的的，则：</w:t>
      </w:r>
    </w:p>
    <w:p>
      <w:pPr>
        <w:spacing w:line="560" w:lineRule="exact"/>
        <w:ind w:firstLine="480" w:firstLineChars="200"/>
        <w:rPr>
          <w:rFonts w:hint="eastAsia" w:ascii="宋体" w:hAnsi="宋体" w:eastAsia="宋体" w:cs="宋体"/>
          <w:color w:val="auto"/>
          <w:sz w:val="24"/>
          <w:highlight w:val="none"/>
          <w:u w:val="single"/>
        </w:rPr>
      </w:pPr>
      <w:bookmarkStart w:id="407" w:name="_Toc21124"/>
      <w:bookmarkStart w:id="408" w:name="_Toc5635"/>
      <w:bookmarkStart w:id="409" w:name="_Toc4929"/>
      <w:bookmarkStart w:id="410" w:name="_Toc1386"/>
      <w:bookmarkStart w:id="411" w:name="_Toc13918"/>
      <w:r>
        <w:rPr>
          <w:rFonts w:hint="eastAsia" w:ascii="宋体" w:hAnsi="宋体" w:eastAsia="宋体" w:cs="宋体"/>
          <w:color w:val="auto"/>
          <w:sz w:val="24"/>
          <w:highlight w:val="none"/>
        </w:rPr>
        <w:t>1.2.5.1 货物名称、品牌、规格型号、花色：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 价款</w:t>
      </w:r>
      <w:bookmarkEnd w:id="407"/>
      <w:bookmarkEnd w:id="408"/>
      <w:bookmarkEnd w:id="409"/>
      <w:bookmarkEnd w:id="410"/>
      <w:bookmarkEnd w:id="41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本项目采用以下第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条款规定的计价方式计价。</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1.3.1总价合同，本合同总价（含税）为：￥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vAlign w:val="center"/>
          </w:tcPr>
          <w:p>
            <w:pPr>
              <w:pStyle w:val="105"/>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vAlign w:val="center"/>
          </w:tcPr>
          <w:p>
            <w:pPr>
              <w:pStyle w:val="105"/>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vAlign w:val="center"/>
          </w:tcPr>
          <w:p>
            <w:pPr>
              <w:pStyle w:val="105"/>
              <w:spacing w:line="560" w:lineRule="exact"/>
              <w:ind w:firstLine="200"/>
              <w:jc w:val="center"/>
              <w:rPr>
                <w:rFonts w:hint="eastAsia" w:ascii="宋体" w:hAnsi="宋体" w:eastAsia="宋体" w:cs="宋体"/>
                <w:color w:val="auto"/>
                <w:sz w:val="24"/>
                <w:szCs w:val="24"/>
                <w:highlight w:val="none"/>
              </w:rPr>
            </w:pPr>
          </w:p>
        </w:tc>
      </w:tr>
    </w:tbl>
    <w:p>
      <w:pPr>
        <w:spacing w:line="560" w:lineRule="exact"/>
        <w:ind w:firstLine="480" w:firstLineChars="200"/>
        <w:rPr>
          <w:rFonts w:hint="eastAsia" w:ascii="宋体" w:hAnsi="宋体" w:eastAsia="宋体" w:cs="宋体"/>
          <w:color w:val="auto"/>
          <w:sz w:val="24"/>
          <w:highlight w:val="none"/>
        </w:rPr>
      </w:pPr>
      <w:bookmarkStart w:id="412" w:name="_Toc14993"/>
      <w:bookmarkStart w:id="413" w:name="_Toc30158"/>
      <w:bookmarkStart w:id="414" w:name="_Toc26916"/>
      <w:bookmarkStart w:id="415" w:name="_Toc30506"/>
      <w:bookmarkStart w:id="416" w:name="_Toc3654"/>
      <w:r>
        <w:rPr>
          <w:rFonts w:hint="eastAsia" w:ascii="宋体" w:hAnsi="宋体" w:eastAsia="宋体" w:cs="宋体"/>
          <w:bCs/>
          <w:color w:val="auto"/>
          <w:sz w:val="24"/>
          <w:highlight w:val="none"/>
        </w:rPr>
        <w:t>1.3.2单价合同，本合同单价（含税）标准为：</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。服务工作量的计量方式为：</w:t>
      </w:r>
      <w:r>
        <w:rPr>
          <w:rFonts w:hint="eastAsia" w:ascii="宋体" w:hAnsi="宋体" w:eastAsia="宋体" w:cs="宋体"/>
          <w:bCs/>
          <w:color w:val="auto"/>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。单价合同，在合同履行期间内，根据实际完成的工作量据实结算，但结算总价上限不得超过预算金额或者双方确定的金额￥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pStyle w:val="5"/>
        <w:rPr>
          <w:rFonts w:hint="eastAsia" w:ascii="宋体" w:hAnsi="宋体" w:eastAsia="宋体" w:cs="宋体"/>
          <w:color w:val="auto"/>
          <w:highlight w:val="none"/>
          <w:lang w:val="en-US"/>
        </w:rPr>
      </w:pPr>
      <w:r>
        <w:rPr>
          <w:rFonts w:hint="eastAsia" w:ascii="宋体" w:hAnsi="宋体" w:eastAsia="宋体" w:cs="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2"/>
    <w:bookmarkEnd w:id="413"/>
    <w:bookmarkEnd w:id="414"/>
    <w:bookmarkEnd w:id="415"/>
    <w:bookmarkEnd w:id="416"/>
    <w:p>
      <w:pPr>
        <w:pStyle w:val="617"/>
        <w:spacing w:before="0" w:beforeAutospacing="0" w:after="0" w:afterAutospacing="0" w:line="360" w:lineRule="auto"/>
        <w:ind w:firstLine="480"/>
        <w:rPr>
          <w:rFonts w:hint="eastAsia" w:ascii="宋体" w:hAnsi="宋体" w:eastAsia="宋体" w:cs="宋体"/>
          <w:b/>
          <w:color w:val="auto"/>
          <w:highlight w:val="none"/>
        </w:rPr>
      </w:pPr>
      <w:bookmarkStart w:id="417" w:name="_Toc10340"/>
      <w:bookmarkStart w:id="418" w:name="_Toc1814"/>
      <w:bookmarkStart w:id="419" w:name="_Toc22618"/>
      <w:bookmarkStart w:id="420" w:name="_Toc11108"/>
      <w:bookmarkStart w:id="421" w:name="_Toc3625"/>
      <w:bookmarkStart w:id="422" w:name="_Toc31421"/>
      <w:bookmarkStart w:id="423" w:name="_Toc8772"/>
      <w:bookmarkStart w:id="424" w:name="_Toc4760"/>
      <w:r>
        <w:rPr>
          <w:rFonts w:hint="eastAsia" w:ascii="宋体" w:hAnsi="宋体" w:eastAsia="宋体" w:cs="宋体"/>
          <w:b/>
          <w:color w:val="auto"/>
          <w:highlight w:val="none"/>
        </w:rPr>
        <w:t>1.4履约保证金</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（是/否）需要支付履约保证金。若需要支付履约保证金的，则：</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1.4.1履约保证金的比例为合同金额的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1.4.2履约保证金支付方式详见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5"/>
        <w:tabs>
          <w:tab w:val="left" w:pos="0"/>
        </w:tabs>
        <w:spacing w:line="560" w:lineRule="exact"/>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1.4.4甲方在项目验收结束后及时退还履约保证金。甲方在项目通过验收之日起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highlight w:val="none"/>
          <w:u w:val="single"/>
        </w:rPr>
        <w:t xml:space="preserve">  0.05（可根据情况修改）  </w:t>
      </w:r>
      <w:r>
        <w:rPr>
          <w:rFonts w:hint="eastAsia" w:ascii="宋体" w:hAnsi="宋体" w:eastAsia="宋体" w:cs="宋体"/>
          <w:color w:val="auto"/>
          <w:kern w:val="0"/>
          <w:sz w:val="24"/>
          <w:highlight w:val="none"/>
        </w:rPr>
        <w:t>%计算，最高限额为本合同履约保证金的</w:t>
      </w:r>
      <w:r>
        <w:rPr>
          <w:rFonts w:hint="eastAsia" w:ascii="宋体" w:hAnsi="宋体" w:eastAsia="宋体" w:cs="宋体"/>
          <w:color w:val="auto"/>
          <w:kern w:val="0"/>
          <w:sz w:val="24"/>
          <w:highlight w:val="none"/>
          <w:u w:val="single"/>
        </w:rPr>
        <w:t xml:space="preserve">  20  </w:t>
      </w:r>
      <w:r>
        <w:rPr>
          <w:rFonts w:hint="eastAsia" w:ascii="宋体" w:hAnsi="宋体" w:eastAsia="宋体" w:cs="宋体"/>
          <w:color w:val="auto"/>
          <w:kern w:val="0"/>
          <w:sz w:val="24"/>
          <w:highlight w:val="none"/>
        </w:rPr>
        <w:t xml:space="preserve"> %。</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1.5</w:t>
      </w:r>
      <w:bookmarkEnd w:id="417"/>
      <w:bookmarkEnd w:id="418"/>
      <w:bookmarkEnd w:id="419"/>
      <w:r>
        <w:rPr>
          <w:rFonts w:hint="eastAsia" w:ascii="宋体" w:hAnsi="宋体" w:eastAsia="宋体" w:cs="宋体"/>
          <w:b/>
          <w:color w:val="auto"/>
          <w:sz w:val="24"/>
          <w:highlight w:val="none"/>
        </w:rPr>
        <w:t>预付款</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（是/否）需要支付预付款。若需要支付预付款的，则：</w:t>
      </w:r>
    </w:p>
    <w:p>
      <w:pPr>
        <w:spacing w:line="56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1.5.1预付款比例、支付方式、时间详见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1.5.2预付款的扣回方式详见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617"/>
        <w:spacing w:before="0" w:beforeAutospacing="0" w:after="0" w:afterAutospacing="0" w:line="360" w:lineRule="auto"/>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1.5.3预付款的担保措施详见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617"/>
        <w:spacing w:before="0" w:beforeAutospacing="0" w:after="0" w:afterAutospacing="0" w:line="360" w:lineRule="auto"/>
        <w:ind w:firstLine="480"/>
        <w:rPr>
          <w:rFonts w:hint="eastAsia" w:ascii="宋体" w:hAnsi="宋体" w:eastAsia="宋体" w:cs="宋体"/>
          <w:b/>
          <w:bCs/>
          <w:color w:val="auto"/>
          <w:highlight w:val="none"/>
        </w:rPr>
      </w:pPr>
      <w:r>
        <w:rPr>
          <w:rFonts w:hint="eastAsia" w:ascii="宋体" w:hAnsi="宋体" w:eastAsia="宋体" w:cs="宋体"/>
          <w:b/>
          <w:bCs/>
          <w:color w:val="auto"/>
          <w:highlight w:val="none"/>
        </w:rPr>
        <w:t>1.6资金支付</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1.6.2资金支付的方式、时间和条件详见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1.7 履行期限、地点和方式</w:t>
      </w:r>
      <w:bookmarkEnd w:id="420"/>
      <w:bookmarkEnd w:id="421"/>
      <w:bookmarkEnd w:id="422"/>
      <w:bookmarkEnd w:id="423"/>
      <w:bookmarkEnd w:id="424"/>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1.7.1 服务交付（实施）的时间（期限）：</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 服务交付（实施）的地点（地域范围）：</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1.7.3 服务交付（实施）的方式：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outlineLvl w:val="0"/>
        <w:rPr>
          <w:rFonts w:hint="eastAsia" w:ascii="宋体" w:hAnsi="宋体" w:eastAsia="宋体" w:cs="宋体"/>
          <w:bCs/>
          <w:color w:val="auto"/>
          <w:sz w:val="24"/>
          <w:highlight w:val="none"/>
        </w:rPr>
      </w:pPr>
      <w:bookmarkStart w:id="425" w:name="_Toc8586"/>
      <w:bookmarkStart w:id="426" w:name="_Toc5698"/>
      <w:bookmarkStart w:id="427" w:name="_Toc3079"/>
      <w:bookmarkStart w:id="428" w:name="_Toc24662"/>
      <w:bookmarkStart w:id="429" w:name="_Toc2375"/>
      <w:r>
        <w:rPr>
          <w:rFonts w:hint="eastAsia" w:ascii="宋体" w:hAnsi="宋体" w:eastAsia="宋体" w:cs="宋体"/>
          <w:bCs/>
          <w:color w:val="auto"/>
          <w:sz w:val="24"/>
          <w:highlight w:val="none"/>
        </w:rPr>
        <w:t>1.7.4若服务涉及货物的，则货物的：</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1.7.4.1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1.8违约责任</w:t>
      </w:r>
      <w:bookmarkEnd w:id="425"/>
      <w:bookmarkEnd w:id="426"/>
      <w:bookmarkEnd w:id="427"/>
      <w:bookmarkEnd w:id="428"/>
      <w:bookmarkEnd w:id="42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color w:val="auto"/>
          <w:sz w:val="24"/>
          <w:highlight w:val="none"/>
          <w:u w:val="single"/>
        </w:rPr>
        <w:t xml:space="preserve">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%；迟延履行的违约金计算数额达到前述最高限额之日起，甲方有权在要求乙方支付违约金的同时，书面通知乙方解除本合同；</w:t>
      </w:r>
    </w:p>
    <w:p>
      <w:pPr>
        <w:pStyle w:val="5"/>
        <w:ind w:left="0" w:firstLine="480" w:firstLineChars="2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color w:val="auto"/>
          <w:sz w:val="24"/>
          <w:highlight w:val="none"/>
        </w:rPr>
      </w:pPr>
      <w:bookmarkStart w:id="430" w:name="_Toc9497"/>
      <w:bookmarkStart w:id="431" w:name="_Toc30329"/>
      <w:bookmarkStart w:id="432" w:name="_Toc26807"/>
      <w:bookmarkStart w:id="433" w:name="_Toc32454"/>
      <w:bookmarkStart w:id="434" w:name="_Toc18683"/>
      <w:r>
        <w:rPr>
          <w:rFonts w:hint="eastAsia" w:ascii="宋体" w:hAnsi="宋体" w:eastAsia="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1.8.7违约责任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bookmarkEnd w:id="430"/>
    <w:bookmarkEnd w:id="431"/>
    <w:bookmarkEnd w:id="432"/>
    <w:bookmarkEnd w:id="433"/>
    <w:bookmarkEnd w:id="434"/>
    <w:p>
      <w:pPr>
        <w:spacing w:line="560" w:lineRule="exact"/>
        <w:ind w:firstLine="482" w:firstLineChars="200"/>
        <w:outlineLvl w:val="0"/>
        <w:rPr>
          <w:rFonts w:hint="eastAsia" w:ascii="宋体" w:hAnsi="宋体" w:eastAsia="宋体" w:cs="宋体"/>
          <w:b/>
          <w:color w:val="auto"/>
          <w:sz w:val="24"/>
          <w:highlight w:val="none"/>
        </w:rPr>
      </w:pPr>
      <w:bookmarkStart w:id="435" w:name="_Toc16021"/>
      <w:bookmarkStart w:id="436" w:name="_Toc15583"/>
      <w:bookmarkStart w:id="437" w:name="_Toc28375"/>
      <w:r>
        <w:rPr>
          <w:rFonts w:hint="eastAsia" w:ascii="宋体" w:hAnsi="宋体" w:eastAsia="宋体" w:cs="宋体"/>
          <w:b/>
          <w:color w:val="auto"/>
          <w:sz w:val="24"/>
          <w:highlight w:val="none"/>
        </w:rPr>
        <w:t>1.9合同争议的解决</w:t>
      </w:r>
      <w:bookmarkEnd w:id="435"/>
      <w:bookmarkEnd w:id="436"/>
      <w:bookmarkEnd w:id="437"/>
    </w:p>
    <w:p>
      <w:pPr>
        <w:spacing w:line="560" w:lineRule="exact"/>
        <w:ind w:left="-61" w:leftChars="-29" w:right="-420" w:rightChars="-20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w:t>
      </w:r>
      <w:r>
        <w:rPr>
          <w:rFonts w:hint="eastAsia" w:ascii="宋体" w:hAnsi="宋体" w:eastAsia="宋体" w:cs="宋体"/>
          <w:color w:val="auto"/>
          <w:sz w:val="24"/>
          <w:highlight w:val="none"/>
        </w:rPr>
        <w:t>条款规定的方式解决：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spacing w:line="560" w:lineRule="exact"/>
        <w:ind w:firstLine="482" w:firstLineChars="200"/>
        <w:outlineLvl w:val="0"/>
        <w:rPr>
          <w:rFonts w:hint="eastAsia" w:ascii="宋体" w:hAnsi="宋体" w:eastAsia="宋体" w:cs="宋体"/>
          <w:b/>
          <w:color w:val="auto"/>
          <w:sz w:val="24"/>
          <w:highlight w:val="none"/>
        </w:rPr>
      </w:pPr>
      <w:bookmarkStart w:id="438" w:name="_Toc15322"/>
      <w:bookmarkStart w:id="439" w:name="_Toc7245"/>
      <w:bookmarkStart w:id="440" w:name="_Toc11173"/>
      <w:r>
        <w:rPr>
          <w:rFonts w:hint="eastAsia" w:ascii="宋体" w:hAnsi="宋体" w:eastAsia="宋体" w:cs="宋体"/>
          <w:b/>
          <w:color w:val="auto"/>
          <w:sz w:val="24"/>
          <w:highlight w:val="none"/>
        </w:rPr>
        <w:t>2.0 合同生效</w:t>
      </w:r>
      <w:bookmarkEnd w:id="438"/>
      <w:bookmarkEnd w:id="439"/>
      <w:bookmarkEnd w:id="440"/>
    </w:p>
    <w:p>
      <w:pP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本合同自双方当事人盖章签字时生效。</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                        统一社会信用代码或身份证号码：</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                                   住所：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                             法定代表人或</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授权代表（签字）：                       授权代表（签字）: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                                 联系人：</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                           约定送达地址：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                               邮政编码：</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电话:                                    电话: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                                    传真:</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                               电子邮箱：</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开户账号：</w:t>
      </w:r>
    </w:p>
    <w:p>
      <w:pPr>
        <w:widowControl/>
        <w:spacing w:line="560" w:lineRule="exact"/>
        <w:jc w:val="left"/>
        <w:rPr>
          <w:rFonts w:hint="eastAsia" w:ascii="宋体" w:hAnsi="宋体" w:eastAsia="宋体" w:cs="宋体"/>
          <w:b/>
          <w:color w:val="auto"/>
          <w:sz w:val="24"/>
          <w:highlight w:val="none"/>
        </w:rPr>
      </w:pPr>
    </w:p>
    <w:p>
      <w:pPr>
        <w:widowControl/>
        <w:adjustRightInd/>
        <w:jc w:val="left"/>
        <w:rPr>
          <w:rFonts w:hint="eastAsia" w:ascii="宋体" w:hAnsi="宋体" w:eastAsia="宋体" w:cs="宋体"/>
          <w:b/>
          <w:color w:val="auto"/>
          <w:sz w:val="24"/>
          <w:highlight w:val="none"/>
        </w:rPr>
      </w:pPr>
      <w:r>
        <w:rPr>
          <w:rFonts w:hint="eastAsia" w:ascii="宋体" w:hAnsi="宋体" w:eastAsia="宋体" w:cs="宋体"/>
          <w:b/>
          <w:color w:val="auto"/>
          <w:highlight w:val="none"/>
        </w:rPr>
        <w:br w:type="page"/>
      </w:r>
    </w:p>
    <w:p>
      <w:pPr>
        <w:pStyle w:val="385"/>
        <w:spacing w:line="560" w:lineRule="exact"/>
        <w:ind w:firstLine="482"/>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第二部分 合同一般条款</w:t>
      </w:r>
    </w:p>
    <w:p>
      <w:pPr>
        <w:spacing w:line="560" w:lineRule="exact"/>
        <w:ind w:firstLine="482" w:firstLineChars="200"/>
        <w:outlineLvl w:val="0"/>
        <w:rPr>
          <w:rFonts w:hint="eastAsia" w:ascii="宋体" w:hAnsi="宋体" w:eastAsia="宋体" w:cs="宋体"/>
          <w:b/>
          <w:color w:val="auto"/>
          <w:sz w:val="24"/>
          <w:highlight w:val="none"/>
        </w:rPr>
      </w:pPr>
      <w:bookmarkStart w:id="441" w:name="_Toc25079"/>
      <w:bookmarkStart w:id="442" w:name="_Toc31297"/>
      <w:bookmarkStart w:id="443" w:name="_Toc19680"/>
      <w:bookmarkStart w:id="444" w:name="_Toc5228"/>
      <w:bookmarkStart w:id="445" w:name="_Toc14021"/>
      <w:r>
        <w:rPr>
          <w:rFonts w:hint="eastAsia" w:ascii="宋体" w:hAnsi="宋体" w:eastAsia="宋体" w:cs="宋体"/>
          <w:b/>
          <w:color w:val="auto"/>
          <w:sz w:val="24"/>
          <w:highlight w:val="none"/>
        </w:rPr>
        <w:t>2.1 定义</w:t>
      </w:r>
      <w:bookmarkEnd w:id="441"/>
      <w:bookmarkEnd w:id="442"/>
      <w:bookmarkEnd w:id="443"/>
      <w:bookmarkEnd w:id="444"/>
      <w:bookmarkEnd w:id="44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 “现场”系指合同约定提供服务的地点。</w:t>
      </w:r>
    </w:p>
    <w:p>
      <w:pPr>
        <w:spacing w:line="560" w:lineRule="exact"/>
        <w:ind w:firstLine="482" w:firstLineChars="200"/>
        <w:outlineLvl w:val="0"/>
        <w:rPr>
          <w:rFonts w:hint="eastAsia" w:ascii="宋体" w:hAnsi="宋体" w:eastAsia="宋体" w:cs="宋体"/>
          <w:b/>
          <w:color w:val="auto"/>
          <w:sz w:val="24"/>
          <w:highlight w:val="none"/>
        </w:rPr>
      </w:pPr>
      <w:bookmarkStart w:id="446" w:name="_Toc23289"/>
      <w:bookmarkStart w:id="447" w:name="_Toc16752"/>
      <w:bookmarkStart w:id="448" w:name="_Toc3769"/>
      <w:bookmarkStart w:id="449" w:name="_Toc31402"/>
      <w:bookmarkStart w:id="450" w:name="_Toc19539"/>
      <w:r>
        <w:rPr>
          <w:rFonts w:hint="eastAsia" w:ascii="宋体" w:hAnsi="宋体" w:eastAsia="宋体" w:cs="宋体"/>
          <w:b/>
          <w:color w:val="auto"/>
          <w:sz w:val="24"/>
          <w:highlight w:val="none"/>
        </w:rPr>
        <w:t>2.2 技术规范</w:t>
      </w:r>
      <w:bookmarkEnd w:id="446"/>
      <w:bookmarkEnd w:id="447"/>
      <w:bookmarkEnd w:id="448"/>
      <w:bookmarkEnd w:id="449"/>
      <w:bookmarkEnd w:id="45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color w:val="auto"/>
          <w:sz w:val="24"/>
          <w:highlight w:val="none"/>
        </w:rPr>
      </w:pPr>
      <w:bookmarkStart w:id="451" w:name="_Toc27945"/>
      <w:bookmarkStart w:id="452" w:name="_Toc9161"/>
      <w:bookmarkStart w:id="453" w:name="_Toc12412"/>
      <w:bookmarkStart w:id="454" w:name="_Toc13673"/>
      <w:bookmarkStart w:id="455" w:name="_Toc4133"/>
      <w:r>
        <w:rPr>
          <w:rFonts w:hint="eastAsia" w:ascii="宋体" w:hAnsi="宋体" w:eastAsia="宋体" w:cs="宋体"/>
          <w:b/>
          <w:color w:val="auto"/>
          <w:sz w:val="24"/>
          <w:highlight w:val="none"/>
        </w:rPr>
        <w:t>2.3 知识产权</w:t>
      </w:r>
      <w:bookmarkEnd w:id="451"/>
      <w:bookmarkEnd w:id="452"/>
      <w:bookmarkEnd w:id="453"/>
      <w:bookmarkEnd w:id="454"/>
      <w:bookmarkEnd w:id="45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 合同涉及技术成果的归属和收益的分成办法的，详见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2.4 履约检查和问题反馈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宋体" w:hAnsi="宋体" w:eastAsia="宋体" w:cs="宋体"/>
          <w:b/>
          <w:color w:val="auto"/>
          <w:sz w:val="24"/>
          <w:highlight w:val="none"/>
        </w:rPr>
      </w:pPr>
      <w:bookmarkStart w:id="456" w:name="_Toc15447"/>
      <w:bookmarkStart w:id="457" w:name="_Toc26555"/>
      <w:bookmarkStart w:id="458" w:name="_Toc22011"/>
      <w:bookmarkStart w:id="459" w:name="_Toc31233"/>
      <w:bookmarkStart w:id="460" w:name="_Toc32670"/>
      <w:r>
        <w:rPr>
          <w:rFonts w:hint="eastAsia" w:ascii="宋体" w:hAnsi="宋体" w:eastAsia="宋体" w:cs="宋体"/>
          <w:b/>
          <w:color w:val="auto"/>
          <w:sz w:val="24"/>
          <w:highlight w:val="none"/>
        </w:rPr>
        <w:t>2.5 结算方式和付款条件</w:t>
      </w:r>
      <w:bookmarkEnd w:id="456"/>
      <w:bookmarkEnd w:id="457"/>
      <w:bookmarkEnd w:id="458"/>
      <w:bookmarkEnd w:id="459"/>
      <w:bookmarkEnd w:id="46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61" w:name="_Toc18990"/>
      <w:bookmarkStart w:id="462" w:name="_Toc13467"/>
      <w:bookmarkStart w:id="463" w:name="_Toc30507"/>
      <w:bookmarkStart w:id="464" w:name="_Toc13154"/>
      <w:bookmarkStart w:id="465" w:name="_Toc16163"/>
      <w:r>
        <w:rPr>
          <w:rFonts w:hint="eastAsia" w:ascii="宋体" w:hAnsi="宋体" w:eastAsia="宋体" w:cs="宋体"/>
          <w:b/>
          <w:color w:val="auto"/>
          <w:sz w:val="24"/>
          <w:highlight w:val="none"/>
        </w:rPr>
        <w:t>2.6 技术资料和保密义务</w:t>
      </w:r>
      <w:bookmarkEnd w:id="461"/>
      <w:bookmarkEnd w:id="462"/>
      <w:bookmarkEnd w:id="463"/>
      <w:bookmarkEnd w:id="464"/>
      <w:bookmarkEnd w:id="46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 乙方有义务妥善保管和保护由甲方提供的前款信息和资料等；</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color w:val="auto"/>
          <w:sz w:val="24"/>
          <w:highlight w:val="none"/>
        </w:rPr>
      </w:pPr>
      <w:bookmarkStart w:id="466" w:name="_Toc19069"/>
      <w:r>
        <w:rPr>
          <w:rFonts w:hint="eastAsia" w:ascii="宋体" w:hAnsi="宋体" w:eastAsia="宋体" w:cs="宋体"/>
          <w:b/>
          <w:color w:val="auto"/>
          <w:sz w:val="24"/>
          <w:highlight w:val="none"/>
        </w:rPr>
        <w:t>2.7 质量保证</w:t>
      </w:r>
      <w:bookmarkEnd w:id="46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color w:val="auto"/>
          <w:sz w:val="24"/>
          <w:highlight w:val="none"/>
        </w:rPr>
      </w:pPr>
      <w:bookmarkStart w:id="467" w:name="_Toc22267"/>
      <w:r>
        <w:rPr>
          <w:rFonts w:hint="eastAsia" w:ascii="宋体" w:hAnsi="宋体" w:eastAsia="宋体" w:cs="宋体"/>
          <w:b/>
          <w:color w:val="auto"/>
          <w:sz w:val="24"/>
          <w:highlight w:val="none"/>
        </w:rPr>
        <w:t>2.8 延迟履行</w:t>
      </w:r>
      <w:bookmarkEnd w:id="46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color w:val="auto"/>
          <w:sz w:val="24"/>
          <w:highlight w:val="none"/>
        </w:rPr>
      </w:pPr>
      <w:bookmarkStart w:id="468" w:name="_Toc10611"/>
      <w:r>
        <w:rPr>
          <w:rFonts w:hint="eastAsia" w:ascii="宋体" w:hAnsi="宋体" w:eastAsia="宋体" w:cs="宋体"/>
          <w:b/>
          <w:color w:val="auto"/>
          <w:sz w:val="24"/>
          <w:highlight w:val="none"/>
        </w:rPr>
        <w:t>2.9 合同变更</w:t>
      </w:r>
      <w:bookmarkEnd w:id="46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69" w:name="_Toc42"/>
      <w:bookmarkStart w:id="470" w:name="_Toc23368"/>
      <w:bookmarkStart w:id="471" w:name="_Toc26689"/>
      <w:bookmarkStart w:id="472" w:name="_Toc10663"/>
      <w:bookmarkStart w:id="473" w:name="_Toc21830"/>
      <w:r>
        <w:rPr>
          <w:rFonts w:hint="eastAsia" w:ascii="宋体" w:hAnsi="宋体" w:eastAsia="宋体" w:cs="宋体"/>
          <w:b/>
          <w:color w:val="auto"/>
          <w:sz w:val="24"/>
          <w:highlight w:val="none"/>
        </w:rPr>
        <w:t>2.10 合同转让和分包</w:t>
      </w:r>
      <w:bookmarkEnd w:id="469"/>
      <w:bookmarkEnd w:id="470"/>
      <w:bookmarkEnd w:id="471"/>
      <w:bookmarkEnd w:id="472"/>
      <w:bookmarkEnd w:id="47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宋体" w:hAnsi="宋体" w:eastAsia="宋体" w:cs="宋体"/>
          <w:b/>
          <w:color w:val="auto"/>
          <w:sz w:val="24"/>
          <w:highlight w:val="none"/>
        </w:rPr>
      </w:pPr>
      <w:bookmarkStart w:id="474" w:name="_Toc32494"/>
      <w:bookmarkStart w:id="475" w:name="_Toc25571"/>
      <w:bookmarkStart w:id="476" w:name="_Toc26633"/>
      <w:bookmarkStart w:id="477" w:name="_Toc4720"/>
      <w:bookmarkStart w:id="478" w:name="_Toc14371"/>
      <w:r>
        <w:rPr>
          <w:rFonts w:hint="eastAsia" w:ascii="宋体" w:hAnsi="宋体" w:eastAsia="宋体" w:cs="宋体"/>
          <w:b/>
          <w:color w:val="auto"/>
          <w:sz w:val="24"/>
          <w:highlight w:val="none"/>
        </w:rPr>
        <w:t>2.11 不可抗力</w:t>
      </w:r>
      <w:bookmarkEnd w:id="474"/>
      <w:bookmarkEnd w:id="475"/>
      <w:bookmarkEnd w:id="476"/>
      <w:bookmarkEnd w:id="477"/>
      <w:bookmarkEnd w:id="47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2.11.2 因不可抗力致使不能实现合同目的的，当事人可以解除合同；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2.11.3 因不可抗力致使合同有变更必要的，双方当事人应在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约定时间内以书面形式变更合同；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2.11.4受不可抗力影响的一方在不可抗力发生后，应在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约定时间内以书面形式通知对方当事人，并在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约定时间内，将有关部门出具的证明文件送达对方当事人。</w:t>
      </w:r>
    </w:p>
    <w:p>
      <w:pPr>
        <w:spacing w:line="560" w:lineRule="exact"/>
        <w:ind w:firstLine="482" w:firstLineChars="200"/>
        <w:outlineLvl w:val="0"/>
        <w:rPr>
          <w:rFonts w:hint="eastAsia" w:ascii="宋体" w:hAnsi="宋体" w:eastAsia="宋体" w:cs="宋体"/>
          <w:b/>
          <w:color w:val="auto"/>
          <w:sz w:val="24"/>
          <w:highlight w:val="none"/>
        </w:rPr>
      </w:pPr>
      <w:bookmarkStart w:id="479" w:name="_Toc23854"/>
      <w:bookmarkStart w:id="480" w:name="_Toc24465"/>
      <w:bookmarkStart w:id="481" w:name="_Toc14115"/>
      <w:bookmarkStart w:id="482" w:name="_Toc25783"/>
      <w:bookmarkStart w:id="483" w:name="_Toc3638"/>
      <w:r>
        <w:rPr>
          <w:rFonts w:hint="eastAsia" w:ascii="宋体" w:hAnsi="宋体" w:eastAsia="宋体" w:cs="宋体"/>
          <w:b/>
          <w:color w:val="auto"/>
          <w:sz w:val="24"/>
          <w:highlight w:val="none"/>
        </w:rPr>
        <w:t>2.12 税费</w:t>
      </w:r>
      <w:bookmarkEnd w:id="479"/>
      <w:bookmarkEnd w:id="480"/>
      <w:bookmarkEnd w:id="481"/>
      <w:bookmarkEnd w:id="482"/>
      <w:bookmarkEnd w:id="48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color w:val="auto"/>
          <w:sz w:val="24"/>
          <w:highlight w:val="none"/>
        </w:rPr>
      </w:pPr>
      <w:bookmarkStart w:id="484" w:name="_Toc7315"/>
      <w:bookmarkStart w:id="485" w:name="_Toc30105"/>
      <w:bookmarkStart w:id="486" w:name="_Toc14814"/>
      <w:bookmarkStart w:id="487" w:name="_Toc26883"/>
      <w:bookmarkStart w:id="488" w:name="_Toc25525"/>
      <w:r>
        <w:rPr>
          <w:rFonts w:hint="eastAsia" w:ascii="宋体" w:hAnsi="宋体" w:eastAsia="宋体" w:cs="宋体"/>
          <w:b/>
          <w:color w:val="auto"/>
          <w:sz w:val="24"/>
          <w:highlight w:val="none"/>
        </w:rPr>
        <w:t>2.13 乙方破产</w:t>
      </w:r>
      <w:bookmarkEnd w:id="484"/>
      <w:bookmarkEnd w:id="485"/>
      <w:bookmarkEnd w:id="486"/>
      <w:bookmarkEnd w:id="487"/>
      <w:bookmarkEnd w:id="48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color w:val="auto"/>
          <w:sz w:val="24"/>
          <w:highlight w:val="none"/>
        </w:rPr>
      </w:pPr>
      <w:bookmarkStart w:id="489" w:name="_Toc1123"/>
      <w:bookmarkStart w:id="490" w:name="_Toc23323"/>
      <w:bookmarkStart w:id="491" w:name="_Toc2016"/>
      <w:r>
        <w:rPr>
          <w:rFonts w:hint="eastAsia" w:ascii="宋体" w:hAnsi="宋体" w:eastAsia="宋体" w:cs="宋体"/>
          <w:b/>
          <w:color w:val="auto"/>
          <w:sz w:val="24"/>
          <w:highlight w:val="none"/>
        </w:rPr>
        <w:t>2.14 合同中止、终止</w:t>
      </w:r>
      <w:bookmarkEnd w:id="489"/>
      <w:bookmarkEnd w:id="490"/>
      <w:bookmarkEnd w:id="49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2.14.1 双方当事人不得擅自中止或者终止合同；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92" w:name="_Toc14525"/>
      <w:bookmarkStart w:id="493" w:name="_Toc17363"/>
      <w:bookmarkStart w:id="494" w:name="_Toc1969"/>
      <w:r>
        <w:rPr>
          <w:rFonts w:hint="eastAsia" w:ascii="宋体" w:hAnsi="宋体" w:eastAsia="宋体" w:cs="宋体"/>
          <w:b/>
          <w:color w:val="auto"/>
          <w:sz w:val="24"/>
          <w:highlight w:val="none"/>
        </w:rPr>
        <w:t>2.15 检验和验收</w:t>
      </w:r>
      <w:bookmarkEnd w:id="492"/>
      <w:bookmarkEnd w:id="493"/>
      <w:bookmarkEnd w:id="494"/>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2.15.1 乙方按照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的约定，定期提交服务报告，甲方按照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2.15.3 检验和验收标准、程序等具体内容以及前述验收书的效力详见</w:t>
      </w:r>
      <w:r>
        <w:rPr>
          <w:rFonts w:hint="eastAsia" w:ascii="宋体" w:hAnsi="宋体" w:eastAsia="宋体" w:cs="宋体"/>
          <w:b/>
          <w:i/>
          <w:color w:val="auto"/>
          <w:sz w:val="24"/>
          <w:highlight w:val="none"/>
          <w:u w:val="single"/>
        </w:rPr>
        <w:t>合同专用条款</w:t>
      </w:r>
      <w:r>
        <w:rPr>
          <w:rFonts w:hint="eastAsia" w:ascii="宋体" w:hAnsi="宋体" w:eastAsia="宋体" w:cs="宋体"/>
          <w:i/>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95" w:name="_Toc12666"/>
      <w:bookmarkStart w:id="496" w:name="_Toc31892"/>
      <w:bookmarkStart w:id="497" w:name="_Toc9808"/>
      <w:bookmarkStart w:id="498" w:name="_Toc2308"/>
      <w:bookmarkStart w:id="499" w:name="_Toc25198"/>
      <w:r>
        <w:rPr>
          <w:rFonts w:hint="eastAsia" w:ascii="宋体" w:hAnsi="宋体" w:eastAsia="宋体" w:cs="宋体"/>
          <w:b/>
          <w:color w:val="auto"/>
          <w:sz w:val="24"/>
          <w:highlight w:val="none"/>
        </w:rPr>
        <w:t>2.16 通知和送达</w:t>
      </w:r>
      <w:bookmarkEnd w:id="495"/>
      <w:bookmarkEnd w:id="496"/>
      <w:bookmarkEnd w:id="497"/>
      <w:bookmarkEnd w:id="498"/>
      <w:bookmarkEnd w:id="499"/>
    </w:p>
    <w:p>
      <w:pPr>
        <w:spacing w:line="560" w:lineRule="exact"/>
        <w:ind w:firstLine="480" w:firstLineChars="200"/>
        <w:rPr>
          <w:rFonts w:hint="eastAsia" w:ascii="宋体" w:hAnsi="宋体" w:eastAsia="宋体" w:cs="宋体"/>
          <w:color w:val="auto"/>
          <w:sz w:val="24"/>
          <w:highlight w:val="none"/>
        </w:rPr>
      </w:pPr>
      <w:bookmarkStart w:id="500" w:name="_Toc27674"/>
      <w:bookmarkStart w:id="501" w:name="_Toc18401"/>
      <w:r>
        <w:rPr>
          <w:rFonts w:hint="eastAsia" w:ascii="宋体" w:hAnsi="宋体" w:eastAsia="宋体" w:cs="宋体"/>
          <w:color w:val="auto"/>
          <w:sz w:val="24"/>
          <w:highlight w:val="none"/>
        </w:rPr>
        <w:t xml:space="preserve">2.17.1任何一方因履行合同而以合同第一部分尾部所列明的传真或电子邮件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发出的所有通知、文件、材料，均视为已向对方当事人送达；任何一方变更上述送达方式或者地址的，应于</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0"/>
      <w:bookmarkEnd w:id="501"/>
    </w:p>
    <w:p>
      <w:pPr>
        <w:spacing w:line="560" w:lineRule="exact"/>
        <w:ind w:firstLine="482" w:firstLineChars="200"/>
        <w:outlineLvl w:val="0"/>
        <w:rPr>
          <w:rFonts w:hint="eastAsia" w:ascii="宋体" w:hAnsi="宋体" w:eastAsia="宋体" w:cs="宋体"/>
          <w:b/>
          <w:color w:val="auto"/>
          <w:sz w:val="24"/>
          <w:highlight w:val="none"/>
        </w:rPr>
      </w:pPr>
      <w:bookmarkStart w:id="502" w:name="_Toc28906"/>
      <w:bookmarkStart w:id="503" w:name="_Toc5063"/>
      <w:bookmarkStart w:id="504" w:name="_Toc20808"/>
      <w:bookmarkStart w:id="505" w:name="_Toc27644"/>
      <w:bookmarkStart w:id="506" w:name="_Toc12254"/>
      <w:r>
        <w:rPr>
          <w:rFonts w:hint="eastAsia" w:ascii="宋体" w:hAnsi="宋体" w:eastAsia="宋体" w:cs="宋体"/>
          <w:b/>
          <w:color w:val="auto"/>
          <w:sz w:val="24"/>
          <w:highlight w:val="none"/>
        </w:rPr>
        <w:t>2.17 合同使用的文字和适用的法律</w:t>
      </w:r>
      <w:bookmarkEnd w:id="502"/>
      <w:bookmarkEnd w:id="503"/>
      <w:bookmarkEnd w:id="504"/>
      <w:bookmarkEnd w:id="505"/>
      <w:bookmarkEnd w:id="50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2.17.1 合同使用汉语书就、变更和解释；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 合同适用中华人民共和国法律。</w:t>
      </w:r>
    </w:p>
    <w:p>
      <w:pPr>
        <w:spacing w:line="560" w:lineRule="exact"/>
        <w:ind w:firstLine="482" w:firstLineChars="200"/>
        <w:outlineLvl w:val="0"/>
        <w:rPr>
          <w:rFonts w:hint="eastAsia" w:ascii="宋体" w:hAnsi="宋体" w:eastAsia="宋体" w:cs="宋体"/>
          <w:b/>
          <w:color w:val="auto"/>
          <w:sz w:val="24"/>
          <w:highlight w:val="none"/>
        </w:rPr>
      </w:pPr>
      <w:bookmarkStart w:id="507" w:name="_Toc4355"/>
      <w:bookmarkStart w:id="508" w:name="_Toc30599"/>
      <w:bookmarkStart w:id="509" w:name="_Toc18540"/>
      <w:r>
        <w:rPr>
          <w:rFonts w:hint="eastAsia" w:ascii="宋体" w:hAnsi="宋体" w:eastAsia="宋体" w:cs="宋体"/>
          <w:b/>
          <w:color w:val="auto"/>
          <w:sz w:val="24"/>
          <w:highlight w:val="none"/>
        </w:rPr>
        <w:t>2.18 计量单位</w:t>
      </w:r>
      <w:bookmarkEnd w:id="507"/>
      <w:bookmarkEnd w:id="508"/>
      <w:bookmarkEnd w:id="50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2.19合同份数</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规定，每份均具有同等法律效力。</w:t>
      </w:r>
    </w:p>
    <w:p>
      <w:pPr>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color w:val="auto"/>
          <w:kern w:val="0"/>
          <w:highlight w:val="none"/>
        </w:rPr>
        <w:br w:type="page"/>
      </w:r>
      <w:bookmarkStart w:id="510" w:name="_Toc331685784"/>
      <w:r>
        <w:rPr>
          <w:rFonts w:hint="eastAsia" w:ascii="宋体" w:hAnsi="宋体" w:eastAsia="宋体" w:cs="宋体"/>
          <w:b/>
          <w:color w:val="auto"/>
          <w:sz w:val="24"/>
          <w:highlight w:val="none"/>
        </w:rPr>
        <w:t xml:space="preserve"> </w:t>
      </w:r>
      <w:bookmarkEnd w:id="510"/>
      <w:r>
        <w:rPr>
          <w:rFonts w:hint="eastAsia" w:ascii="宋体" w:hAnsi="宋体" w:eastAsia="宋体" w:cs="宋体"/>
          <w:b/>
          <w:color w:val="auto"/>
          <w:sz w:val="24"/>
          <w:highlight w:val="none"/>
        </w:rPr>
        <w:t>第三部分  合同专用条款</w:t>
      </w:r>
    </w:p>
    <w:p>
      <w:pPr>
        <w:spacing w:line="560" w:lineRule="exact"/>
        <w:ind w:left="-420" w:leftChars="-200"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8149"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1.3.2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1.5.1 </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1.5.3 </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1.6.2</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中标人在签订合同时需向</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提交</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%的合同履约保证金，在合同期内，如因承包人原因造成</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财产损失的或承包人没有按要求履行合同的，</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有权酌情扣去履约保证金；保证金在合同期满后三十天内退还（不计息）。</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szCs w:val="24"/>
                <w:highlight w:val="none"/>
              </w:rPr>
              <w:t>经甲方首次考核后，按投标单价*实际清运重量*90%计算清运费用，每两个月支付一次清运款项；剩余10%的清运费用作为考核费用，依据《仓前街道生活垃圾集中转运考核评分标准》甲方对乙方当月服务进行考核，根据考核结果进行奖罚。剩余10%考核费用，待合同到期后按考核成绩一次性付清。</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本项目采用单价招标方式，最终收集清运工程量根据实际收集清运工程量按实结算，单价按投标时的单价。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服务期为</w:t>
            </w:r>
            <w:r>
              <w:rPr>
                <w:rFonts w:hint="eastAsia" w:ascii="宋体" w:hAnsi="宋体" w:eastAsia="宋体" w:cs="宋体"/>
                <w:color w:val="auto"/>
                <w:sz w:val="24"/>
                <w:highlight w:val="none"/>
                <w:lang w:eastAsia="zh-CN"/>
              </w:rPr>
              <w:t>一</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eastAsia="zh-CN"/>
              </w:rPr>
              <w:t>，实际以合同签订时间为准。（在合同期限内结算总价达到</w:t>
            </w:r>
            <w:r>
              <w:rPr>
                <w:rFonts w:hint="eastAsia" w:ascii="宋体" w:hAnsi="宋体" w:eastAsia="宋体" w:cs="宋体"/>
                <w:color w:val="auto"/>
                <w:sz w:val="24"/>
                <w:highlight w:val="none"/>
                <w:lang w:val="en-US" w:eastAsia="zh-CN"/>
              </w:rPr>
              <w:t>600</w:t>
            </w:r>
            <w:r>
              <w:rPr>
                <w:rFonts w:hint="eastAsia" w:ascii="宋体" w:hAnsi="宋体" w:eastAsia="宋体" w:cs="宋体"/>
                <w:color w:val="auto"/>
                <w:sz w:val="24"/>
                <w:highlight w:val="none"/>
                <w:lang w:eastAsia="zh-CN"/>
              </w:rPr>
              <w:t>万元，合同自动终止。若在合同期内乙方有不配合甲方工作等严重违约行为或连续三个月考核不合格的（80分（不含）以下视为考核不合格）或连续两次被媒体曝光的，甲方有权提前终止合同，由此造成的一切后果和损失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8149" w:type="dxa"/>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仓前街道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1.8.7</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8149" w:type="dxa"/>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2.5</w:t>
            </w:r>
          </w:p>
        </w:tc>
        <w:tc>
          <w:tcPr>
            <w:tcW w:w="8149" w:type="dxa"/>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2.11.4 </w:t>
            </w:r>
          </w:p>
        </w:tc>
        <w:tc>
          <w:tcPr>
            <w:tcW w:w="8149" w:type="dxa"/>
            <w:vAlign w:val="top"/>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2.19</w:t>
            </w:r>
          </w:p>
        </w:tc>
        <w:tc>
          <w:tcPr>
            <w:tcW w:w="8149" w:type="dxa"/>
            <w:vAlign w:val="top"/>
          </w:tcPr>
          <w:p>
            <w:pPr>
              <w:spacing w:line="360" w:lineRule="auto"/>
              <w:rPr>
                <w:rFonts w:hint="eastAsia" w:ascii="宋体" w:hAnsi="宋体" w:eastAsia="宋体" w:cs="宋体"/>
                <w:color w:val="auto"/>
                <w:sz w:val="24"/>
                <w:highlight w:val="none"/>
              </w:rPr>
            </w:pPr>
          </w:p>
        </w:tc>
      </w:tr>
    </w:tbl>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jc w:val="center"/>
        <w:outlineLvl w:val="0"/>
        <w:rPr>
          <w:rFonts w:hint="eastAsia" w:ascii="宋体" w:hAnsi="宋体" w:eastAsia="宋体" w:cs="宋体"/>
          <w:color w:val="auto"/>
          <w:sz w:val="24"/>
          <w:highlight w:val="none"/>
        </w:rPr>
      </w:pPr>
    </w:p>
    <w:p>
      <w:pPr>
        <w:widowControl/>
        <w:adjustRightInd/>
        <w:jc w:val="center"/>
        <w:rPr>
          <w:rFonts w:hint="eastAsia" w:ascii="宋体" w:hAnsi="宋体" w:eastAsia="宋体" w:cs="宋体"/>
          <w:b/>
          <w:color w:val="auto"/>
          <w:sz w:val="36"/>
          <w:szCs w:val="20"/>
          <w:highlight w:val="none"/>
        </w:rPr>
        <w:sectPr>
          <w:headerReference r:id="rId10" w:type="first"/>
          <w:footerReference r:id="rId12" w:type="first"/>
          <w:headerReference r:id="rId9" w:type="default"/>
          <w:footerReference r:id="rId11" w:type="default"/>
          <w:pgSz w:w="11905" w:h="16838"/>
          <w:pgMar w:top="1531" w:right="1304" w:bottom="1531" w:left="1361" w:header="851" w:footer="992" w:gutter="0"/>
          <w:pgBorders>
            <w:top w:val="none" w:sz="0" w:space="0"/>
            <w:left w:val="none" w:sz="0" w:space="0"/>
            <w:bottom w:val="none" w:sz="0" w:space="0"/>
            <w:right w:val="none" w:sz="0" w:space="0"/>
          </w:pgBorders>
          <w:cols w:space="0" w:num="1"/>
          <w:titlePg/>
          <w:rtlGutter w:val="0"/>
          <w:docGrid w:linePitch="312" w:charSpace="0"/>
        </w:sectPr>
      </w:pPr>
    </w:p>
    <w:p>
      <w:pPr>
        <w:widowControl/>
        <w:adjustRightInd/>
        <w:jc w:val="center"/>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5"/>
      <w:r>
        <w:rPr>
          <w:rFonts w:hint="eastAsia" w:ascii="宋体" w:hAnsi="宋体" w:eastAsia="宋体" w:cs="宋体"/>
          <w:b/>
          <w:color w:val="auto"/>
          <w:sz w:val="36"/>
          <w:szCs w:val="20"/>
          <w:highlight w:val="none"/>
        </w:rPr>
        <w:t xml:space="preserve"> </w:t>
      </w:r>
      <w:bookmarkEnd w:id="396"/>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（2）联合协议</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lang w:eastAsia="zh-CN"/>
        </w:rPr>
        <w:t>）投</w:t>
      </w:r>
      <w:r>
        <w:rPr>
          <w:rFonts w:hint="eastAsia" w:ascii="宋体" w:hAnsi="宋体" w:eastAsia="宋体" w:cs="宋体"/>
          <w:color w:val="auto"/>
          <w:spacing w:val="0"/>
          <w:sz w:val="24"/>
          <w:szCs w:val="24"/>
          <w:highlight w:val="none"/>
        </w:rPr>
        <w:t>标供应商不属于公益一类事业单位承诺函……………………</w:t>
      </w:r>
      <w:r>
        <w:rPr>
          <w:rFonts w:hint="eastAsia" w:ascii="宋体" w:hAnsi="宋体" w:eastAsia="宋体" w:cs="宋体"/>
          <w:color w:val="auto"/>
          <w:sz w:val="24"/>
          <w:highlight w:val="none"/>
        </w:rPr>
        <w:t>……（页码）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eastAsia="宋体" w:cs="宋体"/>
          <w:color w:val="auto"/>
          <w:sz w:val="24"/>
          <w:highlight w:val="none"/>
          <w:lang w:eastAsia="zh-CN"/>
        </w:rPr>
        <w:t>仓前街道生活垃圾集中转运项目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spacing w:line="360" w:lineRule="auto"/>
        <w:ind w:firstLine="643" w:firstLineChars="20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二、联合协议（如果有）</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spacing w:before="0" w:line="360" w:lineRule="auto"/>
        <w:ind w:left="150"/>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6"/>
          <w:szCs w:val="36"/>
          <w:highlight w:val="none"/>
        </w:rPr>
        <w:br w:type="page"/>
      </w:r>
      <w:r>
        <w:rPr>
          <w:rFonts w:hint="eastAsia" w:ascii="宋体" w:hAnsi="宋体" w:eastAsia="宋体" w:cs="宋体"/>
          <w:b/>
          <w:color w:val="auto"/>
          <w:kern w:val="0"/>
          <w:sz w:val="32"/>
          <w:szCs w:val="32"/>
          <w:highlight w:val="none"/>
          <w:lang w:val="zh-CN" w:eastAsia="zh-CN"/>
        </w:rPr>
        <w:t>五、</w:t>
      </w:r>
      <w:r>
        <w:rPr>
          <w:rFonts w:hint="eastAsia" w:ascii="宋体" w:hAnsi="宋体" w:eastAsia="宋体" w:cs="宋体"/>
          <w:b/>
          <w:color w:val="auto"/>
          <w:kern w:val="0"/>
          <w:sz w:val="32"/>
          <w:szCs w:val="32"/>
          <w:highlight w:val="none"/>
          <w:lang w:val="zh-CN"/>
        </w:rPr>
        <w:t>投标供应商不属于公益一类事业单位承诺函</w:t>
      </w:r>
    </w:p>
    <w:p>
      <w:pPr>
        <w:spacing w:line="293" w:lineRule="auto"/>
        <w:rPr>
          <w:rFonts w:hint="eastAsia" w:ascii="宋体" w:hAnsi="宋体" w:eastAsia="宋体" w:cs="宋体"/>
          <w:color w:val="auto"/>
          <w:sz w:val="21"/>
          <w:highlight w:val="none"/>
        </w:rPr>
      </w:pPr>
    </w:p>
    <w:p>
      <w:pPr>
        <w:spacing w:before="74" w:line="227" w:lineRule="auto"/>
        <w:rPr>
          <w:rFonts w:hint="eastAsia" w:ascii="宋体" w:hAnsi="宋体" w:eastAsia="宋体" w:cs="宋体"/>
          <w:color w:val="auto"/>
          <w:sz w:val="23"/>
          <w:szCs w:val="23"/>
          <w:highlight w:val="none"/>
        </w:rPr>
      </w:pPr>
      <w:r>
        <w:rPr>
          <w:rFonts w:hint="eastAsia" w:ascii="宋体" w:hAnsi="宋体" w:eastAsia="宋体" w:cs="宋体"/>
          <w:color w:val="auto"/>
          <w:spacing w:val="9"/>
          <w:sz w:val="23"/>
          <w:szCs w:val="23"/>
          <w:highlight w:val="none"/>
          <w:lang w:eastAsia="zh-CN"/>
        </w:rPr>
        <w:t>杭州市余杭区人民政府仓前街道办事处</w:t>
      </w:r>
      <w:r>
        <w:rPr>
          <w:rFonts w:hint="eastAsia" w:ascii="宋体" w:hAnsi="宋体" w:eastAsia="宋体" w:cs="宋体"/>
          <w:color w:val="auto"/>
          <w:spacing w:val="9"/>
          <w:sz w:val="23"/>
          <w:szCs w:val="23"/>
          <w:highlight w:val="none"/>
        </w:rPr>
        <w:t>、</w:t>
      </w:r>
      <w:r>
        <w:rPr>
          <w:rFonts w:hint="eastAsia" w:ascii="宋体" w:hAnsi="宋体" w:eastAsia="宋体" w:cs="宋体"/>
          <w:color w:val="auto"/>
          <w:spacing w:val="9"/>
          <w:sz w:val="23"/>
          <w:szCs w:val="23"/>
          <w:highlight w:val="none"/>
          <w:lang w:eastAsia="zh-CN"/>
        </w:rPr>
        <w:t>杭州瑞拓工程咨询有限公司</w:t>
      </w:r>
      <w:r>
        <w:rPr>
          <w:rFonts w:hint="eastAsia" w:ascii="宋体" w:hAnsi="宋体" w:eastAsia="宋体" w:cs="宋体"/>
          <w:color w:val="auto"/>
          <w:spacing w:val="9"/>
          <w:sz w:val="23"/>
          <w:szCs w:val="23"/>
          <w:highlight w:val="none"/>
        </w:rPr>
        <w:t>：</w:t>
      </w:r>
    </w:p>
    <w:p>
      <w:pPr>
        <w:spacing w:before="263" w:line="388" w:lineRule="auto"/>
        <w:ind w:left="3" w:firstLine="479"/>
        <w:rPr>
          <w:rFonts w:hint="eastAsia" w:ascii="宋体" w:hAnsi="宋体" w:eastAsia="宋体" w:cs="宋体"/>
          <w:color w:val="auto"/>
          <w:sz w:val="23"/>
          <w:szCs w:val="23"/>
          <w:highlight w:val="none"/>
        </w:rPr>
      </w:pPr>
      <w:r>
        <w:rPr>
          <w:rFonts w:hint="eastAsia" w:ascii="宋体" w:hAnsi="宋体" w:eastAsia="宋体" w:cs="宋体"/>
          <w:color w:val="auto"/>
          <w:spacing w:val="10"/>
          <w:sz w:val="23"/>
          <w:szCs w:val="23"/>
          <w:highlight w:val="none"/>
        </w:rPr>
        <w:t>我</w:t>
      </w:r>
      <w:r>
        <w:rPr>
          <w:rFonts w:hint="eastAsia" w:ascii="宋体" w:hAnsi="宋体" w:eastAsia="宋体" w:cs="宋体"/>
          <w:color w:val="auto"/>
          <w:spacing w:val="7"/>
          <w:sz w:val="23"/>
          <w:szCs w:val="23"/>
          <w:highlight w:val="none"/>
        </w:rPr>
        <w:t>方</w:t>
      </w:r>
      <w:r>
        <w:rPr>
          <w:rFonts w:hint="eastAsia" w:ascii="宋体" w:hAnsi="宋体" w:eastAsia="宋体" w:cs="宋体"/>
          <w:color w:val="auto"/>
          <w:spacing w:val="5"/>
          <w:sz w:val="23"/>
          <w:szCs w:val="23"/>
          <w:highlight w:val="none"/>
        </w:rPr>
        <w:t>郑重承诺，我单位不属于公益一类事业单位，可承接</w:t>
      </w:r>
      <w:r>
        <w:rPr>
          <w:rFonts w:hint="eastAsia" w:ascii="宋体" w:hAnsi="宋体" w:eastAsia="宋体" w:cs="宋体"/>
          <w:color w:val="auto"/>
          <w:spacing w:val="5"/>
          <w:sz w:val="23"/>
          <w:szCs w:val="23"/>
          <w:highlight w:val="none"/>
          <w:u w:val="single"/>
          <w:lang w:eastAsia="zh-CN"/>
        </w:rPr>
        <w:t>仓前街道生活垃圾集中转运项目</w:t>
      </w:r>
      <w:r>
        <w:rPr>
          <w:rFonts w:hint="eastAsia" w:ascii="宋体" w:hAnsi="宋体" w:eastAsia="宋体" w:cs="宋体"/>
          <w:color w:val="auto"/>
          <w:spacing w:val="9"/>
          <w:sz w:val="23"/>
          <w:szCs w:val="23"/>
          <w:highlight w:val="none"/>
        </w:rPr>
        <w:t>的相关服务内容。如有虚假或隐瞒，愿意承担一切后果。</w:t>
      </w:r>
    </w:p>
    <w:p>
      <w:pPr>
        <w:spacing w:line="289" w:lineRule="auto"/>
        <w:rPr>
          <w:rFonts w:hint="eastAsia" w:ascii="宋体" w:hAnsi="宋体" w:eastAsia="宋体" w:cs="宋体"/>
          <w:color w:val="auto"/>
          <w:sz w:val="21"/>
          <w:highlight w:val="none"/>
        </w:rPr>
      </w:pPr>
    </w:p>
    <w:p>
      <w:pPr>
        <w:widowControl/>
        <w:adjustRightInd/>
        <w:jc w:val="left"/>
        <w:rPr>
          <w:rFonts w:hint="eastAsia" w:ascii="宋体" w:hAnsi="宋体" w:eastAsia="宋体" w:cs="宋体"/>
          <w:b/>
          <w:color w:val="auto"/>
          <w:kern w:val="0"/>
          <w:sz w:val="36"/>
          <w:szCs w:val="36"/>
          <w:highlight w:val="none"/>
        </w:rPr>
      </w:pPr>
      <w:r>
        <w:rPr>
          <w:rFonts w:hint="eastAsia" w:ascii="宋体" w:hAnsi="宋体" w:eastAsia="宋体" w:cs="宋体"/>
          <w:color w:val="auto"/>
          <w:spacing w:val="6"/>
          <w:sz w:val="23"/>
          <w:szCs w:val="23"/>
          <w:highlight w:val="none"/>
        </w:rPr>
        <w:t>特此承诺！</w:t>
      </w:r>
    </w:p>
    <w:p>
      <w:pPr>
        <w:widowControl/>
        <w:adjustRightInd/>
        <w:jc w:val="left"/>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sectPr>
          <w:pgSz w:w="11905" w:h="16838"/>
          <w:pgMar w:top="1531" w:right="1304" w:bottom="1531" w:left="1361" w:header="851" w:footer="992" w:gutter="0"/>
          <w:pgBorders>
            <w:top w:val="none" w:sz="0" w:space="0"/>
            <w:left w:val="none" w:sz="0" w:space="0"/>
            <w:bottom w:val="none" w:sz="0" w:space="0"/>
            <w:right w:val="none" w:sz="0" w:space="0"/>
          </w:pgBorders>
          <w:cols w:space="0" w:num="1"/>
          <w:titlePg/>
          <w:rtlGutter w:val="0"/>
          <w:docGrid w:linePitch="312" w:charSpace="0"/>
        </w:sectPr>
      </w:pP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（5）评标标准相应的商务技术资料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（6）投标标的清单</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w:t>
      </w:r>
      <w:r>
        <w:rPr>
          <w:rFonts w:hint="eastAsia" w:ascii="宋体" w:hAnsi="宋体" w:eastAsia="宋体" w:cs="宋体"/>
          <w:color w:val="auto"/>
          <w:sz w:val="24"/>
          <w:highlight w:val="none"/>
          <w:lang w:eastAsia="zh-CN"/>
        </w:rPr>
        <w:t>仓前街道生活垃圾集中转运项目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w:t>
      </w:r>
      <w:r>
        <w:rPr>
          <w:rFonts w:hint="eastAsia" w:ascii="宋体" w:hAnsi="宋体" w:eastAsia="宋体" w:cs="宋体"/>
          <w:snapToGrid w:val="0"/>
          <w:color w:val="auto"/>
          <w:kern w:val="28"/>
          <w:sz w:val="24"/>
          <w:szCs w:val="20"/>
          <w:highlight w:val="none"/>
        </w:rPr>
        <w:t>联合协议</w:t>
      </w:r>
      <w:bookmarkStart w:id="511" w:name="_Hlk101257010"/>
      <w:r>
        <w:rPr>
          <w:rFonts w:hint="eastAsia" w:ascii="宋体" w:hAnsi="宋体" w:eastAsia="宋体" w:cs="宋体"/>
          <w:color w:val="auto"/>
          <w:sz w:val="24"/>
          <w:highlight w:val="none"/>
        </w:rPr>
        <w:t>（如果有)</w:t>
      </w:r>
      <w:bookmarkEnd w:id="511"/>
      <w:r>
        <w:rPr>
          <w:rFonts w:hint="eastAsia" w:ascii="宋体" w:hAnsi="宋体" w:eastAsia="宋体" w:cs="宋体"/>
          <w:snapToGrid w:val="0"/>
          <w:color w:val="auto"/>
          <w:kern w:val="28"/>
          <w:sz w:val="24"/>
          <w:szCs w:val="20"/>
          <w:highlight w:val="none"/>
        </w:rPr>
        <w:t>；</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2.1.4本项目的特定资格要求（如果有)。</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2.2.3分包意向协议（如果有)；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2.2.6投标标的清单；</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center"/>
        <w:rPr>
          <w:rFonts w:hint="eastAsia" w:ascii="宋体" w:hAnsi="宋体" w:eastAsia="宋体" w:cs="宋体"/>
          <w:b/>
          <w:color w:val="auto"/>
          <w:kern w:val="0"/>
          <w:sz w:val="32"/>
          <w:szCs w:val="32"/>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5"/>
        <w:rPr>
          <w:rFonts w:hint="eastAsia" w:ascii="宋体" w:hAnsi="宋体" w:eastAsia="宋体" w:cs="宋体"/>
          <w:color w:val="auto"/>
          <w:highlight w:val="none"/>
          <w:lang w:val="en-US"/>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lang w:eastAsia="zh-CN"/>
        </w:rPr>
        <w:t>仓前街道生活垃圾集中转运项目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lang w:eastAsia="zh-CN"/>
        </w:rPr>
        <w:t>仓前街道生活垃圾集中转运项目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87"/>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87"/>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snapToGrid w:val="0"/>
        <w:spacing w:line="360" w:lineRule="auto"/>
        <w:ind w:right="480"/>
        <w:rPr>
          <w:rFonts w:hint="eastAsia" w:ascii="宋体" w:hAnsi="宋体" w:eastAsia="宋体" w:cs="宋体"/>
          <w:b/>
          <w:color w:val="auto"/>
          <w:kern w:val="0"/>
          <w:sz w:val="32"/>
          <w:szCs w:val="32"/>
          <w:highlight w:val="none"/>
        </w:rPr>
        <w:sectPr>
          <w:pgSz w:w="11905" w:h="16838"/>
          <w:pgMar w:top="1531" w:right="1304" w:bottom="1531" w:left="1361" w:header="851" w:footer="992" w:gutter="0"/>
          <w:pgBorders>
            <w:top w:val="none" w:sz="0" w:space="0"/>
            <w:left w:val="none" w:sz="0" w:space="0"/>
            <w:bottom w:val="none" w:sz="0" w:space="0"/>
            <w:right w:val="none" w:sz="0" w:space="0"/>
          </w:pgBorders>
          <w:cols w:space="0" w:num="1"/>
          <w:titlePg/>
          <w:rtlGutter w:val="0"/>
          <w:docGrid w:linePitch="312" w:charSpace="0"/>
        </w:sectPr>
      </w:pP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三、分包意向协议（如果有）</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color w:val="auto"/>
          <w:kern w:val="0"/>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四、符合性审查资料</w:t>
      </w:r>
    </w:p>
    <w:p>
      <w:pPr>
        <w:jc w:val="center"/>
        <w:rPr>
          <w:rFonts w:hint="eastAsia" w:ascii="宋体" w:hAnsi="宋体" w:eastAsia="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vAlign w:val="top"/>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vAlign w:val="top"/>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 系指实质性要求条款，招标文件无其它实质性要求的，无需提供）</w:t>
            </w:r>
          </w:p>
        </w:tc>
        <w:tc>
          <w:tcPr>
            <w:tcW w:w="1418" w:type="dxa"/>
            <w:vAlign w:val="top"/>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五、评标标准相应的商务技术资料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widowControl/>
        <w:adjustRightInd/>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八</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14" w:type="first"/>
          <w:footerReference r:id="rId16" w:type="first"/>
          <w:headerReference r:id="rId13" w:type="default"/>
          <w:footerReference r:id="rId15" w:type="default"/>
          <w:pgSz w:w="11905" w:h="16838"/>
          <w:pgMar w:top="1531" w:right="1304" w:bottom="1531" w:left="1361" w:header="851" w:footer="992" w:gutter="0"/>
          <w:pgBorders>
            <w:top w:val="none" w:sz="0" w:space="0"/>
            <w:left w:val="none" w:sz="0" w:space="0"/>
            <w:bottom w:val="none" w:sz="0" w:space="0"/>
            <w:right w:val="none" w:sz="0" w:space="0"/>
          </w:pgBorders>
          <w:cols w:space="0" w:num="1"/>
          <w:titlePg/>
          <w:rtlGutter w:val="0"/>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报价明细清单</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376"/>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8" w:type="first"/>
          <w:footerReference r:id="rId20" w:type="first"/>
          <w:headerReference r:id="rId17" w:type="default"/>
          <w:footerReference r:id="rId19" w:type="default"/>
          <w:pgSz w:w="11905" w:h="16838"/>
          <w:pgMar w:top="1531" w:right="1304" w:bottom="1531" w:left="1361" w:header="851" w:footer="992" w:gutter="0"/>
          <w:pgBorders>
            <w:top w:val="none" w:sz="0" w:space="0"/>
            <w:left w:val="none" w:sz="0" w:space="0"/>
            <w:bottom w:val="none" w:sz="0" w:space="0"/>
            <w:right w:val="none" w:sz="0" w:space="0"/>
          </w:pgBorders>
          <w:cols w:space="0" w:num="1"/>
          <w:titlePg/>
          <w:rtlGutter w:val="0"/>
          <w:docGrid w:linePitch="312" w:charSpace="0"/>
        </w:sectPr>
      </w:pPr>
    </w:p>
    <w:p>
      <w:pPr>
        <w:pStyle w:val="376"/>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lang w:eastAsia="zh-CN"/>
        </w:rPr>
        <w:t>仓前街道生活垃圾集中转运项目</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3"/>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899"/>
        <w:gridCol w:w="1775"/>
        <w:gridCol w:w="2875"/>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4" w:type="dxa"/>
            <w:vAlign w:val="center"/>
          </w:tcPr>
          <w:p>
            <w:pPr>
              <w:pStyle w:val="25"/>
              <w:spacing w:line="240" w:lineRule="auto"/>
              <w:ind w:left="0" w:leftChars="0" w:firstLine="0" w:firstLineChars="0"/>
              <w:jc w:val="center"/>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序号</w:t>
            </w:r>
          </w:p>
        </w:tc>
        <w:tc>
          <w:tcPr>
            <w:tcW w:w="3674" w:type="dxa"/>
            <w:gridSpan w:val="2"/>
            <w:vAlign w:val="center"/>
          </w:tcPr>
          <w:p>
            <w:pPr>
              <w:pStyle w:val="25"/>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项目板块</w:t>
            </w:r>
          </w:p>
        </w:tc>
        <w:tc>
          <w:tcPr>
            <w:tcW w:w="2875" w:type="dxa"/>
            <w:vAlign w:val="center"/>
          </w:tcPr>
          <w:p>
            <w:pPr>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GB"/>
              </w:rPr>
              <w:t>投标报价</w:t>
            </w:r>
            <w:r>
              <w:rPr>
                <w:rFonts w:hint="eastAsia" w:ascii="宋体" w:hAnsi="宋体" w:eastAsia="宋体" w:cs="宋体"/>
                <w:b/>
                <w:bCs/>
                <w:color w:val="auto"/>
                <w:sz w:val="24"/>
                <w:szCs w:val="24"/>
                <w:highlight w:val="none"/>
                <w:lang w:val="en-GB" w:eastAsia="zh-CN"/>
              </w:rPr>
              <w:t>单价</w:t>
            </w:r>
          </w:p>
          <w:p>
            <w:pPr>
              <w:pStyle w:val="25"/>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b w:val="0"/>
                <w:bCs w:val="0"/>
                <w:color w:val="auto"/>
                <w:sz w:val="24"/>
                <w:szCs w:val="24"/>
                <w:highlight w:val="none"/>
                <w:lang w:val="en-GB" w:eastAsia="zh-CN"/>
              </w:rPr>
              <w:t>（</w:t>
            </w:r>
            <w:r>
              <w:rPr>
                <w:rFonts w:hint="eastAsia" w:ascii="宋体" w:hAnsi="宋体" w:eastAsia="宋体" w:cs="宋体"/>
                <w:b w:val="0"/>
                <w:bCs w:val="0"/>
                <w:color w:val="auto"/>
                <w:sz w:val="24"/>
                <w:highlight w:val="none"/>
              </w:rPr>
              <w:t>元/</w:t>
            </w:r>
            <w:r>
              <w:rPr>
                <w:rFonts w:hint="eastAsia" w:ascii="宋体" w:hAnsi="宋体" w:eastAsia="宋体" w:cs="宋体"/>
                <w:b w:val="0"/>
                <w:bCs w:val="0"/>
                <w:color w:val="auto"/>
                <w:sz w:val="24"/>
                <w:highlight w:val="none"/>
                <w:lang w:eastAsia="zh-CN"/>
              </w:rPr>
              <w:t>吨</w:t>
            </w:r>
            <w:r>
              <w:rPr>
                <w:rFonts w:hint="eastAsia" w:ascii="宋体" w:hAnsi="宋体" w:eastAsia="宋体" w:cs="宋体"/>
                <w:b w:val="0"/>
                <w:bCs w:val="0"/>
                <w:color w:val="auto"/>
                <w:sz w:val="24"/>
                <w:szCs w:val="24"/>
                <w:highlight w:val="none"/>
                <w:lang w:val="en-GB" w:eastAsia="zh-CN"/>
              </w:rPr>
              <w:t>）</w:t>
            </w:r>
          </w:p>
        </w:tc>
        <w:tc>
          <w:tcPr>
            <w:tcW w:w="1758" w:type="dxa"/>
            <w:vAlign w:val="center"/>
          </w:tcPr>
          <w:p>
            <w:pPr>
              <w:pStyle w:val="25"/>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4" w:type="dxa"/>
            <w:vAlign w:val="center"/>
          </w:tcPr>
          <w:p>
            <w:pPr>
              <w:pStyle w:val="25"/>
              <w:spacing w:line="24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p>
        </w:tc>
        <w:tc>
          <w:tcPr>
            <w:tcW w:w="3674" w:type="dxa"/>
            <w:gridSpan w:val="2"/>
            <w:vAlign w:val="center"/>
          </w:tcPr>
          <w:p>
            <w:pPr>
              <w:pStyle w:val="25"/>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eastAsia="zh-CN"/>
              </w:rPr>
              <w:t>仓前街道生活垃圾集中转运项目</w:t>
            </w:r>
          </w:p>
        </w:tc>
        <w:tc>
          <w:tcPr>
            <w:tcW w:w="2875" w:type="dxa"/>
            <w:vAlign w:val="center"/>
          </w:tcPr>
          <w:p>
            <w:pPr>
              <w:pStyle w:val="25"/>
              <w:spacing w:line="240" w:lineRule="auto"/>
              <w:jc w:val="center"/>
              <w:rPr>
                <w:rFonts w:hint="eastAsia" w:ascii="宋体" w:hAnsi="宋体" w:eastAsia="宋体" w:cs="宋体"/>
                <w:color w:val="auto"/>
                <w:highlight w:val="none"/>
                <w:lang w:val="zh-CN"/>
              </w:rPr>
            </w:pPr>
          </w:p>
        </w:tc>
        <w:tc>
          <w:tcPr>
            <w:tcW w:w="1758" w:type="dxa"/>
            <w:vAlign w:val="center"/>
          </w:tcPr>
          <w:p>
            <w:pPr>
              <w:pStyle w:val="25"/>
              <w:spacing w:line="240" w:lineRule="auto"/>
              <w:ind w:left="0" w:leftChars="0" w:firstLine="0" w:firstLineChars="0"/>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93" w:type="dxa"/>
            <w:gridSpan w:val="2"/>
            <w:vMerge w:val="restart"/>
            <w:vAlign w:val="center"/>
          </w:tcPr>
          <w:p>
            <w:pPr>
              <w:pStyle w:val="25"/>
              <w:spacing w:line="24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lang w:val="en-GB"/>
              </w:rPr>
              <w:t>投标报价单价</w:t>
            </w:r>
            <w:r>
              <w:rPr>
                <w:rFonts w:hint="eastAsia" w:ascii="宋体" w:hAnsi="宋体" w:eastAsia="宋体" w:cs="宋体"/>
                <w:b w:val="0"/>
                <w:bCs w:val="0"/>
                <w:color w:val="auto"/>
                <w:sz w:val="24"/>
                <w:szCs w:val="24"/>
                <w:highlight w:val="none"/>
                <w:lang w:val="en-GB" w:eastAsia="zh-CN"/>
              </w:rPr>
              <w:t>（</w:t>
            </w:r>
            <w:r>
              <w:rPr>
                <w:rFonts w:hint="eastAsia" w:ascii="宋体" w:hAnsi="宋体" w:eastAsia="宋体" w:cs="宋体"/>
                <w:b w:val="0"/>
                <w:bCs w:val="0"/>
                <w:color w:val="auto"/>
                <w:sz w:val="24"/>
                <w:highlight w:val="none"/>
              </w:rPr>
              <w:t>元/</w:t>
            </w:r>
            <w:r>
              <w:rPr>
                <w:rFonts w:hint="eastAsia" w:ascii="宋体" w:hAnsi="宋体" w:eastAsia="宋体" w:cs="宋体"/>
                <w:b w:val="0"/>
                <w:bCs w:val="0"/>
                <w:color w:val="auto"/>
                <w:sz w:val="24"/>
                <w:highlight w:val="none"/>
                <w:lang w:eastAsia="zh-CN"/>
              </w:rPr>
              <w:t>吨</w:t>
            </w:r>
            <w:r>
              <w:rPr>
                <w:rFonts w:hint="eastAsia" w:ascii="宋体" w:hAnsi="宋体" w:eastAsia="宋体" w:cs="宋体"/>
                <w:b w:val="0"/>
                <w:bCs w:val="0"/>
                <w:color w:val="auto"/>
                <w:sz w:val="24"/>
                <w:szCs w:val="24"/>
                <w:highlight w:val="none"/>
                <w:lang w:val="en-GB" w:eastAsia="zh-CN"/>
              </w:rPr>
              <w:t>）</w:t>
            </w:r>
          </w:p>
        </w:tc>
        <w:tc>
          <w:tcPr>
            <w:tcW w:w="1775" w:type="dxa"/>
            <w:vAlign w:val="center"/>
          </w:tcPr>
          <w:p>
            <w:pPr>
              <w:pStyle w:val="25"/>
              <w:spacing w:line="240" w:lineRule="auto"/>
              <w:ind w:left="0" w:leftChars="0" w:firstLine="0" w:firstLineChars="0"/>
              <w:jc w:val="center"/>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小写（元）</w:t>
            </w:r>
          </w:p>
        </w:tc>
        <w:tc>
          <w:tcPr>
            <w:tcW w:w="4633" w:type="dxa"/>
            <w:gridSpan w:val="2"/>
            <w:vAlign w:val="center"/>
          </w:tcPr>
          <w:p>
            <w:pPr>
              <w:pStyle w:val="25"/>
              <w:spacing w:line="240" w:lineRule="auto"/>
              <w:ind w:left="0" w:leftChars="0" w:firstLine="0" w:firstLineChars="0"/>
              <w:jc w:val="center"/>
              <w:rPr>
                <w:rFonts w:hint="eastAsia" w:ascii="宋体" w:hAnsi="宋体" w:eastAsia="宋体" w:cs="宋体"/>
                <w:color w:val="auto"/>
                <w:highlight w:val="no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93" w:type="dxa"/>
            <w:gridSpan w:val="2"/>
            <w:vMerge w:val="continue"/>
            <w:vAlign w:val="center"/>
          </w:tcPr>
          <w:p>
            <w:pPr>
              <w:pStyle w:val="25"/>
              <w:spacing w:line="240" w:lineRule="auto"/>
              <w:ind w:left="0" w:leftChars="0" w:firstLine="0" w:firstLineChars="0"/>
              <w:jc w:val="center"/>
              <w:rPr>
                <w:rFonts w:hint="eastAsia" w:ascii="宋体" w:hAnsi="宋体" w:eastAsia="宋体" w:cs="宋体"/>
                <w:color w:val="auto"/>
                <w:highlight w:val="none"/>
                <w:lang w:val="en-US" w:eastAsia="zh-CN"/>
              </w:rPr>
            </w:pPr>
          </w:p>
        </w:tc>
        <w:tc>
          <w:tcPr>
            <w:tcW w:w="1775" w:type="dxa"/>
            <w:vAlign w:val="center"/>
          </w:tcPr>
          <w:p>
            <w:pPr>
              <w:pStyle w:val="25"/>
              <w:spacing w:line="240" w:lineRule="auto"/>
              <w:ind w:left="0" w:leftChars="0" w:firstLine="0" w:firstLineChars="0"/>
              <w:jc w:val="center"/>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大写（元）</w:t>
            </w:r>
          </w:p>
        </w:tc>
        <w:tc>
          <w:tcPr>
            <w:tcW w:w="4633" w:type="dxa"/>
            <w:gridSpan w:val="2"/>
            <w:vAlign w:val="center"/>
          </w:tcPr>
          <w:p>
            <w:pPr>
              <w:pStyle w:val="25"/>
              <w:spacing w:line="240" w:lineRule="auto"/>
              <w:ind w:left="0" w:leftChars="0" w:firstLine="0" w:firstLineChars="0"/>
              <w:jc w:val="center"/>
              <w:rPr>
                <w:rFonts w:hint="eastAsia" w:ascii="宋体" w:hAnsi="宋体" w:eastAsia="宋体" w:cs="宋体"/>
                <w:color w:val="auto"/>
                <w:highlight w:val="none"/>
                <w:lang w:val="zh-CN" w:eastAsia="zh-CN"/>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；采购内容未包含在《开标一览表（报价表）》名称栏中，投标人不能作出合理解释的，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4、</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highlight w:val="none"/>
        </w:rPr>
      </w:pPr>
    </w:p>
    <w:p>
      <w:pPr>
        <w:pStyle w:val="376"/>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1905" w:h="16838"/>
          <w:pgMar w:top="1531" w:right="1304" w:bottom="1531" w:left="1361" w:header="851" w:footer="992" w:gutter="0"/>
          <w:pgBorders>
            <w:top w:val="none" w:sz="0" w:space="0"/>
            <w:left w:val="none" w:sz="0" w:space="0"/>
            <w:bottom w:val="none" w:sz="0" w:space="0"/>
            <w:right w:val="none" w:sz="0" w:space="0"/>
          </w:pgBorders>
          <w:cols w:space="0" w:num="1"/>
          <w:titlePg/>
          <w:rtlGutter w:val="0"/>
          <w:docGrid w:linePitch="312" w:charSpace="0"/>
        </w:sectPr>
      </w:pPr>
    </w:p>
    <w:p>
      <w:pPr>
        <w:shd w:val="clear" w:color="auto" w:fill="FFFFFF"/>
        <w:snapToGrid w:val="0"/>
        <w:spacing w:line="600" w:lineRule="exact"/>
        <w:ind w:firstLine="640" w:firstLineChars="200"/>
        <w:jc w:val="center"/>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lang w:eastAsia="zh-CN"/>
        </w:rPr>
        <w:t>二</w:t>
      </w:r>
      <w:r>
        <w:rPr>
          <w:rFonts w:hint="eastAsia" w:ascii="宋体" w:hAnsi="宋体" w:eastAsia="宋体" w:cs="宋体"/>
          <w:color w:val="auto"/>
          <w:kern w:val="2"/>
          <w:sz w:val="32"/>
          <w:szCs w:val="32"/>
          <w:highlight w:val="none"/>
        </w:rPr>
        <w:t>、</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pStyle w:val="4"/>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r>
        <w:rPr>
          <w:rFonts w:hint="eastAsia" w:ascii="宋体" w:hAnsi="宋体" w:eastAsia="宋体" w:cs="宋体"/>
          <w:color w:val="auto"/>
          <w:highlight w:val="none"/>
        </w:rPr>
        <w:t>附件</w:t>
      </w:r>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512" w:name="OLE_LINK13"/>
      <w:bookmarkStart w:id="513" w:name="OLE_LINK14"/>
      <w:r>
        <w:rPr>
          <w:rFonts w:hint="eastAsia" w:ascii="宋体" w:hAnsi="宋体" w:eastAsia="宋体" w:cs="宋体"/>
          <w:b/>
          <w:color w:val="auto"/>
          <w:spacing w:val="6"/>
          <w:sz w:val="32"/>
          <w:szCs w:val="32"/>
          <w:highlight w:val="none"/>
        </w:rPr>
        <w:t>残疾人福利性单位声明函</w:t>
      </w:r>
    </w:p>
    <w:bookmarkEnd w:id="512"/>
    <w:bookmarkEnd w:id="513"/>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rPr>
        <w:t>(采购人)</w:t>
      </w:r>
      <w:r>
        <w:rPr>
          <w:rFonts w:hint="eastAsia" w:ascii="宋体" w:hAnsi="宋体" w:eastAsia="宋体" w:cs="宋体"/>
          <w:color w:val="auto"/>
          <w:sz w:val="24"/>
          <w:highlight w:val="none"/>
        </w:rPr>
        <w:t>_单位的_</w:t>
      </w:r>
      <w:r>
        <w:rPr>
          <w:rFonts w:hint="eastAsia" w:ascii="宋体" w:hAnsi="宋体" w:eastAsia="宋体" w:cs="宋体"/>
          <w:color w:val="auto"/>
          <w:sz w:val="24"/>
          <w:highlight w:val="none"/>
          <w:u w:val="single"/>
          <w:lang w:eastAsia="zh-CN"/>
        </w:rPr>
        <w:t>仓前街道生活垃圾集中转运项目</w:t>
      </w:r>
      <w:r>
        <w:rPr>
          <w:rFonts w:hint="eastAsia" w:ascii="宋体" w:hAnsi="宋体" w:eastAsia="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w:t>
      </w:r>
      <w:r>
        <w:rPr>
          <w:rFonts w:hint="eastAsia" w:ascii="宋体" w:hAnsi="宋体" w:eastAsia="宋体" w:cs="宋体"/>
          <w:color w:val="auto"/>
          <w:sz w:val="24"/>
          <w:highlight w:val="none"/>
          <w:lang w:eastAsia="zh-CN"/>
        </w:rPr>
        <w:t>仓前街道生活垃圾集中转运项目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7"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8"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 xml:space="preserve">法定名称章（印模）                </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lang w:eastAsia="zh-CN"/>
        </w:rPr>
        <w:t>仓前街道生活垃圾集中转运项目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w:t>
      </w:r>
      <w:bookmarkStart w:id="514" w:name="_Hlk101131882"/>
      <w:r>
        <w:rPr>
          <w:rFonts w:hint="eastAsia" w:ascii="宋体" w:hAnsi="宋体" w:eastAsia="宋体" w:cs="宋体"/>
          <w:color w:val="auto"/>
          <w:kern w:val="0"/>
          <w:sz w:val="24"/>
          <w:highlight w:val="none"/>
          <w:u w:val="single"/>
        </w:rPr>
        <w:t>联合体成员X,……</w:t>
      </w:r>
      <w:bookmarkEnd w:id="514"/>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提供的服务由小微企业承接，其合同份额占到合同总金额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w:t>
      </w:r>
      <w:bookmarkStart w:id="515" w:name="_Hlk101133598"/>
      <w:r>
        <w:rPr>
          <w:rFonts w:hint="eastAsia" w:ascii="宋体" w:hAnsi="宋体" w:eastAsia="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4"/>
          <w:highlight w:val="none"/>
        </w:rPr>
        <w:t>拟享受以上价格扣除政策的，填写有关内容。</w:t>
      </w:r>
      <w:bookmarkEnd w:id="515"/>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516"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bookmarkEnd w:id="516"/>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right="96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napToGrid w:val="0"/>
        <w:spacing w:line="360" w:lineRule="auto"/>
        <w:ind w:firstLine="3666" w:firstLineChars="1100"/>
        <w:rPr>
          <w:rFonts w:hint="eastAsia" w:ascii="宋体" w:hAnsi="宋体" w:eastAsia="宋体" w:cs="宋体"/>
          <w:b/>
          <w:color w:val="auto"/>
          <w:spacing w:val="6"/>
          <w:sz w:val="32"/>
          <w:szCs w:val="32"/>
          <w:highlight w:val="none"/>
        </w:rPr>
      </w:pPr>
    </w:p>
    <w:p>
      <w:pPr>
        <w:widowControl/>
        <w:adjustRightInd/>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snapToGrid w:val="0"/>
        <w:spacing w:line="360" w:lineRule="auto"/>
        <w:ind w:firstLine="3666"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spacing w:val="6"/>
          <w:sz w:val="32"/>
          <w:szCs w:val="32"/>
          <w:highlight w:val="none"/>
        </w:rPr>
        <w:t>附件6：</w:t>
      </w: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lang w:eastAsia="zh-CN"/>
        </w:rPr>
        <w:t>仓前街道生活垃圾集中转运项目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（分包供应商2名称），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5"/>
        <w:ind w:left="664" w:leftChars="316" w:firstLine="229" w:firstLineChars="9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（分包供应商X,……）提供的服务全部由小微企业承接，</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八、其他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pacing w:line="360" w:lineRule="auto"/>
        <w:jc w:val="left"/>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附件7：中小企业声明函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中小企业声明函（服务）</w:t>
      </w: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仓前街道生活垃圾集中转运项目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 xml:space="preserve">（采购文件中明确的所属行业） </w:t>
      </w:r>
      <w:r>
        <w:rPr>
          <w:rFonts w:hint="eastAsia" w:ascii="宋体" w:hAnsi="宋体" w:eastAsia="宋体" w:cs="宋体"/>
          <w:color w:val="auto"/>
          <w:sz w:val="24"/>
          <w:highlight w:val="none"/>
        </w:rPr>
        <w:t xml:space="preserve">；承建（承接）企业为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hint="eastAsia" w:ascii="宋体" w:hAnsi="宋体" w:eastAsia="宋体" w:cs="宋体"/>
          <w:color w:val="auto"/>
          <w:highlight w:val="none"/>
          <w:lang w:val="en-US"/>
        </w:rPr>
      </w:pPr>
    </w:p>
    <w:p>
      <w:pPr>
        <w:spacing w:line="360" w:lineRule="auto"/>
        <w:ind w:right="420"/>
        <w:rPr>
          <w:rFonts w:hint="eastAsia" w:ascii="宋体" w:hAnsi="宋体" w:eastAsia="宋体" w:cs="宋体"/>
          <w:color w:val="auto"/>
          <w:highlight w:val="none"/>
        </w:rPr>
      </w:pPr>
    </w:p>
    <w:p>
      <w:pPr>
        <w:spacing w:line="360" w:lineRule="auto"/>
        <w:rPr>
          <w:rFonts w:hint="eastAsia" w:ascii="宋体" w:hAnsi="宋体" w:eastAsia="宋体" w:cs="宋体"/>
          <w:bCs/>
          <w:color w:val="auto"/>
          <w:sz w:val="24"/>
          <w:highlight w:val="none"/>
        </w:rPr>
      </w:pPr>
    </w:p>
    <w:sectPr>
      <w:headerReference r:id="rId22" w:type="first"/>
      <w:footerReference r:id="rId24" w:type="first"/>
      <w:headerReference r:id="rId21" w:type="default"/>
      <w:footerReference r:id="rId23" w:type="default"/>
      <w:pgSz w:w="11905" w:h="16838"/>
      <w:pgMar w:top="1531" w:right="1304" w:bottom="1531" w:left="1361" w:header="851" w:footer="992" w:gutter="0"/>
      <w:pgBorders>
        <w:top w:val="none" w:sz="0" w:space="0"/>
        <w:left w:val="none" w:sz="0" w:space="0"/>
        <w:bottom w:val="none" w:sz="0" w:space="0"/>
        <w:right w:val="none" w:sz="0" w:space="0"/>
      </w:pgBorders>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1"/>
    <w:family w:val="auto"/>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NumberOnly"/>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7" w:name="_Toc131845147"/>
    <w:bookmarkStart w:id="518" w:name="_Toc91899912"/>
    <w:bookmarkStart w:id="519" w:name="_Toc36110187"/>
    <w:bookmarkStart w:id="520" w:name="_Toc164085800"/>
    <w:r>
      <w:rPr>
        <w:rFonts w:hint="eastAsia" w:ascii="仿宋_GB2312" w:eastAsia="仿宋_GB2312"/>
        <w:kern w:val="0"/>
        <w:szCs w:val="21"/>
      </w:rPr>
      <w:t xml:space="preserve"> 页</w:t>
    </w:r>
    <w:bookmarkEnd w:id="517"/>
    <w:bookmarkEnd w:id="518"/>
    <w:bookmarkEnd w:id="519"/>
    <w:bookmarkEnd w:id="5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ascii="Times New Roman" w:hAnsi="Times New Roman" w:eastAsia="宋体" w:cs="Times New Roman"/>
        <w:kern w:val="2"/>
        <w:sz w:val="18"/>
        <w:szCs w:val="18"/>
        <w:lang w:val="en-US" w:eastAsia="zh-CN" w:bidi="ar-SA"/>
      </w:rPr>
      <w:pict>
        <v:rect id="文本框 8" o:spid="_x0000_s2049"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18"/>
                    <w:szCs w:val="18"/>
                  </w:rPr>
                </w:pPr>
                <w:r>
                  <w:rPr>
                    <w:rFonts w:hint="eastAsia" w:ascii="宋体" w:hAnsi="宋体" w:eastAsia="宋体" w:cs="宋体"/>
                    <w:sz w:val="18"/>
                    <w:szCs w:val="18"/>
                  </w:rPr>
                  <w:t xml:space="preserve">第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t>28</w:t>
                </w:r>
                <w:r>
                  <w:rPr>
                    <w:rFonts w:hint="eastAsia" w:ascii="宋体" w:hAnsi="宋体" w:eastAsia="宋体" w:cs="宋体"/>
                    <w:sz w:val="18"/>
                    <w:szCs w:val="18"/>
                  </w:rPr>
                  <w:fldChar w:fldCharType="end"/>
                </w:r>
                <w:r>
                  <w:rPr>
                    <w:rFonts w:hint="eastAsia" w:ascii="宋体" w:hAnsi="宋体" w:eastAsia="宋体" w:cs="宋体"/>
                    <w:sz w:val="18"/>
                    <w:szCs w:val="18"/>
                  </w:rPr>
                  <w:t xml:space="preserve"> 页 共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NUMPAGES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106</w:t>
                </w:r>
                <w:r>
                  <w:rPr>
                    <w:rFonts w:hint="eastAsia" w:ascii="宋体" w:hAnsi="宋体" w:eastAsia="宋体" w:cs="宋体"/>
                    <w:sz w:val="18"/>
                    <w:szCs w:val="18"/>
                  </w:rPr>
                  <w:fldChar w:fldCharType="end"/>
                </w:r>
                <w:r>
                  <w:rPr>
                    <w:rFonts w:hint="eastAsia" w:ascii="宋体" w:hAnsi="宋体" w:eastAsia="宋体" w:cs="宋体"/>
                    <w:sz w:val="18"/>
                    <w:szCs w:val="18"/>
                  </w:rPr>
                  <w:t xml:space="preserve"> 页</w:t>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DQ5ZTQ5YTIzMWFmNzczOGY2ZTY5N2JhZGJlZWNmZm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A7721"/>
    <w:rsid w:val="01DF6BF8"/>
    <w:rsid w:val="01EC2C57"/>
    <w:rsid w:val="025F0711"/>
    <w:rsid w:val="026B2E25"/>
    <w:rsid w:val="02824D4D"/>
    <w:rsid w:val="02DC4B10"/>
    <w:rsid w:val="02DD76CE"/>
    <w:rsid w:val="02F36323"/>
    <w:rsid w:val="02F5619C"/>
    <w:rsid w:val="0326446A"/>
    <w:rsid w:val="032D5555"/>
    <w:rsid w:val="036634D2"/>
    <w:rsid w:val="037D24DF"/>
    <w:rsid w:val="03DD35E4"/>
    <w:rsid w:val="04076900"/>
    <w:rsid w:val="041A5A3B"/>
    <w:rsid w:val="042311BA"/>
    <w:rsid w:val="042B157A"/>
    <w:rsid w:val="048F763B"/>
    <w:rsid w:val="049F330E"/>
    <w:rsid w:val="04AA775C"/>
    <w:rsid w:val="04AF1889"/>
    <w:rsid w:val="04C579CE"/>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020201"/>
    <w:rsid w:val="0B30404E"/>
    <w:rsid w:val="0B4C6C14"/>
    <w:rsid w:val="0B547599"/>
    <w:rsid w:val="0B631A88"/>
    <w:rsid w:val="0B683D45"/>
    <w:rsid w:val="0B7F3F11"/>
    <w:rsid w:val="0B884417"/>
    <w:rsid w:val="0BF6188C"/>
    <w:rsid w:val="0BF73C91"/>
    <w:rsid w:val="0C170175"/>
    <w:rsid w:val="0C2702FC"/>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E15B7C"/>
    <w:rsid w:val="0DF50604"/>
    <w:rsid w:val="0DF702FE"/>
    <w:rsid w:val="0E060E51"/>
    <w:rsid w:val="0E5604B2"/>
    <w:rsid w:val="0E625C06"/>
    <w:rsid w:val="0E6D5D79"/>
    <w:rsid w:val="0E9D0089"/>
    <w:rsid w:val="0EB803EE"/>
    <w:rsid w:val="0EF4796D"/>
    <w:rsid w:val="0EF94D4B"/>
    <w:rsid w:val="0F4958DC"/>
    <w:rsid w:val="0F515DF7"/>
    <w:rsid w:val="0F596BA8"/>
    <w:rsid w:val="0F6248D2"/>
    <w:rsid w:val="0F693536"/>
    <w:rsid w:val="0F7B0511"/>
    <w:rsid w:val="0F7B76D9"/>
    <w:rsid w:val="0F816ACD"/>
    <w:rsid w:val="0F9832DB"/>
    <w:rsid w:val="0FBC440D"/>
    <w:rsid w:val="0FBF3FD2"/>
    <w:rsid w:val="0FBF7FF3"/>
    <w:rsid w:val="10285F85"/>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724F64"/>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366553"/>
    <w:rsid w:val="1870062C"/>
    <w:rsid w:val="18817102"/>
    <w:rsid w:val="18830A15"/>
    <w:rsid w:val="18852B28"/>
    <w:rsid w:val="188B5321"/>
    <w:rsid w:val="18C13529"/>
    <w:rsid w:val="19932372"/>
    <w:rsid w:val="19A20DD5"/>
    <w:rsid w:val="19AE03F1"/>
    <w:rsid w:val="1A071A03"/>
    <w:rsid w:val="1A1F16AE"/>
    <w:rsid w:val="1A3B5C77"/>
    <w:rsid w:val="1A5A5398"/>
    <w:rsid w:val="1A917D30"/>
    <w:rsid w:val="1A984BAD"/>
    <w:rsid w:val="1AB8220E"/>
    <w:rsid w:val="1ACD485A"/>
    <w:rsid w:val="1AE4166C"/>
    <w:rsid w:val="1AF06CFB"/>
    <w:rsid w:val="1AF11B8D"/>
    <w:rsid w:val="1B11359C"/>
    <w:rsid w:val="1B2A271F"/>
    <w:rsid w:val="1B520CD0"/>
    <w:rsid w:val="1B530544"/>
    <w:rsid w:val="1B713184"/>
    <w:rsid w:val="1BA209CF"/>
    <w:rsid w:val="1BB4777D"/>
    <w:rsid w:val="1BD75AB8"/>
    <w:rsid w:val="1C0459C2"/>
    <w:rsid w:val="1C1B3B4A"/>
    <w:rsid w:val="1C88086E"/>
    <w:rsid w:val="1CEA6B28"/>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CA02E4"/>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2E2105B"/>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2763F"/>
    <w:rsid w:val="2628662C"/>
    <w:rsid w:val="262D45DE"/>
    <w:rsid w:val="26871DC8"/>
    <w:rsid w:val="26A06CE7"/>
    <w:rsid w:val="26A53EF9"/>
    <w:rsid w:val="26A94201"/>
    <w:rsid w:val="26AC274F"/>
    <w:rsid w:val="26B335D4"/>
    <w:rsid w:val="26DD23BF"/>
    <w:rsid w:val="27044A29"/>
    <w:rsid w:val="271D34C8"/>
    <w:rsid w:val="275A2ED4"/>
    <w:rsid w:val="276142BF"/>
    <w:rsid w:val="27783712"/>
    <w:rsid w:val="27797334"/>
    <w:rsid w:val="27907362"/>
    <w:rsid w:val="28003E99"/>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7F55E4"/>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5D18D6"/>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DD0796"/>
    <w:rsid w:val="36EC0CC9"/>
    <w:rsid w:val="373F410B"/>
    <w:rsid w:val="378F3624"/>
    <w:rsid w:val="37BE34D8"/>
    <w:rsid w:val="37EE7094"/>
    <w:rsid w:val="38296C89"/>
    <w:rsid w:val="383002EB"/>
    <w:rsid w:val="38586797"/>
    <w:rsid w:val="38BC0149"/>
    <w:rsid w:val="38D87D1C"/>
    <w:rsid w:val="390D58BA"/>
    <w:rsid w:val="39636459"/>
    <w:rsid w:val="396B7F6C"/>
    <w:rsid w:val="39A44F7D"/>
    <w:rsid w:val="39B417A9"/>
    <w:rsid w:val="39EC1A2E"/>
    <w:rsid w:val="39FC5695"/>
    <w:rsid w:val="3A006D8E"/>
    <w:rsid w:val="3A3651E5"/>
    <w:rsid w:val="3A744481"/>
    <w:rsid w:val="3A8C7BEF"/>
    <w:rsid w:val="3A906246"/>
    <w:rsid w:val="3B2349B7"/>
    <w:rsid w:val="3B616CFF"/>
    <w:rsid w:val="3B6259F6"/>
    <w:rsid w:val="3B796D44"/>
    <w:rsid w:val="3B90414B"/>
    <w:rsid w:val="3B976654"/>
    <w:rsid w:val="3BC01EFC"/>
    <w:rsid w:val="3BCA786A"/>
    <w:rsid w:val="3BD31E2F"/>
    <w:rsid w:val="3BF15831"/>
    <w:rsid w:val="3C105946"/>
    <w:rsid w:val="3C333506"/>
    <w:rsid w:val="3C471448"/>
    <w:rsid w:val="3C5F759A"/>
    <w:rsid w:val="3C6C525A"/>
    <w:rsid w:val="3C877A4F"/>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7D6CA5"/>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571E66"/>
    <w:rsid w:val="4360274F"/>
    <w:rsid w:val="43977AB6"/>
    <w:rsid w:val="43A3342B"/>
    <w:rsid w:val="43C77C27"/>
    <w:rsid w:val="43DE09EE"/>
    <w:rsid w:val="44002FAD"/>
    <w:rsid w:val="449101DD"/>
    <w:rsid w:val="44DB4A18"/>
    <w:rsid w:val="44DE1391"/>
    <w:rsid w:val="451B225C"/>
    <w:rsid w:val="452410C9"/>
    <w:rsid w:val="45317DFB"/>
    <w:rsid w:val="456D3CE4"/>
    <w:rsid w:val="4579042C"/>
    <w:rsid w:val="457F0571"/>
    <w:rsid w:val="45851176"/>
    <w:rsid w:val="45A515B3"/>
    <w:rsid w:val="45C63B94"/>
    <w:rsid w:val="460E7DA5"/>
    <w:rsid w:val="46422483"/>
    <w:rsid w:val="4659254A"/>
    <w:rsid w:val="465B0637"/>
    <w:rsid w:val="465E3F0D"/>
    <w:rsid w:val="466A16E6"/>
    <w:rsid w:val="46893F2B"/>
    <w:rsid w:val="46C4686E"/>
    <w:rsid w:val="477B778F"/>
    <w:rsid w:val="478203EC"/>
    <w:rsid w:val="47B025FA"/>
    <w:rsid w:val="47C30D3B"/>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B208F"/>
    <w:rsid w:val="4BEE2503"/>
    <w:rsid w:val="4BF12B62"/>
    <w:rsid w:val="4C245A30"/>
    <w:rsid w:val="4C6A7458"/>
    <w:rsid w:val="4CB6685F"/>
    <w:rsid w:val="4CC367FE"/>
    <w:rsid w:val="4D077F3C"/>
    <w:rsid w:val="4D123355"/>
    <w:rsid w:val="4D2A3B31"/>
    <w:rsid w:val="4D312C52"/>
    <w:rsid w:val="4D905305"/>
    <w:rsid w:val="4D92372A"/>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5690"/>
    <w:rsid w:val="53097272"/>
    <w:rsid w:val="53220A94"/>
    <w:rsid w:val="53544462"/>
    <w:rsid w:val="5397158E"/>
    <w:rsid w:val="54013861"/>
    <w:rsid w:val="54487265"/>
    <w:rsid w:val="544D6070"/>
    <w:rsid w:val="544D6654"/>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F0D87"/>
    <w:rsid w:val="57032A2C"/>
    <w:rsid w:val="570F5219"/>
    <w:rsid w:val="575D12B5"/>
    <w:rsid w:val="57610A87"/>
    <w:rsid w:val="577B1140"/>
    <w:rsid w:val="577B7F21"/>
    <w:rsid w:val="577F181B"/>
    <w:rsid w:val="57921984"/>
    <w:rsid w:val="579737F0"/>
    <w:rsid w:val="57A2219C"/>
    <w:rsid w:val="57AB7B30"/>
    <w:rsid w:val="57AF5251"/>
    <w:rsid w:val="57B26373"/>
    <w:rsid w:val="57B63F04"/>
    <w:rsid w:val="57CD20C2"/>
    <w:rsid w:val="57D675AB"/>
    <w:rsid w:val="57D95FDD"/>
    <w:rsid w:val="580979C3"/>
    <w:rsid w:val="584474A2"/>
    <w:rsid w:val="58882B02"/>
    <w:rsid w:val="58917D2F"/>
    <w:rsid w:val="5894085C"/>
    <w:rsid w:val="58AE4F0C"/>
    <w:rsid w:val="58B85899"/>
    <w:rsid w:val="58E363A9"/>
    <w:rsid w:val="595E1678"/>
    <w:rsid w:val="596D5BD4"/>
    <w:rsid w:val="597E3DD8"/>
    <w:rsid w:val="59F80043"/>
    <w:rsid w:val="5A09252F"/>
    <w:rsid w:val="5A0B2778"/>
    <w:rsid w:val="5A216F33"/>
    <w:rsid w:val="5A2A7C7B"/>
    <w:rsid w:val="5A3E2560"/>
    <w:rsid w:val="5A5D3B6E"/>
    <w:rsid w:val="5A637A76"/>
    <w:rsid w:val="5A6D33BA"/>
    <w:rsid w:val="5A792B1F"/>
    <w:rsid w:val="5A874767"/>
    <w:rsid w:val="5AA85BE2"/>
    <w:rsid w:val="5AAD6F28"/>
    <w:rsid w:val="5AD63A24"/>
    <w:rsid w:val="5B077FC9"/>
    <w:rsid w:val="5B2E1A1D"/>
    <w:rsid w:val="5B843A1C"/>
    <w:rsid w:val="5B873E3F"/>
    <w:rsid w:val="5C02690E"/>
    <w:rsid w:val="5C196DA7"/>
    <w:rsid w:val="5C2A048C"/>
    <w:rsid w:val="5C80234E"/>
    <w:rsid w:val="5C8A680C"/>
    <w:rsid w:val="5D0C4701"/>
    <w:rsid w:val="5D0F0395"/>
    <w:rsid w:val="5D221076"/>
    <w:rsid w:val="5D397964"/>
    <w:rsid w:val="5D500321"/>
    <w:rsid w:val="5D5A391C"/>
    <w:rsid w:val="5D5F10C0"/>
    <w:rsid w:val="5D891B7B"/>
    <w:rsid w:val="5DAD38EE"/>
    <w:rsid w:val="5E006862"/>
    <w:rsid w:val="5E0207B9"/>
    <w:rsid w:val="5E022FC1"/>
    <w:rsid w:val="5E033957"/>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422F7A"/>
    <w:rsid w:val="615227C4"/>
    <w:rsid w:val="61654E3F"/>
    <w:rsid w:val="6182292A"/>
    <w:rsid w:val="619F7F92"/>
    <w:rsid w:val="61F94C26"/>
    <w:rsid w:val="62000E56"/>
    <w:rsid w:val="624F3E49"/>
    <w:rsid w:val="62632286"/>
    <w:rsid w:val="62885958"/>
    <w:rsid w:val="62F40B65"/>
    <w:rsid w:val="62FC2CFE"/>
    <w:rsid w:val="63024505"/>
    <w:rsid w:val="633F5A4D"/>
    <w:rsid w:val="635600A5"/>
    <w:rsid w:val="635B1DB5"/>
    <w:rsid w:val="63711FED"/>
    <w:rsid w:val="63880DDC"/>
    <w:rsid w:val="638D750D"/>
    <w:rsid w:val="63AC6CC0"/>
    <w:rsid w:val="63FA1A53"/>
    <w:rsid w:val="64055776"/>
    <w:rsid w:val="64240056"/>
    <w:rsid w:val="643E143A"/>
    <w:rsid w:val="64491666"/>
    <w:rsid w:val="648B6EEF"/>
    <w:rsid w:val="64C158BF"/>
    <w:rsid w:val="64CE2EAA"/>
    <w:rsid w:val="64FD15E9"/>
    <w:rsid w:val="653C3090"/>
    <w:rsid w:val="65854376"/>
    <w:rsid w:val="658767BE"/>
    <w:rsid w:val="65892531"/>
    <w:rsid w:val="66195831"/>
    <w:rsid w:val="662E75B1"/>
    <w:rsid w:val="66342C2E"/>
    <w:rsid w:val="663E784C"/>
    <w:rsid w:val="668B6A45"/>
    <w:rsid w:val="66E14363"/>
    <w:rsid w:val="67011F07"/>
    <w:rsid w:val="67166948"/>
    <w:rsid w:val="672F3F24"/>
    <w:rsid w:val="673E055F"/>
    <w:rsid w:val="67551CE3"/>
    <w:rsid w:val="67A22552"/>
    <w:rsid w:val="67B22DCC"/>
    <w:rsid w:val="67BE71AA"/>
    <w:rsid w:val="67D90273"/>
    <w:rsid w:val="67DE5875"/>
    <w:rsid w:val="67E50284"/>
    <w:rsid w:val="67E55852"/>
    <w:rsid w:val="67EB1AB4"/>
    <w:rsid w:val="67FA1285"/>
    <w:rsid w:val="68551F4F"/>
    <w:rsid w:val="687C10C9"/>
    <w:rsid w:val="68840C16"/>
    <w:rsid w:val="68872541"/>
    <w:rsid w:val="68876EFB"/>
    <w:rsid w:val="68884654"/>
    <w:rsid w:val="68894778"/>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793E8D"/>
    <w:rsid w:val="6C8C67B7"/>
    <w:rsid w:val="6C9D744C"/>
    <w:rsid w:val="6CEB1A97"/>
    <w:rsid w:val="6D167928"/>
    <w:rsid w:val="6D26299B"/>
    <w:rsid w:val="6D4772EC"/>
    <w:rsid w:val="6D9078AF"/>
    <w:rsid w:val="6DAA3FEF"/>
    <w:rsid w:val="6DC0172B"/>
    <w:rsid w:val="6DCB690C"/>
    <w:rsid w:val="6DD41A5B"/>
    <w:rsid w:val="6DD96CF4"/>
    <w:rsid w:val="6DF43C2E"/>
    <w:rsid w:val="6DF51CA3"/>
    <w:rsid w:val="6E8335BD"/>
    <w:rsid w:val="6E8B2BD4"/>
    <w:rsid w:val="6E8E12EF"/>
    <w:rsid w:val="6E972936"/>
    <w:rsid w:val="6ED446C5"/>
    <w:rsid w:val="6F2A7D94"/>
    <w:rsid w:val="6F8331F1"/>
    <w:rsid w:val="6F885888"/>
    <w:rsid w:val="6FAE1A09"/>
    <w:rsid w:val="6FD75BF8"/>
    <w:rsid w:val="707723D0"/>
    <w:rsid w:val="70F5661B"/>
    <w:rsid w:val="71360107"/>
    <w:rsid w:val="713B688E"/>
    <w:rsid w:val="713D663A"/>
    <w:rsid w:val="71AF2175"/>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9782F"/>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23328"/>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930"/>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832"/>
    <w:qFormat/>
    <w:uiPriority w:val="0"/>
    <w:pPr>
      <w:ind w:firstLine="420"/>
    </w:pPr>
    <w:rPr>
      <w:rFonts w:hAnsi="Calibri" w:cs="Times New Roman"/>
      <w:szCs w:val="20"/>
    </w:rPr>
  </w:style>
  <w:style w:type="paragraph" w:styleId="7">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5"/>
    <w:qFormat/>
    <w:uiPriority w:val="0"/>
    <w:pPr>
      <w:shd w:val="clear" w:color="auto" w:fill="000080"/>
    </w:pPr>
  </w:style>
  <w:style w:type="paragraph" w:styleId="21">
    <w:name w:val="annotation text"/>
    <w:basedOn w:val="1"/>
    <w:link w:val="853"/>
    <w:qFormat/>
    <w:uiPriority w:val="99"/>
    <w:pPr>
      <w:jc w:val="left"/>
    </w:pPr>
  </w:style>
  <w:style w:type="paragraph" w:styleId="22">
    <w:name w:val="Salutation"/>
    <w:basedOn w:val="1"/>
    <w:next w:val="1"/>
    <w:link w:val="813"/>
    <w:qFormat/>
    <w:uiPriority w:val="0"/>
    <w:rPr>
      <w:rFonts w:ascii="仿宋_GB2312" w:eastAsia="仿宋_GB2312"/>
      <w:sz w:val="28"/>
      <w:szCs w:val="20"/>
    </w:rPr>
  </w:style>
  <w:style w:type="paragraph" w:styleId="23">
    <w:name w:val="Body Text 3"/>
    <w:basedOn w:val="1"/>
    <w:link w:val="841"/>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781"/>
    <w:qFormat/>
    <w:uiPriority w:val="0"/>
    <w:pPr>
      <w:spacing w:line="480" w:lineRule="exact"/>
      <w:ind w:firstLine="480" w:firstLineChars="200"/>
    </w:pPr>
    <w:rPr>
      <w:rFonts w:ascii="宋体" w:hAnsi="宋体"/>
      <w:sz w:val="24"/>
    </w:rPr>
  </w:style>
  <w:style w:type="paragraph" w:styleId="26">
    <w:name w:val="Body Text First Indent 2"/>
    <w:basedOn w:val="25"/>
    <w:next w:val="3"/>
    <w:link w:val="653"/>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35"/>
    <w:link w:val="657"/>
    <w:qFormat/>
    <w:uiPriority w:val="0"/>
    <w:rPr>
      <w:rFonts w:ascii="宋体" w:hAnsi="Courier New" w:cs="Arial"/>
      <w:snapToGrid w:val="0"/>
      <w:szCs w:val="21"/>
    </w:rPr>
  </w:style>
  <w:style w:type="paragraph" w:styleId="35">
    <w:name w:val="toc 2"/>
    <w:basedOn w:val="1"/>
    <w:next w:val="1"/>
    <w:qFormat/>
    <w:uiPriority w:val="0"/>
    <w:pPr>
      <w:ind w:left="420" w:leftChars="200"/>
    </w:p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7"/>
    <w:qFormat/>
    <w:uiPriority w:val="0"/>
    <w:pPr>
      <w:ind w:left="100" w:leftChars="2500"/>
    </w:pPr>
    <w:rPr>
      <w:rFonts w:ascii="宋体"/>
      <w:sz w:val="24"/>
      <w:szCs w:val="21"/>
      <w:lang w:val="zh-CN"/>
    </w:rPr>
  </w:style>
  <w:style w:type="paragraph" w:styleId="39">
    <w:name w:val="Body Text Indent 2"/>
    <w:basedOn w:val="1"/>
    <w:link w:val="821"/>
    <w:qFormat/>
    <w:uiPriority w:val="0"/>
    <w:pPr>
      <w:spacing w:line="360" w:lineRule="auto"/>
      <w:ind w:firstLine="601"/>
      <w:textAlignment w:val="baseline"/>
    </w:pPr>
    <w:rPr>
      <w:rFonts w:ascii="宋体"/>
      <w:kern w:val="0"/>
      <w:sz w:val="28"/>
      <w:szCs w:val="20"/>
    </w:rPr>
  </w:style>
  <w:style w:type="paragraph" w:styleId="40">
    <w:name w:val="endnote text"/>
    <w:basedOn w:val="1"/>
    <w:link w:val="938"/>
    <w:qFormat/>
    <w:uiPriority w:val="0"/>
    <w:rPr>
      <w:lang w:val="zh-CN"/>
    </w:rPr>
  </w:style>
  <w:style w:type="paragraph" w:styleId="41">
    <w:name w:val="Balloon Text"/>
    <w:basedOn w:val="1"/>
    <w:link w:val="714"/>
    <w:qFormat/>
    <w:uiPriority w:val="0"/>
    <w:rPr>
      <w:sz w:val="18"/>
      <w:szCs w:val="18"/>
    </w:rPr>
  </w:style>
  <w:style w:type="paragraph" w:styleId="42">
    <w:name w:val="footer"/>
    <w:basedOn w:val="1"/>
    <w:link w:val="889"/>
    <w:qFormat/>
    <w:uiPriority w:val="99"/>
    <w:pPr>
      <w:tabs>
        <w:tab w:val="center" w:pos="4153"/>
        <w:tab w:val="right" w:pos="8306"/>
      </w:tabs>
      <w:snapToGrid w:val="0"/>
      <w:jc w:val="left"/>
    </w:pPr>
    <w:rPr>
      <w:sz w:val="18"/>
      <w:szCs w:val="18"/>
    </w:rPr>
  </w:style>
  <w:style w:type="paragraph" w:styleId="43">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823"/>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2"/>
    <w:qFormat/>
    <w:uiPriority w:val="0"/>
    <w:pPr>
      <w:spacing w:line="360" w:lineRule="auto"/>
      <w:ind w:firstLine="420"/>
    </w:pPr>
    <w:rPr>
      <w:sz w:val="24"/>
      <w:szCs w:val="20"/>
    </w:rPr>
  </w:style>
  <w:style w:type="paragraph" w:styleId="56">
    <w:name w:val="toc 9"/>
    <w:basedOn w:val="1"/>
    <w:next w:val="1"/>
    <w:qFormat/>
    <w:uiPriority w:val="0"/>
    <w:pPr>
      <w:ind w:left="3360" w:leftChars="1600"/>
    </w:pPr>
  </w:style>
  <w:style w:type="paragraph" w:styleId="57">
    <w:name w:val="Body Text 2"/>
    <w:basedOn w:val="1"/>
    <w:link w:val="817"/>
    <w:qFormat/>
    <w:uiPriority w:val="0"/>
    <w:pPr>
      <w:spacing w:after="120" w:line="480" w:lineRule="auto"/>
    </w:pPr>
  </w:style>
  <w:style w:type="paragraph" w:styleId="58">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1"/>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1"/>
    <w:next w:val="21"/>
    <w:link w:val="630"/>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正文文本首行缩进 2"/>
    <w:basedOn w:val="25"/>
    <w:qFormat/>
    <w:uiPriority w:val="99"/>
    <w:pPr>
      <w:spacing w:line="200" w:lineRule="atLeast"/>
      <w:ind w:firstLine="420"/>
    </w:pPr>
    <w:rPr>
      <w:rFonts w:ascii="宋体" w:hAnsi="Courier New"/>
      <w:spacing w:val="-4"/>
      <w:sz w:val="18"/>
    </w:rPr>
  </w:style>
  <w:style w:type="paragraph" w:customStyle="1" w:styleId="80">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qFormat/>
    <w:uiPriority w:val="0"/>
    <w:pPr>
      <w:spacing w:before="156" w:line="360" w:lineRule="auto"/>
      <w:ind w:firstLine="510" w:firstLineChars="200"/>
    </w:pPr>
    <w:rPr>
      <w:sz w:val="24"/>
      <w:szCs w:val="20"/>
    </w:rPr>
  </w:style>
  <w:style w:type="paragraph" w:customStyle="1" w:styleId="86">
    <w:name w:val="无间隔1"/>
    <w:link w:val="670"/>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8"/>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5"/>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qFormat/>
    <w:uiPriority w:val="0"/>
    <w:pPr>
      <w:ind w:left="0" w:right="466" w:firstLine="288"/>
    </w:pPr>
    <w:rPr>
      <w:rFonts w:hAnsi="宋体"/>
    </w:rPr>
  </w:style>
  <w:style w:type="paragraph" w:customStyle="1" w:styleId="93">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8"/>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5"/>
    <w:qFormat/>
    <w:uiPriority w:val="0"/>
    <w:pPr>
      <w:adjustRightInd/>
      <w:spacing w:line="360" w:lineRule="auto"/>
      <w:ind w:firstLine="480" w:firstLineChars="200"/>
    </w:pPr>
    <w:rPr>
      <w:kern w:val="0"/>
      <w:sz w:val="24"/>
    </w:rPr>
  </w:style>
  <w:style w:type="paragraph" w:customStyle="1" w:styleId="98">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6"/>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8"/>
    <w:qFormat/>
    <w:uiPriority w:val="0"/>
    <w:pPr>
      <w:tabs>
        <w:tab w:val="left" w:pos="2356"/>
      </w:tabs>
    </w:pPr>
  </w:style>
  <w:style w:type="paragraph" w:customStyle="1" w:styleId="103">
    <w:name w:val="样式 标题 4h4H4Fab-4T5Ref Heading 1rh1Heading sqlsect 1.2.3...."/>
    <w:basedOn w:val="8"/>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1"/>
    <w:qFormat/>
    <w:uiPriority w:val="0"/>
    <w:pPr>
      <w:adjustRightInd/>
    </w:pPr>
    <w:rPr>
      <w:rFonts w:ascii="宋体" w:hAnsi="Courier New"/>
      <w:kern w:val="0"/>
      <w:sz w:val="20"/>
      <w:szCs w:val="20"/>
    </w:rPr>
  </w:style>
  <w:style w:type="paragraph" w:customStyle="1" w:styleId="106">
    <w:name w:val="正文说明"/>
    <w:basedOn w:val="1"/>
    <w:link w:val="843"/>
    <w:qFormat/>
    <w:uiPriority w:val="0"/>
    <w:pPr>
      <w:adjustRightInd/>
      <w:spacing w:line="360" w:lineRule="auto"/>
    </w:pPr>
    <w:rPr>
      <w:kern w:val="0"/>
      <w:sz w:val="24"/>
    </w:rPr>
  </w:style>
  <w:style w:type="paragraph" w:customStyle="1" w:styleId="107">
    <w:name w:val="Table Text"/>
    <w:basedOn w:val="1"/>
    <w:link w:val="849"/>
    <w:qFormat/>
    <w:uiPriority w:val="0"/>
    <w:pPr>
      <w:widowControl/>
      <w:spacing w:before="60" w:after="60"/>
      <w:jc w:val="left"/>
    </w:pPr>
    <w:rPr>
      <w:kern w:val="0"/>
      <w:sz w:val="24"/>
    </w:rPr>
  </w:style>
  <w:style w:type="paragraph" w:customStyle="1" w:styleId="108">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7"/>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8"/>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39"/>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6"/>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9"/>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6"/>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3"/>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8"/>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7"/>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4"/>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8"/>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9"/>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6"/>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6"/>
    <w:next w:val="55"/>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0"/>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5"/>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1"/>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9"/>
    <w:next w:val="1"/>
    <w:qFormat/>
    <w:uiPriority w:val="0"/>
    <w:pPr>
      <w:tabs>
        <w:tab w:val="left" w:pos="1080"/>
        <w:tab w:val="clear" w:pos="1008"/>
      </w:tabs>
      <w:ind w:left="1080" w:hanging="1080"/>
    </w:pPr>
  </w:style>
  <w:style w:type="paragraph" w:customStyle="1" w:styleId="580">
    <w:name w:val="数字标题1"/>
    <w:basedOn w:val="4"/>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6"/>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5"/>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6">
    <w:name w:val="_Style 947"/>
    <w:basedOn w:val="1"/>
    <w:next w:val="100"/>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9">
    <w:name w:val="表格非标题文字 Char"/>
    <w:link w:val="80"/>
    <w:qFormat/>
    <w:uiPriority w:val="0"/>
    <w:rPr>
      <w:rFonts w:ascii="Futura Bk" w:hAnsi="Futura Bk"/>
      <w:kern w:val="2"/>
      <w:sz w:val="18"/>
      <w:szCs w:val="21"/>
      <w:lang w:val="en-US" w:eastAsia="zh-CN" w:bidi="ar-SA"/>
    </w:rPr>
  </w:style>
  <w:style w:type="character" w:customStyle="1" w:styleId="620">
    <w:name w:val="*正文 Char"/>
    <w:link w:val="81"/>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2"/>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Char1"/>
    <w:link w:val="61"/>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4"/>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首行缩进 2 Char"/>
    <w:link w:val="26"/>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69"/>
    <w:qFormat/>
    <w:uiPriority w:val="0"/>
    <w:rPr>
      <w:rFonts w:ascii="Arial" w:hAnsi="Arial" w:eastAsia="黑体" w:cs="Arial"/>
      <w:snapToGrid w:val="0"/>
      <w:kern w:val="0"/>
      <w:szCs w:val="21"/>
    </w:rPr>
  </w:style>
  <w:style w:type="character" w:customStyle="1" w:styleId="657">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5"/>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Char"/>
    <w:link w:val="49"/>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6"/>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Char"/>
    <w:link w:val="10"/>
    <w:qFormat/>
    <w:uiPriority w:val="0"/>
    <w:rPr>
      <w:rFonts w:ascii="Arial" w:hAnsi="Arial" w:eastAsia="黑体"/>
      <w:b/>
      <w:bCs/>
      <w:kern w:val="2"/>
      <w:sz w:val="24"/>
      <w:szCs w:val="24"/>
    </w:rPr>
  </w:style>
  <w:style w:type="character" w:customStyle="1" w:styleId="678">
    <w:name w:val="纯文本 Char_0"/>
    <w:link w:val="87"/>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9"/>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Char"/>
    <w:link w:val="38"/>
    <w:qFormat/>
    <w:uiPriority w:val="0"/>
    <w:rPr>
      <w:rFonts w:ascii="宋体"/>
      <w:kern w:val="2"/>
      <w:sz w:val="24"/>
      <w:szCs w:val="21"/>
      <w:lang w:val="zh-CN"/>
    </w:rPr>
  </w:style>
  <w:style w:type="character" w:customStyle="1" w:styleId="708">
    <w:name w:val="标题 9 Char"/>
    <w:link w:val="13"/>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Char"/>
    <w:link w:val="41"/>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1"/>
    <w:qFormat/>
    <w:locked/>
    <w:uiPriority w:val="0"/>
    <w:rPr>
      <w:rFonts w:ascii="Tahoma" w:hAnsi="Tahoma"/>
      <w:sz w:val="24"/>
      <w:szCs w:val="24"/>
    </w:rPr>
  </w:style>
  <w:style w:type="character" w:customStyle="1" w:styleId="718">
    <w:name w:val="正文缩进 Char2"/>
    <w:link w:val="7"/>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Char1"/>
    <w:link w:val="20"/>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69"/>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Char"/>
    <w:link w:val="31"/>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4"/>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5"/>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Char"/>
    <w:link w:val="18"/>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6"/>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7"/>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8"/>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9"/>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Char3"/>
    <w:link w:val="25"/>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1"/>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Char"/>
    <w:link w:val="4"/>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60"/>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9"/>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Char"/>
    <w:link w:val="22"/>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Char"/>
    <w:link w:val="58"/>
    <w:qFormat/>
    <w:uiPriority w:val="0"/>
    <w:rPr>
      <w:rFonts w:ascii="黑体" w:hAnsi="Courier New" w:eastAsia="黑体"/>
    </w:rPr>
  </w:style>
  <w:style w:type="character" w:customStyle="1" w:styleId="817">
    <w:name w:val="正文文本 2 Char1"/>
    <w:link w:val="57"/>
    <w:qFormat/>
    <w:uiPriority w:val="0"/>
    <w:rPr>
      <w:kern w:val="2"/>
      <w:sz w:val="21"/>
      <w:szCs w:val="24"/>
    </w:rPr>
  </w:style>
  <w:style w:type="character" w:customStyle="1" w:styleId="818">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Char"/>
    <w:link w:val="11"/>
    <w:qFormat/>
    <w:uiPriority w:val="0"/>
    <w:rPr>
      <w:b/>
      <w:bCs/>
      <w:kern w:val="2"/>
      <w:sz w:val="24"/>
      <w:szCs w:val="24"/>
    </w:rPr>
  </w:style>
  <w:style w:type="character" w:customStyle="1" w:styleId="821">
    <w:name w:val="正文文本缩进 2 Char"/>
    <w:link w:val="39"/>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52"/>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4"/>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5"/>
    <w:qFormat/>
    <w:uiPriority w:val="0"/>
    <w:rPr>
      <w:rFonts w:ascii="宋体" w:hAnsi="Courier New"/>
    </w:rPr>
  </w:style>
  <w:style w:type="character" w:customStyle="1" w:styleId="832">
    <w:name w:val="正文首行缩进 Char"/>
    <w:link w:val="3"/>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Char2"/>
    <w:link w:val="8"/>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Char"/>
    <w:link w:val="23"/>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6"/>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7"/>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Char1"/>
    <w:link w:val="21"/>
    <w:qFormat/>
    <w:uiPriority w:val="99"/>
    <w:rPr>
      <w:kern w:val="2"/>
      <w:sz w:val="21"/>
      <w:szCs w:val="24"/>
    </w:rPr>
  </w:style>
  <w:style w:type="character" w:customStyle="1" w:styleId="854">
    <w:name w:val="签名 Char"/>
    <w:link w:val="44"/>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8"/>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9"/>
    <w:qFormat/>
    <w:uiPriority w:val="0"/>
    <w:rPr>
      <w:rFonts w:ascii="宋体"/>
    </w:rPr>
  </w:style>
  <w:style w:type="character" w:customStyle="1" w:styleId="865">
    <w:name w:val="标题 8 Char"/>
    <w:link w:val="12"/>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Char"/>
    <w:link w:val="55"/>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0"/>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Char2"/>
    <w:link w:val="42"/>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1"/>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Char2"/>
    <w:link w:val="43"/>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2"/>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3"/>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4"/>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5"/>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69"/>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6"/>
    <w:qFormat/>
    <w:uiPriority w:val="0"/>
    <w:rPr>
      <w:rFonts w:cs="宋体"/>
      <w:kern w:val="2"/>
      <w:sz w:val="24"/>
    </w:rPr>
  </w:style>
  <w:style w:type="character" w:customStyle="1" w:styleId="930">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931">
    <w:name w:val="gray6"/>
    <w:basedOn w:val="69"/>
    <w:qFormat/>
    <w:uiPriority w:val="0"/>
    <w:rPr>
      <w:rFonts w:ascii="Arial" w:hAnsi="Arial" w:eastAsia="黑体" w:cs="Arial"/>
      <w:snapToGrid w:val="0"/>
      <w:kern w:val="0"/>
      <w:szCs w:val="21"/>
    </w:rPr>
  </w:style>
  <w:style w:type="character" w:customStyle="1" w:styleId="932">
    <w:name w:val="hui"/>
    <w:basedOn w:val="69"/>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Char"/>
    <w:link w:val="40"/>
    <w:qFormat/>
    <w:uiPriority w:val="0"/>
    <w:rPr>
      <w:kern w:val="2"/>
      <w:sz w:val="21"/>
      <w:szCs w:val="24"/>
      <w:lang w:val="zh-CN"/>
    </w:rPr>
  </w:style>
  <w:style w:type="character" w:customStyle="1" w:styleId="939">
    <w:name w:val="无间隔 Char"/>
    <w:link w:val="166"/>
    <w:qFormat/>
    <w:uiPriority w:val="99"/>
    <w:rPr>
      <w:kern w:val="2"/>
      <w:sz w:val="21"/>
      <w:szCs w:val="22"/>
    </w:rPr>
  </w:style>
  <w:style w:type="character" w:customStyle="1" w:styleId="940">
    <w:name w:val="标准文本 Char Char"/>
    <w:link w:val="605"/>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69"/>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3">
    <w:name w:val="_正文"/>
    <w:basedOn w:val="1"/>
    <w:qFormat/>
    <w:uiPriority w:val="0"/>
    <w:pPr>
      <w:tabs>
        <w:tab w:val="left" w:pos="840"/>
      </w:tabs>
      <w:adjustRightInd/>
      <w:spacing w:line="360" w:lineRule="auto"/>
      <w:ind w:firstLine="200" w:firstLineChars="200"/>
    </w:pPr>
    <w:rPr>
      <w:sz w:val="24"/>
    </w:rPr>
  </w:style>
  <w:style w:type="paragraph" w:customStyle="1" w:styleId="964">
    <w:name w:val="正文（上会）"/>
    <w:basedOn w:val="1"/>
    <w:qFormat/>
    <w:uiPriority w:val="0"/>
    <w:pPr>
      <w:adjustRightInd/>
      <w:spacing w:line="336" w:lineRule="auto"/>
      <w:ind w:firstLine="200" w:firstLineChars="200"/>
    </w:pPr>
    <w:rPr>
      <w:rFonts w:ascii="仿宋_GB2312" w:hAnsi="仿宋_GB2312" w:eastAsia="仿宋_GB2312" w:cs="仿宋_GB2312"/>
      <w:sz w:val="32"/>
      <w:szCs w:val="32"/>
    </w:rPr>
  </w:style>
  <w:style w:type="paragraph" w:customStyle="1" w:styleId="965">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83</Pages>
  <Words>36779</Words>
  <Characters>38986</Characters>
  <Lines>281</Lines>
  <Paragraphs>79</Paragraphs>
  <TotalTime>20</TotalTime>
  <ScaleCrop>false</ScaleCrop>
  <LinksUpToDate>false</LinksUpToDate>
  <CharactersWithSpaces>44324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Ning</cp:lastModifiedBy>
  <cp:lastPrinted>2021-12-27T03:06:00Z</cp:lastPrinted>
  <dcterms:modified xsi:type="dcterms:W3CDTF">2023-06-28T06:29:59Z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