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highlight w:val="none"/>
        </w:rPr>
      </w:pPr>
    </w:p>
    <w:p>
      <w:pPr>
        <w:adjustRightInd/>
        <w:spacing w:line="360" w:lineRule="auto"/>
        <w:jc w:val="center"/>
        <w:rPr>
          <w:rFonts w:hint="eastAsia" w:ascii="宋体" w:hAnsi="宋体" w:eastAsia="宋体" w:cs="宋体"/>
          <w:b/>
          <w:bCs/>
          <w:spacing w:val="6"/>
          <w:sz w:val="44"/>
          <w:szCs w:val="44"/>
          <w:highlight w:val="none"/>
        </w:rPr>
      </w:pP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b/>
          <w:bCs/>
          <w:spacing w:val="6"/>
          <w:sz w:val="44"/>
          <w:szCs w:val="44"/>
          <w:highlight w:val="none"/>
        </w:rPr>
        <w:t>2023—2024年度护校安园和应急处置辅助服务项目</w:t>
      </w: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pPr>
        <w:adjustRightInd/>
        <w:spacing w:line="360" w:lineRule="auto"/>
        <w:jc w:val="center"/>
        <w:rPr>
          <w:rFonts w:hint="eastAsia" w:ascii="宋体" w:hAnsi="宋体" w:eastAsia="宋体" w:cs="宋体"/>
          <w:b/>
          <w:sz w:val="44"/>
          <w:szCs w:val="44"/>
          <w:highlight w:val="none"/>
        </w:rPr>
      </w:pPr>
    </w:p>
    <w:p>
      <w:pPr>
        <w:adjustRightInd/>
        <w:spacing w:line="360" w:lineRule="auto"/>
        <w:jc w:val="center"/>
        <w:rPr>
          <w:rFonts w:hint="eastAsia" w:ascii="宋体" w:hAnsi="宋体" w:eastAsia="宋体" w:cs="宋体"/>
          <w:b/>
          <w:sz w:val="44"/>
          <w:szCs w:val="44"/>
          <w:highlight w:val="none"/>
        </w:rPr>
      </w:pPr>
    </w:p>
    <w:p>
      <w:pPr>
        <w:adjustRightInd/>
        <w:spacing w:line="360" w:lineRule="auto"/>
        <w:jc w:val="center"/>
        <w:rPr>
          <w:rFonts w:hint="eastAsia" w:ascii="宋体" w:hAnsi="宋体" w:eastAsia="宋体" w:cs="宋体"/>
          <w:b/>
          <w:sz w:val="44"/>
          <w:szCs w:val="44"/>
          <w:highlight w:val="none"/>
        </w:rPr>
      </w:pPr>
    </w:p>
    <w:p>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（电子招投标）</w:t>
      </w:r>
    </w:p>
    <w:p>
      <w:pPr>
        <w:jc w:val="center"/>
        <w:rPr>
          <w:rFonts w:hint="eastAsia" w:ascii="宋体" w:hAnsi="宋体" w:eastAsia="宋体" w:cs="宋体"/>
          <w:b/>
          <w:bCs/>
          <w:sz w:val="32"/>
          <w:szCs w:val="32"/>
          <w:highlight w:val="none"/>
        </w:rPr>
      </w:pPr>
      <w:r>
        <w:rPr>
          <w:rFonts w:hint="eastAsia" w:ascii="宋体" w:hAnsi="宋体" w:eastAsia="宋体" w:cs="宋体"/>
          <w:sz w:val="30"/>
          <w:szCs w:val="30"/>
          <w:highlight w:val="none"/>
        </w:rPr>
        <w:t>编号:</w:t>
      </w:r>
      <w:r>
        <w:rPr>
          <w:rFonts w:hint="eastAsia" w:ascii="宋体" w:hAnsi="宋体" w:eastAsia="宋体" w:cs="宋体"/>
          <w:b/>
          <w:bCs/>
          <w:sz w:val="32"/>
          <w:szCs w:val="32"/>
          <w:highlight w:val="none"/>
        </w:rPr>
        <w:t>（RTZFCG-2023-071）</w:t>
      </w:r>
    </w:p>
    <w:p>
      <w:pPr>
        <w:snapToGrid w:val="0"/>
        <w:spacing w:line="360" w:lineRule="auto"/>
        <w:jc w:val="center"/>
        <w:rPr>
          <w:rFonts w:hint="eastAsia" w:ascii="宋体" w:hAnsi="宋体" w:eastAsia="宋体" w:cs="宋体"/>
          <w:sz w:val="30"/>
          <w:szCs w:val="30"/>
          <w:highlight w:val="none"/>
        </w:rPr>
      </w:pP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sz w:val="24"/>
          <w:highlight w:val="none"/>
        </w:rPr>
      </w:pPr>
    </w:p>
    <w:p>
      <w:pPr>
        <w:spacing w:line="360" w:lineRule="auto"/>
        <w:rPr>
          <w:rFonts w:hint="eastAsia" w:ascii="宋体" w:hAnsi="宋体" w:eastAsia="宋体" w:cs="宋体"/>
          <w:sz w:val="32"/>
          <w:szCs w:val="32"/>
          <w:highlight w:val="none"/>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采购人：杭州市余杭区人民政府仁和街道办事处</w:t>
      </w:r>
    </w:p>
    <w:p>
      <w:pPr>
        <w:pStyle w:val="25"/>
        <w:rPr>
          <w:rFonts w:hint="eastAsia" w:ascii="宋体" w:hAnsi="宋体" w:eastAsia="宋体" w:cs="宋体"/>
          <w:highlight w:val="none"/>
        </w:rPr>
      </w:pP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采购代理机构：杭州瑞拓工程咨询有限公司</w:t>
      </w: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二〇二三年十一月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60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6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2023—2024年度护校安园和应急处置辅助服务项目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"https://www.zcygov.cn/）获取（下载）招标文件，并于202%20年%20月%20日%20点%20分00秒" </w:instrText>
      </w:r>
      <w:r>
        <w:rPr>
          <w:rFonts w:hint="eastAsia" w:ascii="宋体" w:hAnsi="宋体" w:eastAsia="宋体" w:cs="宋体"/>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https://www.zcygov.cn/）获取（下载）招标文件，并于2023年12月4日9点30分</w:t>
      </w:r>
      <w:r>
        <w:rPr>
          <w:rFonts w:hint="eastAsia" w:ascii="宋体" w:hAnsi="宋体" w:eastAsia="宋体" w:cs="宋体"/>
          <w:sz w:val="24"/>
          <w:highlight w:val="none"/>
        </w:rPr>
        <w:t>00秒</w:t>
      </w:r>
      <w:r>
        <w:rPr>
          <w:rFonts w:hint="eastAsia" w:ascii="宋体" w:hAnsi="宋体" w:eastAsia="宋体" w:cs="宋体"/>
          <w:sz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项目编号：</w:t>
      </w:r>
      <w:r>
        <w:rPr>
          <w:rFonts w:hint="eastAsia" w:ascii="宋体" w:hAnsi="宋体" w:eastAsia="宋体" w:cs="宋体"/>
          <w:sz w:val="24"/>
          <w:highlight w:val="none"/>
        </w:rPr>
        <w:t>RTZFCG-2023-071</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项目名称：</w:t>
      </w:r>
      <w:r>
        <w:rPr>
          <w:rFonts w:hint="eastAsia" w:ascii="宋体" w:hAnsi="宋体" w:eastAsia="宋体" w:cs="宋体"/>
          <w:sz w:val="24"/>
          <w:highlight w:val="none"/>
        </w:rPr>
        <w:t>2023—2024年度护校安园和应急处置辅助服务项目</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预算金额（元）：</w:t>
      </w:r>
      <w:r>
        <w:rPr>
          <w:rFonts w:hint="eastAsia" w:ascii="宋体" w:hAnsi="宋体" w:eastAsia="宋体" w:cs="宋体"/>
          <w:sz w:val="24"/>
          <w:highlight w:val="none"/>
        </w:rPr>
        <w:t>6710904元</w:t>
      </w:r>
    </w:p>
    <w:p>
      <w:pPr>
        <w:spacing w:line="600" w:lineRule="exact"/>
        <w:ind w:firstLine="480"/>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sz w:val="24"/>
          <w:highlight w:val="none"/>
        </w:rPr>
        <w:t>6710904元</w:t>
      </w:r>
    </w:p>
    <w:p>
      <w:pPr>
        <w:pStyle w:val="5"/>
        <w:spacing w:line="600" w:lineRule="exact"/>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Cs/>
          <w:color w:val="auto"/>
          <w:sz w:val="24"/>
          <w:szCs w:val="24"/>
          <w:highlight w:val="none"/>
        </w:rPr>
        <w:t>本项目采购内容为</w:t>
      </w:r>
      <w:r>
        <w:rPr>
          <w:rFonts w:hint="eastAsia" w:ascii="宋体" w:hAnsi="宋体" w:eastAsia="宋体" w:cs="宋体"/>
          <w:bCs/>
          <w:color w:val="auto"/>
          <w:kern w:val="2"/>
          <w:sz w:val="24"/>
          <w:szCs w:val="24"/>
          <w:highlight w:val="none"/>
        </w:rPr>
        <w:t>2023—2024年度护校安园和应急处置辅助服务项目。</w:t>
      </w:r>
      <w:r>
        <w:rPr>
          <w:rFonts w:hint="eastAsia" w:ascii="宋体" w:hAnsi="宋体" w:eastAsia="宋体" w:cs="宋体"/>
          <w:color w:val="auto"/>
          <w:kern w:val="2"/>
          <w:sz w:val="24"/>
          <w:szCs w:val="24"/>
          <w:highlight w:val="none"/>
        </w:rPr>
        <w:t>具体以招标文件第三部分采购需求为准，投标人可点击本公告下方“浏览采购文件”查看采购需求。</w:t>
      </w:r>
    </w:p>
    <w:p>
      <w:pPr>
        <w:pStyle w:val="87"/>
        <w:spacing w:line="600" w:lineRule="exact"/>
        <w:ind w:firstLine="482"/>
        <w:outlineLvl w:val="2"/>
        <w:rPr>
          <w:rFonts w:hint="eastAsia" w:ascii="宋体" w:hAnsi="宋体" w:eastAsia="宋体" w:cs="宋体"/>
          <w:szCs w:val="24"/>
          <w:highlight w:val="none"/>
        </w:rPr>
      </w:pPr>
      <w:r>
        <w:rPr>
          <w:rFonts w:hint="eastAsia" w:ascii="宋体" w:hAnsi="宋体" w:eastAsia="宋体" w:cs="宋体"/>
          <w:b/>
          <w:szCs w:val="24"/>
          <w:highlight w:val="none"/>
        </w:rPr>
        <w:t>合同履约期限：</w:t>
      </w:r>
      <w:r>
        <w:rPr>
          <w:rFonts w:hint="eastAsia" w:ascii="宋体" w:hAnsi="宋体" w:eastAsia="宋体" w:cs="宋体"/>
          <w:szCs w:val="24"/>
          <w:highlight w:val="none"/>
        </w:rPr>
        <w:t>合同期为一年。若在合同期内中标人有不配合采购人工作等严重违约行为或连续二个季度考核不合格的，采购人有权提前终止合同，由此造成的一切后果和损失由中标人承担</w:t>
      </w:r>
      <w:r>
        <w:rPr>
          <w:rFonts w:hint="eastAsia" w:ascii="宋体" w:hAnsi="宋体" w:eastAsia="宋体" w:cs="宋体"/>
          <w:bCs/>
          <w:szCs w:val="24"/>
          <w:highlight w:val="none"/>
        </w:rPr>
        <w:t>；</w:t>
      </w:r>
    </w:p>
    <w:p>
      <w:pPr>
        <w:pStyle w:val="5"/>
        <w:spacing w:line="600" w:lineRule="exact"/>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600" w:lineRule="exact"/>
        <w:ind w:firstLine="48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 xml:space="preserve">    2.以联合体形式投标的，提供联合协议(本项目不接受联合体投标或者投标人不以联合体形式投标的，则不需要提供) ；</w:t>
      </w:r>
    </w:p>
    <w:p>
      <w:pPr>
        <w:spacing w:line="600" w:lineRule="exact"/>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3.落实政府采购政策需满足的资格要求：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无</w:t>
      </w:r>
      <w:r>
        <w:rPr>
          <w:rFonts w:hint="eastAsia" w:ascii="宋体" w:hAnsi="宋体" w:eastAsia="宋体" w:cs="宋体"/>
          <w:snapToGrid w:val="0"/>
          <w:kern w:val="28"/>
          <w:sz w:val="24"/>
          <w:highlight w:val="none"/>
        </w:rPr>
        <w:t>（注：不得限制大中型企业与小微企业组成联合体参与投标）；</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sz w:val="24"/>
          <w:highlight w:val="none"/>
        </w:rPr>
        <w:t>服务全部由符合政策要求的中小企业承接，提供中小企业声明函；</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sz w:val="24"/>
          <w:highlight w:val="none"/>
        </w:rPr>
        <w:t>服务全部由符合政策要求的小微企业承接，提供中小企业声明函；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要求以联合体形式参加，提供联合协议和中小企业声明函，联合协议中中小企业合同金额应当达到%，其中小微企业合同金额应当达到%；</w:t>
      </w:r>
      <w:r>
        <w:rPr>
          <w:rFonts w:hint="eastAsia" w:ascii="宋体" w:hAnsi="宋体" w:eastAsia="宋体" w:cs="宋体"/>
          <w:spacing w:val="8"/>
          <w:kern w:val="0"/>
          <w:sz w:val="24"/>
          <w:highlight w:val="none"/>
        </w:rPr>
        <w:t>如果投标人本身提供所有标的均由中小企业制造、承建或承接，并相应达到了前述比例要求，视同符合了资格条件，无需再与其他中小企业组成联合体参加政府采购活动，无需提供联合协议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highlight w:val="none"/>
        </w:rPr>
        <w:t>；</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 ，其中小微企业合同金额应当达到% ；</w:t>
      </w:r>
      <w:r>
        <w:rPr>
          <w:rFonts w:hint="eastAsia" w:ascii="宋体" w:hAnsi="宋体" w:eastAsia="宋体" w:cs="宋体"/>
          <w:spacing w:val="8"/>
          <w:kern w:val="0"/>
          <w:sz w:val="24"/>
          <w:highlight w:val="none"/>
        </w:rPr>
        <w:t>如果投标人本身提供所有标的均由中小企业制造、承建或承接，并相应达到了前述比例要求，视同符合了资格条件，无需再向中小企业分包，无需提供分包意向协议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4.本项目的特定资格要求：</w:t>
      </w:r>
      <w:r>
        <w:rPr>
          <w:rFonts w:hint="eastAsia" w:ascii="宋体" w:hAnsi="宋体" w:eastAsia="宋体" w:cs="宋体"/>
          <w:b/>
          <w:bCs/>
          <w:color w:val="000000"/>
          <w:kern w:val="0"/>
          <w:sz w:val="24"/>
          <w:highlight w:val="none"/>
        </w:rPr>
        <w:t>具有省公安厅颁发的保安服务许可证</w:t>
      </w:r>
      <w:r>
        <w:rPr>
          <w:rFonts w:hint="eastAsia" w:ascii="宋体" w:hAnsi="宋体" w:eastAsia="宋体" w:cs="宋体"/>
          <w:sz w:val="24"/>
          <w:highlight w:val="none"/>
        </w:rPr>
        <w:t>；</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6.公益一类事业单位、使用事业编制且由财政拨款保障的群团组织，不作为政府购买服务的购买主体和承接主体；</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2023年12月4日</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投标人登录政采云平台https://www.zcygov.cn/在线申请获取采购文件（进入“项目采购”应用，在获取采购文件菜单中选择项目，申请获取采购文件）。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2023年12月4日9点30分00秒</w:t>
      </w:r>
      <w:r>
        <w:rPr>
          <w:rFonts w:hint="eastAsia" w:ascii="宋体" w:hAnsi="宋体" w:eastAsia="宋体" w:cs="宋体"/>
          <w:sz w:val="24"/>
          <w:highlight w:val="none"/>
        </w:rPr>
        <w:t>（北京时间）</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600" w:lineRule="exact"/>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2023年12月4日9点30分00秒</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spacing w:line="600" w:lineRule="exact"/>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投标人进行投标活动； ⑥对未按上述方式获取招标文件的投标人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投标人”。（3）招标文件公告期限与招标公告的公告期限一致。</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spacing w:line="560" w:lineRule="exact"/>
        <w:ind w:firstLine="480"/>
        <w:rPr>
          <w:rFonts w:hint="eastAsia" w:ascii="宋体" w:hAnsi="宋体" w:eastAsia="宋体" w:cs="宋体"/>
          <w:sz w:val="24"/>
          <w:highlight w:val="none"/>
        </w:rPr>
      </w:pPr>
      <w:r>
        <w:rPr>
          <w:rFonts w:hint="eastAsia" w:ascii="宋体" w:hAnsi="宋体" w:eastAsia="宋体" w:cs="宋体"/>
          <w:sz w:val="24"/>
          <w:highlight w:val="none"/>
        </w:rPr>
        <w:t>名    称：杭州市余杭区人民政府仁和街道办事处</w:t>
      </w:r>
    </w:p>
    <w:p>
      <w:pPr>
        <w:spacing w:line="560" w:lineRule="exact"/>
        <w:ind w:firstLine="480"/>
        <w:rPr>
          <w:rFonts w:hint="eastAsia" w:ascii="宋体" w:hAnsi="宋体" w:eastAsia="宋体" w:cs="宋体"/>
          <w:sz w:val="24"/>
          <w:highlight w:val="none"/>
        </w:rPr>
      </w:pPr>
      <w:r>
        <w:rPr>
          <w:rFonts w:hint="eastAsia" w:ascii="宋体" w:hAnsi="宋体" w:eastAsia="宋体" w:cs="宋体"/>
          <w:sz w:val="24"/>
          <w:highlight w:val="none"/>
        </w:rPr>
        <w:t>地    址：杭州市余杭区仁河大道1号</w:t>
      </w:r>
    </w:p>
    <w:p>
      <w:pPr>
        <w:spacing w:line="560" w:lineRule="exact"/>
        <w:ind w:firstLine="48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 郭佳英 </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项目联系方式（询问）：0571-86397095</w:t>
      </w:r>
    </w:p>
    <w:p>
      <w:pPr>
        <w:spacing w:line="560" w:lineRule="exact"/>
        <w:ind w:firstLine="480"/>
        <w:rPr>
          <w:rFonts w:hint="eastAsia" w:ascii="宋体" w:hAnsi="宋体" w:eastAsia="宋体" w:cs="宋体"/>
          <w:sz w:val="24"/>
          <w:highlight w:val="none"/>
        </w:rPr>
      </w:pPr>
      <w:r>
        <w:rPr>
          <w:rFonts w:hint="eastAsia" w:ascii="宋体" w:hAnsi="宋体" w:eastAsia="宋体" w:cs="宋体"/>
          <w:sz w:val="24"/>
          <w:highlight w:val="none"/>
        </w:rPr>
        <w:t>质疑联系人：黄工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质疑联系方式：0571-89089060</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名    称：杭州瑞拓工程咨询有限公司</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地    址：杭州市余杭区余杭街道科技大道8-5号5幢15层 </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传    真：0571-86243788             </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项目联系人（询问）：张诗佳        </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项目联系方式（询问）：0571-89282811</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质疑联系人：石敏           </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质疑联系方式：0571-86243788</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pPr>
        <w:spacing w:line="600" w:lineRule="exact"/>
        <w:ind w:firstLine="480"/>
        <w:rPr>
          <w:rFonts w:hint="eastAsia" w:ascii="宋体" w:hAnsi="宋体" w:eastAsia="宋体" w:cs="宋体"/>
          <w:sz w:val="24"/>
          <w:highlight w:val="none"/>
        </w:rPr>
      </w:pPr>
      <w:r>
        <w:rPr>
          <w:rFonts w:hint="eastAsia" w:ascii="宋体" w:hAnsi="宋体" w:eastAsia="宋体" w:cs="宋体"/>
          <w:sz w:val="24"/>
          <w:highlight w:val="none"/>
        </w:rPr>
        <w:t>名称：余杭区政府采购办公室 </w:t>
      </w:r>
    </w:p>
    <w:p>
      <w:pPr>
        <w:spacing w:line="600" w:lineRule="exact"/>
        <w:ind w:firstLine="480"/>
        <w:rPr>
          <w:rFonts w:hint="eastAsia" w:ascii="宋体" w:hAnsi="宋体" w:eastAsia="宋体" w:cs="宋体"/>
          <w:sz w:val="24"/>
          <w:highlight w:val="none"/>
        </w:rPr>
      </w:pPr>
      <w:r>
        <w:rPr>
          <w:rFonts w:hint="eastAsia" w:ascii="宋体" w:hAnsi="宋体" w:eastAsia="宋体" w:cs="宋体"/>
          <w:sz w:val="24"/>
          <w:highlight w:val="none"/>
        </w:rPr>
        <w:t>地址：杭州市余杭区文一西路1500号8号楼1201室 </w:t>
      </w:r>
    </w:p>
    <w:p>
      <w:pPr>
        <w:spacing w:line="600" w:lineRule="exact"/>
        <w:ind w:firstLine="480"/>
        <w:rPr>
          <w:rFonts w:hint="eastAsia" w:ascii="宋体" w:hAnsi="宋体" w:eastAsia="宋体" w:cs="宋体"/>
          <w:sz w:val="24"/>
          <w:highlight w:val="none"/>
        </w:rPr>
      </w:pPr>
      <w:r>
        <w:rPr>
          <w:rFonts w:hint="eastAsia" w:ascii="宋体" w:hAnsi="宋体" w:eastAsia="宋体" w:cs="宋体"/>
          <w:sz w:val="24"/>
          <w:highlight w:val="none"/>
        </w:rPr>
        <w:t>传真：0571-88728858</w:t>
      </w:r>
    </w:p>
    <w:p>
      <w:pPr>
        <w:spacing w:line="600" w:lineRule="exact"/>
        <w:ind w:firstLine="480"/>
        <w:rPr>
          <w:rFonts w:hint="eastAsia" w:ascii="宋体" w:hAnsi="宋体" w:eastAsia="宋体" w:cs="宋体"/>
          <w:sz w:val="24"/>
          <w:highlight w:val="none"/>
        </w:rPr>
      </w:pPr>
      <w:r>
        <w:rPr>
          <w:rFonts w:hint="eastAsia" w:ascii="宋体" w:hAnsi="宋体" w:eastAsia="宋体" w:cs="宋体"/>
          <w:sz w:val="24"/>
          <w:highlight w:val="none"/>
        </w:rPr>
        <w:t>联系人：储工 </w:t>
      </w:r>
    </w:p>
    <w:p>
      <w:pPr>
        <w:spacing w:line="600" w:lineRule="exact"/>
        <w:ind w:firstLine="48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监督投诉电话：0571-88728858 </w:t>
      </w:r>
    </w:p>
    <w:p>
      <w:pPr>
        <w:spacing w:line="600" w:lineRule="exact"/>
        <w:ind w:firstLine="48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若对项目采购电子交易系统操作有疑问，可登录政采云（https://www.zcygov.cn/），点击右侧咨询小采，获取采小蜜智能服务管家帮助，或拨打政采云服务热线95763获取热线服务帮助。</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事项</w:t>
            </w:r>
          </w:p>
        </w:tc>
        <w:tc>
          <w:tcPr>
            <w:tcW w:w="6095"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项目属性</w:t>
            </w:r>
          </w:p>
        </w:tc>
        <w:tc>
          <w:tcPr>
            <w:tcW w:w="6095" w:type="dxa"/>
            <w:tcBorders>
              <w:tl2br w:val="nil"/>
              <w:tr2bl w:val="nil"/>
            </w:tcBorders>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采购标的及其对应的中小企业划分标准所属行业</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（1）标的：</w:t>
            </w:r>
            <w:r>
              <w:rPr>
                <w:rFonts w:hint="eastAsia" w:ascii="宋体" w:hAnsi="宋体" w:eastAsia="宋体" w:cs="宋体"/>
                <w:sz w:val="24"/>
                <w:highlight w:val="none"/>
                <w:u w:val="single"/>
              </w:rPr>
              <w:t>护校安园和应急处置辅助服务项目</w:t>
            </w:r>
            <w:r>
              <w:rPr>
                <w:rFonts w:hint="eastAsia" w:ascii="宋体" w:hAnsi="宋体" w:eastAsia="宋体" w:cs="宋体"/>
                <w:sz w:val="24"/>
                <w:highlight w:val="none"/>
              </w:rPr>
              <w:t>，属于</w:t>
            </w:r>
            <w:r>
              <w:rPr>
                <w:rFonts w:hint="eastAsia" w:ascii="宋体" w:hAnsi="宋体" w:eastAsia="宋体" w:cs="宋体"/>
                <w:sz w:val="24"/>
                <w:highlight w:val="none"/>
                <w:u w:val="single"/>
              </w:rPr>
              <w:t>（十六）其他未列明行业；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是否允许采购进口产品</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本项目不允许采购进口产品。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分包</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B不同意将非主体、非关键性的工作分包。</w:t>
            </w:r>
          </w:p>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开标前答疑会或现场考察</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A不组织。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样品提供</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A不要求提供。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方案讲解演示</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B不组织。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投标人应当提供的资格、资信证明文件</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pPr>
              <w:jc w:val="center"/>
              <w:rPr>
                <w:rFonts w:hint="eastAsia" w:ascii="宋体" w:hAnsi="宋体" w:eastAsia="宋体" w:cs="宋体"/>
                <w:sz w:val="24"/>
                <w:highlight w:val="none"/>
              </w:rPr>
            </w:pPr>
          </w:p>
        </w:tc>
        <w:tc>
          <w:tcPr>
            <w:tcW w:w="1843" w:type="dxa"/>
            <w:vMerge w:val="continue"/>
            <w:tcBorders>
              <w:tl2br w:val="nil"/>
              <w:tr2bl w:val="nil"/>
            </w:tcBorders>
            <w:vAlign w:val="center"/>
          </w:tcPr>
          <w:p>
            <w:pPr>
              <w:jc w:val="center"/>
              <w:rPr>
                <w:rFonts w:hint="eastAsia" w:ascii="宋体" w:hAnsi="宋体" w:eastAsia="宋体" w:cs="宋体"/>
                <w:sz w:val="24"/>
                <w:highlight w:val="none"/>
              </w:rPr>
            </w:pP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节能产品、环境标志产品</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报价要求</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有关本项目实施所需的所有费用（含税费）均计入报价。投标文件</w:t>
            </w:r>
            <w:r>
              <w:rPr>
                <w:rFonts w:hint="eastAsia" w:ascii="宋体" w:hAnsi="宋体" w:eastAsia="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sz w:val="24"/>
                <w:highlight w:val="none"/>
                <w:lang w:val="zh-CN"/>
              </w:rPr>
              <w:t>投标文件中价格全部采用人民币报价。招标文件未列明，而投标人认为必需的费用也需列入报价。提醒：验收时检测费用由采购人承担，不包含在投标总价中。</w:t>
            </w:r>
          </w:p>
          <w:p>
            <w:pPr>
              <w:spacing w:line="6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投标报价出现下列情形的，投标无效：</w:t>
            </w:r>
          </w:p>
          <w:p>
            <w:pPr>
              <w:spacing w:line="6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投标文件出现不是唯一的、有选择性投标报价的；</w:t>
            </w:r>
          </w:p>
          <w:p>
            <w:pPr>
              <w:spacing w:line="6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投标报价超过招标文件中规定的预算金额或者最高限价的；</w:t>
            </w:r>
          </w:p>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报价明显低于其他通过符合性审查投标人的报价，有可能影响产品质量或者不能诚信履约的，未能按要求提供书面说明或者提交相关证明材料证明其报价合理性的；</w:t>
            </w:r>
          </w:p>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投标人对根据修正原则修正后的报价不确认的。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中小企业信用融资</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1843"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备份投标文件送达地点和签收人员</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备份投标文件送达地点：杭州市临平区临平新丰路199号余杭商会大厦4号楼25楼；备份投标文件签收人员联系电话：0571-89282811。采购人、采购代理机构不强制或变相强制投标人提交备份投标文件。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1843" w:type="dxa"/>
            <w:vMerge w:val="restart"/>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特别说明</w:t>
            </w: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pPr>
              <w:jc w:val="center"/>
              <w:rPr>
                <w:rFonts w:hint="eastAsia" w:ascii="宋体" w:hAnsi="宋体" w:eastAsia="宋体" w:cs="宋体"/>
                <w:sz w:val="24"/>
                <w:highlight w:val="none"/>
              </w:rPr>
            </w:pPr>
          </w:p>
        </w:tc>
        <w:tc>
          <w:tcPr>
            <w:tcW w:w="1843" w:type="dxa"/>
            <w:vMerge w:val="continue"/>
            <w:tcBorders>
              <w:tl2br w:val="nil"/>
              <w:tr2bl w:val="nil"/>
            </w:tcBorders>
            <w:vAlign w:val="center"/>
          </w:tcPr>
          <w:p>
            <w:pPr>
              <w:jc w:val="center"/>
              <w:rPr>
                <w:rFonts w:hint="eastAsia" w:ascii="宋体" w:hAnsi="宋体" w:eastAsia="宋体" w:cs="宋体"/>
                <w:sz w:val="24"/>
                <w:highlight w:val="none"/>
              </w:rPr>
            </w:pPr>
          </w:p>
        </w:tc>
        <w:tc>
          <w:tcPr>
            <w:tcW w:w="6095" w:type="dxa"/>
            <w:tcBorders>
              <w:tl2br w:val="nil"/>
              <w:tr2bl w:val="nil"/>
            </w:tcBorders>
            <w:vAlign w:val="center"/>
          </w:tcPr>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☐联合体投标的，联合体各方均需按招标文件第四部分评标标准要求提供资信证明文件，否则视为不符合相关要求。</w:t>
            </w:r>
          </w:p>
          <w:p>
            <w:pPr>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sym w:font="Wingdings" w:char="00FE"/>
            </w:r>
            <w:r>
              <w:rPr>
                <w:rFonts w:hint="eastAsia" w:ascii="宋体" w:hAnsi="宋体" w:eastAsia="宋体" w:cs="宋体"/>
                <w:sz w:val="24"/>
                <w:highlight w:val="none"/>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1843" w:type="dxa"/>
            <w:tcBorders>
              <w:tl2br w:val="nil"/>
              <w:tr2bl w:val="nil"/>
            </w:tcBorders>
            <w:vAlign w:val="center"/>
          </w:tcPr>
          <w:p>
            <w:pPr>
              <w:spacing w:line="530" w:lineRule="exact"/>
              <w:jc w:val="center"/>
              <w:rPr>
                <w:rFonts w:hint="eastAsia" w:ascii="宋体" w:hAnsi="宋体" w:eastAsia="宋体" w:cs="宋体"/>
                <w:sz w:val="24"/>
                <w:highlight w:val="none"/>
              </w:rPr>
            </w:pPr>
            <w:r>
              <w:rPr>
                <w:rFonts w:hint="eastAsia" w:ascii="宋体" w:hAnsi="宋体" w:eastAsia="宋体" w:cs="宋体"/>
                <w:sz w:val="24"/>
                <w:highlight w:val="none"/>
              </w:rPr>
              <w:t>招标代理服务费</w:t>
            </w:r>
          </w:p>
        </w:tc>
        <w:tc>
          <w:tcPr>
            <w:tcW w:w="6095" w:type="dxa"/>
            <w:tcBorders>
              <w:tl2br w:val="nil"/>
              <w:tr2bl w:val="nil"/>
            </w:tcBorders>
            <w:vAlign w:val="center"/>
          </w:tcPr>
          <w:p>
            <w:pPr>
              <w:spacing w:line="500" w:lineRule="exact"/>
              <w:jc w:val="left"/>
              <w:rPr>
                <w:rFonts w:hint="eastAsia" w:ascii="宋体" w:hAnsi="宋体" w:eastAsia="宋体" w:cs="宋体"/>
                <w:sz w:val="24"/>
                <w:highlight w:val="none"/>
              </w:rPr>
            </w:pPr>
            <w:r>
              <w:rPr>
                <w:rFonts w:hint="eastAsia" w:ascii="宋体" w:hAnsi="宋体" w:eastAsia="宋体" w:cs="宋体"/>
                <w:sz w:val="24"/>
                <w:highlight w:val="none"/>
              </w:rPr>
              <w:t>招标服务费：本次代理服务费由中标人支付，代理服务费按照国家计委印发的《招标代理服务收费管理暂行办法》计价格[2002]1980号、发改办价格[2003]857号计取。各投标人应在投标报价中予以考虑。</w:t>
            </w:r>
          </w:p>
          <w:p>
            <w:pPr>
              <w:spacing w:line="500" w:lineRule="exact"/>
              <w:jc w:val="left"/>
              <w:rPr>
                <w:rFonts w:hint="eastAsia" w:ascii="宋体" w:hAnsi="宋体" w:eastAsia="宋体" w:cs="宋体"/>
                <w:sz w:val="24"/>
                <w:highlight w:val="none"/>
              </w:rPr>
            </w:pPr>
            <w:r>
              <w:rPr>
                <w:rFonts w:hint="eastAsia" w:ascii="宋体" w:hAnsi="宋体" w:eastAsia="宋体" w:cs="宋体"/>
                <w:sz w:val="24"/>
                <w:highlight w:val="none"/>
              </w:rPr>
              <w:t>中标服务费的交纳方式：以转帐或支票的形式支付，开户行名称：浦发银行临平支行；帐号：95110154800000633，收款单位（账户名称）：杭州瑞拓工程咨询有限公司。</w:t>
            </w:r>
          </w:p>
        </w:tc>
      </w:tr>
    </w:tbl>
    <w:p>
      <w:pPr>
        <w:snapToGrid w:val="0"/>
        <w:spacing w:line="360" w:lineRule="auto"/>
        <w:jc w:val="center"/>
        <w:rPr>
          <w:rFonts w:hint="eastAsia" w:ascii="宋体" w:hAnsi="宋体" w:eastAsia="宋体" w:cs="宋体"/>
          <w:b/>
          <w:sz w:val="32"/>
          <w:szCs w:val="20"/>
          <w:highlight w:val="none"/>
        </w:rPr>
      </w:pPr>
    </w:p>
    <w:bookmarkEnd w:id="10"/>
    <w:p>
      <w:pPr>
        <w:adjustRightInd/>
        <w:spacing w:line="360" w:lineRule="auto"/>
        <w:ind w:firstLine="3845" w:firstLineChars="1197"/>
        <w:outlineLvl w:val="0"/>
        <w:rPr>
          <w:rFonts w:hint="eastAsia" w:ascii="宋体" w:hAnsi="宋体" w:eastAsia="宋体" w:cs="宋体"/>
          <w:b/>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_Toc164416483"/>
      <w:bookmarkStart w:id="12" w:name="第三部分"/>
    </w:p>
    <w:p>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pPr>
        <w:snapToGrid w:val="0"/>
        <w:spacing w:line="600" w:lineRule="exact"/>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napToGrid w:val="0"/>
        <w:spacing w:line="6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adjustRightInd/>
        <w:spacing w:line="600" w:lineRule="exact"/>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2.6“电子交易平台”系指本项目政府采购活动所依托的政府采购云平台（https://www.zcygov.cn/）。</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p>
    <w:p>
      <w:pPr>
        <w:spacing w:line="600" w:lineRule="exact"/>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pPr>
        <w:spacing w:line="6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highlight w:val="none"/>
        </w:rPr>
        <w:t>优先采购向我国企业转让技术、与我国企业签订消化吸收再创新方案的投标人的进口产品</w:t>
      </w:r>
      <w:r>
        <w:rPr>
          <w:rFonts w:hint="eastAsia" w:ascii="宋体" w:hAnsi="宋体" w:eastAsia="宋体" w:cs="宋体"/>
          <w:sz w:val="24"/>
          <w:highlight w:val="none"/>
        </w:rPr>
        <w:t>。</w:t>
      </w:r>
    </w:p>
    <w:p>
      <w:pPr>
        <w:spacing w:line="6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pPr>
        <w:spacing w:line="60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鼓励投标人在参加政府采购过程中开展绿色设计、选择绿色材料、打造绿色制造工艺、开展绿色运输、做好废弃产品回收处理，实现产品全周期的绿色环保。鼓励采购单位对其提高预付款比例、免收履约保证金。</w:t>
      </w:r>
    </w:p>
    <w:p>
      <w:pPr>
        <w:spacing w:line="6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60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pPr>
        <w:spacing w:line="600" w:lineRule="exact"/>
        <w:ind w:firstLine="240" w:firstLineChars="100"/>
        <w:rPr>
          <w:rFonts w:hint="eastAsia" w:ascii="宋体" w:hAnsi="宋体" w:eastAsia="宋体" w:cs="宋体"/>
          <w:b/>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pPr>
        <w:autoSpaceDE w:val="0"/>
        <w:autoSpaceDN w:val="0"/>
        <w:spacing w:line="6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autoSpaceDE w:val="0"/>
        <w:autoSpaceDN w:val="0"/>
        <w:spacing w:line="6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4.2投标人询问</w:t>
      </w:r>
    </w:p>
    <w:p>
      <w:pPr>
        <w:autoSpaceDE w:val="0"/>
        <w:autoSpaceDN w:val="0"/>
        <w:spacing w:line="6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autoSpaceDE w:val="0"/>
        <w:autoSpaceDN w:val="0"/>
        <w:spacing w:line="600" w:lineRule="exact"/>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4.3投标人质疑</w:t>
      </w:r>
    </w:p>
    <w:p>
      <w:pPr>
        <w:pStyle w:val="34"/>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4.3</w:t>
      </w:r>
      <w:r>
        <w:rPr>
          <w:rFonts w:hint="eastAsia" w:ascii="宋体" w:hAnsi="宋体" w:eastAsia="宋体" w:cs="宋体"/>
          <w:sz w:val="24"/>
          <w:szCs w:val="24"/>
          <w:highlight w:val="none"/>
        </w:rPr>
        <w:t>.1提出质疑的投标人应当是参与所质疑项目采购活动的投标人。潜在投标人已依法获取其可质疑的招标文件的，可以对该文件提出质疑。</w:t>
      </w:r>
    </w:p>
    <w:p>
      <w:pPr>
        <w:pStyle w:val="34"/>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4.3</w:t>
      </w:r>
      <w:r>
        <w:rPr>
          <w:rFonts w:hint="eastAsia" w:ascii="宋体" w:hAnsi="宋体" w:eastAsia="宋体" w:cs="宋体"/>
          <w:sz w:val="24"/>
          <w:szCs w:val="24"/>
          <w:highlight w:val="none"/>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6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4.3.2.1对招标文件提出质疑的，质疑期限为投标人获得招标文件之日或者招标文件公告期限届满之日起计算。</w:t>
      </w:r>
    </w:p>
    <w:p>
      <w:pPr>
        <w:pStyle w:val="34"/>
        <w:spacing w:line="600" w:lineRule="exact"/>
        <w:ind w:left="479" w:leftChars="228"/>
        <w:rPr>
          <w:rFonts w:hint="eastAsia" w:ascii="宋体" w:hAnsi="宋体" w:eastAsia="宋体" w:cs="宋体"/>
          <w:sz w:val="24"/>
          <w:szCs w:val="24"/>
          <w:highlight w:val="none"/>
        </w:rPr>
      </w:pPr>
      <w:r>
        <w:rPr>
          <w:rFonts w:hint="eastAsia" w:ascii="宋体" w:hAnsi="宋体" w:eastAsia="宋体" w:cs="宋体"/>
          <w:sz w:val="24"/>
          <w:szCs w:val="24"/>
          <w:highlight w:val="none"/>
        </w:rPr>
        <w:t>4.3.2.2对采购过程提出质疑的，质疑期限为各采购程序环节结束之日起计算。4.3.2.3对采购结果提出质疑的，质疑期限自采购结果公告期限届满之日起计算。</w:t>
      </w:r>
    </w:p>
    <w:p>
      <w:pPr>
        <w:pStyle w:val="34"/>
        <w:spacing w:line="6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w:t>
      </w:r>
      <w:r>
        <w:rPr>
          <w:rFonts w:hint="eastAsia" w:ascii="宋体" w:hAnsi="宋体" w:eastAsia="宋体" w:cs="宋体"/>
          <w:sz w:val="24"/>
          <w:szCs w:val="24"/>
          <w:highlight w:val="none"/>
        </w:rPr>
        <w:t>投标人提出质疑应当提交质疑函和必要的证明材料。质疑函应当包括下列内容：</w:t>
      </w:r>
    </w:p>
    <w:p>
      <w:pPr>
        <w:pStyle w:val="34"/>
        <w:spacing w:line="6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4.3.3.1投标人的姓名或者名称、地址、邮编、联系人及联系电话；</w:t>
      </w:r>
    </w:p>
    <w:p>
      <w:pPr>
        <w:pStyle w:val="34"/>
        <w:spacing w:line="6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4.3.3.2质疑项目的名称、编号；</w:t>
      </w:r>
    </w:p>
    <w:p>
      <w:pPr>
        <w:pStyle w:val="34"/>
        <w:spacing w:line="6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4.3.3.3具体、明确的质疑事项和与质疑事项相关的请求；</w:t>
      </w:r>
    </w:p>
    <w:p>
      <w:pPr>
        <w:pStyle w:val="34"/>
        <w:spacing w:line="6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4.3.3.4事实依据；</w:t>
      </w:r>
    </w:p>
    <w:p>
      <w:pPr>
        <w:pStyle w:val="34"/>
        <w:spacing w:line="6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4.3.3.5必要的法律依据；</w:t>
      </w:r>
    </w:p>
    <w:p>
      <w:pPr>
        <w:pStyle w:val="34"/>
        <w:spacing w:line="600" w:lineRule="exact"/>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4.3.3.6提出质疑的日期。</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投标人提交的质疑函需一式三份。投标人为自然人的，应当由本人签字；投标人为法人或者其他组织的，应当由法定代表人、主要负责人，或者其授权代表签字或者盖章，并加盖公章。</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4.3.4对同一采购程序环节的质疑，投标人须在法定质疑期内一次性提出。</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5采购人或者采购代理机构应当在收到投标人的书面质疑后七个工作日内作出答复，并以书面形式通知质疑投标人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lang w:val="zh-CN"/>
        </w:rPr>
        <w:t>4.3</w:t>
      </w:r>
      <w:r>
        <w:rPr>
          <w:rFonts w:hint="eastAsia" w:ascii="宋体" w:hAnsi="宋体" w:eastAsia="宋体" w:cs="宋体"/>
          <w:highlight w:val="none"/>
        </w:rPr>
        <w:t>.6询问或者质疑事项可能影响采购结果的，采购人应当暂停签订合同，已经签订合同的，应当中止履行合同。</w:t>
      </w:r>
    </w:p>
    <w:p>
      <w:pPr>
        <w:pStyle w:val="573"/>
        <w:shd w:val="clear" w:color="auto" w:fill="FFFFFF"/>
        <w:snapToGrid w:val="0"/>
        <w:spacing w:after="240" w:afterAutospacing="0" w:line="600" w:lineRule="exact"/>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4.4投标人投诉</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4.4.1质疑投标人对采购人、采购代理机构的答复不满意或者采购人、采购代理机构未在规定的时间内作出答复的，可以在答复期满后十五个工作日内向同级政府采购监督管理部门提出投诉。</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4.4.</w:t>
      </w:r>
      <w:r>
        <w:rPr>
          <w:rFonts w:hint="eastAsia" w:ascii="宋体" w:hAnsi="宋体" w:eastAsia="宋体" w:cs="宋体"/>
          <w:highlight w:val="none"/>
          <w:lang w:val="zh-CN"/>
        </w:rPr>
        <w:t>2</w:t>
      </w:r>
      <w:r>
        <w:rPr>
          <w:rFonts w:hint="eastAsia" w:ascii="宋体" w:hAnsi="宋体" w:eastAsia="宋体" w:cs="宋体"/>
          <w:highlight w:val="none"/>
        </w:rPr>
        <w:t>投标人投诉的事项不得超出已质疑事项的范围，基于质疑答复内容提出的投诉事项除外。</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4.4.3投标人投诉应当有明确的请求和必要的证明材料。</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4.4.4以联合体形式参加政府采购活动的，其投诉应当由组成联合体的所有投标人共同提出。</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4.4.5余杭区政府采购项目投诉材料可寄送至余杭区政府采购办公室，地址：杭州市余杭区文一西路1500号8号楼1201室，收件人：杜国强，电话：0571-88728858。</w:t>
      </w:r>
    </w:p>
    <w:p>
      <w:pPr>
        <w:pStyle w:val="573"/>
        <w:shd w:val="clear" w:color="auto" w:fill="FFFFFF"/>
        <w:snapToGrid w:val="0"/>
        <w:spacing w:after="240" w:afterAutospacing="0" w:line="600" w:lineRule="exact"/>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pPr>
        <w:pStyle w:val="87"/>
        <w:snapToGrid w:val="0"/>
        <w:spacing w:before="0"/>
        <w:ind w:firstLine="360"/>
        <w:rPr>
          <w:rFonts w:hint="eastAsia" w:ascii="宋体" w:hAnsi="宋体" w:eastAsia="宋体" w:cs="宋体"/>
          <w:sz w:val="18"/>
          <w:szCs w:val="18"/>
          <w:highlight w:val="none"/>
        </w:rPr>
      </w:pPr>
    </w:p>
    <w:p>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pPr>
        <w:pStyle w:val="34"/>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34"/>
        <w:tabs>
          <w:tab w:val="left" w:pos="840"/>
        </w:tabs>
        <w:spacing w:line="6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34"/>
        <w:tabs>
          <w:tab w:val="left" w:pos="840"/>
        </w:tabs>
        <w:spacing w:line="6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34"/>
        <w:tabs>
          <w:tab w:val="left" w:pos="840"/>
        </w:tabs>
        <w:spacing w:line="6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34"/>
        <w:tabs>
          <w:tab w:val="left" w:pos="840"/>
        </w:tabs>
        <w:spacing w:line="6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34"/>
        <w:tabs>
          <w:tab w:val="left" w:pos="840"/>
        </w:tabs>
        <w:spacing w:line="6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34"/>
        <w:tabs>
          <w:tab w:val="left" w:pos="840"/>
        </w:tabs>
        <w:spacing w:line="6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87"/>
        <w:snapToGrid w:val="0"/>
        <w:spacing w:before="0" w:line="600" w:lineRule="exact"/>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6.1已获取招标文件的潜在投标人，若有问题需要澄清，应于投标截止时间前，以书面形式向采购代理机构提出。</w:t>
      </w:r>
    </w:p>
    <w:p>
      <w:pPr>
        <w:pStyle w:val="87"/>
        <w:snapToGrid w:val="0"/>
        <w:spacing w:before="0" w:line="600" w:lineRule="exact"/>
        <w:ind w:firstLine="480"/>
        <w:rPr>
          <w:rFonts w:hint="eastAsia" w:ascii="宋体" w:hAnsi="宋体" w:eastAsia="宋体" w:cs="宋体"/>
          <w:highlight w:val="none"/>
        </w:rPr>
      </w:pPr>
      <w:r>
        <w:rPr>
          <w:rFonts w:hint="eastAsia" w:ascii="宋体" w:hAnsi="宋体" w:eastAsia="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宋体" w:hAnsi="宋体" w:eastAsia="宋体" w:cs="宋体"/>
          <w:sz w:val="18"/>
          <w:szCs w:val="18"/>
          <w:highlight w:val="none"/>
          <w:lang w:val="en-US"/>
        </w:rPr>
      </w:pPr>
    </w:p>
    <w:p>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pPr>
        <w:spacing w:line="600" w:lineRule="exact"/>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pPr>
        <w:pStyle w:val="34"/>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kern w:val="28"/>
          <w:sz w:val="24"/>
          <w:szCs w:val="24"/>
          <w:highlight w:val="none"/>
        </w:rPr>
        <w:t>9.投标保证金</w:t>
      </w:r>
    </w:p>
    <w:p>
      <w:pPr>
        <w:pStyle w:val="5"/>
        <w:spacing w:line="6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pPr>
        <w:autoSpaceDE w:val="0"/>
        <w:autoSpaceDN w:val="0"/>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w:t>
      </w:r>
      <w:r>
        <w:rPr>
          <w:rFonts w:hint="eastAsia" w:ascii="宋体" w:hAnsi="宋体" w:eastAsia="宋体" w:cs="宋体"/>
          <w:snapToGrid w:val="0"/>
          <w:kern w:val="28"/>
          <w:sz w:val="24"/>
          <w:highlight w:val="none"/>
        </w:rPr>
        <w:t>联合协议（如果有)；</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11.1.3落实政府采购政策需满足的资格要求</w:t>
      </w:r>
      <w:r>
        <w:rPr>
          <w:rFonts w:hint="eastAsia" w:ascii="宋体" w:hAnsi="宋体" w:eastAsia="宋体" w:cs="宋体"/>
          <w:snapToGrid w:val="0"/>
          <w:kern w:val="28"/>
          <w:sz w:val="24"/>
          <w:highlight w:val="none"/>
        </w:rPr>
        <w:t>（如果有)</w:t>
      </w:r>
      <w:r>
        <w:rPr>
          <w:rFonts w:hint="eastAsia" w:ascii="宋体" w:hAnsi="宋体" w:eastAsia="宋体" w:cs="宋体"/>
          <w:sz w:val="24"/>
          <w:highlight w:val="none"/>
        </w:rPr>
        <w:t>；</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11.1.4本项目的特定资格要求</w:t>
      </w:r>
      <w:r>
        <w:rPr>
          <w:rFonts w:hint="eastAsia" w:ascii="宋体" w:hAnsi="宋体" w:eastAsia="宋体" w:cs="宋体"/>
          <w:snapToGrid w:val="0"/>
          <w:kern w:val="28"/>
          <w:sz w:val="24"/>
          <w:highlight w:val="none"/>
        </w:rPr>
        <w:t>（如果有)</w:t>
      </w:r>
      <w:r>
        <w:rPr>
          <w:rFonts w:hint="eastAsia" w:ascii="宋体" w:hAnsi="宋体" w:eastAsia="宋体" w:cs="宋体"/>
          <w:sz w:val="24"/>
          <w:highlight w:val="none"/>
        </w:rPr>
        <w:t>。</w:t>
      </w:r>
    </w:p>
    <w:p>
      <w:pPr>
        <w:snapToGrid w:val="0"/>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11.2.3分包意向协议</w:t>
      </w:r>
      <w:r>
        <w:rPr>
          <w:rFonts w:hint="eastAsia" w:ascii="宋体" w:hAnsi="宋体" w:eastAsia="宋体" w:cs="宋体"/>
          <w:snapToGrid w:val="0"/>
          <w:kern w:val="28"/>
          <w:sz w:val="24"/>
          <w:highlight w:val="none"/>
        </w:rPr>
        <w:t>（如果有)</w:t>
      </w:r>
      <w:r>
        <w:rPr>
          <w:rFonts w:hint="eastAsia" w:ascii="宋体" w:hAnsi="宋体" w:eastAsia="宋体" w:cs="宋体"/>
          <w:sz w:val="24"/>
          <w:highlight w:val="none"/>
        </w:rPr>
        <w:t>；</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11.2.4符合性审查资料；</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11.2.5评标标准相应的商务技术资料；</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11.2.6投标标的清单；</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pPr>
        <w:snapToGrid w:val="0"/>
        <w:spacing w:line="600" w:lineRule="exact"/>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政府采购投标人廉洁自律承诺书；</w:t>
      </w:r>
    </w:p>
    <w:p>
      <w:pPr>
        <w:snapToGrid w:val="0"/>
        <w:spacing w:line="600" w:lineRule="exact"/>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napToGrid w:val="0"/>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pPr>
        <w:spacing w:line="600" w:lineRule="exact"/>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pPr>
        <w:spacing w:line="600" w:lineRule="exact"/>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投标人提供虚假材料投标的，投标无效。</w:t>
      </w:r>
    </w:p>
    <w:p>
      <w:pPr>
        <w:pStyle w:val="87"/>
        <w:snapToGrid w:val="0"/>
        <w:spacing w:before="0" w:line="600" w:lineRule="exact"/>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pPr>
        <w:spacing w:line="600" w:lineRule="exact"/>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pPr>
        <w:pStyle w:val="87"/>
        <w:snapToGrid w:val="0"/>
        <w:spacing w:before="0" w:line="600" w:lineRule="exact"/>
        <w:ind w:firstLine="480"/>
        <w:rPr>
          <w:rFonts w:hint="eastAsia" w:ascii="宋体" w:hAnsi="宋体" w:eastAsia="宋体" w:cs="宋体"/>
          <w:b/>
          <w:szCs w:val="24"/>
          <w:highlight w:val="none"/>
        </w:rPr>
      </w:pPr>
      <w:r>
        <w:rPr>
          <w:rFonts w:hint="eastAsia" w:ascii="宋体" w:hAnsi="宋体" w:eastAsia="宋体" w:cs="宋体"/>
          <w:szCs w:val="24"/>
          <w:highlight w:val="none"/>
        </w:rPr>
        <w:t>13.1投标文件按照招标文件第六部分格式要求进行签署、盖章。</w:t>
      </w:r>
      <w:r>
        <w:rPr>
          <w:rFonts w:hint="eastAsia" w:ascii="宋体" w:hAnsi="宋体" w:eastAsia="宋体" w:cs="宋体"/>
          <w:b/>
          <w:szCs w:val="24"/>
          <w:highlight w:val="none"/>
        </w:rPr>
        <w:t>●投标人的投标文件未按照招标文件要求签署、盖章的，其投标无效</w:t>
      </w:r>
      <w:r>
        <w:rPr>
          <w:rFonts w:hint="eastAsia" w:ascii="宋体" w:hAnsi="宋体" w:eastAsia="宋体" w:cs="宋体"/>
          <w:szCs w:val="24"/>
          <w:highlight w:val="none"/>
        </w:rPr>
        <w:t>。</w:t>
      </w:r>
    </w:p>
    <w:p>
      <w:pPr>
        <w:pStyle w:val="87"/>
        <w:snapToGrid w:val="0"/>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13.3招标文件对投标文件签署、盖章的要求适用于电子签名。</w:t>
      </w:r>
    </w:p>
    <w:p>
      <w:pPr>
        <w:pStyle w:val="87"/>
        <w:spacing w:before="0" w:line="60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pPr>
        <w:pStyle w:val="87"/>
        <w:spacing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pPr>
        <w:pStyle w:val="87"/>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6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pPr>
        <w:pStyle w:val="34"/>
        <w:spacing w:line="600" w:lineRule="exact"/>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但采购人、采购代理机构不强制或变相强制投标人提交备份投标文件。</w:t>
      </w:r>
    </w:p>
    <w:p>
      <w:pPr>
        <w:pStyle w:val="34"/>
        <w:spacing w:line="60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highlight w:val="none"/>
        </w:rPr>
        <w:t>不符合上述制作、存储、密封规定的备份投标文件将被视为无效或者被拒绝接收。</w:t>
      </w:r>
    </w:p>
    <w:p>
      <w:pPr>
        <w:pStyle w:val="34"/>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600" w:lineRule="exact"/>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15.5投标人仅提交备份投标文件，未在电子交易平台传输递交投标文件的，投标无效。</w:t>
      </w:r>
    </w:p>
    <w:p>
      <w:pPr>
        <w:pStyle w:val="87"/>
        <w:spacing w:before="0" w:line="60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pPr>
        <w:pStyle w:val="25"/>
        <w:spacing w:line="600" w:lineRule="exact"/>
        <w:ind w:firstLine="360" w:firstLineChars="150"/>
        <w:rPr>
          <w:rFonts w:hint="eastAsia" w:ascii="宋体" w:hAnsi="宋体" w:eastAsia="宋体" w:cs="宋体"/>
          <w:highlight w:val="none"/>
        </w:rPr>
      </w:pPr>
      <w:r>
        <w:rPr>
          <w:rFonts w:hint="eastAsia" w:ascii="宋体" w:hAnsi="宋体" w:eastAsia="宋体" w:cs="宋体"/>
          <w:highlight w:val="none"/>
        </w:rPr>
        <w:t>有招标文件第四部分4.2规定的情形之一的，投标无效：</w:t>
      </w:r>
    </w:p>
    <w:p>
      <w:pPr>
        <w:pStyle w:val="87"/>
        <w:spacing w:before="0" w:line="60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pPr>
        <w:spacing w:line="60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17.1投标有效期为从提交投标文件的截止之日起90天。●</w:t>
      </w:r>
      <w:r>
        <w:rPr>
          <w:rFonts w:hint="eastAsia" w:ascii="宋体" w:hAnsi="宋体" w:eastAsia="宋体" w:cs="宋体"/>
          <w:b/>
          <w:sz w:val="24"/>
          <w:highlight w:val="none"/>
        </w:rPr>
        <w:t>投标人的投标文件中承诺的投标有效期少于招标文件中载明的投标有效期的，投标无效。</w:t>
      </w:r>
    </w:p>
    <w:p>
      <w:pPr>
        <w:pStyle w:val="87"/>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17.2投标文件合格投递后，自投标截止日期起，在投标有效期内有效。</w:t>
      </w:r>
    </w:p>
    <w:p>
      <w:pPr>
        <w:pStyle w:val="87"/>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7"/>
        <w:spacing w:before="0"/>
        <w:ind w:firstLine="643"/>
        <w:rPr>
          <w:rFonts w:hint="eastAsia" w:ascii="宋体" w:hAnsi="宋体" w:eastAsia="宋体" w:cs="宋体"/>
          <w:b/>
          <w:sz w:val="32"/>
          <w:highlight w:val="none"/>
        </w:rPr>
      </w:pPr>
    </w:p>
    <w:p>
      <w:pPr>
        <w:pStyle w:val="87"/>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pStyle w:val="242"/>
        <w:spacing w:before="0" w:line="600" w:lineRule="exact"/>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pPr>
        <w:pStyle w:val="242"/>
        <w:spacing w:before="0" w:line="600" w:lineRule="exact"/>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18.1采购代理机构按照招标文件规定的时间通过电子交易平台组织开标，所有投标人均应当准时在线参加。投标人不足3家的，不得开标。</w:t>
      </w:r>
    </w:p>
    <w:p>
      <w:pPr>
        <w:pStyle w:val="242"/>
        <w:spacing w:before="0" w:line="600" w:lineRule="exact"/>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2"/>
        <w:spacing w:before="0" w:line="600" w:lineRule="exact"/>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600" w:lineRule="exact"/>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19.1</w:t>
      </w:r>
      <w:r>
        <w:rPr>
          <w:rFonts w:hint="eastAsia" w:ascii="宋体" w:hAnsi="宋体" w:eastAsia="宋体" w:cs="宋体"/>
          <w:sz w:val="24"/>
          <w:highlight w:val="none"/>
        </w:rPr>
        <w:t>采购人或采购代理机构依据法律法规和招标文件的规定，对投标人的资格进行审查。</w:t>
      </w:r>
    </w:p>
    <w:p>
      <w:pPr>
        <w:pStyle w:val="87"/>
        <w:spacing w:before="0" w:line="600" w:lineRule="exact"/>
        <w:ind w:firstLine="480"/>
        <w:rPr>
          <w:rFonts w:hint="eastAsia" w:ascii="宋体" w:hAnsi="宋体" w:eastAsia="宋体" w:cs="宋体"/>
          <w:highlight w:val="none"/>
        </w:rPr>
      </w:pPr>
      <w:r>
        <w:rPr>
          <w:rFonts w:hint="eastAsia" w:ascii="宋体" w:hAnsi="宋体" w:eastAsia="宋体" w:cs="宋体"/>
          <w:kern w:val="0"/>
          <w:szCs w:val="24"/>
          <w:highlight w:val="none"/>
        </w:rPr>
        <w:t>19.2投标人未按照招标文件要求提供与</w:t>
      </w:r>
      <w:r>
        <w:rPr>
          <w:rFonts w:hint="eastAsia" w:ascii="宋体" w:hAnsi="宋体" w:eastAsia="宋体" w:cs="宋体"/>
          <w:highlight w:val="none"/>
        </w:rPr>
        <w:t>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pPr>
        <w:pStyle w:val="87"/>
        <w:spacing w:before="0" w:line="600" w:lineRule="exact"/>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3对未通过资格审查的投标人，采购人或采购代理机构告知其未通过的原因。</w:t>
      </w:r>
    </w:p>
    <w:p>
      <w:pPr>
        <w:pStyle w:val="87"/>
        <w:spacing w:before="0" w:line="600" w:lineRule="exact"/>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4合格投标人不足3家的，不再评标。</w:t>
      </w:r>
    </w:p>
    <w:p>
      <w:pPr>
        <w:pStyle w:val="87"/>
        <w:spacing w:before="0" w:line="60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pPr>
        <w:pStyle w:val="87"/>
        <w:spacing w:before="0" w:line="600" w:lineRule="exact"/>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87"/>
        <w:spacing w:before="0" w:line="600" w:lineRule="exact"/>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pPr>
        <w:pStyle w:val="87"/>
        <w:spacing w:before="0" w:line="600" w:lineRule="exact"/>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line="600" w:lineRule="exact"/>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87"/>
        <w:spacing w:before="0"/>
        <w:ind w:firstLine="0" w:firstLineChars="0"/>
        <w:rPr>
          <w:rFonts w:hint="eastAsia" w:ascii="宋体" w:hAnsi="宋体" w:eastAsia="宋体" w:cs="宋体"/>
          <w:kern w:val="0"/>
          <w:szCs w:val="24"/>
          <w:highlight w:val="none"/>
        </w:rPr>
      </w:pPr>
    </w:p>
    <w:p>
      <w:pPr>
        <w:snapToGrid w:val="0"/>
        <w:spacing w:line="600" w:lineRule="exact"/>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spacing w:line="600" w:lineRule="exact"/>
        <w:rPr>
          <w:rFonts w:hint="eastAsia" w:ascii="宋体" w:hAnsi="宋体" w:eastAsia="宋体" w:cs="宋体"/>
          <w:b/>
          <w:sz w:val="24"/>
          <w:highlight w:val="none"/>
        </w:rPr>
      </w:pPr>
      <w:bookmarkStart w:id="13" w:name="_Toc91899903"/>
      <w:r>
        <w:rPr>
          <w:rFonts w:hint="eastAsia" w:ascii="宋体" w:hAnsi="宋体" w:eastAsia="宋体" w:cs="宋体"/>
          <w:b/>
          <w:sz w:val="24"/>
          <w:highlight w:val="none"/>
        </w:rPr>
        <w:t>21.</w:t>
      </w:r>
      <w:r>
        <w:rPr>
          <w:rFonts w:hint="eastAsia" w:ascii="宋体" w:hAnsi="宋体" w:eastAsia="宋体" w:cs="宋体"/>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pPr>
        <w:spacing w:line="360" w:lineRule="auto"/>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pStyle w:val="25"/>
        <w:spacing w:line="60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确定中标投标人</w:t>
      </w:r>
    </w:p>
    <w:p>
      <w:pPr>
        <w:pStyle w:val="87"/>
        <w:snapToGrid w:val="0"/>
        <w:spacing w:before="0" w:line="600" w:lineRule="exact"/>
        <w:ind w:firstLine="480"/>
        <w:rPr>
          <w:rFonts w:hint="eastAsia" w:ascii="宋体" w:hAnsi="宋体" w:eastAsia="宋体" w:cs="宋体"/>
          <w:b/>
          <w:szCs w:val="24"/>
          <w:highlight w:val="none"/>
        </w:rPr>
      </w:pPr>
      <w:r>
        <w:rPr>
          <w:rFonts w:hint="eastAsia" w:ascii="宋体" w:hAnsi="宋体" w:eastAsia="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投标人。中标、成交通知书和中标、成交结果公告应当在规定时间内同时发出。</w:t>
      </w:r>
    </w:p>
    <w:p>
      <w:pPr>
        <w:pStyle w:val="87"/>
        <w:snapToGrid w:val="0"/>
        <w:spacing w:before="0" w:line="60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60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60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highlight w:val="none"/>
        </w:rPr>
        <w:t>资格审查情况、评审专家抽取规则、符合性审查情况、</w:t>
      </w:r>
      <w:bookmarkEnd w:id="14"/>
      <w:r>
        <w:rPr>
          <w:rFonts w:hint="eastAsia" w:ascii="宋体" w:hAnsi="宋体" w:eastAsia="宋体" w:cs="宋体"/>
          <w:sz w:val="24"/>
          <w:highlight w:val="none"/>
        </w:rPr>
        <w:t>未中标情况说明、中标公告期限以及评审专家名单、评分汇总及明细。</w:t>
      </w:r>
    </w:p>
    <w:p>
      <w:pPr>
        <w:widowControl/>
        <w:shd w:val="clear" w:color="auto" w:fill="FFFFFF"/>
        <w:spacing w:line="60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25"/>
        <w:spacing w:line="60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25"/>
        <w:spacing w:line="60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hd w:val="clear" w:color="auto" w:fill="FFFFFF"/>
        <w:spacing w:line="600" w:lineRule="exact"/>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投标人按照采购文件确定的事项签订政府采购合同。</w:t>
      </w:r>
    </w:p>
    <w:p>
      <w:pPr>
        <w:pStyle w:val="87"/>
        <w:snapToGrid w:val="0"/>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25.3如签订合同并生效后，投标人无故拒绝或延期，除按照合同条款处理外，列入不良行为记录一次，并给予通报。</w:t>
      </w:r>
    </w:p>
    <w:p>
      <w:pPr>
        <w:pStyle w:val="87"/>
        <w:snapToGrid w:val="0"/>
        <w:spacing w:before="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25.4中标投标人拒绝与采购人签订合同的，采购人可以按照评审报告推荐的中标或者成交候选人名单排序，确定下一候选人为中标投标人，也可以重新开展政府采购活动。</w:t>
      </w:r>
    </w:p>
    <w:p>
      <w:pPr>
        <w:pStyle w:val="87"/>
        <w:snapToGrid w:val="0"/>
        <w:spacing w:before="0" w:after="120" w:line="60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25.5采购合同由采购人与中标投标人根据招标文件、投标文件等内容通过政府采购电子交易平台在线签订，自动备案。</w:t>
      </w:r>
    </w:p>
    <w:p>
      <w:pPr>
        <w:pStyle w:val="25"/>
        <w:spacing w:line="60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pPr>
        <w:tabs>
          <w:tab w:val="left" w:pos="0"/>
        </w:tabs>
        <w:spacing w:line="600" w:lineRule="exact"/>
        <w:ind w:firstLine="482"/>
        <w:rPr>
          <w:rFonts w:hint="eastAsia" w:ascii="宋体" w:hAnsi="宋体" w:eastAsia="宋体" w:cs="宋体"/>
          <w:sz w:val="24"/>
          <w:highlight w:val="none"/>
        </w:rPr>
      </w:pPr>
      <w:r>
        <w:rPr>
          <w:rFonts w:hint="eastAsia" w:ascii="宋体" w:hAnsi="宋体" w:eastAsia="宋体" w:cs="宋体"/>
          <w:kern w:val="0"/>
          <w:sz w:val="24"/>
          <w:highlight w:val="none"/>
        </w:rPr>
        <w:t>拟签订的合同文本要求中标投标人提交履约保证金的，投标人应当以支票、汇票、本票或者金融机构、担保机构出具的保函等非现金形式提交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投标人诚信等因素免收履约保证金或降低缴纳比例。鼓励和支持投标人以银行、保险公司出具的保函形式提供履约保证金。采购人不得拒收履约保函，项目验收结束后应及时退还，延迟退还的，应当按照合同约定和法律规定承担相应的赔偿责任。</w:t>
      </w:r>
    </w:p>
    <w:p>
      <w:pPr>
        <w:pStyle w:val="2"/>
        <w:spacing w:line="600" w:lineRule="exact"/>
        <w:ind w:left="0" w:firstLine="480" w:firstLineChars="200"/>
        <w:rPr>
          <w:rFonts w:hint="eastAsia" w:ascii="宋体" w:hAnsi="宋体" w:eastAsia="宋体" w:cs="宋体"/>
          <w:b w:val="0"/>
          <w:bCs w:val="0"/>
          <w:snapToGrid w:val="0"/>
          <w:kern w:val="28"/>
          <w:sz w:val="24"/>
          <w:szCs w:val="24"/>
          <w:highlight w:val="none"/>
        </w:rPr>
      </w:pPr>
      <w:r>
        <w:rPr>
          <w:rFonts w:hint="eastAsia" w:ascii="宋体" w:hAnsi="宋体" w:eastAsia="宋体" w:cs="宋体"/>
          <w:b w:val="0"/>
          <w:bCs w:val="0"/>
          <w:snapToGrid w:val="0"/>
          <w:kern w:val="28"/>
          <w:sz w:val="24"/>
          <w:szCs w:val="24"/>
          <w:highlight w:val="none"/>
        </w:rPr>
        <w:t>投标人</w:t>
      </w:r>
      <w:r>
        <w:rPr>
          <w:rFonts w:hint="eastAsia" w:ascii="宋体" w:hAnsi="宋体" w:eastAsia="宋体" w:cs="宋体"/>
          <w:b w:val="0"/>
          <w:bCs w:val="0"/>
          <w:snapToGrid w:val="0"/>
          <w:kern w:val="28"/>
          <w:sz w:val="24"/>
          <w:szCs w:val="24"/>
          <w:highlight w:val="none"/>
          <w:lang w:val="en-US"/>
        </w:rPr>
        <w:t>可</w:t>
      </w:r>
      <w:r>
        <w:rPr>
          <w:rFonts w:hint="eastAsia" w:ascii="宋体" w:hAnsi="宋体" w:eastAsia="宋体" w:cs="宋体"/>
          <w:b w:val="0"/>
          <w:bCs w:val="0"/>
          <w:snapToGrid w:val="0"/>
          <w:kern w:val="28"/>
          <w:sz w:val="24"/>
          <w:szCs w:val="24"/>
          <w:highlight w:val="none"/>
        </w:rPr>
        <w:t>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pPr>
        <w:pStyle w:val="2"/>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27.预付款</w:t>
      </w:r>
    </w:p>
    <w:p>
      <w:pPr>
        <w:adjustRightInd/>
        <w:spacing w:line="60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投标人为大型企业的项目或者以人工投入为主且实行按月定期结算支付款项的项目，预付款可低于上述比例或者不约定预付款。在签订合同时，投标人明确表示无需预付款或者主动要求降低预付款比例的，采购单位可不适用前述规定。采购单位根据项目特点、投标人诚信等因素，可以要求投标人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投标人可登录政采云前台大厅选择金融服务 - 【保函保险服务】出具预付款保函，具体步骤：选择产品—填写投标人信息—选择中标项目—确认信息—等待保险/保函受理—确认保单—支付保费—成功出单。政采云金融专线400-903-9583。</w:t>
      </w:r>
    </w:p>
    <w:p>
      <w:pPr>
        <w:rPr>
          <w:rFonts w:hint="eastAsia" w:ascii="宋体" w:hAnsi="宋体" w:eastAsia="宋体" w:cs="宋体"/>
          <w:highlight w:val="none"/>
        </w:rPr>
      </w:pPr>
    </w:p>
    <w:p>
      <w:pPr>
        <w:snapToGrid w:val="0"/>
        <w:spacing w:line="360" w:lineRule="auto"/>
        <w:ind w:firstLine="3357" w:firstLineChars="1045"/>
        <w:rPr>
          <w:rFonts w:hint="eastAsia" w:ascii="宋体" w:hAnsi="宋体" w:eastAsia="宋体" w:cs="宋体"/>
          <w:b/>
          <w:sz w:val="32"/>
          <w:highlight w:val="none"/>
        </w:rPr>
      </w:pP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pStyle w:val="87"/>
        <w:snapToGrid w:val="0"/>
        <w:spacing w:before="0" w:line="600" w:lineRule="exact"/>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bCs/>
          <w:szCs w:val="24"/>
          <w:highlight w:val="none"/>
        </w:rPr>
        <w:t>8</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采购过程中出现以下情形，导致电子交易平台无法正常运行，或者无法保证电子交易的公平、公正和安全时，采购代理机构可中止电子交易活动：</w:t>
      </w:r>
    </w:p>
    <w:p>
      <w:pPr>
        <w:pStyle w:val="87"/>
        <w:snapToGrid w:val="0"/>
        <w:spacing w:before="0" w:line="600" w:lineRule="exact"/>
        <w:ind w:firstLine="480"/>
        <w:rPr>
          <w:rFonts w:hint="eastAsia" w:ascii="宋体" w:hAnsi="宋体" w:eastAsia="宋体" w:cs="宋体"/>
          <w:highlight w:val="none"/>
        </w:rPr>
      </w:pPr>
      <w:r>
        <w:rPr>
          <w:rFonts w:hint="eastAsia" w:ascii="宋体" w:hAnsi="宋体" w:eastAsia="宋体" w:cs="宋体"/>
          <w:highlight w:val="none"/>
        </w:rPr>
        <w:t xml:space="preserve">28.1电子交易平台发生故障而无法登录访问的； </w:t>
      </w:r>
    </w:p>
    <w:p>
      <w:pPr>
        <w:pStyle w:val="87"/>
        <w:snapToGrid w:val="0"/>
        <w:spacing w:before="0" w:line="600" w:lineRule="exact"/>
        <w:ind w:firstLine="480"/>
        <w:rPr>
          <w:rFonts w:hint="eastAsia" w:ascii="宋体" w:hAnsi="宋体" w:eastAsia="宋体" w:cs="宋体"/>
          <w:highlight w:val="none"/>
        </w:rPr>
      </w:pPr>
      <w:r>
        <w:rPr>
          <w:rFonts w:hint="eastAsia" w:ascii="宋体" w:hAnsi="宋体" w:eastAsia="宋体" w:cs="宋体"/>
          <w:highlight w:val="none"/>
        </w:rPr>
        <w:t>28.2电子交易平台应用或数据库出现错误，不能进行正常操作的；</w:t>
      </w:r>
    </w:p>
    <w:p>
      <w:pPr>
        <w:pStyle w:val="87"/>
        <w:snapToGrid w:val="0"/>
        <w:spacing w:before="0" w:line="600" w:lineRule="exact"/>
        <w:ind w:firstLine="480"/>
        <w:rPr>
          <w:rFonts w:hint="eastAsia" w:ascii="宋体" w:hAnsi="宋体" w:eastAsia="宋体" w:cs="宋体"/>
          <w:highlight w:val="none"/>
        </w:rPr>
      </w:pPr>
      <w:r>
        <w:rPr>
          <w:rFonts w:hint="eastAsia" w:ascii="宋体" w:hAnsi="宋体" w:eastAsia="宋体" w:cs="宋体"/>
          <w:highlight w:val="none"/>
        </w:rPr>
        <w:t>28.3电子交易平台发现严重安全漏洞，有潜在泄密危险的；</w:t>
      </w:r>
    </w:p>
    <w:p>
      <w:pPr>
        <w:pStyle w:val="87"/>
        <w:snapToGrid w:val="0"/>
        <w:spacing w:before="0" w:line="600" w:lineRule="exact"/>
        <w:ind w:firstLine="480"/>
        <w:rPr>
          <w:rFonts w:hint="eastAsia" w:ascii="宋体" w:hAnsi="宋体" w:eastAsia="宋体" w:cs="宋体"/>
          <w:highlight w:val="none"/>
        </w:rPr>
      </w:pPr>
      <w:r>
        <w:rPr>
          <w:rFonts w:hint="eastAsia" w:ascii="宋体" w:hAnsi="宋体" w:eastAsia="宋体" w:cs="宋体"/>
          <w:highlight w:val="none"/>
        </w:rPr>
        <w:t xml:space="preserve">28.4病毒发作导致不能进行正常操作的； </w:t>
      </w:r>
    </w:p>
    <w:p>
      <w:pPr>
        <w:pStyle w:val="87"/>
        <w:snapToGrid w:val="0"/>
        <w:spacing w:before="0" w:line="600" w:lineRule="exact"/>
        <w:ind w:firstLine="480"/>
        <w:rPr>
          <w:rFonts w:hint="eastAsia" w:ascii="宋体" w:hAnsi="宋体" w:eastAsia="宋体" w:cs="宋体"/>
          <w:highlight w:val="none"/>
        </w:rPr>
      </w:pPr>
      <w:r>
        <w:rPr>
          <w:rFonts w:hint="eastAsia" w:ascii="宋体" w:hAnsi="宋体" w:eastAsia="宋体" w:cs="宋体"/>
          <w:highlight w:val="none"/>
        </w:rPr>
        <w:t>28.5其他无法保证电子交易的公平、公正和安全的情况。</w:t>
      </w:r>
    </w:p>
    <w:p>
      <w:pPr>
        <w:pStyle w:val="87"/>
        <w:snapToGrid w:val="0"/>
        <w:spacing w:before="0" w:line="600" w:lineRule="exact"/>
        <w:ind w:firstLine="0" w:firstLineChars="0"/>
        <w:rPr>
          <w:rFonts w:hint="eastAsia" w:ascii="宋体" w:hAnsi="宋体" w:eastAsia="宋体" w:cs="宋体"/>
          <w:highlight w:val="none"/>
        </w:rPr>
      </w:pPr>
      <w:r>
        <w:rPr>
          <w:rFonts w:hint="eastAsia" w:ascii="宋体" w:hAnsi="宋体" w:eastAsia="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pStyle w:val="25"/>
        <w:spacing w:line="600" w:lineRule="exact"/>
        <w:ind w:firstLine="0" w:firstLineChars="0"/>
        <w:rPr>
          <w:rFonts w:hint="eastAsia" w:ascii="宋体" w:hAnsi="宋体" w:eastAsia="宋体" w:cs="宋体"/>
          <w:b/>
          <w:highlight w:val="none"/>
        </w:rPr>
      </w:pPr>
      <w:r>
        <w:rPr>
          <w:rFonts w:hint="eastAsia" w:ascii="宋体" w:hAnsi="宋体" w:eastAsia="宋体" w:cs="宋体"/>
          <w:b/>
          <w:highlight w:val="none"/>
        </w:rPr>
        <w:t>30.验收</w:t>
      </w:r>
    </w:p>
    <w:p>
      <w:pPr>
        <w:tabs>
          <w:tab w:val="left" w:pos="0"/>
        </w:tabs>
        <w:spacing w:line="600" w:lineRule="exact"/>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pPr>
        <w:tabs>
          <w:tab w:val="left" w:pos="0"/>
        </w:tabs>
        <w:spacing w:line="600" w:lineRule="exact"/>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600" w:lineRule="exact"/>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30.3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600" w:lineRule="exact"/>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30.4验收合格的项目，采购人将根据采购合同的约定及时向投标人支付采购资金、退还履约保证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kern w:val="0"/>
          <w:sz w:val="24"/>
          <w:highlight w:val="none"/>
        </w:rPr>
        <w:sectPr>
          <w:pgSz w:w="11906" w:h="16838"/>
          <w:pgMar w:top="680" w:right="1418" w:bottom="468" w:left="1418" w:header="851" w:footer="992" w:gutter="0"/>
          <w:cols w:space="720" w:num="1"/>
          <w:titlePg/>
          <w:docGrid w:linePitch="312" w:charSpace="0"/>
        </w:sectPr>
      </w:pPr>
      <w:bookmarkStart w:id="15" w:name="_Hlt68403820"/>
      <w:bookmarkEnd w:id="15"/>
      <w:bookmarkStart w:id="16" w:name="_Hlt74729768"/>
      <w:bookmarkEnd w:id="16"/>
      <w:bookmarkStart w:id="17" w:name="_Hlt75236011"/>
      <w:bookmarkEnd w:id="17"/>
      <w:bookmarkStart w:id="18" w:name="_Hlt74707468"/>
      <w:bookmarkEnd w:id="18"/>
      <w:bookmarkStart w:id="19" w:name="_Hlt68072998"/>
      <w:bookmarkEnd w:id="19"/>
      <w:bookmarkStart w:id="20" w:name="_Hlt68057669"/>
      <w:bookmarkEnd w:id="20"/>
      <w:bookmarkStart w:id="21" w:name="_Hlt68072990"/>
      <w:bookmarkEnd w:id="21"/>
      <w:bookmarkStart w:id="22" w:name="_Hlt75236290"/>
      <w:bookmarkEnd w:id="22"/>
      <w:bookmarkStart w:id="23" w:name="_Hlt75236101"/>
      <w:bookmarkEnd w:id="23"/>
      <w:bookmarkStart w:id="24" w:name="_Hlt68073093"/>
      <w:bookmarkEnd w:id="24"/>
      <w:bookmarkStart w:id="25" w:name="_Hlt74714665"/>
      <w:bookmarkEnd w:id="25"/>
      <w:bookmarkStart w:id="26" w:name="_Hlt74730295"/>
      <w:bookmarkEnd w:id="26"/>
    </w:p>
    <w:bookmarkEnd w:id="11"/>
    <w:bookmarkEnd w:id="12"/>
    <w:p>
      <w:pPr>
        <w:spacing w:line="360" w:lineRule="auto"/>
        <w:jc w:val="center"/>
        <w:outlineLvl w:val="0"/>
        <w:rPr>
          <w:rFonts w:hint="eastAsia" w:ascii="宋体" w:hAnsi="宋体" w:eastAsia="宋体" w:cs="宋体"/>
          <w:b/>
          <w:sz w:val="36"/>
          <w:szCs w:val="36"/>
          <w:highlight w:val="none"/>
        </w:rPr>
      </w:pPr>
      <w:bookmarkStart w:id="27" w:name="第四部分"/>
      <w:r>
        <w:rPr>
          <w:rFonts w:hint="eastAsia" w:ascii="宋体" w:hAnsi="宋体" w:eastAsia="宋体" w:cs="宋体"/>
          <w:b/>
          <w:sz w:val="36"/>
          <w:szCs w:val="36"/>
          <w:highlight w:val="none"/>
        </w:rPr>
        <w:t>第三部分   采购需求</w:t>
      </w:r>
    </w:p>
    <w:p>
      <w:pPr>
        <w:pStyle w:val="61"/>
        <w:spacing w:line="600" w:lineRule="exact"/>
        <w:jc w:val="both"/>
        <w:rPr>
          <w:rFonts w:hint="eastAsia" w:ascii="宋体" w:hAnsi="宋体" w:eastAsia="宋体" w:cs="宋体"/>
          <w:bCs/>
          <w:szCs w:val="24"/>
          <w:highlight w:val="none"/>
        </w:rPr>
      </w:pPr>
      <w:r>
        <w:rPr>
          <w:rFonts w:hint="eastAsia" w:ascii="宋体" w:hAnsi="宋体" w:eastAsia="宋体" w:cs="宋体"/>
          <w:bCs/>
          <w:szCs w:val="24"/>
          <w:highlight w:val="none"/>
        </w:rPr>
        <w:t>一、</w:t>
      </w:r>
      <w:r>
        <w:rPr>
          <w:rFonts w:hint="eastAsia" w:ascii="宋体" w:hAnsi="宋体" w:eastAsia="宋体" w:cs="宋体"/>
          <w:szCs w:val="24"/>
          <w:highlight w:val="none"/>
        </w:rPr>
        <w:t>项目概述</w:t>
      </w:r>
      <w:r>
        <w:rPr>
          <w:rFonts w:hint="eastAsia" w:ascii="宋体" w:hAnsi="宋体" w:eastAsia="宋体" w:cs="宋体"/>
          <w:bCs/>
          <w:szCs w:val="24"/>
          <w:highlight w:val="none"/>
        </w:rPr>
        <w:t>：</w:t>
      </w:r>
    </w:p>
    <w:p>
      <w:pPr>
        <w:tabs>
          <w:tab w:val="left" w:pos="0"/>
        </w:tabs>
        <w:spacing w:line="600" w:lineRule="exact"/>
        <w:ind w:firstLine="480"/>
        <w:rPr>
          <w:rFonts w:hint="eastAsia" w:ascii="宋体" w:hAnsi="宋体" w:eastAsia="宋体" w:cs="宋体"/>
          <w:sz w:val="24"/>
          <w:highlight w:val="none"/>
        </w:rPr>
      </w:pPr>
      <w:r>
        <w:rPr>
          <w:rFonts w:hint="eastAsia" w:ascii="宋体" w:hAnsi="宋体" w:eastAsia="宋体" w:cs="宋体"/>
          <w:sz w:val="24"/>
          <w:highlight w:val="none"/>
        </w:rPr>
        <w:t>本项目采购内容加强护校安园安全护卫、 为深入贯彻落实省领导和市领导关于校园安全工作的一系列重要指示批示精神，进一步强化中小学、幼儿园安全防范工作，维护校园持续安全稳定、结合重大活动安保工作总体部署，在各级党委、政府的领导下，坚持标本兼治、重在治本，针对校园安全突出问题、难点问题，整合各方面力量和现有制度、机制，进一步强化安全防范、隐患整改、巡控防护、打击查处、宣传教育等各项工作措施，建立完善校园安全风险防控体系，切实保护在校师生人身安全，坚决防止发生有影响的校园重大案事件，保障全县校园及周边持续安全稳定；城市综合管理，提供应急综合管理、排污管理、重点区域防违控违巡查、联合执法外围现场维护、征地拆迁安保、交通整治、打击垃圾偷到、渣土管理、垃圾分类检查等服务。包括提供符合采购人要求的重点场所巡逻安保人员，需类似安保项目有城市综合管理服务、联动大队综合管理、危化品警戒安保、大型活动比赛的等类似安保项目经验的优先、为应变突发事件、根据疫情防控需要，供应商需有提供新冠脑炎医学观察点隔离人员集中隔离管控安保及拆迁维稳提供特保服务；投标报价包括所有护校安园人员的工资、社保、加班费、培训费、通讯设备、服装费、低值易耗品、工具及相关设备费、临时性杂项服务费、政策性文件规定及合同包含的所有风险、责任、税费、合理利润等各项全部费用。</w:t>
      </w:r>
    </w:p>
    <w:p>
      <w:pPr>
        <w:pStyle w:val="61"/>
        <w:spacing w:line="600" w:lineRule="exact"/>
        <w:jc w:val="both"/>
        <w:rPr>
          <w:rFonts w:hint="eastAsia" w:ascii="宋体" w:hAnsi="宋体" w:eastAsia="宋体" w:cs="宋体"/>
          <w:bCs/>
          <w:szCs w:val="24"/>
          <w:highlight w:val="none"/>
        </w:rPr>
      </w:pPr>
      <w:r>
        <w:rPr>
          <w:rFonts w:hint="eastAsia" w:ascii="宋体" w:hAnsi="宋体" w:eastAsia="宋体" w:cs="宋体"/>
          <w:bCs/>
          <w:szCs w:val="24"/>
          <w:highlight w:val="none"/>
        </w:rPr>
        <w:t>二、具体服务内容：</w:t>
      </w:r>
    </w:p>
    <w:p>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1、治安管理人员：</w:t>
      </w:r>
    </w:p>
    <w:p>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1）管理要求：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本次招标治安管理学校共23个（分别为余杭区仁和第一幼儿园、余杭区仁和第一幼儿园高新分园、余杭区仁和第二幼儿园（东塘）、余杭区仁和第二幼儿园平宅分园、余杭区仁和第二幼儿园新桥分园、余杭区仁和第三幼儿园（云会）、余杭区仁和第三幼儿园东山分园、余杭区仁和第三幼儿园双陈分园、余杭区仁和第三幼儿园木克桥分园、余杭区仁和中心小学、余杭区仁和中心小学永泰校区、余杭区仁和东风小学、余杭区东塘中心小学、余杭区东塘中心小学三白潭校区、余杭区云会中心小学章桥校区、余杭区云会中心小学双陈校区、云禾幼儿园、仁和东澜外国语学校、仁和中学、新理想高中、余杭区云会中心小学、余杭区仁和第一幼儿园东风分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1.2、本项目的所有治安管理员上岗时必须持有公安机关颁发的《保安员证》，持证上岗，统一着装，进场服务前由采购人统一审核；</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1.3、治安管理人员素质要求：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项目负责人要求：40周岁及以下，工作责任心强，身体健康，须服从采购人及相关部门的日常检查、监督和指导；身高170cm以上，退伍军衔四级军士长；上士；中士；下士的退伍军人优先。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其他人员要求：35周岁以下工作责任心强，身体健康，须服从采购人及相关部门的日常检查、监督和指导，政治素养好、品行端正、责任心强的退伍军人优先。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学校特殊区域，学校内突发事件比较多，需要具有民用无人机驾驶员证定期使用无人机巡查；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学校内人员比较密集，为确保学校内人员消防安全维稳，如遇消防安全突发状况需要具有消防总队转业的警官或军官转业的干部及大专为消防指挥专业的消防安全应急指挥的相关经验。消防应急驾驶员具有B2或A2驾照。</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1.4、日常装备要求：日常巡逻车、摩托车等。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治安人员的仪容仪表和执勤规范：所有人员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2）服务范围及工作要求：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1.5、负责协助相关政府部门对学校周边区域200米范围内的餐饮店、食杂店等安全检查工作；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1.6、负责协助相关政府部门对学校周边区域200米范围内的网吧、歌厅等文化经营场所以及各类出版物的安全检查工作；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1.7、负责协助相关政府部门加强学校周边区域安全巡逻守护；</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1.8、负责协助相关政府部门对学校周边区域200米范围内的无证流动摊点的安全管理工作；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1.9、负责协助相关政府部门做好其他治安管理类相关工作。</w:t>
      </w:r>
    </w:p>
    <w:p>
      <w:pPr>
        <w:numPr>
          <w:ilvl w:val="0"/>
          <w:numId w:val="1"/>
        </w:numPr>
        <w:adjustRightInd/>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交通管理人员：</w:t>
      </w:r>
    </w:p>
    <w:p>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1）管理要求：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本次招标交通管理学校共23个（分别为余杭区仁和第一幼儿园、余杭区仁和第一幼儿园高新分园、余杭区仁和第二幼儿园（东塘）、余杭区仁和第二幼儿园平宅分园、余杭区仁和第二幼儿园新桥分园、余杭区仁和第三幼儿园（云会）、余杭区仁和第三幼儿园东山分园、余杭区仁和第三幼儿园双陈分园、余杭区仁和第三幼儿园木克桥分园、余杭区仁和中心小学、余杭区仁和中心小学永泰校区、余杭区仁和东风小学、余杭区东塘中心小学、余杭区东塘中心小学三白潭校区、余杭区云会中心小学章桥校区、余杭区云会中心小学双陈校区、云禾幼儿园、仁和东澜外国语学校、仁和中学、新理想高中、余杭区云会中心小学、余杭区仁和第一幼儿园东风分园），每个学校不少于1名交通管理人员。</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交通管理人员素质要求：交通管理人员应当政治素质好、工作积极、热爱交通管理工作并懂交通相关法律法规，负责所指定学校区域、部位对学校进出口，学生交通进行管理。交通管理人员中本地人员应占极大多数，女性比例应控制在总治安人数的10%以内；交通管理人员进驻采购人执勤后，必须服从采购人的安排和管理，严格遵守采购人有关规章制度并接受采购人领导和员工的监督，遵纪守法、着装整洁、礼貌待客、认真负责；交通管理人员在执勤时，必须按规定着装，佩戴标志，做到文明执勤，礼貌待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交通管理人员的仪容仪表和执勤规范：所有人员应衣冠整洁，胸佩工作卡，必须配备通信联络工具（耳麦）；坚守工作岗位，提高警惕，严防犯罪分子从事破坏活动，保证学校老师、学生出行安全，发现不安全因素立即查明原因，尽快排除险情并及时向采购人汇报；认真做好各类台账记录，严格履行交接班制度。</w:t>
      </w:r>
    </w:p>
    <w:p>
      <w:pPr>
        <w:spacing w:line="600" w:lineRule="exact"/>
        <w:rPr>
          <w:rFonts w:hint="eastAsia" w:ascii="宋体" w:hAnsi="宋体" w:eastAsia="宋体" w:cs="宋体"/>
          <w:b/>
          <w:bCs/>
          <w:sz w:val="24"/>
          <w:highlight w:val="none"/>
        </w:rPr>
      </w:pPr>
      <w:r>
        <w:rPr>
          <w:rFonts w:hint="eastAsia" w:ascii="宋体" w:hAnsi="宋体" w:eastAsia="宋体" w:cs="宋体"/>
          <w:b/>
          <w:bCs/>
          <w:sz w:val="24"/>
          <w:highlight w:val="none"/>
        </w:rPr>
        <w:t xml:space="preserve">    2）服务范围及工作要求：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2.4、负责23个学校范围内的学校上下学时段或重大活动时段校园出入口的安全秩序维护；</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2.5、负责协助相关政府部门对学校周边区域部分路段的交通秩序维护；</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2.6、负责协助相关政府部门对沿街店家出店占道经营和500米范围内的机动车违法停放（做好指导学生接送车辆有序临时停放工作）、非法营运的安全管理工作；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2.7、负责协助相关政府部门每月做好校门口交通安全隐患排查；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2.8、负责协助相关政府部门做好其他交通管理类相关工作。</w:t>
      </w:r>
    </w:p>
    <w:p>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3、其他相关服务要求：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护校安园服务出现问题响应要求：服务期内中标单位的队伍自身出现了问题，如缺岗、离岗、工作人员之间出现纠纷等影响采购人及各学校声誉的所有事件，中标单位的主要负责人应立即响应，2小时内到达现场，3小时内解决问题，现场解决不了的应采取应急措施，应立即阻止事态的发展，确保无任何影响采购人的事件发生。</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服务时间为每周五天，每天不超过八个小时。若遇采购人举办相关活动需要延长服务时间的或周六日安排到校上课的，中标单位应当配合；认真履行职责，服从流动式服务的要求，勤走勤问勤反馈，不得擅自离职，因事请假，须得到批准，待安排好人员后方可离岗。</w:t>
      </w:r>
    </w:p>
    <w:p>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4、其他相关费用说明：</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4.1、如遇特殊情况，护校安园须按采购人需求进行加班，加班费在投标报价中自行考虑，中标后不作调整。</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4.2、本项目服务中使用对讲通讯、巡视等设备均由中标单位自理，服务管理中所需的物品（如低值易耗品、工具及相关设备）包含在中标价中。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5.为应对突发情况要求：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遇到突发状况，能应急调度，并持有在突发情况的时候提供使用的五座电动巡逻车不少于4辆、小型普通客车不少于4辆、普通二轮巡逻摩托不少于6辆。十五座中型普通巡逻车车辆不少于1辆、轻型多用途货车不少于1辆、无人机巡查机等，车辆需在2019年1月1日（含）之后购买；具体运用由日常管理及应急需要等具体情况进行调配，供应商需无条件配合。</w:t>
      </w:r>
    </w:p>
    <w:p>
      <w:pPr>
        <w:spacing w:line="600" w:lineRule="exact"/>
        <w:jc w:val="left"/>
        <w:outlineLvl w:val="0"/>
        <w:rPr>
          <w:rFonts w:hint="eastAsia" w:ascii="宋体" w:hAnsi="宋体" w:eastAsia="宋体" w:cs="宋体"/>
          <w:b/>
          <w:sz w:val="24"/>
          <w:highlight w:val="none"/>
        </w:rPr>
      </w:pPr>
      <w:r>
        <w:rPr>
          <w:rFonts w:hint="eastAsia" w:ascii="宋体" w:hAnsi="宋体" w:eastAsia="宋体" w:cs="宋体"/>
          <w:b/>
          <w:sz w:val="24"/>
          <w:highlight w:val="none"/>
        </w:rPr>
        <w:t>三、人员配置要求：</w:t>
      </w:r>
    </w:p>
    <w:tbl>
      <w:tblPr>
        <w:tblStyle w:val="63"/>
        <w:tblW w:w="9577"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804"/>
        <w:gridCol w:w="1523"/>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23" w:type="dxa"/>
            <w:noWrap/>
          </w:tcPr>
          <w:p>
            <w:pPr>
              <w:spacing w:line="570" w:lineRule="exact"/>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2804" w:type="dxa"/>
            <w:noWrap/>
          </w:tcPr>
          <w:p>
            <w:pPr>
              <w:spacing w:line="570" w:lineRule="exact"/>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岗位</w:t>
            </w:r>
          </w:p>
        </w:tc>
        <w:tc>
          <w:tcPr>
            <w:tcW w:w="1523" w:type="dxa"/>
            <w:noWrap/>
          </w:tcPr>
          <w:p>
            <w:pPr>
              <w:spacing w:line="570" w:lineRule="exact"/>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人员数量</w:t>
            </w:r>
          </w:p>
        </w:tc>
        <w:tc>
          <w:tcPr>
            <w:tcW w:w="4327" w:type="dxa"/>
            <w:noWrap/>
          </w:tcPr>
          <w:p>
            <w:pPr>
              <w:spacing w:line="570" w:lineRule="exact"/>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23" w:type="dxa"/>
            <w:noWrap/>
            <w:vAlign w:val="center"/>
          </w:tcPr>
          <w:p>
            <w:pPr>
              <w:spacing w:line="57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2804" w:type="dxa"/>
            <w:noWrap/>
            <w:vAlign w:val="center"/>
          </w:tcPr>
          <w:p>
            <w:pPr>
              <w:spacing w:line="570" w:lineRule="exact"/>
              <w:jc w:val="center"/>
              <w:rPr>
                <w:rFonts w:hint="eastAsia" w:ascii="宋体" w:hAnsi="宋体" w:eastAsia="宋体" w:cs="宋体"/>
                <w:kern w:val="0"/>
                <w:sz w:val="24"/>
                <w:highlight w:val="none"/>
              </w:rPr>
            </w:pPr>
            <w:r>
              <w:rPr>
                <w:rFonts w:hint="eastAsia" w:ascii="宋体" w:hAnsi="宋体" w:eastAsia="宋体" w:cs="宋体"/>
                <w:color w:val="000000"/>
                <w:sz w:val="24"/>
                <w:highlight w:val="none"/>
              </w:rPr>
              <w:t>2022—2023年度护校安园和应急管理服务全面保障辖区23所学校上下学时段、重大活动时段的校园安保以及突发事件应急处突工作的有效开展</w:t>
            </w:r>
          </w:p>
        </w:tc>
        <w:tc>
          <w:tcPr>
            <w:tcW w:w="1523" w:type="dxa"/>
            <w:noWrap/>
            <w:vAlign w:val="center"/>
          </w:tcPr>
          <w:p>
            <w:pPr>
              <w:spacing w:line="57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48岗</w:t>
            </w:r>
          </w:p>
        </w:tc>
        <w:tc>
          <w:tcPr>
            <w:tcW w:w="4327" w:type="dxa"/>
            <w:vMerge w:val="restart"/>
            <w:noWrap/>
            <w:vAlign w:val="center"/>
          </w:tcPr>
          <w:p>
            <w:pPr>
              <w:spacing w:line="570" w:lineRule="exact"/>
              <w:jc w:val="left"/>
              <w:rPr>
                <w:rFonts w:hint="eastAsia" w:ascii="宋体" w:hAnsi="宋体" w:eastAsia="宋体" w:cs="宋体"/>
                <w:b/>
                <w:bCs/>
                <w:sz w:val="24"/>
                <w:highlight w:val="none"/>
              </w:rPr>
            </w:pPr>
            <w:r>
              <w:rPr>
                <w:rFonts w:hint="eastAsia" w:ascii="宋体" w:hAnsi="宋体" w:eastAsia="宋体" w:cs="宋体"/>
                <w:sz w:val="24"/>
                <w:highlight w:val="none"/>
              </w:rPr>
              <w:t>一</w:t>
            </w:r>
            <w:r>
              <w:rPr>
                <w:rFonts w:hint="eastAsia" w:ascii="宋体" w:hAnsi="宋体" w:eastAsia="宋体" w:cs="宋体"/>
                <w:b/>
                <w:bCs/>
                <w:sz w:val="24"/>
                <w:highlight w:val="none"/>
              </w:rPr>
              <w:t>、1人8小时为1岗</w:t>
            </w:r>
          </w:p>
          <w:p>
            <w:pPr>
              <w:spacing w:line="57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rPr>
              <w:t>二、项目负责人年龄及消防应急负责人40周岁及以下退伍军人及以上军衔优先</w:t>
            </w:r>
          </w:p>
          <w:p>
            <w:pPr>
              <w:pStyle w:val="2"/>
              <w:ind w:left="0" w:firstLine="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三、其他人员要求35周岁及以下退伍军人优先</w:t>
            </w:r>
          </w:p>
          <w:p>
            <w:pPr>
              <w:pStyle w:val="26"/>
              <w:ind w:firstLine="48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727" w:type="dxa"/>
            <w:gridSpan w:val="2"/>
            <w:noWrap/>
            <w:vAlign w:val="center"/>
          </w:tcPr>
          <w:p>
            <w:pPr>
              <w:spacing w:line="57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合计</w:t>
            </w:r>
          </w:p>
        </w:tc>
        <w:tc>
          <w:tcPr>
            <w:tcW w:w="1523" w:type="dxa"/>
            <w:noWrap/>
            <w:vAlign w:val="center"/>
          </w:tcPr>
          <w:p>
            <w:pPr>
              <w:spacing w:line="57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48岗</w:t>
            </w:r>
          </w:p>
        </w:tc>
        <w:tc>
          <w:tcPr>
            <w:tcW w:w="4327" w:type="dxa"/>
            <w:vMerge w:val="continue"/>
            <w:noWrap/>
            <w:vAlign w:val="center"/>
          </w:tcPr>
          <w:p>
            <w:pPr>
              <w:spacing w:line="570" w:lineRule="exact"/>
              <w:jc w:val="left"/>
              <w:rPr>
                <w:rFonts w:hint="eastAsia" w:ascii="宋体" w:hAnsi="宋体" w:eastAsia="宋体" w:cs="宋体"/>
                <w:b/>
                <w:bCs/>
                <w:kern w:val="0"/>
                <w:sz w:val="24"/>
                <w:highlight w:val="none"/>
              </w:rPr>
            </w:pPr>
          </w:p>
        </w:tc>
      </w:tr>
    </w:tbl>
    <w:p>
      <w:pPr>
        <w:spacing w:line="600" w:lineRule="exact"/>
        <w:ind w:firstLine="241" w:firstLineChars="100"/>
        <w:rPr>
          <w:rFonts w:hint="eastAsia" w:ascii="宋体" w:hAnsi="宋体" w:eastAsia="宋体" w:cs="宋体"/>
          <w:sz w:val="24"/>
          <w:highlight w:val="none"/>
        </w:rPr>
      </w:pPr>
      <w:r>
        <w:rPr>
          <w:rFonts w:hint="eastAsia" w:ascii="宋体" w:hAnsi="宋体" w:eastAsia="宋体" w:cs="宋体"/>
          <w:b/>
          <w:bCs/>
          <w:kern w:val="0"/>
          <w:sz w:val="24"/>
          <w:highlight w:val="none"/>
        </w:rPr>
        <w:t>注：投标人拟派人员配备必须满足本表48人的最低配置数量要求，退伍军人需达到65%，</w:t>
      </w:r>
      <w:r>
        <w:rPr>
          <w:rFonts w:hint="eastAsia" w:ascii="宋体" w:hAnsi="宋体" w:eastAsia="宋体" w:cs="宋体"/>
          <w:kern w:val="0"/>
          <w:sz w:val="24"/>
          <w:highlight w:val="none"/>
        </w:rPr>
        <w:t>同时要求合同签订后七日内人员必须配备完成，并开展相关工作。</w:t>
      </w:r>
      <w:r>
        <w:rPr>
          <w:rFonts w:hint="eastAsia" w:ascii="宋体" w:hAnsi="宋体" w:eastAsia="宋体" w:cs="宋体"/>
          <w:sz w:val="24"/>
          <w:highlight w:val="none"/>
        </w:rPr>
        <w:t>人员全部到位后方可计算服务费用。未达到相关要求的，招标人有权解除合同。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负责人要求：40周岁及以下，工作责任心强，身体健康，须服从采购人及相关部门的日常检查、监督和指导；身高170cm以上，退伍军衔四级军士长；上士；中士；下士的退伍军人优先。其他人员要求：35周岁以下工作责任心强，身体健康，须服从采购人及相关部门的日常检查、监督和指导，政治素养好、品行端正、责任心强的退伍军人优先。学校特殊区域，学校内突发事件比较多，需要具有民用无人机驾驶员证定期使用无人机巡查；学校内人员比较密集，为确保学校内人员消防安全维稳，如遇消防安全突发状况需要具有消防总队转业的警官或军官转业的干部及大专为消防指挥专业的消防安全应急指挥的相关经验。消防应急驾驶员具有B2或A2驾照优先。</w:t>
      </w:r>
    </w:p>
    <w:p>
      <w:pPr>
        <w:spacing w:line="600" w:lineRule="exact"/>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2、人员上岗时佩戴统一标志，按需求穿戴统一制服（投标人自行配备，服装款式须征得招标人同意），装备佩戴规范，仪容仪表规范整齐，当值时坐姿挺直，站岗时不倚不靠、采用跨立站岗。</w:t>
      </w:r>
    </w:p>
    <w:p>
      <w:pPr>
        <w:spacing w:line="600" w:lineRule="exact"/>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3、合同执行过程中，未经采购人同意，项目经理和服务人员不得随意更换，如需更换，需提前一个月告知采购人并征得其同意后更换。</w:t>
      </w:r>
    </w:p>
    <w:p>
      <w:pPr>
        <w:spacing w:line="600" w:lineRule="exact"/>
        <w:ind w:firstLine="480" w:firstLineChars="200"/>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4、经采购人考察，中标人配置的人员不适应本项目岗位要求的，采购人有权更换不适应岗位的人员，中标人须按采购人要求及时更换。</w:t>
      </w:r>
    </w:p>
    <w:p>
      <w:pPr>
        <w:spacing w:line="600" w:lineRule="exact"/>
        <w:jc w:val="left"/>
        <w:outlineLvl w:val="0"/>
        <w:rPr>
          <w:rFonts w:hint="eastAsia" w:ascii="宋体" w:hAnsi="宋体" w:eastAsia="宋体" w:cs="宋体"/>
          <w:b/>
          <w:sz w:val="24"/>
          <w:highlight w:val="none"/>
        </w:rPr>
      </w:pPr>
      <w:bookmarkStart w:id="28" w:name="_Toc26638"/>
      <w:r>
        <w:rPr>
          <w:rFonts w:hint="eastAsia" w:ascii="宋体" w:hAnsi="宋体" w:eastAsia="宋体" w:cs="宋体"/>
          <w:b/>
          <w:sz w:val="24"/>
          <w:highlight w:val="none"/>
        </w:rPr>
        <w:t>四、装备要求：</w:t>
      </w:r>
      <w:bookmarkEnd w:id="28"/>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1、中标人完成本项目服务所需的工具、设备、服装、等装备及所有费用，均由中标人负责，且须符合相关技术规程、规范要求。</w:t>
      </w:r>
    </w:p>
    <w:p>
      <w:pPr>
        <w:spacing w:line="60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拟投入最低装备配置表具体如下：</w:t>
      </w:r>
    </w:p>
    <w:tbl>
      <w:tblPr>
        <w:tblStyle w:val="63"/>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764"/>
        <w:gridCol w:w="2067"/>
        <w:gridCol w:w="2775"/>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名称</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参数要求</w:t>
            </w:r>
          </w:p>
        </w:tc>
        <w:tc>
          <w:tcPr>
            <w:tcW w:w="2102"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9434" w:type="dxa"/>
            <w:gridSpan w:val="5"/>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日常设备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对讲机</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 1 个，不少于48个；</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含W-数字集群对讲系统；</w:t>
            </w:r>
          </w:p>
        </w:tc>
        <w:tc>
          <w:tcPr>
            <w:tcW w:w="2102" w:type="dxa"/>
            <w:vMerge w:val="restart"/>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强光手电筒</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 1 个，不少于48个；</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材质：铝合金；</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电源类型：充电式；</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电池类型：锂电池；</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是否防水：防水。</w:t>
            </w:r>
          </w:p>
        </w:tc>
        <w:tc>
          <w:tcPr>
            <w:tcW w:w="2102" w:type="dxa"/>
            <w:vMerge w:val="continue"/>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4G可视化终端</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 1 个，不少于48个；</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视音频记录仪，含管理软件；</w:t>
            </w:r>
          </w:p>
        </w:tc>
        <w:tc>
          <w:tcPr>
            <w:tcW w:w="2102" w:type="dxa"/>
            <w:vMerge w:val="continue"/>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服装装备</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 2 套装；不少于96套；</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根据采购人要求统一制作；</w:t>
            </w:r>
          </w:p>
        </w:tc>
        <w:tc>
          <w:tcPr>
            <w:tcW w:w="2102" w:type="dxa"/>
            <w:vMerge w:val="continue"/>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434" w:type="dxa"/>
            <w:gridSpan w:val="5"/>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应急调度装备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五座电动巡逻车</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不少于4辆</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总质量1.8吨及以上</w:t>
            </w:r>
          </w:p>
        </w:tc>
        <w:tc>
          <w:tcPr>
            <w:tcW w:w="2102" w:type="dxa"/>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普通二轮巡逻摩托车</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不少于6辆</w:t>
            </w:r>
          </w:p>
        </w:tc>
        <w:tc>
          <w:tcPr>
            <w:tcW w:w="2775" w:type="dxa"/>
            <w:noWrap/>
            <w:vAlign w:val="center"/>
          </w:tcPr>
          <w:p>
            <w:pPr>
              <w:spacing w:line="360" w:lineRule="auto"/>
              <w:jc w:val="center"/>
              <w:rPr>
                <w:rFonts w:hint="eastAsia" w:ascii="宋体" w:hAnsi="宋体" w:eastAsia="宋体" w:cs="宋体"/>
                <w:sz w:val="24"/>
                <w:highlight w:val="none"/>
              </w:rPr>
            </w:pPr>
          </w:p>
        </w:tc>
        <w:tc>
          <w:tcPr>
            <w:tcW w:w="2102" w:type="dxa"/>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小型普通客车</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不少于4辆</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总质量2吨及以上</w:t>
            </w:r>
          </w:p>
          <w:p>
            <w:pPr>
              <w:spacing w:line="360" w:lineRule="auto"/>
              <w:jc w:val="center"/>
              <w:rPr>
                <w:rFonts w:hint="eastAsia" w:ascii="宋体" w:hAnsi="宋体" w:eastAsia="宋体" w:cs="宋体"/>
                <w:sz w:val="24"/>
                <w:highlight w:val="none"/>
              </w:rPr>
            </w:pPr>
          </w:p>
        </w:tc>
        <w:tc>
          <w:tcPr>
            <w:tcW w:w="2102" w:type="dxa"/>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十五座中型普通巡逻车</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不少于1辆</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总质量3吨及以上</w:t>
            </w:r>
          </w:p>
          <w:p>
            <w:pPr>
              <w:spacing w:line="360" w:lineRule="auto"/>
              <w:jc w:val="center"/>
              <w:rPr>
                <w:rFonts w:hint="eastAsia" w:ascii="宋体" w:hAnsi="宋体" w:eastAsia="宋体" w:cs="宋体"/>
                <w:sz w:val="24"/>
                <w:highlight w:val="none"/>
              </w:rPr>
            </w:pPr>
          </w:p>
        </w:tc>
        <w:tc>
          <w:tcPr>
            <w:tcW w:w="2102" w:type="dxa"/>
            <w:noWrap/>
            <w:vAlign w:val="center"/>
          </w:tcPr>
          <w:p>
            <w:pPr>
              <w:spacing w:line="360" w:lineRule="auto"/>
              <w:jc w:val="center"/>
              <w:rPr>
                <w:rFonts w:hint="eastAsia" w:ascii="宋体" w:hAnsi="宋体" w:eastAsia="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jc w:val="center"/>
        </w:trPr>
        <w:tc>
          <w:tcPr>
            <w:tcW w:w="726"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764"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轻型多用途货车</w:t>
            </w:r>
          </w:p>
        </w:tc>
        <w:tc>
          <w:tcPr>
            <w:tcW w:w="2067"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不少于1辆</w:t>
            </w:r>
          </w:p>
        </w:tc>
        <w:tc>
          <w:tcPr>
            <w:tcW w:w="2775" w:type="dxa"/>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总质量2.5吨及以上</w:t>
            </w:r>
          </w:p>
        </w:tc>
        <w:tc>
          <w:tcPr>
            <w:tcW w:w="2102" w:type="dxa"/>
            <w:noWrap/>
            <w:vAlign w:val="center"/>
          </w:tcPr>
          <w:p>
            <w:pPr>
              <w:spacing w:line="360" w:lineRule="auto"/>
              <w:jc w:val="center"/>
              <w:rPr>
                <w:rFonts w:hint="eastAsia" w:ascii="宋体" w:hAnsi="宋体" w:eastAsia="宋体" w:cs="宋体"/>
                <w:sz w:val="24"/>
                <w:highlight w:val="none"/>
              </w:rPr>
            </w:pPr>
          </w:p>
        </w:tc>
      </w:tr>
    </w:tbl>
    <w:p>
      <w:pPr>
        <w:spacing w:line="600" w:lineRule="exact"/>
        <w:ind w:firstLine="482" w:firstLineChars="200"/>
        <w:jc w:val="left"/>
        <w:rPr>
          <w:rFonts w:hint="eastAsia" w:ascii="宋体" w:hAnsi="宋体" w:eastAsia="宋体" w:cs="宋体"/>
          <w:bCs/>
          <w:sz w:val="24"/>
          <w:highlight w:val="none"/>
        </w:rPr>
      </w:pPr>
      <w:r>
        <w:rPr>
          <w:rFonts w:hint="eastAsia" w:ascii="宋体" w:hAnsi="宋体" w:eastAsia="宋体" w:cs="宋体"/>
          <w:b/>
          <w:sz w:val="24"/>
          <w:highlight w:val="none"/>
        </w:rPr>
        <w:t>注：合同签订后15个工作日内配备到位。未达到相关要求的，采购人有权扣除相应考核分和服务费。</w:t>
      </w:r>
    </w:p>
    <w:p>
      <w:pPr>
        <w:spacing w:line="600" w:lineRule="exact"/>
        <w:jc w:val="left"/>
        <w:outlineLvl w:val="0"/>
        <w:rPr>
          <w:rFonts w:hint="eastAsia" w:ascii="宋体" w:hAnsi="宋体" w:eastAsia="宋体" w:cs="宋体"/>
          <w:b/>
          <w:sz w:val="24"/>
          <w:highlight w:val="none"/>
        </w:rPr>
      </w:pPr>
      <w:bookmarkStart w:id="29" w:name="_Toc24272"/>
      <w:r>
        <w:rPr>
          <w:rFonts w:hint="eastAsia" w:ascii="宋体" w:hAnsi="宋体" w:eastAsia="宋体" w:cs="宋体"/>
          <w:b/>
          <w:sz w:val="24"/>
          <w:highlight w:val="none"/>
        </w:rPr>
        <w:t>六、工作服务方式：</w:t>
      </w:r>
      <w:bookmarkEnd w:id="29"/>
    </w:p>
    <w:p>
      <w:pPr>
        <w:spacing w:line="6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1、中标人作业人员须按要求对服务区域进行不间断工作，</w:t>
      </w:r>
      <w:r>
        <w:rPr>
          <w:rFonts w:hint="eastAsia" w:ascii="宋体" w:hAnsi="宋体" w:eastAsia="宋体" w:cs="宋体"/>
          <w:sz w:val="24"/>
          <w:highlight w:val="none"/>
        </w:rPr>
        <w:t>包括</w:t>
      </w:r>
      <w:r>
        <w:rPr>
          <w:rFonts w:hint="eastAsia" w:ascii="宋体" w:hAnsi="宋体" w:eastAsia="宋体" w:cs="宋体"/>
          <w:kern w:val="0"/>
          <w:sz w:val="24"/>
          <w:highlight w:val="none"/>
          <w:shd w:val="clear" w:color="auto" w:fill="FFFFFF"/>
        </w:rPr>
        <w:t>用于加强城市综合管理、重点区域防违控违巡查、联合执法现场维护、外勤治理、维稳安保、征地拆迁攻坚、交通整治、打击垃圾偷倒、渣土管理等工作</w:t>
      </w:r>
      <w:r>
        <w:rPr>
          <w:rFonts w:hint="eastAsia" w:ascii="宋体" w:hAnsi="宋体" w:eastAsia="宋体" w:cs="宋体"/>
          <w:bCs/>
          <w:sz w:val="24"/>
          <w:highlight w:val="none"/>
        </w:rPr>
        <w:t>，应及时告知、劝阻，并第一时间向采购人反馈。</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2、中标人作业人员不具有行政处罚权，不能没收、暂扣违法行为人的物品或工具，不能以任何名义对违法行为人进行处罚，不得以任何名义收取或变相收取任何费用。</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3、中标人作业人员应坚持服务至上的理念，使用文明劝导礼貌用语，严禁粗言秽语，严禁出现威胁、辱骂、殴打行为。</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4、中标人作业人员应积极参与文明城市创建，在实施劝导服务的同时，须主动捡拾白色垃圾、烟蒂等废弃物；带头遵守城市文明公约，并积极开展便民服务活动，为群众起到良好示范作用。</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5、工作中如出现异常情形，可按规定程序向采购人及相关部门汇报，请求给予支持。</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6、中标人作业人员不得收取或变相收取摊位费或保护费，不得借工作之便谋取其它私利，不得出现各种违法、犯罪行为。</w:t>
      </w:r>
    </w:p>
    <w:p>
      <w:pPr>
        <w:spacing w:line="600" w:lineRule="exact"/>
        <w:jc w:val="left"/>
        <w:outlineLvl w:val="0"/>
        <w:rPr>
          <w:rFonts w:hint="eastAsia" w:ascii="宋体" w:hAnsi="宋体" w:eastAsia="宋体" w:cs="宋体"/>
          <w:b/>
          <w:sz w:val="24"/>
          <w:highlight w:val="none"/>
        </w:rPr>
      </w:pPr>
      <w:bookmarkStart w:id="30" w:name="_Toc20920"/>
      <w:r>
        <w:rPr>
          <w:rFonts w:hint="eastAsia" w:ascii="宋体" w:hAnsi="宋体" w:eastAsia="宋体" w:cs="宋体"/>
          <w:b/>
          <w:sz w:val="24"/>
          <w:highlight w:val="none"/>
        </w:rPr>
        <w:t>七、项目其他要求：</w:t>
      </w:r>
      <w:bookmarkEnd w:id="30"/>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1、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2、中标人用工需符合国家、省、市地方用工政策，如出现用工纠纷的由中标人承担责任，与采购人无涉。</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3、中标人应根据服务区域范围实际情况，建立服务工作机构，拟定的服务方案须经采购人审核同意后落实。</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4、若遇各类创建活动、灾害天气等特殊情况，中标人须无条件做好服务范围内的相关工作，服从采购人指挥，如有必要的须增加人员或加班加点。</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5、中标人在服务过程中需服从采购人的调配。</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6、中标人须按采购人的要求统一规范着装、统一巡查标志、统一车辆标识等，不得使用综合行政执法专用标志。</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8、中标人在合同期内不得以任何理由进行转包或分包，否则应承担违约责任。</w:t>
      </w:r>
    </w:p>
    <w:p>
      <w:pPr>
        <w:spacing w:line="600" w:lineRule="exact"/>
        <w:jc w:val="left"/>
        <w:rPr>
          <w:rFonts w:hint="eastAsia" w:ascii="宋体" w:hAnsi="宋体" w:eastAsia="宋体" w:cs="宋体"/>
          <w:bCs/>
          <w:sz w:val="24"/>
          <w:highlight w:val="none"/>
        </w:rPr>
      </w:pPr>
      <w:r>
        <w:rPr>
          <w:rFonts w:hint="eastAsia" w:ascii="宋体" w:hAnsi="宋体" w:eastAsia="宋体" w:cs="宋体"/>
          <w:b/>
          <w:sz w:val="24"/>
          <w:highlight w:val="none"/>
        </w:rPr>
        <w:t>八、服务期限：</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合同期为一年。若在合同期内乙方有不配合甲方工作等严重违约行为或连续二个季度考核不合格的，甲方有权提前终止合同，由此造成的一切后果和损失由乙方承担。  </w:t>
      </w:r>
    </w:p>
    <w:p>
      <w:pPr>
        <w:spacing w:line="600" w:lineRule="exact"/>
        <w:jc w:val="left"/>
        <w:outlineLvl w:val="0"/>
        <w:rPr>
          <w:rFonts w:hint="eastAsia" w:ascii="宋体" w:hAnsi="宋体" w:eastAsia="宋体" w:cs="宋体"/>
          <w:b/>
          <w:sz w:val="24"/>
          <w:highlight w:val="none"/>
        </w:rPr>
      </w:pPr>
      <w:bookmarkStart w:id="31" w:name="_Toc19816"/>
      <w:r>
        <w:rPr>
          <w:rFonts w:hint="eastAsia" w:ascii="宋体" w:hAnsi="宋体" w:eastAsia="宋体" w:cs="宋体"/>
          <w:b/>
          <w:sz w:val="24"/>
          <w:highlight w:val="none"/>
        </w:rPr>
        <w:t>九、履约保证金：无</w:t>
      </w:r>
      <w:bookmarkEnd w:id="31"/>
    </w:p>
    <w:p>
      <w:pPr>
        <w:spacing w:line="600" w:lineRule="exact"/>
        <w:jc w:val="left"/>
        <w:outlineLvl w:val="0"/>
        <w:rPr>
          <w:rFonts w:hint="eastAsia" w:ascii="宋体" w:hAnsi="宋体" w:eastAsia="宋体" w:cs="宋体"/>
          <w:b/>
          <w:sz w:val="24"/>
          <w:highlight w:val="none"/>
        </w:rPr>
      </w:pPr>
      <w:bookmarkStart w:id="32" w:name="_Toc3922"/>
      <w:r>
        <w:rPr>
          <w:rFonts w:hint="eastAsia" w:ascii="宋体" w:hAnsi="宋体" w:eastAsia="宋体" w:cs="宋体"/>
          <w:b/>
          <w:sz w:val="24"/>
          <w:highlight w:val="none"/>
        </w:rPr>
        <w:t>十、投标报价：</w:t>
      </w:r>
      <w:bookmarkEnd w:id="32"/>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投标价格为本项目所需的所有费用，包含人工费【包括人员基本工资、各类福利和补贴（如高温补贴、加班补贴等）、社保（五金）、各种保险】，服装费、耗材费、完成本项目辅助管理服务所需的工具、设备、管理费及合理利润，税金、招标代理费等需要完成本项目服务有关的所有费用。</w:t>
      </w:r>
    </w:p>
    <w:p>
      <w:pPr>
        <w:spacing w:line="600" w:lineRule="exact"/>
        <w:jc w:val="left"/>
        <w:outlineLvl w:val="0"/>
        <w:rPr>
          <w:rFonts w:hint="eastAsia" w:ascii="宋体" w:hAnsi="宋体" w:eastAsia="宋体" w:cs="宋体"/>
          <w:b/>
          <w:sz w:val="24"/>
          <w:highlight w:val="none"/>
        </w:rPr>
      </w:pPr>
      <w:bookmarkStart w:id="33" w:name="_Toc21521"/>
      <w:r>
        <w:rPr>
          <w:rFonts w:hint="eastAsia" w:ascii="宋体" w:hAnsi="宋体" w:eastAsia="宋体" w:cs="宋体"/>
          <w:b/>
          <w:sz w:val="24"/>
          <w:highlight w:val="none"/>
        </w:rPr>
        <w:t>十一、付款方式：</w:t>
      </w:r>
      <w:bookmarkEnd w:id="33"/>
    </w:p>
    <w:p>
      <w:pPr>
        <w:pStyle w:val="967"/>
        <w:spacing w:line="600" w:lineRule="exact"/>
        <w:ind w:firstLine="480"/>
        <w:rPr>
          <w:rFonts w:hint="eastAsia" w:ascii="宋体" w:hAnsi="宋体" w:eastAsia="宋体" w:cs="宋体"/>
          <w:bCs/>
          <w:szCs w:val="24"/>
          <w:highlight w:val="none"/>
        </w:rPr>
      </w:pPr>
      <w:r>
        <w:rPr>
          <w:rFonts w:hint="eastAsia" w:ascii="宋体" w:hAnsi="宋体" w:eastAsia="宋体" w:cs="宋体"/>
          <w:bCs/>
          <w:szCs w:val="24"/>
          <w:highlight w:val="none"/>
        </w:rPr>
        <w:t>本项目预付款不少于本年度服务费的20%，服务费按每2个自然月为一个周期结算一次，根据考核结果支付上一周期费用，乙方于3个工作日内开具符合甲方要求的服务的发票至甲方，甲方在乙方提供发票后的次月15个工作日向乙方支付费用（遇国家法定节假日顺延）。</w:t>
      </w:r>
    </w:p>
    <w:p>
      <w:pPr>
        <w:spacing w:line="600" w:lineRule="exact"/>
        <w:jc w:val="left"/>
        <w:outlineLvl w:val="0"/>
        <w:rPr>
          <w:rFonts w:hint="eastAsia" w:ascii="宋体" w:hAnsi="宋体" w:eastAsia="宋体" w:cs="宋体"/>
          <w:b/>
          <w:sz w:val="24"/>
          <w:highlight w:val="none"/>
        </w:rPr>
      </w:pPr>
      <w:bookmarkStart w:id="34" w:name="_Toc10766"/>
      <w:r>
        <w:rPr>
          <w:rFonts w:hint="eastAsia" w:ascii="宋体" w:hAnsi="宋体" w:eastAsia="宋体" w:cs="宋体"/>
          <w:b/>
          <w:sz w:val="24"/>
          <w:highlight w:val="none"/>
        </w:rPr>
        <w:t>十二、考核及处罚措施：</w:t>
      </w:r>
      <w:bookmarkEnd w:id="34"/>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1、考核内容：主要对其管理措施、安全管理、秩序管理等内容进行考核，其中包括日常管理、遵规守纪、岗位纪律、安全检查、巡更情况汇报、突发事件上报及时性等。</w:t>
      </w:r>
    </w:p>
    <w:p>
      <w:pPr>
        <w:spacing w:line="6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2、考核评定</w:t>
      </w:r>
    </w:p>
    <w:p>
      <w:pPr>
        <w:snapToGrid w:val="0"/>
        <w:spacing w:line="600" w:lineRule="exact"/>
        <w:ind w:firstLine="472" w:firstLineChars="196"/>
        <w:jc w:val="center"/>
        <w:outlineLvl w:val="1"/>
        <w:rPr>
          <w:rFonts w:hint="eastAsia" w:ascii="宋体" w:hAnsi="宋体" w:eastAsia="宋体" w:cs="宋体"/>
          <w:b/>
          <w:bCs/>
          <w:sz w:val="24"/>
          <w:highlight w:val="none"/>
        </w:rPr>
      </w:pPr>
      <w:r>
        <w:rPr>
          <w:rFonts w:hint="eastAsia" w:ascii="宋体" w:hAnsi="宋体" w:eastAsia="宋体" w:cs="宋体"/>
          <w:b/>
          <w:bCs/>
          <w:sz w:val="24"/>
          <w:highlight w:val="none"/>
        </w:rPr>
        <w:t>巡逻安保人员日常管理督查考核细则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扣分内容</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上班迟到、早退、擅自离岗。</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旷工。</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无故不参加会议、集中学习。</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上班期间着装不规范、不整洁。</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在管理区域、路段聚众聊天、看手机、或进入店家做与工作无关的事。</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违反请销假制度。</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将警用装备借于他人使用</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p>
            <w:pPr>
              <w:spacing w:line="360" w:lineRule="auto"/>
              <w:jc w:val="center"/>
              <w:rPr>
                <w:rFonts w:hint="eastAsia" w:ascii="宋体" w:hAnsi="宋体" w:eastAsia="宋体" w:cs="宋体"/>
                <w:sz w:val="24"/>
                <w:highlight w:val="none"/>
              </w:rPr>
            </w:pP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不服从正常的工作调动</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队员对自己巡逻、管理区域、路段不熟悉，不了解消火栓地点并不能熟练使用消防器材</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遇险情未及时上报，未采取措施制止灾害扩大</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在巡逻过程中，遇有正在实施的不法侵害行为时，未迅速制止和报警</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12</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受到国家法律及治安条例处罚</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对中队督查人员指出的问题不立即进行整改或还顶撞。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14</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对中队领导及街道领导发现、指出的问题，不立即进行整改或还顶撞。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431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备注</w:t>
            </w:r>
          </w:p>
        </w:tc>
        <w:tc>
          <w:tcPr>
            <w:tcW w:w="8048"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此督查考核仅限于招标单位对中标单位提供的服务外包人员根据服务外包管理内容履职进行考核，根据考核扣分情况进行每月汇总。 </w:t>
            </w:r>
          </w:p>
        </w:tc>
      </w:tr>
    </w:tbl>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甲方：           检查人员签字：               部室负责人签字：              </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           管理人员签字：               领导签字：</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备注：每月抽查一次，根据检查情况进行扣分；</w:t>
      </w:r>
    </w:p>
    <w:p>
      <w:pPr>
        <w:numPr>
          <w:ilvl w:val="0"/>
          <w:numId w:val="2"/>
        </w:num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若分值＜80分，扣除该项目当月服务费用的10%；</w:t>
      </w:r>
    </w:p>
    <w:p>
      <w:pPr>
        <w:numPr>
          <w:ilvl w:val="0"/>
          <w:numId w:val="2"/>
        </w:numPr>
        <w:snapToGrid w:val="0"/>
        <w:spacing w:line="6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若分值＜80分，可无条件解除本合同；</w:t>
      </w:r>
    </w:p>
    <w:p>
      <w:pPr>
        <w:snapToGrid w:val="0"/>
        <w:spacing w:line="6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C、若80分≤考核得分＜85分，按扣分值（300元/分）在本月服务费中扣除；</w:t>
      </w:r>
    </w:p>
    <w:p>
      <w:pPr>
        <w:spacing w:line="600" w:lineRule="exact"/>
        <w:ind w:firstLine="480" w:firstLineChars="200"/>
        <w:jc w:val="left"/>
        <w:outlineLvl w:val="0"/>
        <w:rPr>
          <w:rFonts w:hint="eastAsia" w:ascii="宋体" w:hAnsi="宋体" w:eastAsia="宋体" w:cs="宋体"/>
          <w:b/>
          <w:sz w:val="36"/>
          <w:szCs w:val="36"/>
          <w:highlight w:val="none"/>
        </w:rPr>
        <w:sectPr>
          <w:headerReference r:id="rId8" w:type="default"/>
          <w:footerReference r:id="rId9" w:type="default"/>
          <w:pgSz w:w="11907" w:h="16840"/>
          <w:pgMar w:top="1531" w:right="1304" w:bottom="1531" w:left="1361" w:header="851" w:footer="851" w:gutter="0"/>
          <w:cols w:space="720" w:num="1"/>
        </w:sectPr>
      </w:pPr>
      <w:r>
        <w:rPr>
          <w:rFonts w:hint="eastAsia" w:ascii="宋体" w:hAnsi="宋体" w:eastAsia="宋体" w:cs="宋体"/>
          <w:sz w:val="24"/>
          <w:highlight w:val="none"/>
        </w:rPr>
        <w:t>D、考核得分≥85分，甲方支付合同约定服务费用的100%；</w:t>
      </w:r>
    </w:p>
    <w:p>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第四部分   </w:t>
      </w:r>
      <w:bookmarkStart w:id="35" w:name="_Toc184314422"/>
      <w:bookmarkEnd w:id="35"/>
      <w:bookmarkStart w:id="36" w:name="_Toc184312103"/>
      <w:bookmarkEnd w:id="36"/>
      <w:bookmarkStart w:id="37" w:name="_Toc184308098"/>
      <w:bookmarkEnd w:id="37"/>
      <w:bookmarkStart w:id="38" w:name="_Toc184314480"/>
      <w:bookmarkEnd w:id="38"/>
      <w:bookmarkStart w:id="39" w:name="_Toc184314471"/>
      <w:bookmarkEnd w:id="39"/>
      <w:bookmarkStart w:id="40" w:name="_Toc184310326"/>
      <w:bookmarkEnd w:id="40"/>
      <w:bookmarkStart w:id="41" w:name="_Toc184308086"/>
      <w:bookmarkEnd w:id="41"/>
      <w:bookmarkStart w:id="42" w:name="_Toc184308094"/>
      <w:bookmarkEnd w:id="42"/>
      <w:bookmarkStart w:id="43" w:name="_Toc184310274"/>
      <w:bookmarkEnd w:id="43"/>
      <w:bookmarkStart w:id="44" w:name="_Toc184313238"/>
      <w:bookmarkEnd w:id="44"/>
      <w:bookmarkStart w:id="45" w:name="_Toc184314467"/>
      <w:bookmarkEnd w:id="45"/>
      <w:bookmarkStart w:id="46" w:name="_Toc184313269"/>
      <w:bookmarkEnd w:id="46"/>
      <w:bookmarkStart w:id="47" w:name="_Toc184310337"/>
      <w:bookmarkEnd w:id="47"/>
      <w:bookmarkStart w:id="48" w:name="_Toc184308042"/>
      <w:bookmarkEnd w:id="48"/>
      <w:bookmarkStart w:id="49" w:name="_Toc184313265"/>
      <w:bookmarkEnd w:id="49"/>
      <w:bookmarkStart w:id="50" w:name="_Toc184308083"/>
      <w:bookmarkEnd w:id="50"/>
      <w:bookmarkStart w:id="51" w:name="_Toc184314479"/>
      <w:bookmarkEnd w:id="51"/>
      <w:bookmarkStart w:id="52" w:name="_Toc184308092"/>
      <w:bookmarkEnd w:id="52"/>
      <w:bookmarkStart w:id="53" w:name="_Toc184308043"/>
      <w:bookmarkEnd w:id="53"/>
      <w:bookmarkStart w:id="54" w:name="_Toc184312087"/>
      <w:bookmarkEnd w:id="54"/>
      <w:bookmarkStart w:id="55" w:name="_Toc184314439"/>
      <w:bookmarkEnd w:id="55"/>
      <w:bookmarkStart w:id="56" w:name="_Toc184314459"/>
      <w:bookmarkEnd w:id="56"/>
      <w:bookmarkStart w:id="57" w:name="_Toc184313290"/>
      <w:bookmarkEnd w:id="57"/>
      <w:bookmarkStart w:id="58" w:name="_Toc184312096"/>
      <w:bookmarkEnd w:id="58"/>
      <w:bookmarkStart w:id="59" w:name="_Toc184310301"/>
      <w:bookmarkEnd w:id="59"/>
      <w:bookmarkStart w:id="60" w:name="_Toc184308069"/>
      <w:bookmarkEnd w:id="60"/>
      <w:bookmarkStart w:id="61" w:name="_Toc184314464"/>
      <w:bookmarkEnd w:id="61"/>
      <w:bookmarkStart w:id="62" w:name="_Toc184312072"/>
      <w:bookmarkEnd w:id="62"/>
      <w:bookmarkStart w:id="63" w:name="_Toc184312099"/>
      <w:bookmarkEnd w:id="63"/>
      <w:bookmarkStart w:id="64" w:name="_Toc184313297"/>
      <w:bookmarkEnd w:id="64"/>
      <w:bookmarkStart w:id="65" w:name="_Toc184312067"/>
      <w:bookmarkEnd w:id="65"/>
      <w:bookmarkStart w:id="66" w:name="_Toc184312098"/>
      <w:bookmarkEnd w:id="66"/>
      <w:bookmarkStart w:id="67" w:name="_Toc184314417"/>
      <w:bookmarkEnd w:id="67"/>
      <w:bookmarkStart w:id="68" w:name="_Toc184314431"/>
      <w:bookmarkEnd w:id="68"/>
      <w:bookmarkStart w:id="69" w:name="_Toc184312105"/>
      <w:bookmarkEnd w:id="69"/>
      <w:bookmarkStart w:id="70" w:name="_Toc184310288"/>
      <w:bookmarkEnd w:id="70"/>
      <w:bookmarkStart w:id="71" w:name="_Toc184313266"/>
      <w:bookmarkEnd w:id="71"/>
      <w:bookmarkStart w:id="72" w:name="_Toc184312101"/>
      <w:bookmarkEnd w:id="72"/>
      <w:bookmarkStart w:id="73" w:name="_Toc184314411"/>
      <w:bookmarkEnd w:id="73"/>
      <w:bookmarkStart w:id="74" w:name="_Toc184314430"/>
      <w:bookmarkEnd w:id="74"/>
      <w:bookmarkStart w:id="75" w:name="_Toc184310300"/>
      <w:bookmarkEnd w:id="75"/>
      <w:bookmarkStart w:id="76" w:name="_Toc184308059"/>
      <w:bookmarkEnd w:id="76"/>
      <w:bookmarkStart w:id="77" w:name="_Toc184313296"/>
      <w:bookmarkEnd w:id="77"/>
      <w:bookmarkStart w:id="78" w:name="_Toc184314413"/>
      <w:bookmarkEnd w:id="78"/>
      <w:bookmarkStart w:id="79" w:name="_Toc184310297"/>
      <w:bookmarkEnd w:id="79"/>
      <w:bookmarkStart w:id="80" w:name="_Toc184310287"/>
      <w:bookmarkEnd w:id="80"/>
      <w:bookmarkStart w:id="81" w:name="_Toc184310327"/>
      <w:bookmarkEnd w:id="81"/>
      <w:bookmarkStart w:id="82" w:name="_Toc184313298"/>
      <w:bookmarkEnd w:id="82"/>
      <w:bookmarkStart w:id="83" w:name="_Toc184313280"/>
      <w:bookmarkEnd w:id="83"/>
      <w:bookmarkStart w:id="84" w:name="_Toc184310278"/>
      <w:bookmarkEnd w:id="84"/>
      <w:bookmarkStart w:id="85" w:name="_Toc184312127"/>
      <w:bookmarkEnd w:id="85"/>
      <w:bookmarkStart w:id="86" w:name="_Toc184312120"/>
      <w:bookmarkEnd w:id="86"/>
      <w:bookmarkStart w:id="87" w:name="_Toc184314429"/>
      <w:bookmarkEnd w:id="87"/>
      <w:bookmarkStart w:id="88" w:name="_Toc184314448"/>
      <w:bookmarkEnd w:id="88"/>
      <w:bookmarkStart w:id="89" w:name="_Toc184313255"/>
      <w:bookmarkEnd w:id="89"/>
      <w:bookmarkStart w:id="90" w:name="_Toc184310343"/>
      <w:bookmarkEnd w:id="90"/>
      <w:bookmarkStart w:id="91" w:name="_Toc184312126"/>
      <w:bookmarkEnd w:id="91"/>
      <w:bookmarkStart w:id="92" w:name="_Toc184308102"/>
      <w:bookmarkEnd w:id="92"/>
      <w:bookmarkStart w:id="93" w:name="_Toc184313262"/>
      <w:bookmarkEnd w:id="93"/>
      <w:bookmarkStart w:id="94" w:name="_Toc184314462"/>
      <w:bookmarkEnd w:id="94"/>
      <w:bookmarkStart w:id="95" w:name="_Toc184308052"/>
      <w:bookmarkEnd w:id="95"/>
      <w:bookmarkStart w:id="96" w:name="_Toc184308044"/>
      <w:bookmarkEnd w:id="96"/>
      <w:bookmarkStart w:id="97" w:name="_Toc184313286"/>
      <w:bookmarkEnd w:id="97"/>
      <w:bookmarkStart w:id="98" w:name="_Toc184312117"/>
      <w:bookmarkEnd w:id="98"/>
      <w:bookmarkStart w:id="99" w:name="_Toc184310310"/>
      <w:bookmarkEnd w:id="99"/>
      <w:bookmarkStart w:id="100" w:name="_Toc184310324"/>
      <w:bookmarkEnd w:id="100"/>
      <w:bookmarkStart w:id="101" w:name="_Toc184314477"/>
      <w:bookmarkEnd w:id="101"/>
      <w:bookmarkStart w:id="102" w:name="_Toc184310321"/>
      <w:bookmarkEnd w:id="102"/>
      <w:bookmarkStart w:id="103" w:name="_Toc184312100"/>
      <w:bookmarkEnd w:id="103"/>
      <w:bookmarkStart w:id="104" w:name="_Toc184310273"/>
      <w:bookmarkEnd w:id="104"/>
      <w:bookmarkStart w:id="105" w:name="_Toc184310304"/>
      <w:bookmarkEnd w:id="105"/>
      <w:bookmarkStart w:id="106" w:name="_Toc184313272"/>
      <w:bookmarkEnd w:id="106"/>
      <w:bookmarkStart w:id="107" w:name="_Toc184313248"/>
      <w:bookmarkEnd w:id="107"/>
      <w:bookmarkStart w:id="108" w:name="_Toc184308062"/>
      <w:bookmarkEnd w:id="108"/>
      <w:bookmarkStart w:id="109" w:name="_Toc184313268"/>
      <w:bookmarkEnd w:id="109"/>
      <w:bookmarkStart w:id="110" w:name="_Toc184313283"/>
      <w:bookmarkEnd w:id="110"/>
      <w:bookmarkStart w:id="111" w:name="_Toc184314440"/>
      <w:bookmarkEnd w:id="111"/>
      <w:bookmarkStart w:id="112" w:name="_Toc184313271"/>
      <w:bookmarkEnd w:id="112"/>
      <w:bookmarkStart w:id="113" w:name="_Toc184310338"/>
      <w:bookmarkEnd w:id="113"/>
      <w:bookmarkStart w:id="114" w:name="_Toc184308047"/>
      <w:bookmarkEnd w:id="114"/>
      <w:bookmarkStart w:id="115" w:name="_Toc184310342"/>
      <w:bookmarkEnd w:id="115"/>
      <w:bookmarkStart w:id="116" w:name="_Toc184313245"/>
      <w:bookmarkEnd w:id="116"/>
      <w:bookmarkStart w:id="117" w:name="_Toc184314458"/>
      <w:bookmarkEnd w:id="117"/>
      <w:bookmarkStart w:id="118" w:name="_Toc184313252"/>
      <w:bookmarkEnd w:id="118"/>
      <w:bookmarkStart w:id="119" w:name="_Toc184314416"/>
      <w:bookmarkEnd w:id="119"/>
      <w:bookmarkStart w:id="120" w:name="_Toc184312088"/>
      <w:bookmarkEnd w:id="120"/>
      <w:bookmarkStart w:id="121" w:name="_Toc184313243"/>
      <w:bookmarkEnd w:id="121"/>
      <w:bookmarkStart w:id="122" w:name="_Toc184308045"/>
      <w:bookmarkEnd w:id="122"/>
      <w:bookmarkStart w:id="123" w:name="_Toc184313250"/>
      <w:bookmarkEnd w:id="123"/>
      <w:bookmarkStart w:id="124" w:name="_Toc184313239"/>
      <w:bookmarkEnd w:id="124"/>
      <w:bookmarkStart w:id="125" w:name="_Toc184313260"/>
      <w:bookmarkEnd w:id="125"/>
      <w:bookmarkStart w:id="126" w:name="_Toc184310306"/>
      <w:bookmarkEnd w:id="126"/>
      <w:bookmarkStart w:id="127" w:name="_Toc184312081"/>
      <w:bookmarkEnd w:id="127"/>
      <w:bookmarkStart w:id="128" w:name="_Toc184310325"/>
      <w:bookmarkEnd w:id="128"/>
      <w:bookmarkStart w:id="129" w:name="_Toc184308088"/>
      <w:bookmarkEnd w:id="129"/>
      <w:bookmarkStart w:id="130" w:name="_Toc184313287"/>
      <w:bookmarkEnd w:id="130"/>
      <w:bookmarkStart w:id="131" w:name="_Toc184313241"/>
      <w:bookmarkEnd w:id="131"/>
      <w:bookmarkStart w:id="132" w:name="_Toc184313258"/>
      <w:bookmarkEnd w:id="132"/>
      <w:bookmarkStart w:id="133" w:name="_Toc184313284"/>
      <w:bookmarkEnd w:id="133"/>
      <w:bookmarkStart w:id="134" w:name="_Toc184312077"/>
      <w:bookmarkEnd w:id="134"/>
      <w:bookmarkStart w:id="135" w:name="_Toc184312085"/>
      <w:bookmarkEnd w:id="135"/>
      <w:bookmarkStart w:id="136" w:name="_Toc184310298"/>
      <w:bookmarkEnd w:id="136"/>
      <w:bookmarkStart w:id="137" w:name="_Toc184314476"/>
      <w:bookmarkEnd w:id="137"/>
      <w:bookmarkStart w:id="138" w:name="_Toc184310286"/>
      <w:bookmarkEnd w:id="138"/>
      <w:bookmarkStart w:id="139" w:name="_Toc184308093"/>
      <w:bookmarkEnd w:id="139"/>
      <w:bookmarkStart w:id="140" w:name="_Toc184310294"/>
      <w:bookmarkEnd w:id="140"/>
      <w:bookmarkStart w:id="141" w:name="_Toc184313259"/>
      <w:bookmarkEnd w:id="141"/>
      <w:bookmarkStart w:id="142" w:name="_Toc184310333"/>
      <w:bookmarkEnd w:id="142"/>
      <w:bookmarkStart w:id="143" w:name="_Toc184314474"/>
      <w:bookmarkEnd w:id="143"/>
      <w:bookmarkStart w:id="144" w:name="_Toc184308048"/>
      <w:bookmarkEnd w:id="144"/>
      <w:bookmarkStart w:id="145" w:name="_Toc184308096"/>
      <w:bookmarkEnd w:id="145"/>
      <w:bookmarkStart w:id="146" w:name="_Toc184310335"/>
      <w:bookmarkEnd w:id="146"/>
      <w:bookmarkStart w:id="147" w:name="_Toc184314426"/>
      <w:bookmarkEnd w:id="147"/>
      <w:bookmarkStart w:id="148" w:name="_Toc184308060"/>
      <w:bookmarkEnd w:id="148"/>
      <w:bookmarkStart w:id="149" w:name="_Toc184310305"/>
      <w:bookmarkEnd w:id="149"/>
      <w:bookmarkStart w:id="150" w:name="_Toc184313257"/>
      <w:bookmarkEnd w:id="150"/>
      <w:bookmarkStart w:id="151" w:name="_Toc184314412"/>
      <w:bookmarkEnd w:id="151"/>
      <w:bookmarkStart w:id="152" w:name="_Toc184312071"/>
      <w:bookmarkEnd w:id="152"/>
      <w:bookmarkStart w:id="153" w:name="_Toc184312112"/>
      <w:bookmarkEnd w:id="153"/>
      <w:bookmarkStart w:id="154" w:name="_Toc184313308"/>
      <w:bookmarkEnd w:id="154"/>
      <w:bookmarkStart w:id="155" w:name="_Toc184312113"/>
      <w:bookmarkEnd w:id="155"/>
      <w:bookmarkStart w:id="156" w:name="_Toc184313275"/>
      <w:bookmarkEnd w:id="156"/>
      <w:bookmarkStart w:id="157" w:name="_Toc184313301"/>
      <w:bookmarkEnd w:id="157"/>
      <w:bookmarkStart w:id="158" w:name="_Toc184310292"/>
      <w:bookmarkEnd w:id="158"/>
      <w:bookmarkStart w:id="159" w:name="_Toc184312073"/>
      <w:bookmarkEnd w:id="159"/>
      <w:bookmarkStart w:id="160" w:name="_Toc184312131"/>
      <w:bookmarkEnd w:id="160"/>
      <w:bookmarkStart w:id="161" w:name="_Toc184314425"/>
      <w:bookmarkEnd w:id="161"/>
      <w:bookmarkStart w:id="162" w:name="_Toc184310281"/>
      <w:bookmarkEnd w:id="162"/>
      <w:bookmarkStart w:id="163" w:name="_Toc184308063"/>
      <w:bookmarkEnd w:id="163"/>
      <w:bookmarkStart w:id="164" w:name="_Toc184308046"/>
      <w:bookmarkEnd w:id="164"/>
      <w:bookmarkStart w:id="165" w:name="_Toc184312083"/>
      <w:bookmarkEnd w:id="165"/>
      <w:bookmarkStart w:id="166" w:name="_Toc184310320"/>
      <w:bookmarkEnd w:id="166"/>
      <w:bookmarkStart w:id="167" w:name="_Toc184310317"/>
      <w:bookmarkEnd w:id="167"/>
      <w:bookmarkStart w:id="168" w:name="_Toc184312068"/>
      <w:bookmarkEnd w:id="168"/>
      <w:bookmarkStart w:id="169" w:name="_Toc184308105"/>
      <w:bookmarkEnd w:id="169"/>
      <w:bookmarkStart w:id="170" w:name="_Toc184314452"/>
      <w:bookmarkEnd w:id="170"/>
      <w:bookmarkStart w:id="171" w:name="_Toc184312116"/>
      <w:bookmarkEnd w:id="171"/>
      <w:bookmarkStart w:id="172" w:name="_Toc184310332"/>
      <w:bookmarkEnd w:id="172"/>
      <w:bookmarkStart w:id="173" w:name="_Toc184308049"/>
      <w:bookmarkEnd w:id="173"/>
      <w:bookmarkStart w:id="174" w:name="_Toc184314432"/>
      <w:bookmarkEnd w:id="174"/>
      <w:bookmarkStart w:id="175" w:name="_Toc184312124"/>
      <w:bookmarkEnd w:id="175"/>
      <w:bookmarkStart w:id="176" w:name="_Toc184312070"/>
      <w:bookmarkEnd w:id="176"/>
      <w:bookmarkStart w:id="177" w:name="_Toc184313288"/>
      <w:bookmarkEnd w:id="177"/>
      <w:bookmarkStart w:id="178" w:name="_Toc184313277"/>
      <w:bookmarkEnd w:id="178"/>
      <w:bookmarkStart w:id="179" w:name="_Toc184314415"/>
      <w:bookmarkEnd w:id="179"/>
      <w:bookmarkStart w:id="180" w:name="_Toc184313249"/>
      <w:bookmarkEnd w:id="180"/>
      <w:bookmarkStart w:id="181" w:name="_Toc184310293"/>
      <w:bookmarkEnd w:id="181"/>
      <w:bookmarkStart w:id="182" w:name="_Toc184310282"/>
      <w:bookmarkEnd w:id="182"/>
      <w:bookmarkStart w:id="183" w:name="_Toc184314451"/>
      <w:bookmarkEnd w:id="183"/>
      <w:bookmarkStart w:id="184" w:name="_Toc184313305"/>
      <w:bookmarkEnd w:id="184"/>
      <w:bookmarkStart w:id="185" w:name="_Toc184313293"/>
      <w:bookmarkEnd w:id="185"/>
      <w:bookmarkStart w:id="186" w:name="_Toc184308087"/>
      <w:bookmarkEnd w:id="186"/>
      <w:bookmarkStart w:id="187" w:name="_Toc184312095"/>
      <w:bookmarkEnd w:id="187"/>
      <w:bookmarkStart w:id="188" w:name="_Toc184308051"/>
      <w:bookmarkEnd w:id="188"/>
      <w:bookmarkStart w:id="189" w:name="_Toc184308061"/>
      <w:bookmarkEnd w:id="189"/>
      <w:bookmarkStart w:id="190" w:name="_Toc184313267"/>
      <w:bookmarkEnd w:id="190"/>
      <w:bookmarkStart w:id="191" w:name="_Toc184313274"/>
      <w:bookmarkEnd w:id="191"/>
      <w:bookmarkStart w:id="192" w:name="_Toc184312080"/>
      <w:bookmarkEnd w:id="192"/>
      <w:bookmarkStart w:id="193" w:name="_Toc184313270"/>
      <w:bookmarkEnd w:id="193"/>
      <w:bookmarkStart w:id="194" w:name="_Toc184312123"/>
      <w:bookmarkEnd w:id="194"/>
      <w:bookmarkStart w:id="195" w:name="_Toc184314473"/>
      <w:bookmarkEnd w:id="195"/>
      <w:bookmarkStart w:id="196" w:name="_Toc184308091"/>
      <w:bookmarkEnd w:id="196"/>
      <w:bookmarkStart w:id="197" w:name="_Toc184310336"/>
      <w:bookmarkEnd w:id="197"/>
      <w:bookmarkStart w:id="198" w:name="_Toc184310311"/>
      <w:bookmarkEnd w:id="198"/>
      <w:bookmarkStart w:id="199" w:name="_Toc184312110"/>
      <w:bookmarkEnd w:id="199"/>
      <w:bookmarkStart w:id="200" w:name="_Toc184310329"/>
      <w:bookmarkEnd w:id="200"/>
      <w:bookmarkStart w:id="201" w:name="_Toc184314457"/>
      <w:bookmarkEnd w:id="201"/>
      <w:bookmarkStart w:id="202" w:name="_Toc184312129"/>
      <w:bookmarkEnd w:id="202"/>
      <w:bookmarkStart w:id="203" w:name="_Toc184310296"/>
      <w:bookmarkEnd w:id="203"/>
      <w:bookmarkStart w:id="204" w:name="_Toc184310275"/>
      <w:bookmarkEnd w:id="204"/>
      <w:bookmarkStart w:id="205" w:name="_Toc184312130"/>
      <w:bookmarkEnd w:id="205"/>
      <w:bookmarkStart w:id="206" w:name="_Toc184313289"/>
      <w:bookmarkEnd w:id="206"/>
      <w:bookmarkStart w:id="207" w:name="_Toc184310280"/>
      <w:bookmarkEnd w:id="207"/>
      <w:bookmarkStart w:id="208" w:name="_Toc184308095"/>
      <w:bookmarkEnd w:id="208"/>
      <w:bookmarkStart w:id="209" w:name="_Toc184314481"/>
      <w:bookmarkEnd w:id="209"/>
      <w:bookmarkStart w:id="210" w:name="_Toc184312089"/>
      <w:bookmarkEnd w:id="210"/>
      <w:bookmarkStart w:id="211" w:name="_Toc184313294"/>
      <w:bookmarkEnd w:id="211"/>
      <w:bookmarkStart w:id="212" w:name="_Toc184313251"/>
      <w:bookmarkEnd w:id="212"/>
      <w:bookmarkStart w:id="213" w:name="_Toc184312134"/>
      <w:bookmarkEnd w:id="213"/>
      <w:bookmarkStart w:id="214" w:name="_Toc184310307"/>
      <w:bookmarkEnd w:id="214"/>
      <w:bookmarkStart w:id="215" w:name="_Toc184313306"/>
      <w:bookmarkEnd w:id="215"/>
      <w:bookmarkStart w:id="216" w:name="_Toc184314454"/>
      <w:bookmarkEnd w:id="216"/>
      <w:bookmarkStart w:id="217" w:name="_Toc184314478"/>
      <w:bookmarkEnd w:id="217"/>
      <w:bookmarkStart w:id="218" w:name="_Toc184314461"/>
      <w:bookmarkEnd w:id="218"/>
      <w:bookmarkStart w:id="219" w:name="_Toc184308079"/>
      <w:bookmarkEnd w:id="219"/>
      <w:bookmarkStart w:id="220" w:name="_Toc184310318"/>
      <w:bookmarkEnd w:id="220"/>
      <w:bookmarkStart w:id="221" w:name="_Toc184312086"/>
      <w:bookmarkEnd w:id="221"/>
      <w:bookmarkStart w:id="222" w:name="_Toc184314446"/>
      <w:bookmarkEnd w:id="222"/>
      <w:bookmarkStart w:id="223" w:name="_Toc184314421"/>
      <w:bookmarkEnd w:id="223"/>
      <w:bookmarkStart w:id="224" w:name="_Toc184312075"/>
      <w:bookmarkEnd w:id="224"/>
      <w:bookmarkStart w:id="225" w:name="_Toc184312136"/>
      <w:bookmarkEnd w:id="225"/>
      <w:bookmarkStart w:id="226" w:name="_Toc184312108"/>
      <w:bookmarkEnd w:id="226"/>
      <w:bookmarkStart w:id="227" w:name="_Toc184314437"/>
      <w:bookmarkEnd w:id="227"/>
      <w:bookmarkStart w:id="228" w:name="_Toc184312115"/>
      <w:bookmarkEnd w:id="228"/>
      <w:bookmarkStart w:id="229" w:name="_Toc184314453"/>
      <w:bookmarkEnd w:id="229"/>
      <w:bookmarkStart w:id="230" w:name="_Toc184313276"/>
      <w:bookmarkEnd w:id="230"/>
      <w:bookmarkStart w:id="231" w:name="_Toc184314450"/>
      <w:bookmarkEnd w:id="231"/>
      <w:bookmarkStart w:id="232" w:name="_Toc184312114"/>
      <w:bookmarkEnd w:id="232"/>
      <w:bookmarkStart w:id="233" w:name="_Toc184312132"/>
      <w:bookmarkEnd w:id="233"/>
      <w:bookmarkStart w:id="234" w:name="_Toc184314418"/>
      <w:bookmarkEnd w:id="234"/>
      <w:bookmarkStart w:id="235" w:name="_Toc184308055"/>
      <w:bookmarkEnd w:id="235"/>
      <w:bookmarkStart w:id="236" w:name="_Toc184314427"/>
      <w:bookmarkEnd w:id="236"/>
      <w:bookmarkStart w:id="237" w:name="_Toc184308067"/>
      <w:bookmarkEnd w:id="237"/>
      <w:bookmarkStart w:id="238" w:name="_Toc184312102"/>
      <w:bookmarkEnd w:id="238"/>
      <w:bookmarkStart w:id="239" w:name="_Toc184312109"/>
      <w:bookmarkEnd w:id="239"/>
      <w:bookmarkStart w:id="240" w:name="_Toc184314456"/>
      <w:bookmarkEnd w:id="240"/>
      <w:bookmarkStart w:id="241" w:name="_Toc184312092"/>
      <w:bookmarkEnd w:id="241"/>
      <w:bookmarkStart w:id="242" w:name="_Toc184312137"/>
      <w:bookmarkEnd w:id="242"/>
      <w:bookmarkStart w:id="243" w:name="_Toc184314434"/>
      <w:bookmarkEnd w:id="243"/>
      <w:bookmarkStart w:id="244" w:name="_Toc184314442"/>
      <w:bookmarkEnd w:id="244"/>
      <w:bookmarkStart w:id="245" w:name="_Toc184308082"/>
      <w:bookmarkEnd w:id="245"/>
      <w:bookmarkStart w:id="246" w:name="_Toc184310290"/>
      <w:bookmarkEnd w:id="246"/>
      <w:bookmarkStart w:id="247" w:name="_Toc184313281"/>
      <w:bookmarkEnd w:id="247"/>
      <w:bookmarkStart w:id="248" w:name="_Toc184312106"/>
      <w:bookmarkEnd w:id="248"/>
      <w:bookmarkStart w:id="249" w:name="_Toc184313242"/>
      <w:bookmarkEnd w:id="249"/>
      <w:bookmarkStart w:id="250" w:name="_Toc184313299"/>
      <w:bookmarkEnd w:id="250"/>
      <w:bookmarkStart w:id="251" w:name="_Toc184308039"/>
      <w:bookmarkEnd w:id="251"/>
      <w:bookmarkStart w:id="252" w:name="_Toc184314420"/>
      <w:bookmarkEnd w:id="252"/>
      <w:bookmarkStart w:id="253" w:name="_Toc184312074"/>
      <w:bookmarkEnd w:id="253"/>
      <w:bookmarkStart w:id="254" w:name="_Toc184313264"/>
      <w:bookmarkEnd w:id="254"/>
      <w:bookmarkStart w:id="255" w:name="_Toc184308057"/>
      <w:bookmarkEnd w:id="255"/>
      <w:bookmarkStart w:id="256" w:name="_Toc184313282"/>
      <w:bookmarkEnd w:id="256"/>
      <w:bookmarkStart w:id="257" w:name="_Toc184312094"/>
      <w:bookmarkEnd w:id="257"/>
      <w:bookmarkStart w:id="258" w:name="_Toc184308072"/>
      <w:bookmarkEnd w:id="258"/>
      <w:bookmarkStart w:id="259" w:name="_Toc184312122"/>
      <w:bookmarkEnd w:id="259"/>
      <w:bookmarkStart w:id="260" w:name="_Toc184310331"/>
      <w:bookmarkEnd w:id="260"/>
      <w:bookmarkStart w:id="261" w:name="_Toc184314433"/>
      <w:bookmarkEnd w:id="261"/>
      <w:bookmarkStart w:id="262" w:name="_Toc184308056"/>
      <w:bookmarkEnd w:id="262"/>
      <w:bookmarkStart w:id="263" w:name="_Toc184308065"/>
      <w:bookmarkEnd w:id="263"/>
      <w:bookmarkStart w:id="264" w:name="_Toc184310330"/>
      <w:bookmarkEnd w:id="264"/>
      <w:bookmarkStart w:id="265" w:name="_Toc184312069"/>
      <w:bookmarkEnd w:id="265"/>
      <w:bookmarkStart w:id="266" w:name="_Toc184312118"/>
      <w:bookmarkEnd w:id="266"/>
      <w:bookmarkStart w:id="267" w:name="_Toc184312121"/>
      <w:bookmarkEnd w:id="267"/>
      <w:bookmarkStart w:id="268" w:name="_Toc184314468"/>
      <w:bookmarkEnd w:id="268"/>
      <w:bookmarkStart w:id="269" w:name="_Toc184310341"/>
      <w:bookmarkEnd w:id="269"/>
      <w:bookmarkStart w:id="270" w:name="_Toc184312090"/>
      <w:bookmarkEnd w:id="270"/>
      <w:bookmarkStart w:id="271" w:name="_Toc184308038"/>
      <w:bookmarkEnd w:id="271"/>
      <w:bookmarkStart w:id="272" w:name="_Toc184310303"/>
      <w:bookmarkEnd w:id="272"/>
      <w:bookmarkStart w:id="273" w:name="_Toc184313310"/>
      <w:bookmarkEnd w:id="273"/>
      <w:bookmarkStart w:id="274" w:name="_Toc184313307"/>
      <w:bookmarkEnd w:id="274"/>
      <w:bookmarkStart w:id="275" w:name="_Toc184312084"/>
      <w:bookmarkEnd w:id="275"/>
      <w:bookmarkStart w:id="276" w:name="_Toc184308085"/>
      <w:bookmarkEnd w:id="276"/>
      <w:bookmarkStart w:id="277" w:name="_Toc184310328"/>
      <w:bookmarkEnd w:id="277"/>
      <w:bookmarkStart w:id="278" w:name="_Toc184308084"/>
      <w:bookmarkEnd w:id="278"/>
      <w:bookmarkStart w:id="279" w:name="_Toc184313253"/>
      <w:bookmarkEnd w:id="279"/>
      <w:bookmarkStart w:id="280" w:name="_Toc184313273"/>
      <w:bookmarkEnd w:id="280"/>
      <w:bookmarkStart w:id="281" w:name="_Toc184313278"/>
      <w:bookmarkEnd w:id="281"/>
      <w:bookmarkStart w:id="282" w:name="_Toc184314470"/>
      <w:bookmarkEnd w:id="282"/>
      <w:bookmarkStart w:id="283" w:name="_Toc184310339"/>
      <w:bookmarkEnd w:id="283"/>
      <w:bookmarkStart w:id="284" w:name="_Toc184313285"/>
      <w:bookmarkEnd w:id="284"/>
      <w:bookmarkStart w:id="285" w:name="_Toc184308036"/>
      <w:bookmarkEnd w:id="285"/>
      <w:bookmarkStart w:id="286" w:name="_Toc184308053"/>
      <w:bookmarkEnd w:id="286"/>
      <w:bookmarkStart w:id="287" w:name="_Toc184314445"/>
      <w:bookmarkEnd w:id="287"/>
      <w:bookmarkStart w:id="288" w:name="_Toc184310279"/>
      <w:bookmarkEnd w:id="288"/>
      <w:bookmarkStart w:id="289" w:name="_Toc184312119"/>
      <w:bookmarkEnd w:id="289"/>
      <w:bookmarkStart w:id="290" w:name="_Toc184310289"/>
      <w:bookmarkEnd w:id="290"/>
      <w:bookmarkStart w:id="291" w:name="_Toc184308071"/>
      <w:bookmarkEnd w:id="291"/>
      <w:bookmarkStart w:id="292" w:name="_Toc184310319"/>
      <w:bookmarkEnd w:id="292"/>
      <w:bookmarkStart w:id="293" w:name="_Toc184313256"/>
      <w:bookmarkEnd w:id="293"/>
      <w:bookmarkStart w:id="294" w:name="_Toc184314424"/>
      <w:bookmarkEnd w:id="294"/>
      <w:bookmarkStart w:id="295" w:name="_Toc184314443"/>
      <w:bookmarkEnd w:id="295"/>
      <w:bookmarkStart w:id="296" w:name="_Toc184313292"/>
      <w:bookmarkEnd w:id="296"/>
      <w:bookmarkStart w:id="297" w:name="_Toc184313244"/>
      <w:bookmarkEnd w:id="297"/>
      <w:bookmarkStart w:id="298" w:name="_Toc184308058"/>
      <w:bookmarkEnd w:id="298"/>
      <w:bookmarkStart w:id="299" w:name="_Toc184314475"/>
      <w:bookmarkEnd w:id="299"/>
      <w:bookmarkStart w:id="300" w:name="_Toc184308075"/>
      <w:bookmarkEnd w:id="300"/>
      <w:bookmarkStart w:id="301" w:name="_Toc184310285"/>
      <w:bookmarkEnd w:id="301"/>
      <w:bookmarkStart w:id="302" w:name="_Toc184314419"/>
      <w:bookmarkEnd w:id="302"/>
      <w:bookmarkStart w:id="303" w:name="_Toc184313309"/>
      <w:bookmarkEnd w:id="303"/>
      <w:bookmarkStart w:id="304" w:name="_Toc184312107"/>
      <w:bookmarkEnd w:id="304"/>
      <w:bookmarkStart w:id="305" w:name="_Toc184314449"/>
      <w:bookmarkEnd w:id="305"/>
      <w:bookmarkStart w:id="306" w:name="_Toc184312076"/>
      <w:bookmarkEnd w:id="306"/>
      <w:bookmarkStart w:id="307" w:name="_Toc184314436"/>
      <w:bookmarkEnd w:id="307"/>
      <w:bookmarkStart w:id="308" w:name="_Toc184313300"/>
      <w:bookmarkEnd w:id="308"/>
      <w:bookmarkStart w:id="309" w:name="_Toc184308054"/>
      <w:bookmarkEnd w:id="309"/>
      <w:bookmarkStart w:id="310" w:name="_Toc184308080"/>
      <w:bookmarkEnd w:id="310"/>
      <w:bookmarkStart w:id="311" w:name="_Toc184308106"/>
      <w:bookmarkEnd w:id="311"/>
      <w:bookmarkStart w:id="312" w:name="_Toc184312133"/>
      <w:bookmarkEnd w:id="312"/>
      <w:bookmarkStart w:id="313" w:name="_Toc184313291"/>
      <w:bookmarkEnd w:id="313"/>
      <w:bookmarkStart w:id="314" w:name="_Toc184314466"/>
      <w:bookmarkEnd w:id="314"/>
      <w:bookmarkStart w:id="315" w:name="_Toc184310291"/>
      <w:bookmarkEnd w:id="315"/>
      <w:bookmarkStart w:id="316" w:name="_Toc184308041"/>
      <w:bookmarkEnd w:id="316"/>
      <w:bookmarkStart w:id="317" w:name="_Toc184308078"/>
      <w:bookmarkEnd w:id="317"/>
      <w:bookmarkStart w:id="318" w:name="_Toc184313303"/>
      <w:bookmarkEnd w:id="318"/>
      <w:bookmarkStart w:id="319" w:name="_Toc184313279"/>
      <w:bookmarkEnd w:id="319"/>
      <w:bookmarkStart w:id="320" w:name="_Toc184313261"/>
      <w:bookmarkEnd w:id="320"/>
      <w:bookmarkStart w:id="321" w:name="_Toc184308074"/>
      <w:bookmarkEnd w:id="321"/>
      <w:bookmarkStart w:id="322" w:name="_Toc184310315"/>
      <w:bookmarkEnd w:id="322"/>
      <w:bookmarkStart w:id="323" w:name="_Toc184308070"/>
      <w:bookmarkEnd w:id="323"/>
      <w:bookmarkStart w:id="324" w:name="_Toc184314438"/>
      <w:bookmarkEnd w:id="324"/>
      <w:bookmarkStart w:id="325" w:name="_Toc184312097"/>
      <w:bookmarkEnd w:id="325"/>
      <w:bookmarkStart w:id="326" w:name="_Toc184313240"/>
      <w:bookmarkEnd w:id="326"/>
      <w:bookmarkStart w:id="327" w:name="_Toc184312104"/>
      <w:bookmarkEnd w:id="327"/>
      <w:bookmarkStart w:id="328" w:name="_Toc184310308"/>
      <w:bookmarkEnd w:id="328"/>
      <w:bookmarkStart w:id="329" w:name="_Toc184312128"/>
      <w:bookmarkEnd w:id="329"/>
      <w:bookmarkStart w:id="330" w:name="_Toc184312078"/>
      <w:bookmarkEnd w:id="330"/>
      <w:bookmarkStart w:id="331" w:name="_Toc184308040"/>
      <w:bookmarkEnd w:id="331"/>
      <w:bookmarkStart w:id="332" w:name="_Toc184308107"/>
      <w:bookmarkEnd w:id="332"/>
      <w:bookmarkStart w:id="333" w:name="_Toc184310322"/>
      <w:bookmarkEnd w:id="333"/>
      <w:bookmarkStart w:id="334" w:name="_Toc184310295"/>
      <w:bookmarkEnd w:id="334"/>
      <w:bookmarkStart w:id="335" w:name="_Toc184313263"/>
      <w:bookmarkEnd w:id="335"/>
      <w:bookmarkStart w:id="336" w:name="_Toc184312138"/>
      <w:bookmarkEnd w:id="336"/>
      <w:bookmarkStart w:id="337" w:name="_Toc184314423"/>
      <w:bookmarkEnd w:id="337"/>
      <w:bookmarkStart w:id="338" w:name="_Toc184314463"/>
      <w:bookmarkEnd w:id="338"/>
      <w:bookmarkStart w:id="339" w:name="_Toc184314460"/>
      <w:bookmarkEnd w:id="339"/>
      <w:bookmarkStart w:id="340" w:name="_Toc184310272"/>
      <w:bookmarkEnd w:id="340"/>
      <w:bookmarkStart w:id="341" w:name="_Toc184308097"/>
      <w:bookmarkEnd w:id="341"/>
      <w:bookmarkStart w:id="342" w:name="_Toc184313304"/>
      <w:bookmarkEnd w:id="342"/>
      <w:bookmarkStart w:id="343" w:name="_Toc184313247"/>
      <w:bookmarkEnd w:id="343"/>
      <w:bookmarkStart w:id="344" w:name="_Toc184308099"/>
      <w:bookmarkEnd w:id="344"/>
      <w:bookmarkStart w:id="345" w:name="_Toc184310309"/>
      <w:bookmarkEnd w:id="345"/>
      <w:bookmarkStart w:id="346" w:name="_Toc184312082"/>
      <w:bookmarkEnd w:id="346"/>
      <w:bookmarkStart w:id="347" w:name="_Toc184313302"/>
      <w:bookmarkEnd w:id="347"/>
      <w:bookmarkStart w:id="348" w:name="_Toc184312125"/>
      <w:bookmarkEnd w:id="348"/>
      <w:bookmarkStart w:id="349" w:name="_Toc184310323"/>
      <w:bookmarkEnd w:id="349"/>
      <w:bookmarkStart w:id="350" w:name="_Toc184314414"/>
      <w:bookmarkEnd w:id="350"/>
      <w:bookmarkStart w:id="351" w:name="_Toc184308037"/>
      <w:bookmarkEnd w:id="351"/>
      <w:bookmarkStart w:id="352" w:name="_Toc184308090"/>
      <w:bookmarkEnd w:id="352"/>
      <w:bookmarkStart w:id="353" w:name="_Toc184314444"/>
      <w:bookmarkEnd w:id="353"/>
      <w:bookmarkStart w:id="354" w:name="_Toc184308103"/>
      <w:bookmarkEnd w:id="354"/>
      <w:bookmarkStart w:id="355" w:name="_Toc184308100"/>
      <w:bookmarkEnd w:id="355"/>
      <w:bookmarkStart w:id="356" w:name="_Toc184310312"/>
      <w:bookmarkEnd w:id="356"/>
      <w:bookmarkStart w:id="357" w:name="_Toc184314447"/>
      <w:bookmarkEnd w:id="357"/>
      <w:bookmarkStart w:id="358" w:name="_Toc184312139"/>
      <w:bookmarkEnd w:id="358"/>
      <w:bookmarkStart w:id="359" w:name="_Toc184313295"/>
      <w:bookmarkEnd w:id="359"/>
      <w:bookmarkStart w:id="360" w:name="_Toc184314472"/>
      <w:bookmarkEnd w:id="360"/>
      <w:bookmarkStart w:id="361" w:name="_Toc184308081"/>
      <w:bookmarkEnd w:id="361"/>
      <w:bookmarkStart w:id="362" w:name="_Toc184314469"/>
      <w:bookmarkEnd w:id="362"/>
      <w:bookmarkStart w:id="363" w:name="_Toc184314435"/>
      <w:bookmarkEnd w:id="363"/>
      <w:bookmarkStart w:id="364" w:name="_Toc184310340"/>
      <w:bookmarkEnd w:id="364"/>
      <w:bookmarkStart w:id="365" w:name="_Toc184310276"/>
      <w:bookmarkEnd w:id="365"/>
      <w:bookmarkStart w:id="366" w:name="_Toc184308108"/>
      <w:bookmarkEnd w:id="366"/>
      <w:bookmarkStart w:id="367" w:name="_Toc184308073"/>
      <w:bookmarkEnd w:id="367"/>
      <w:bookmarkStart w:id="368" w:name="_Toc184313254"/>
      <w:bookmarkEnd w:id="368"/>
      <w:bookmarkStart w:id="369" w:name="_Toc184310334"/>
      <w:bookmarkEnd w:id="369"/>
      <w:bookmarkStart w:id="370" w:name="_Toc184314441"/>
      <w:bookmarkEnd w:id="370"/>
      <w:bookmarkStart w:id="371" w:name="_Toc184308077"/>
      <w:bookmarkEnd w:id="371"/>
      <w:bookmarkStart w:id="372" w:name="_Toc184312079"/>
      <w:bookmarkEnd w:id="372"/>
      <w:bookmarkStart w:id="373" w:name="_Toc184308076"/>
      <w:bookmarkEnd w:id="373"/>
      <w:bookmarkStart w:id="374" w:name="_Toc184310316"/>
      <w:bookmarkEnd w:id="374"/>
      <w:bookmarkStart w:id="375" w:name="_Toc184310314"/>
      <w:bookmarkEnd w:id="375"/>
      <w:bookmarkStart w:id="376" w:name="_Toc184310283"/>
      <w:bookmarkEnd w:id="376"/>
      <w:bookmarkStart w:id="377" w:name="_Toc184314482"/>
      <w:bookmarkEnd w:id="377"/>
      <w:bookmarkStart w:id="378" w:name="_Toc184308066"/>
      <w:bookmarkEnd w:id="378"/>
      <w:bookmarkStart w:id="379" w:name="_Toc184310284"/>
      <w:bookmarkEnd w:id="379"/>
      <w:bookmarkStart w:id="380" w:name="_Toc184312091"/>
      <w:bookmarkEnd w:id="380"/>
      <w:bookmarkStart w:id="381" w:name="_Toc184314410"/>
      <w:bookmarkEnd w:id="381"/>
      <w:bookmarkStart w:id="382" w:name="_Toc184308064"/>
      <w:bookmarkEnd w:id="382"/>
      <w:bookmarkStart w:id="383" w:name="_Toc184314465"/>
      <w:bookmarkEnd w:id="383"/>
      <w:bookmarkStart w:id="384" w:name="_Toc184313246"/>
      <w:bookmarkEnd w:id="384"/>
      <w:bookmarkStart w:id="385" w:name="_Toc184310277"/>
      <w:bookmarkEnd w:id="385"/>
      <w:bookmarkStart w:id="386" w:name="_Toc184310344"/>
      <w:bookmarkEnd w:id="386"/>
      <w:bookmarkStart w:id="387" w:name="_Toc184310302"/>
      <w:bookmarkEnd w:id="387"/>
      <w:bookmarkStart w:id="388" w:name="_Toc184312135"/>
      <w:bookmarkEnd w:id="388"/>
      <w:bookmarkStart w:id="389" w:name="_Toc184308104"/>
      <w:bookmarkEnd w:id="389"/>
      <w:bookmarkStart w:id="390" w:name="_Toc184314455"/>
      <w:bookmarkEnd w:id="390"/>
      <w:bookmarkStart w:id="391" w:name="_Toc184308050"/>
      <w:bookmarkEnd w:id="391"/>
      <w:bookmarkStart w:id="392" w:name="_Toc184310313"/>
      <w:bookmarkEnd w:id="392"/>
      <w:bookmarkStart w:id="393" w:name="_Toc184314428"/>
      <w:bookmarkEnd w:id="393"/>
      <w:bookmarkStart w:id="394" w:name="_Toc184312093"/>
      <w:bookmarkEnd w:id="394"/>
      <w:bookmarkStart w:id="395" w:name="_Toc184308068"/>
      <w:bookmarkEnd w:id="395"/>
      <w:bookmarkStart w:id="396" w:name="_Toc184312111"/>
      <w:bookmarkEnd w:id="396"/>
      <w:bookmarkStart w:id="397" w:name="_Toc184308089"/>
      <w:bookmarkEnd w:id="397"/>
      <w:bookmarkStart w:id="398" w:name="_Toc184310299"/>
      <w:bookmarkEnd w:id="398"/>
      <w:bookmarkStart w:id="399" w:name="_Toc184308101"/>
      <w:bookmarkEnd w:id="399"/>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4"/>
        <w:tblW w:w="9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5"/>
        <w:gridCol w:w="838"/>
        <w:gridCol w:w="91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6495"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评标标准</w:t>
            </w:r>
          </w:p>
        </w:tc>
        <w:tc>
          <w:tcPr>
            <w:tcW w:w="838"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权重</w:t>
            </w:r>
          </w:p>
        </w:tc>
        <w:tc>
          <w:tcPr>
            <w:tcW w:w="912" w:type="dxa"/>
            <w:tcBorders>
              <w:tl2br w:val="nil"/>
              <w:tr2bl w:val="nil"/>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主观分/客观分属性</w:t>
            </w:r>
          </w:p>
        </w:tc>
        <w:tc>
          <w:tcPr>
            <w:tcW w:w="900" w:type="dxa"/>
            <w:tcBorders>
              <w:tl2br w:val="nil"/>
              <w:tr2bl w:val="nil"/>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495" w:type="dxa"/>
            <w:tcBorders>
              <w:tl2br w:val="nil"/>
              <w:tr2bl w:val="nil"/>
            </w:tcBorders>
            <w:vAlign w:val="center"/>
          </w:tcPr>
          <w:p>
            <w:pPr>
              <w:pStyle w:val="87"/>
              <w:snapToGrid w:val="0"/>
              <w:spacing w:before="0" w:line="60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服务方案：根据本项目护校安园和应急管理服务特点提出合理的服务理念（符合的得3分，基本符合得2分，部分符合的得1分，不提供不得分）；提出服务定位、目标（符合的得3分，基本符合得2分，部分符合的得1分，不提供不得分）；投标人提供对采购需求的理解进行打分（符合的得3分，基本符合得2分，部分符合的得1分，不提供不得分）；</w:t>
            </w:r>
          </w:p>
        </w:tc>
        <w:tc>
          <w:tcPr>
            <w:tcW w:w="838" w:type="dxa"/>
            <w:tcBorders>
              <w:tl2br w:val="nil"/>
              <w:tr2bl w:val="nil"/>
            </w:tcBorders>
            <w:vAlign w:val="center"/>
          </w:tcPr>
          <w:p>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495" w:type="dxa"/>
            <w:tcBorders>
              <w:tl2br w:val="nil"/>
              <w:tr2bl w:val="nil"/>
            </w:tcBorders>
            <w:vAlign w:val="center"/>
          </w:tcPr>
          <w:p>
            <w:pPr>
              <w:pStyle w:val="87"/>
              <w:snapToGrid w:val="0"/>
              <w:spacing w:before="0" w:line="60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应急预案：投标人针对本项目如遇重大突发事件或大型活动、政府重点工作的特色服务响应（符合的得4分，基本符合得2分，部分符合的得1分，不提供不得分），措施内容（符合的得3分，基本符合得2分，部分符合的得1分，不提供不得分）；</w:t>
            </w:r>
          </w:p>
        </w:tc>
        <w:tc>
          <w:tcPr>
            <w:tcW w:w="838" w:type="dxa"/>
            <w:tcBorders>
              <w:tl2br w:val="nil"/>
              <w:tr2bl w:val="nil"/>
            </w:tcBorders>
            <w:vAlign w:val="center"/>
          </w:tcPr>
          <w:p>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6495" w:type="dxa"/>
            <w:tcBorders>
              <w:tl2br w:val="nil"/>
              <w:tr2bl w:val="nil"/>
            </w:tcBorders>
            <w:vAlign w:val="center"/>
          </w:tcPr>
          <w:p>
            <w:pPr>
              <w:pStyle w:val="87"/>
              <w:snapToGrid w:val="0"/>
              <w:spacing w:before="0" w:line="60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拟派项目人员情况：</w:t>
            </w:r>
          </w:p>
          <w:p>
            <w:pPr>
              <w:pStyle w:val="87"/>
              <w:snapToGrid w:val="0"/>
              <w:spacing w:before="0" w:line="60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1）本项目拟派项目负责人：具有部队四级军士长及以上退伍军人的得4分，具有部队中士退伍军人的得3分，具有部队下士退伍军人的得1分，就高计取；具有保安员证的得1分；获得过三等功的得1分；本项最高6分；</w:t>
            </w:r>
            <w:r>
              <w:rPr>
                <w:rFonts w:hint="eastAsia" w:ascii="宋体" w:hAnsi="宋体" w:eastAsia="宋体" w:cs="宋体"/>
                <w:b/>
                <w:bCs/>
                <w:highlight w:val="none"/>
              </w:rPr>
              <w:t>投标文件中提供</w:t>
            </w:r>
            <w:r>
              <w:rPr>
                <w:rFonts w:hint="eastAsia" w:ascii="宋体" w:hAnsi="宋体" w:eastAsia="宋体" w:cs="宋体"/>
                <w:b/>
                <w:bCs/>
                <w:highlight w:val="none"/>
                <w:lang w:eastAsia="zh-CN"/>
              </w:rPr>
              <w:t>相关</w:t>
            </w:r>
            <w:r>
              <w:rPr>
                <w:rFonts w:hint="eastAsia" w:ascii="宋体" w:hAnsi="宋体" w:eastAsia="宋体" w:cs="宋体"/>
                <w:b/>
                <w:bCs/>
                <w:highlight w:val="none"/>
              </w:rPr>
              <w:t>证明材料及</w:t>
            </w:r>
            <w:r>
              <w:rPr>
                <w:rFonts w:hint="eastAsia" w:ascii="宋体" w:hAnsi="宋体" w:eastAsia="宋体" w:cs="宋体"/>
                <w:b/>
                <w:bCs/>
                <w:highlight w:val="none"/>
                <w:lang w:eastAsia="zh-CN"/>
              </w:rPr>
              <w:t>在人员本单位</w:t>
            </w:r>
            <w:r>
              <w:rPr>
                <w:rFonts w:hint="eastAsia" w:ascii="宋体" w:hAnsi="宋体" w:eastAsia="宋体" w:cs="宋体"/>
                <w:b/>
                <w:bCs/>
                <w:highlight w:val="none"/>
              </w:rPr>
              <w:t>近一个月</w:t>
            </w:r>
            <w:r>
              <w:rPr>
                <w:rFonts w:hint="eastAsia" w:ascii="宋体" w:hAnsi="宋体" w:eastAsia="宋体" w:cs="宋体"/>
                <w:b/>
                <w:bCs/>
                <w:highlight w:val="none"/>
                <w:lang w:eastAsia="zh-CN"/>
              </w:rPr>
              <w:t>的</w:t>
            </w:r>
            <w:r>
              <w:rPr>
                <w:rFonts w:hint="eastAsia" w:ascii="宋体" w:hAnsi="宋体" w:eastAsia="宋体" w:cs="宋体"/>
                <w:b/>
                <w:bCs/>
                <w:highlight w:val="none"/>
              </w:rPr>
              <w:t>社保</w:t>
            </w:r>
            <w:r>
              <w:rPr>
                <w:rFonts w:hint="eastAsia" w:ascii="宋体" w:hAnsi="宋体" w:eastAsia="宋体" w:cs="宋体"/>
                <w:b/>
                <w:bCs/>
                <w:highlight w:val="none"/>
                <w:lang w:eastAsia="zh-CN"/>
              </w:rPr>
              <w:t>缴纳证明扫描件</w:t>
            </w:r>
            <w:r>
              <w:rPr>
                <w:rFonts w:hint="eastAsia" w:ascii="宋体" w:hAnsi="宋体" w:eastAsia="宋体" w:cs="宋体"/>
                <w:b/>
                <w:bCs/>
                <w:highlight w:val="none"/>
              </w:rPr>
              <w:t>；</w:t>
            </w:r>
          </w:p>
          <w:p>
            <w:pPr>
              <w:pStyle w:val="87"/>
              <w:snapToGrid w:val="0"/>
              <w:spacing w:before="0" w:line="60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1"/>
                <w:highlight w:val="none"/>
              </w:rPr>
              <w:t>本项目拟派消防应急指挥队长（40周岁及以下）：具有消防总队警官转业证书或军官转业证书的得4分；具有消防总队退伍的士官退伍军人的得2分；具有消防退伍的退伍军人得1分；同时获得过三等功的加1分；同时具有消防指挥专业的大专学历证书及以上的加1分；本项最高得</w:t>
            </w:r>
            <w:r>
              <w:rPr>
                <w:rFonts w:hint="eastAsia" w:ascii="宋体" w:hAnsi="宋体" w:cs="宋体"/>
                <w:szCs w:val="21"/>
                <w:highlight w:val="none"/>
                <w:lang w:val="en-US" w:eastAsia="zh-CN"/>
              </w:rPr>
              <w:t>7</w:t>
            </w:r>
            <w:r>
              <w:rPr>
                <w:rFonts w:hint="eastAsia" w:ascii="宋体" w:hAnsi="宋体" w:eastAsia="宋体" w:cs="宋体"/>
                <w:szCs w:val="21"/>
                <w:highlight w:val="none"/>
              </w:rPr>
              <w:t>分；</w:t>
            </w:r>
            <w:r>
              <w:rPr>
                <w:rFonts w:hint="eastAsia" w:ascii="宋体" w:hAnsi="宋体" w:eastAsia="宋体" w:cs="宋体"/>
                <w:b/>
                <w:bCs/>
                <w:highlight w:val="none"/>
              </w:rPr>
              <w:t>投标文件中提供</w:t>
            </w:r>
            <w:r>
              <w:rPr>
                <w:rFonts w:hint="eastAsia" w:ascii="宋体" w:hAnsi="宋体" w:eastAsia="宋体" w:cs="宋体"/>
                <w:b/>
                <w:bCs/>
                <w:highlight w:val="none"/>
                <w:lang w:eastAsia="zh-CN"/>
              </w:rPr>
              <w:t>相关</w:t>
            </w:r>
            <w:r>
              <w:rPr>
                <w:rFonts w:hint="eastAsia" w:ascii="宋体" w:hAnsi="宋体" w:eastAsia="宋体" w:cs="宋体"/>
                <w:b/>
                <w:bCs/>
                <w:highlight w:val="none"/>
              </w:rPr>
              <w:t>证明材料及</w:t>
            </w:r>
            <w:r>
              <w:rPr>
                <w:rFonts w:hint="eastAsia" w:ascii="宋体" w:hAnsi="宋体" w:eastAsia="宋体" w:cs="宋体"/>
                <w:b/>
                <w:bCs/>
                <w:highlight w:val="none"/>
                <w:lang w:eastAsia="zh-CN"/>
              </w:rPr>
              <w:t>在人员本单位</w:t>
            </w:r>
            <w:r>
              <w:rPr>
                <w:rFonts w:hint="eastAsia" w:ascii="宋体" w:hAnsi="宋体" w:eastAsia="宋体" w:cs="宋体"/>
                <w:b/>
                <w:bCs/>
                <w:highlight w:val="none"/>
              </w:rPr>
              <w:t>近一个月</w:t>
            </w:r>
            <w:r>
              <w:rPr>
                <w:rFonts w:hint="eastAsia" w:ascii="宋体" w:hAnsi="宋体" w:eastAsia="宋体" w:cs="宋体"/>
                <w:b/>
                <w:bCs/>
                <w:highlight w:val="none"/>
                <w:lang w:eastAsia="zh-CN"/>
              </w:rPr>
              <w:t>的</w:t>
            </w:r>
            <w:r>
              <w:rPr>
                <w:rFonts w:hint="eastAsia" w:ascii="宋体" w:hAnsi="宋体" w:eastAsia="宋体" w:cs="宋体"/>
                <w:b/>
                <w:bCs/>
                <w:highlight w:val="none"/>
              </w:rPr>
              <w:t>社保</w:t>
            </w:r>
            <w:r>
              <w:rPr>
                <w:rFonts w:hint="eastAsia" w:ascii="宋体" w:hAnsi="宋体" w:eastAsia="宋体" w:cs="宋体"/>
                <w:b/>
                <w:bCs/>
                <w:highlight w:val="none"/>
                <w:lang w:eastAsia="zh-CN"/>
              </w:rPr>
              <w:t>缴纳证明扫描件</w:t>
            </w:r>
            <w:r>
              <w:rPr>
                <w:rFonts w:hint="eastAsia" w:ascii="宋体" w:hAnsi="宋体" w:eastAsia="宋体" w:cs="宋体"/>
                <w:b/>
                <w:bCs/>
                <w:highlight w:val="none"/>
              </w:rPr>
              <w:t>；</w:t>
            </w:r>
          </w:p>
          <w:p>
            <w:pPr>
              <w:pStyle w:val="87"/>
              <w:snapToGrid w:val="0"/>
              <w:spacing w:before="0" w:line="60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3）</w:t>
            </w:r>
            <w:bookmarkStart w:id="526" w:name="_GoBack"/>
            <w:r>
              <w:rPr>
                <w:rFonts w:hint="eastAsia" w:ascii="宋体" w:hAnsi="宋体" w:eastAsia="宋体" w:cs="宋体"/>
                <w:highlight w:val="none"/>
              </w:rPr>
              <w:t>无人机巡查服务：拟派本项目人员中具有民用无人机驾驶员证的得3分，同时为退伍军人的加</w:t>
            </w:r>
            <w:r>
              <w:rPr>
                <w:rFonts w:hint="eastAsia" w:ascii="宋体" w:hAnsi="宋体" w:cs="宋体"/>
                <w:highlight w:val="none"/>
                <w:lang w:val="en-US" w:eastAsia="zh-CN"/>
              </w:rPr>
              <w:t>1</w:t>
            </w:r>
            <w:r>
              <w:rPr>
                <w:rFonts w:hint="eastAsia" w:ascii="宋体" w:hAnsi="宋体" w:eastAsia="宋体" w:cs="宋体"/>
                <w:highlight w:val="none"/>
              </w:rPr>
              <w:t>分，最高得</w:t>
            </w:r>
            <w:r>
              <w:rPr>
                <w:rFonts w:hint="eastAsia" w:ascii="宋体" w:hAnsi="宋体" w:cs="宋体"/>
                <w:highlight w:val="none"/>
                <w:lang w:val="en-US" w:eastAsia="zh-CN"/>
              </w:rPr>
              <w:t>4</w:t>
            </w:r>
            <w:r>
              <w:rPr>
                <w:rFonts w:hint="eastAsia" w:ascii="宋体" w:hAnsi="宋体" w:eastAsia="宋体" w:cs="宋体"/>
                <w:highlight w:val="none"/>
              </w:rPr>
              <w:t>分；</w:t>
            </w:r>
            <w:r>
              <w:rPr>
                <w:rFonts w:hint="eastAsia" w:ascii="宋体" w:hAnsi="宋体" w:eastAsia="宋体" w:cs="宋体"/>
                <w:b/>
                <w:bCs/>
                <w:highlight w:val="none"/>
              </w:rPr>
              <w:t>投标文件中提供</w:t>
            </w:r>
            <w:r>
              <w:rPr>
                <w:rFonts w:hint="eastAsia" w:ascii="宋体" w:hAnsi="宋体" w:eastAsia="宋体" w:cs="宋体"/>
                <w:b/>
                <w:bCs/>
                <w:highlight w:val="none"/>
                <w:lang w:eastAsia="zh-CN"/>
              </w:rPr>
              <w:t>相关</w:t>
            </w:r>
            <w:r>
              <w:rPr>
                <w:rFonts w:hint="eastAsia" w:ascii="宋体" w:hAnsi="宋体" w:eastAsia="宋体" w:cs="宋体"/>
                <w:b/>
                <w:bCs/>
                <w:highlight w:val="none"/>
              </w:rPr>
              <w:t>证明材料及</w:t>
            </w:r>
            <w:r>
              <w:rPr>
                <w:rFonts w:hint="eastAsia" w:ascii="宋体" w:hAnsi="宋体" w:eastAsia="宋体" w:cs="宋体"/>
                <w:b/>
                <w:bCs/>
                <w:highlight w:val="none"/>
                <w:lang w:eastAsia="zh-CN"/>
              </w:rPr>
              <w:t>在人员本单位</w:t>
            </w:r>
            <w:r>
              <w:rPr>
                <w:rFonts w:hint="eastAsia" w:ascii="宋体" w:hAnsi="宋体" w:eastAsia="宋体" w:cs="宋体"/>
                <w:b/>
                <w:bCs/>
                <w:highlight w:val="none"/>
              </w:rPr>
              <w:t>近一个月</w:t>
            </w:r>
            <w:r>
              <w:rPr>
                <w:rFonts w:hint="eastAsia" w:ascii="宋体" w:hAnsi="宋体" w:eastAsia="宋体" w:cs="宋体"/>
                <w:b/>
                <w:bCs/>
                <w:highlight w:val="none"/>
                <w:lang w:eastAsia="zh-CN"/>
              </w:rPr>
              <w:t>的</w:t>
            </w:r>
            <w:r>
              <w:rPr>
                <w:rFonts w:hint="eastAsia" w:ascii="宋体" w:hAnsi="宋体" w:eastAsia="宋体" w:cs="宋体"/>
                <w:b/>
                <w:bCs/>
                <w:highlight w:val="none"/>
              </w:rPr>
              <w:t>社保</w:t>
            </w:r>
            <w:r>
              <w:rPr>
                <w:rFonts w:hint="eastAsia" w:ascii="宋体" w:hAnsi="宋体" w:eastAsia="宋体" w:cs="宋体"/>
                <w:b/>
                <w:bCs/>
                <w:highlight w:val="none"/>
                <w:lang w:eastAsia="zh-CN"/>
              </w:rPr>
              <w:t>缴纳证明扫描件</w:t>
            </w:r>
            <w:r>
              <w:rPr>
                <w:rFonts w:hint="eastAsia" w:ascii="宋体" w:hAnsi="宋体" w:eastAsia="宋体" w:cs="宋体"/>
                <w:b/>
                <w:bCs/>
                <w:highlight w:val="none"/>
              </w:rPr>
              <w:t>；</w:t>
            </w:r>
            <w:bookmarkEnd w:id="526"/>
          </w:p>
          <w:p>
            <w:pPr>
              <w:pStyle w:val="87"/>
              <w:snapToGrid w:val="0"/>
              <w:spacing w:before="0" w:line="60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4)本项目拟派其他人员中：获得过优秀士兵；义务兵或优秀士官证书的退伍军人，每有一个得3分，最高得9分；</w:t>
            </w:r>
            <w:r>
              <w:rPr>
                <w:rFonts w:hint="eastAsia" w:ascii="宋体" w:hAnsi="宋体" w:eastAsia="宋体" w:cs="宋体"/>
                <w:b/>
                <w:bCs/>
                <w:highlight w:val="none"/>
              </w:rPr>
              <w:t>投标文件中提供</w:t>
            </w:r>
            <w:r>
              <w:rPr>
                <w:rFonts w:hint="eastAsia" w:ascii="宋体" w:hAnsi="宋体" w:eastAsia="宋体" w:cs="宋体"/>
                <w:b/>
                <w:bCs/>
                <w:highlight w:val="none"/>
                <w:lang w:eastAsia="zh-CN"/>
              </w:rPr>
              <w:t>相关</w:t>
            </w:r>
            <w:r>
              <w:rPr>
                <w:rFonts w:hint="eastAsia" w:ascii="宋体" w:hAnsi="宋体" w:eastAsia="宋体" w:cs="宋体"/>
                <w:b/>
                <w:bCs/>
                <w:highlight w:val="none"/>
              </w:rPr>
              <w:t>证明材料及</w:t>
            </w:r>
            <w:r>
              <w:rPr>
                <w:rFonts w:hint="eastAsia" w:ascii="宋体" w:hAnsi="宋体" w:eastAsia="宋体" w:cs="宋体"/>
                <w:b/>
                <w:bCs/>
                <w:highlight w:val="none"/>
                <w:lang w:eastAsia="zh-CN"/>
              </w:rPr>
              <w:t>在人员本单位</w:t>
            </w:r>
            <w:r>
              <w:rPr>
                <w:rFonts w:hint="eastAsia" w:ascii="宋体" w:hAnsi="宋体" w:eastAsia="宋体" w:cs="宋体"/>
                <w:b/>
                <w:bCs/>
                <w:highlight w:val="none"/>
              </w:rPr>
              <w:t>近一个月</w:t>
            </w:r>
            <w:r>
              <w:rPr>
                <w:rFonts w:hint="eastAsia" w:ascii="宋体" w:hAnsi="宋体" w:eastAsia="宋体" w:cs="宋体"/>
                <w:b/>
                <w:bCs/>
                <w:highlight w:val="none"/>
                <w:lang w:eastAsia="zh-CN"/>
              </w:rPr>
              <w:t>的</w:t>
            </w:r>
            <w:r>
              <w:rPr>
                <w:rFonts w:hint="eastAsia" w:ascii="宋体" w:hAnsi="宋体" w:eastAsia="宋体" w:cs="宋体"/>
                <w:b/>
                <w:bCs/>
                <w:highlight w:val="none"/>
              </w:rPr>
              <w:t>社保</w:t>
            </w:r>
            <w:r>
              <w:rPr>
                <w:rFonts w:hint="eastAsia" w:ascii="宋体" w:hAnsi="宋体" w:eastAsia="宋体" w:cs="宋体"/>
                <w:b/>
                <w:bCs/>
                <w:highlight w:val="none"/>
                <w:lang w:eastAsia="zh-CN"/>
              </w:rPr>
              <w:t>缴纳证明扫描件</w:t>
            </w:r>
            <w:r>
              <w:rPr>
                <w:rFonts w:hint="eastAsia" w:ascii="宋体" w:hAnsi="宋体" w:eastAsia="宋体" w:cs="宋体"/>
                <w:b/>
                <w:bCs/>
                <w:highlight w:val="none"/>
              </w:rPr>
              <w:t>；</w:t>
            </w:r>
          </w:p>
        </w:tc>
        <w:tc>
          <w:tcPr>
            <w:tcW w:w="838" w:type="dxa"/>
            <w:tcBorders>
              <w:tl2br w:val="nil"/>
              <w:tr2bl w:val="nil"/>
            </w:tcBorders>
            <w:vAlign w:val="center"/>
          </w:tcPr>
          <w:p>
            <w:pPr>
              <w:spacing w:line="380" w:lineRule="exact"/>
              <w:jc w:val="center"/>
              <w:rPr>
                <w:rFonts w:hint="eastAsia" w:ascii="宋体" w:hAnsi="宋体" w:eastAsia="宋体" w:cs="宋体"/>
                <w:sz w:val="24"/>
                <w:highlight w:val="none"/>
              </w:rPr>
            </w:pPr>
            <w:r>
              <w:rPr>
                <w:rFonts w:hint="eastAsia" w:ascii="宋体" w:hAnsi="宋体" w:eastAsia="宋体" w:cs="宋体"/>
                <w:sz w:val="24"/>
                <w:highlight w:val="none"/>
              </w:rPr>
              <w:t>26</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客观分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6495" w:type="dxa"/>
            <w:tcBorders>
              <w:tl2br w:val="nil"/>
              <w:tr2bl w:val="nil"/>
            </w:tcBorders>
            <w:vAlign w:val="center"/>
          </w:tcPr>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投标人设备配备情况：</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①对讲机每人 1 个，不少于48个；</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②强光手电筒每人 1 个，不少于48个；</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③4G可视化终端每人 1 个，不少于48个；</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④4G可视化终端管理软件1套</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⑤服装装备每人 2 套装，不少于96套；</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⑥总质量1.8吨及以上五座电动巡逻车不少于4辆；</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⑦普通二轮巡逻摩托车不少于4辆</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 8 \* GB3 \* MERGEFORMAT </w:instrText>
            </w:r>
            <w:r>
              <w:rPr>
                <w:rFonts w:hint="eastAsia" w:ascii="宋体" w:hAnsi="宋体" w:eastAsia="宋体" w:cs="宋体"/>
                <w:bCs/>
                <w:szCs w:val="24"/>
                <w:highlight w:val="none"/>
              </w:rPr>
              <w:fldChar w:fldCharType="separate"/>
            </w:r>
            <w:r>
              <w:rPr>
                <w:rFonts w:hint="eastAsia" w:ascii="宋体" w:hAnsi="宋体" w:eastAsia="宋体" w:cs="宋体"/>
                <w:bCs/>
                <w:szCs w:val="24"/>
                <w:highlight w:val="none"/>
              </w:rPr>
              <w:t>⑧</w:t>
            </w:r>
            <w:r>
              <w:rPr>
                <w:rFonts w:hint="eastAsia" w:ascii="宋体" w:hAnsi="宋体" w:eastAsia="宋体" w:cs="宋体"/>
                <w:bCs/>
                <w:szCs w:val="24"/>
                <w:highlight w:val="none"/>
              </w:rPr>
              <w:fldChar w:fldCharType="end"/>
            </w:r>
            <w:r>
              <w:rPr>
                <w:rFonts w:hint="eastAsia" w:ascii="宋体" w:hAnsi="宋体" w:eastAsia="宋体" w:cs="宋体"/>
                <w:bCs/>
                <w:szCs w:val="24"/>
                <w:highlight w:val="none"/>
              </w:rPr>
              <w:t>总质量2吨及以上小型普通客车不少于4辆；</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 9 \* GB3 \* MERGEFORMAT </w:instrText>
            </w:r>
            <w:r>
              <w:rPr>
                <w:rFonts w:hint="eastAsia" w:ascii="宋体" w:hAnsi="宋体" w:eastAsia="宋体" w:cs="宋体"/>
                <w:bCs/>
                <w:szCs w:val="24"/>
                <w:highlight w:val="none"/>
              </w:rPr>
              <w:fldChar w:fldCharType="separate"/>
            </w:r>
            <w:r>
              <w:rPr>
                <w:rFonts w:hint="eastAsia" w:ascii="宋体" w:hAnsi="宋体" w:eastAsia="宋体" w:cs="宋体"/>
                <w:bCs/>
                <w:szCs w:val="24"/>
                <w:highlight w:val="none"/>
              </w:rPr>
              <w:t>⑨</w:t>
            </w:r>
            <w:r>
              <w:rPr>
                <w:rFonts w:hint="eastAsia" w:ascii="宋体" w:hAnsi="宋体" w:eastAsia="宋体" w:cs="宋体"/>
                <w:bCs/>
                <w:szCs w:val="24"/>
                <w:highlight w:val="none"/>
              </w:rPr>
              <w:fldChar w:fldCharType="end"/>
            </w:r>
            <w:r>
              <w:rPr>
                <w:rFonts w:hint="eastAsia" w:ascii="宋体" w:hAnsi="宋体" w:eastAsia="宋体" w:cs="宋体"/>
                <w:bCs/>
                <w:szCs w:val="24"/>
                <w:highlight w:val="none"/>
              </w:rPr>
              <w:t>总质量3吨及以上十五座中型普通巡逻车不少于1辆；</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fldChar w:fldCharType="begin"/>
            </w:r>
            <w:r>
              <w:rPr>
                <w:rFonts w:hint="eastAsia" w:ascii="宋体" w:hAnsi="宋体" w:eastAsia="宋体" w:cs="宋体"/>
                <w:bCs/>
                <w:szCs w:val="24"/>
                <w:highlight w:val="none"/>
              </w:rPr>
              <w:instrText xml:space="preserve"> = 10 \* GB3 \* MERGEFORMAT </w:instrText>
            </w:r>
            <w:r>
              <w:rPr>
                <w:rFonts w:hint="eastAsia" w:ascii="宋体" w:hAnsi="宋体" w:eastAsia="宋体" w:cs="宋体"/>
                <w:bCs/>
                <w:szCs w:val="24"/>
                <w:highlight w:val="none"/>
              </w:rPr>
              <w:fldChar w:fldCharType="separate"/>
            </w:r>
            <w:r>
              <w:rPr>
                <w:rFonts w:hint="eastAsia" w:ascii="宋体" w:hAnsi="宋体" w:eastAsia="宋体" w:cs="宋体"/>
                <w:highlight w:val="none"/>
              </w:rPr>
              <w:t>⑩</w:t>
            </w:r>
            <w:r>
              <w:rPr>
                <w:rFonts w:hint="eastAsia" w:ascii="宋体" w:hAnsi="宋体" w:eastAsia="宋体" w:cs="宋体"/>
                <w:bCs/>
                <w:szCs w:val="24"/>
                <w:highlight w:val="none"/>
              </w:rPr>
              <w:fldChar w:fldCharType="end"/>
            </w:r>
            <w:r>
              <w:rPr>
                <w:rFonts w:hint="eastAsia" w:ascii="宋体" w:hAnsi="宋体" w:eastAsia="宋体" w:cs="宋体"/>
                <w:bCs/>
                <w:szCs w:val="24"/>
                <w:highlight w:val="none"/>
              </w:rPr>
              <w:t>总质量2.5吨及以上轻型多用途货车不少于1辆；</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全部满足得10分，不满足一项扣1分，扣完为止；在此基础上，每增加一辆总质量1.8吨及以上五座电动巡逻车，每辆得2分，最高得4分；每增加一辆普通二轮巡逻摩托车，每辆得1分，最高得2分；没有不得分，本项最高得16分。</w:t>
            </w:r>
          </w:p>
          <w:p>
            <w:pPr>
              <w:pStyle w:val="87"/>
              <w:numPr>
                <w:ilvl w:val="0"/>
                <w:numId w:val="0"/>
              </w:numPr>
              <w:snapToGrid w:val="0"/>
              <w:spacing w:before="0" w:line="600" w:lineRule="exact"/>
              <w:jc w:val="left"/>
              <w:rPr>
                <w:rFonts w:hint="eastAsia" w:ascii="宋体" w:hAnsi="宋体" w:eastAsia="宋体" w:cs="宋体"/>
                <w:b/>
                <w:szCs w:val="24"/>
                <w:highlight w:val="none"/>
              </w:rPr>
            </w:pPr>
            <w:r>
              <w:rPr>
                <w:rFonts w:hint="eastAsia" w:ascii="宋体" w:hAnsi="宋体" w:eastAsia="宋体" w:cs="宋体"/>
                <w:b/>
                <w:szCs w:val="24"/>
                <w:highlight w:val="none"/>
                <w:lang w:eastAsia="zh-CN"/>
              </w:rPr>
              <w:t>①</w:t>
            </w:r>
            <w:r>
              <w:rPr>
                <w:rFonts w:hint="eastAsia" w:ascii="宋体" w:hAnsi="宋体" w:eastAsia="宋体" w:cs="宋体"/>
                <w:b/>
                <w:szCs w:val="24"/>
                <w:highlight w:val="none"/>
              </w:rPr>
              <w:t>②③④⑤须在投标文件中提供设备购买发票扫描件，</w:t>
            </w:r>
          </w:p>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
                <w:szCs w:val="24"/>
                <w:highlight w:val="none"/>
              </w:rPr>
              <w:t>⑥⑦</w:t>
            </w:r>
            <w:r>
              <w:rPr>
                <w:rFonts w:hint="eastAsia" w:ascii="宋体" w:hAnsi="宋体" w:eastAsia="宋体" w:cs="宋体"/>
                <w:b/>
                <w:szCs w:val="24"/>
                <w:highlight w:val="none"/>
              </w:rPr>
              <w:fldChar w:fldCharType="begin"/>
            </w:r>
            <w:r>
              <w:rPr>
                <w:rFonts w:hint="eastAsia" w:ascii="宋体" w:hAnsi="宋体" w:eastAsia="宋体" w:cs="宋体"/>
                <w:b/>
                <w:szCs w:val="24"/>
                <w:highlight w:val="none"/>
              </w:rPr>
              <w:instrText xml:space="preserve"> = 8 \* GB3 \* MERGEFORMAT </w:instrText>
            </w:r>
            <w:r>
              <w:rPr>
                <w:rFonts w:hint="eastAsia" w:ascii="宋体" w:hAnsi="宋体" w:eastAsia="宋体" w:cs="宋体"/>
                <w:b/>
                <w:szCs w:val="24"/>
                <w:highlight w:val="none"/>
              </w:rPr>
              <w:fldChar w:fldCharType="separate"/>
            </w:r>
            <w:r>
              <w:rPr>
                <w:rFonts w:hint="eastAsia" w:ascii="宋体" w:hAnsi="宋体" w:eastAsia="宋体" w:cs="宋体"/>
                <w:b/>
                <w:szCs w:val="24"/>
                <w:highlight w:val="none"/>
              </w:rPr>
              <w:t>⑧</w:t>
            </w:r>
            <w:r>
              <w:rPr>
                <w:rFonts w:hint="eastAsia" w:ascii="宋体" w:hAnsi="宋体" w:eastAsia="宋体" w:cs="宋体"/>
                <w:b/>
                <w:szCs w:val="24"/>
                <w:highlight w:val="none"/>
              </w:rPr>
              <w:fldChar w:fldCharType="end"/>
            </w:r>
            <w:r>
              <w:rPr>
                <w:rFonts w:hint="eastAsia" w:ascii="宋体" w:hAnsi="宋体" w:eastAsia="宋体" w:cs="宋体"/>
                <w:b/>
                <w:szCs w:val="24"/>
                <w:highlight w:val="none"/>
              </w:rPr>
              <w:fldChar w:fldCharType="begin"/>
            </w:r>
            <w:r>
              <w:rPr>
                <w:rFonts w:hint="eastAsia" w:ascii="宋体" w:hAnsi="宋体" w:eastAsia="宋体" w:cs="宋体"/>
                <w:b/>
                <w:szCs w:val="24"/>
                <w:highlight w:val="none"/>
              </w:rPr>
              <w:instrText xml:space="preserve"> = 9 \* GB3 \* MERGEFORMAT </w:instrText>
            </w:r>
            <w:r>
              <w:rPr>
                <w:rFonts w:hint="eastAsia" w:ascii="宋体" w:hAnsi="宋体" w:eastAsia="宋体" w:cs="宋体"/>
                <w:b/>
                <w:szCs w:val="24"/>
                <w:highlight w:val="none"/>
              </w:rPr>
              <w:fldChar w:fldCharType="separate"/>
            </w:r>
            <w:r>
              <w:rPr>
                <w:rFonts w:hint="eastAsia" w:ascii="宋体" w:hAnsi="宋体" w:eastAsia="宋体" w:cs="宋体"/>
                <w:b/>
                <w:szCs w:val="24"/>
                <w:highlight w:val="none"/>
              </w:rPr>
              <w:t>⑨</w:t>
            </w:r>
            <w:r>
              <w:rPr>
                <w:rFonts w:hint="eastAsia" w:ascii="宋体" w:hAnsi="宋体" w:eastAsia="宋体" w:cs="宋体"/>
                <w:b/>
                <w:szCs w:val="24"/>
                <w:highlight w:val="none"/>
              </w:rPr>
              <w:fldChar w:fldCharType="end"/>
            </w:r>
            <w:r>
              <w:rPr>
                <w:rFonts w:hint="eastAsia" w:ascii="宋体" w:hAnsi="宋体" w:eastAsia="宋体" w:cs="宋体"/>
                <w:b/>
                <w:szCs w:val="24"/>
                <w:highlight w:val="none"/>
              </w:rPr>
              <w:fldChar w:fldCharType="begin"/>
            </w:r>
            <w:r>
              <w:rPr>
                <w:rFonts w:hint="eastAsia" w:ascii="宋体" w:hAnsi="宋体" w:eastAsia="宋体" w:cs="宋体"/>
                <w:b/>
                <w:szCs w:val="24"/>
                <w:highlight w:val="none"/>
              </w:rPr>
              <w:instrText xml:space="preserve"> = 10 \* GB3 \* MERGEFORMAT </w:instrText>
            </w:r>
            <w:r>
              <w:rPr>
                <w:rFonts w:hint="eastAsia" w:ascii="宋体" w:hAnsi="宋体" w:eastAsia="宋体" w:cs="宋体"/>
                <w:b/>
                <w:szCs w:val="24"/>
                <w:highlight w:val="none"/>
              </w:rPr>
              <w:fldChar w:fldCharType="separate"/>
            </w:r>
            <w:r>
              <w:rPr>
                <w:rFonts w:hint="eastAsia" w:ascii="宋体" w:hAnsi="宋体" w:eastAsia="宋体" w:cs="宋体"/>
                <w:b/>
                <w:szCs w:val="24"/>
                <w:highlight w:val="none"/>
              </w:rPr>
              <w:t>⑩</w:t>
            </w:r>
            <w:r>
              <w:rPr>
                <w:rFonts w:hint="eastAsia" w:ascii="宋体" w:hAnsi="宋体" w:eastAsia="宋体" w:cs="宋体"/>
                <w:b/>
                <w:szCs w:val="24"/>
                <w:highlight w:val="none"/>
              </w:rPr>
              <w:fldChar w:fldCharType="end"/>
            </w:r>
            <w:r>
              <w:rPr>
                <w:rFonts w:hint="eastAsia" w:ascii="宋体" w:hAnsi="宋体" w:eastAsia="宋体" w:cs="宋体"/>
                <w:b/>
                <w:szCs w:val="24"/>
                <w:highlight w:val="none"/>
              </w:rPr>
              <w:t>须提供车辆登记证扫描件及车辆行驶证扫描件，否则不得分；租赁的需在投标文件中提供车辆登记证扫描件和租赁合同扫描件，车辆需在2019年1月1日（含）之后购买，时间以车辆登记证为准，租赁期限需覆盖本项目实施全部阶段，否则不得分；</w:t>
            </w:r>
          </w:p>
        </w:tc>
        <w:tc>
          <w:tcPr>
            <w:tcW w:w="838" w:type="dxa"/>
            <w:tcBorders>
              <w:tl2br w:val="nil"/>
              <w:tr2bl w:val="nil"/>
            </w:tcBorders>
            <w:vAlign w:val="center"/>
          </w:tcPr>
          <w:p>
            <w:pPr>
              <w:pStyle w:val="87"/>
              <w:snapToGrid w:val="0"/>
              <w:spacing w:before="0" w:line="380" w:lineRule="exact"/>
              <w:ind w:firstLine="0" w:firstLineChars="0"/>
              <w:jc w:val="center"/>
              <w:rPr>
                <w:rFonts w:hint="eastAsia" w:ascii="宋体" w:hAnsi="宋体" w:eastAsia="宋体" w:cs="宋体"/>
                <w:highlight w:val="none"/>
              </w:rPr>
            </w:pPr>
            <w:r>
              <w:rPr>
                <w:rFonts w:hint="eastAsia" w:ascii="宋体" w:hAnsi="宋体" w:eastAsia="宋体" w:cs="宋体"/>
                <w:sz w:val="28"/>
                <w:szCs w:val="28"/>
                <w:highlight w:val="none"/>
              </w:rPr>
              <w:t>16</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客观分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6495" w:type="dxa"/>
            <w:tcBorders>
              <w:tl2br w:val="nil"/>
              <w:tr2bl w:val="nil"/>
            </w:tcBorders>
          </w:tcPr>
          <w:p>
            <w:pPr>
              <w:pStyle w:val="87"/>
              <w:snapToGrid w:val="0"/>
              <w:spacing w:before="0" w:line="600" w:lineRule="exact"/>
              <w:ind w:firstLine="0" w:firstLineChars="0"/>
              <w:jc w:val="left"/>
              <w:rPr>
                <w:rFonts w:hint="eastAsia" w:ascii="宋体" w:hAnsi="宋体" w:eastAsia="宋体" w:cs="宋体"/>
                <w:bCs/>
                <w:szCs w:val="24"/>
                <w:highlight w:val="none"/>
              </w:rPr>
            </w:pPr>
            <w:r>
              <w:rPr>
                <w:rFonts w:hint="eastAsia" w:ascii="宋体" w:hAnsi="宋体" w:eastAsia="宋体" w:cs="宋体"/>
                <w:bCs/>
                <w:szCs w:val="24"/>
                <w:highlight w:val="none"/>
              </w:rPr>
              <w:t>针对本项目的合理化、优化建议：投标人提出的合理化建议：管理制度的优化及考核（符合的得4分，部分符合的得2分，不提供不得分）；岗位的设置（符合的得4分，部分符合的得2分，不提供不得分）；编排运营和非运营时段（符合的得4分，部分符合的得2分，不提供不得分）；早及日间和夜间人员力量的配比（符合的得4分，部分符合的得2分，不提供不得分）；合理化建议对项目实施有积极意义（符合的得3分，部分符合的得2分，不提供不得分）；具有可行性并有相应的保证措施（符合的得3分，部分符合的得2分，不提供不得分）。</w:t>
            </w:r>
          </w:p>
        </w:tc>
        <w:tc>
          <w:tcPr>
            <w:tcW w:w="838" w:type="dxa"/>
            <w:tcBorders>
              <w:tl2br w:val="nil"/>
              <w:tr2bl w:val="nil"/>
            </w:tcBorders>
            <w:vAlign w:val="center"/>
          </w:tcPr>
          <w:p>
            <w:pPr>
              <w:pStyle w:val="87"/>
              <w:snapToGrid w:val="0"/>
              <w:spacing w:before="0" w:line="38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22</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6495" w:type="dxa"/>
            <w:tcBorders>
              <w:tl2br w:val="nil"/>
              <w:tr2bl w:val="nil"/>
            </w:tcBorders>
          </w:tcPr>
          <w:p>
            <w:pPr>
              <w:adjustRightInd/>
              <w:spacing w:line="600" w:lineRule="exact"/>
              <w:jc w:val="left"/>
              <w:rPr>
                <w:rFonts w:hint="eastAsia" w:ascii="宋体" w:hAnsi="宋体" w:eastAsia="宋体" w:cs="宋体"/>
                <w:sz w:val="24"/>
                <w:highlight w:val="none"/>
              </w:rPr>
            </w:pPr>
            <w:r>
              <w:rPr>
                <w:rFonts w:hint="eastAsia" w:ascii="宋体" w:hAnsi="宋体" w:eastAsia="宋体" w:cs="宋体"/>
                <w:sz w:val="24"/>
                <w:highlight w:val="none"/>
              </w:rPr>
              <w:t>企业体系认证证书：投标人具有质量管理体系认证证书的得2分；具有环境管理体系认证证书的得2分；具有职业健康安全管理体系认证证书的得2分；证书必须在有效期内；最多得6分；</w:t>
            </w:r>
          </w:p>
          <w:p>
            <w:pPr>
              <w:adjustRightInd/>
              <w:spacing w:line="600" w:lineRule="exact"/>
              <w:jc w:val="left"/>
              <w:rPr>
                <w:rFonts w:hint="eastAsia" w:ascii="宋体" w:hAnsi="宋体" w:eastAsia="宋体" w:cs="宋体"/>
                <w:bCs/>
                <w:sz w:val="24"/>
                <w:highlight w:val="none"/>
              </w:rPr>
            </w:pPr>
            <w:r>
              <w:rPr>
                <w:rFonts w:hint="eastAsia" w:ascii="宋体" w:hAnsi="宋体" w:eastAsia="宋体" w:cs="宋体"/>
                <w:b/>
                <w:bCs/>
                <w:sz w:val="24"/>
                <w:highlight w:val="none"/>
              </w:rPr>
              <w:t>投标文件中提供证书扫描件并加盖公章；</w:t>
            </w:r>
          </w:p>
        </w:tc>
        <w:tc>
          <w:tcPr>
            <w:tcW w:w="838" w:type="dxa"/>
            <w:tcBorders>
              <w:tl2br w:val="nil"/>
              <w:tr2bl w:val="nil"/>
            </w:tcBorders>
            <w:vAlign w:val="center"/>
          </w:tcPr>
          <w:p>
            <w:pPr>
              <w:pStyle w:val="87"/>
              <w:snapToGrid w:val="0"/>
              <w:spacing w:before="0" w:line="38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客观分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64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投标人自2019年1月1日以来（时间以获奖证书或获奖文件时间为准）获得县区级</w:t>
            </w:r>
            <w:r>
              <w:rPr>
                <w:rFonts w:hint="eastAsia" w:ascii="宋体" w:hAnsi="宋体" w:cs="宋体"/>
                <w:sz w:val="24"/>
                <w:szCs w:val="24"/>
                <w:highlight w:val="none"/>
                <w:lang w:eastAsia="zh-CN"/>
              </w:rPr>
              <w:t>及以上</w:t>
            </w:r>
            <w:r>
              <w:rPr>
                <w:rFonts w:hint="eastAsia" w:ascii="宋体" w:hAnsi="宋体" w:eastAsia="宋体" w:cs="宋体"/>
                <w:sz w:val="24"/>
                <w:szCs w:val="24"/>
                <w:highlight w:val="none"/>
              </w:rPr>
              <w:t>（平台）荣誉的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每有一个得1分；获得镇街（同等级部门）荣誉</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每有一个得0.5</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本项最高得3分</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4"/>
                <w:highlight w:val="none"/>
                <w:lang w:eastAsia="zh-CN"/>
              </w:rPr>
            </w:pPr>
            <w:r>
              <w:rPr>
                <w:rFonts w:hint="eastAsia" w:ascii="宋体" w:hAnsi="宋体" w:eastAsia="宋体" w:cs="宋体"/>
                <w:b/>
                <w:bCs/>
                <w:sz w:val="24"/>
                <w:szCs w:val="24"/>
                <w:highlight w:val="none"/>
              </w:rPr>
              <w:t>投标文件中提供获奖证书或获奖文件扫描件</w:t>
            </w:r>
            <w:r>
              <w:rPr>
                <w:rFonts w:hint="eastAsia" w:ascii="宋体" w:hAnsi="宋体" w:eastAsia="宋体" w:cs="宋体"/>
                <w:b/>
                <w:bCs/>
                <w:sz w:val="24"/>
                <w:szCs w:val="24"/>
                <w:highlight w:val="none"/>
                <w:lang w:eastAsia="zh-CN"/>
              </w:rPr>
              <w:t>；</w:t>
            </w:r>
          </w:p>
        </w:tc>
        <w:tc>
          <w:tcPr>
            <w:tcW w:w="838" w:type="dxa"/>
            <w:tcBorders>
              <w:tl2br w:val="nil"/>
              <w:tr2bl w:val="nil"/>
            </w:tcBorders>
            <w:vAlign w:val="center"/>
          </w:tcPr>
          <w:p>
            <w:pPr>
              <w:pStyle w:val="87"/>
              <w:snapToGrid w:val="0"/>
              <w:spacing w:before="0" w:line="380" w:lineRule="exact"/>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客观分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6495" w:type="dxa"/>
            <w:tcBorders>
              <w:tl2br w:val="nil"/>
              <w:tr2bl w:val="nil"/>
            </w:tcBorders>
            <w:vAlign w:val="center"/>
          </w:tcPr>
          <w:p>
            <w:pPr>
              <w:pStyle w:val="87"/>
              <w:snapToGrid w:val="0"/>
              <w:spacing w:before="0" w:line="600" w:lineRule="exact"/>
              <w:ind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rPr>
              <w:t>类似业绩：投标人自2019年1月1日（时间以合同或协议签订时间为准）以来承接过（包括在管）的有类似业绩；每提供一个得0.2分，本项最高得1分；</w:t>
            </w:r>
          </w:p>
          <w:p>
            <w:pPr>
              <w:pStyle w:val="87"/>
              <w:snapToGrid w:val="0"/>
              <w:spacing w:before="0" w:line="600" w:lineRule="exact"/>
              <w:ind w:firstLine="0" w:firstLineChars="0"/>
              <w:jc w:val="left"/>
              <w:rPr>
                <w:rFonts w:hint="eastAsia" w:ascii="宋体" w:hAnsi="宋体" w:eastAsia="宋体" w:cs="宋体"/>
                <w:szCs w:val="24"/>
                <w:highlight w:val="none"/>
              </w:rPr>
            </w:pPr>
            <w:r>
              <w:rPr>
                <w:rFonts w:hint="eastAsia" w:ascii="宋体" w:hAnsi="宋体" w:eastAsia="宋体" w:cs="宋体"/>
                <w:b/>
                <w:bCs/>
                <w:szCs w:val="24"/>
                <w:highlight w:val="none"/>
              </w:rPr>
              <w:t>投标文件中提供合同或协议扫描件并加盖公章；</w:t>
            </w:r>
          </w:p>
        </w:tc>
        <w:tc>
          <w:tcPr>
            <w:tcW w:w="838" w:type="dxa"/>
            <w:tcBorders>
              <w:tl2br w:val="nil"/>
              <w:tr2bl w:val="nil"/>
            </w:tcBorders>
            <w:vAlign w:val="center"/>
          </w:tcPr>
          <w:p>
            <w:pPr>
              <w:pStyle w:val="87"/>
              <w:snapToGrid w:val="0"/>
              <w:spacing w:before="0" w:line="380" w:lineRule="exact"/>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1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客观分</w:t>
            </w:r>
          </w:p>
        </w:tc>
        <w:tc>
          <w:tcPr>
            <w:tcW w:w="900" w:type="dxa"/>
            <w:tcBorders>
              <w:tl2br w:val="nil"/>
              <w:tr2bl w:val="nil"/>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6495" w:type="dxa"/>
            <w:tcBorders>
              <w:tl2br w:val="nil"/>
              <w:tr2bl w:val="nil"/>
            </w:tcBorders>
            <w:vAlign w:val="center"/>
          </w:tcPr>
          <w:p>
            <w:pPr>
              <w:pStyle w:val="87"/>
              <w:snapToGrid w:val="0"/>
              <w:spacing w:before="0" w:line="600" w:lineRule="exact"/>
              <w:ind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rPr>
              <w:t>有效投标报价的最低价作为评标基准价，其最低报价为满分；按［投标报价得分=（评标基准价/投标报价）*10］的计算公式计算。</w:t>
            </w:r>
          </w:p>
          <w:p>
            <w:pPr>
              <w:pStyle w:val="87"/>
              <w:snapToGrid w:val="0"/>
              <w:spacing w:before="0" w:line="600" w:lineRule="exact"/>
              <w:ind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rPr>
              <w:t>评标过程中，不得去掉报价中的最高报价和最低报价。</w:t>
            </w:r>
          </w:p>
          <w:p>
            <w:pPr>
              <w:pStyle w:val="87"/>
              <w:snapToGrid w:val="0"/>
              <w:spacing w:before="0" w:line="600" w:lineRule="exact"/>
              <w:ind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rPr>
              <w:t>因落实政府采购政策需要进行价格调整的，以调整后的价格计算评标基准价和投标报价。</w:t>
            </w:r>
          </w:p>
        </w:tc>
        <w:tc>
          <w:tcPr>
            <w:tcW w:w="838" w:type="dxa"/>
            <w:tcBorders>
              <w:tl2br w:val="nil"/>
              <w:tr2bl w:val="nil"/>
            </w:tcBorders>
            <w:vAlign w:val="center"/>
          </w:tcPr>
          <w:p>
            <w:pPr>
              <w:pStyle w:val="87"/>
              <w:snapToGrid w:val="0"/>
              <w:spacing w:before="0" w:line="380" w:lineRule="exact"/>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10</w:t>
            </w:r>
          </w:p>
        </w:tc>
        <w:tc>
          <w:tcPr>
            <w:tcW w:w="912" w:type="dxa"/>
            <w:tcBorders>
              <w:tl2br w:val="nil"/>
              <w:tr2bl w:val="nil"/>
            </w:tcBorders>
            <w:vAlign w:val="center"/>
          </w:tcPr>
          <w:p>
            <w:pPr>
              <w:jc w:val="center"/>
              <w:rPr>
                <w:rFonts w:hint="eastAsia" w:ascii="宋体" w:hAnsi="宋体" w:eastAsia="宋体" w:cs="宋体"/>
                <w:sz w:val="24"/>
                <w:highlight w:val="none"/>
              </w:rPr>
            </w:pPr>
          </w:p>
        </w:tc>
        <w:tc>
          <w:tcPr>
            <w:tcW w:w="900" w:type="dxa"/>
            <w:tcBorders>
              <w:tl2br w:val="nil"/>
              <w:tr2bl w:val="nil"/>
            </w:tcBorders>
            <w:vAlign w:val="center"/>
          </w:tcPr>
          <w:p>
            <w:pPr>
              <w:jc w:val="center"/>
              <w:rPr>
                <w:rFonts w:hint="eastAsia" w:ascii="宋体" w:hAnsi="宋体" w:eastAsia="宋体" w:cs="宋体"/>
                <w:sz w:val="24"/>
                <w:highlight w:val="none"/>
              </w:rPr>
            </w:pPr>
          </w:p>
        </w:tc>
      </w:tr>
    </w:tbl>
    <w:p>
      <w:pPr>
        <w:snapToGrid w:val="0"/>
        <w:spacing w:line="600" w:lineRule="exact"/>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 *</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pPr>
        <w:snapToGrid w:val="0"/>
        <w:spacing w:line="600" w:lineRule="exact"/>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pPr>
        <w:spacing w:line="60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见评标办法前附表。</w:t>
      </w:r>
    </w:p>
    <w:p>
      <w:pPr>
        <w:spacing w:line="600" w:lineRule="exact"/>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600" w:lineRule="exact"/>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pStyle w:val="87"/>
        <w:spacing w:before="0" w:line="600" w:lineRule="exact"/>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pPr>
        <w:pStyle w:val="87"/>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87"/>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87"/>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87"/>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87"/>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87"/>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ind w:firstLine="480" w:firstLineChars="200"/>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600" w:lineRule="exac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87"/>
        <w:spacing w:before="0" w:line="600" w:lineRule="exact"/>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600" w:lineRule="exact"/>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600" w:lineRule="exact"/>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600" w:lineRule="exact"/>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pPr>
        <w:pStyle w:val="2"/>
        <w:spacing w:line="600" w:lineRule="exact"/>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pPr>
        <w:pStyle w:val="25"/>
        <w:snapToGrid w:val="0"/>
        <w:spacing w:line="600" w:lineRule="exact"/>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5.1符合专业条件的投标人或者对招标文件作实质响应的投标人不足3家的；</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废标后，采购代理机构应当将废标理由通知所有投标人。</w:t>
      </w:r>
    </w:p>
    <w:p>
      <w:pPr>
        <w:pStyle w:val="25"/>
        <w:snapToGrid w:val="0"/>
        <w:spacing w:line="600" w:lineRule="exact"/>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600" w:lineRule="exact"/>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有政府采购法第七十一条、第七十二条规定的违法行为之一，影响或者可能影响中标结果的，依照下列规定处理：</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7.1未确定中标投标人的，终止本次政府采购活动，重新开展政府采购活动。</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7.2已确定中标投标人但尚未签订政府采购合同的，中标结果无效，从合格的中标候选人中另行确定中标投标人；没有合格的中标候选人的，重新开展政府采购活动。</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7.3政府采购合同已签订但尚未履行的，撤销合同，从合格的中标候选人中另行确定中标投标人；没有合格的中标候选人的，重新开展政府采购活动。</w:t>
      </w:r>
    </w:p>
    <w:p>
      <w:pPr>
        <w:pStyle w:val="25"/>
        <w:snapToGrid w:val="0"/>
        <w:spacing w:line="600" w:lineRule="exact"/>
        <w:rPr>
          <w:rFonts w:hint="eastAsia" w:ascii="宋体" w:hAnsi="宋体" w:eastAsia="宋体" w:cs="宋体"/>
          <w:highlight w:val="none"/>
        </w:rPr>
      </w:pPr>
      <w:r>
        <w:rPr>
          <w:rFonts w:hint="eastAsia" w:ascii="宋体" w:hAnsi="宋体" w:eastAsia="宋体" w:cs="宋体"/>
          <w:highlight w:val="none"/>
        </w:rPr>
        <w:t>7.4政府采购合同已经履行，给采购人、投标人造成损失的，由责任人承担赔偿责任。</w:t>
      </w:r>
    </w:p>
    <w:p>
      <w:pPr>
        <w:pStyle w:val="25"/>
        <w:snapToGrid w:val="0"/>
        <w:spacing w:line="600" w:lineRule="exact"/>
        <w:rPr>
          <w:rFonts w:hint="eastAsia" w:ascii="宋体" w:hAnsi="宋体" w:eastAsia="宋体" w:cs="宋体"/>
          <w:highlight w:val="none"/>
        </w:rPr>
        <w:sectPr>
          <w:pgSz w:w="11907" w:h="16840"/>
          <w:pgMar w:top="1531" w:right="1304" w:bottom="1531" w:left="1361" w:header="851" w:footer="851" w:gutter="0"/>
          <w:cols w:space="720" w:num="1"/>
        </w:sectPr>
      </w:pPr>
      <w:r>
        <w:rPr>
          <w:rFonts w:hint="eastAsia" w:ascii="宋体" w:hAnsi="宋体" w:eastAsia="宋体"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0" w:name="第五部分"/>
      <w:bookmarkStart w:id="401" w:name="_Toc86217003"/>
    </w:p>
    <w:p>
      <w:pPr>
        <w:pStyle w:val="26"/>
        <w:ind w:firstLine="420"/>
        <w:rPr>
          <w:rFonts w:hint="eastAsia" w:ascii="宋体" w:hAnsi="宋体" w:eastAsia="宋体" w:cs="宋体"/>
          <w:highlight w:val="none"/>
        </w:rPr>
      </w:pPr>
    </w:p>
    <w:p>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pPr>
        <w:rPr>
          <w:rFonts w:hint="eastAsia" w:ascii="宋体" w:hAnsi="宋体" w:eastAsia="宋体" w:cs="宋体"/>
          <w:sz w:val="24"/>
          <w:highlight w:val="none"/>
          <w:u w:val="single"/>
        </w:rPr>
      </w:pPr>
      <w:r>
        <w:rPr>
          <w:rFonts w:hint="eastAsia" w:ascii="宋体" w:hAnsi="宋体" w:eastAsia="宋体" w:cs="宋体"/>
          <w:sz w:val="24"/>
          <w:highlight w:val="none"/>
        </w:rPr>
        <w:t>合同编号：</w:t>
      </w:r>
    </w:p>
    <w:p>
      <w:pPr>
        <w:spacing w:line="480" w:lineRule="auto"/>
        <w:jc w:val="center"/>
        <w:rPr>
          <w:rFonts w:hint="eastAsia" w:ascii="宋体" w:hAnsi="宋体" w:eastAsia="宋体" w:cs="宋体"/>
          <w:b/>
          <w:sz w:val="28"/>
          <w:szCs w:val="28"/>
          <w:highlight w:val="none"/>
        </w:rPr>
      </w:pPr>
    </w:p>
    <w:p>
      <w:pPr>
        <w:spacing w:line="480" w:lineRule="auto"/>
        <w:jc w:val="center"/>
        <w:rPr>
          <w:rFonts w:hint="eastAsia" w:ascii="宋体" w:hAnsi="宋体" w:eastAsia="宋体" w:cs="宋体"/>
          <w:b/>
          <w:sz w:val="24"/>
          <w:highlight w:val="none"/>
        </w:rPr>
      </w:pPr>
    </w:p>
    <w:p>
      <w:pPr>
        <w:spacing w:line="480" w:lineRule="auto"/>
        <w:jc w:val="center"/>
        <w:rPr>
          <w:rFonts w:hint="eastAsia" w:ascii="宋体" w:hAnsi="宋体" w:eastAsia="宋体" w:cs="宋体"/>
          <w:b/>
          <w:sz w:val="24"/>
          <w:highlight w:val="none"/>
        </w:rPr>
      </w:pPr>
    </w:p>
    <w:p>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（服务类）</w:t>
      </w:r>
    </w:p>
    <w:p>
      <w:pPr>
        <w:pStyle w:val="80"/>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pPr>
        <w:spacing w:before="120" w:line="22" w:lineRule="atLeast"/>
        <w:rPr>
          <w:rFonts w:hint="eastAsia" w:ascii="宋体" w:hAnsi="宋体" w:eastAsia="宋体" w:cs="宋体"/>
          <w:sz w:val="24"/>
          <w:highlight w:val="none"/>
        </w:rPr>
      </w:pPr>
    </w:p>
    <w:p>
      <w:pPr>
        <w:pStyle w:val="2"/>
        <w:rPr>
          <w:rFonts w:hint="eastAsia" w:ascii="宋体" w:hAnsi="宋体" w:eastAsia="宋体" w:cs="宋体"/>
          <w:highlight w:val="none"/>
        </w:rPr>
      </w:pPr>
    </w:p>
    <w:p>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284"/>
        <w:spacing w:before="120" w:line="22" w:lineRule="atLeast"/>
        <w:rPr>
          <w:rFonts w:hint="eastAsia" w:ascii="宋体" w:hAnsi="宋体" w:eastAsia="宋体" w:cs="宋体"/>
          <w:szCs w:val="24"/>
          <w:highlight w:val="none"/>
        </w:rPr>
      </w:pPr>
    </w:p>
    <w:p>
      <w:pPr>
        <w:pStyle w:val="284"/>
        <w:spacing w:before="120" w:line="22" w:lineRule="atLeast"/>
        <w:rPr>
          <w:rFonts w:hint="eastAsia" w:ascii="宋体" w:hAnsi="宋体" w:eastAsia="宋体" w:cs="宋体"/>
          <w:szCs w:val="24"/>
          <w:highlight w:val="none"/>
        </w:rPr>
      </w:pPr>
    </w:p>
    <w:p>
      <w:pPr>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p>
    <w:p>
      <w:pPr>
        <w:spacing w:before="120" w:line="22" w:lineRule="atLeast"/>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p>
    <w:p>
      <w:pPr>
        <w:spacing w:before="120" w:line="22" w:lineRule="atLeast"/>
        <w:rPr>
          <w:rFonts w:hint="eastAsia" w:ascii="宋体" w:hAnsi="宋体" w:eastAsia="宋体" w:cs="宋体"/>
          <w:sz w:val="24"/>
          <w:highlight w:val="none"/>
        </w:rPr>
      </w:pPr>
    </w:p>
    <w:p>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p>
    <w:p>
      <w:pPr>
        <w:spacing w:before="120" w:line="22" w:lineRule="atLeast"/>
        <w:rPr>
          <w:rFonts w:hint="eastAsia" w:ascii="宋体" w:hAnsi="宋体" w:eastAsia="宋体" w:cs="宋体"/>
          <w:sz w:val="24"/>
          <w:highlight w:val="none"/>
        </w:rPr>
      </w:pPr>
    </w:p>
    <w:p>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签订日期：年月日</w:t>
      </w:r>
    </w:p>
    <w:p>
      <w:pPr>
        <w:widowControl/>
        <w:jc w:val="left"/>
        <w:rPr>
          <w:rFonts w:hint="eastAsia" w:ascii="宋体" w:hAnsi="宋体" w:eastAsia="宋体" w:cs="宋体"/>
          <w:kern w:val="0"/>
          <w:sz w:val="24"/>
          <w:highlight w:val="none"/>
        </w:rPr>
        <w:sectPr>
          <w:pgSz w:w="11907" w:h="16840"/>
          <w:pgMar w:top="1531" w:right="1304" w:bottom="1531" w:left="1361" w:header="851" w:footer="851" w:gutter="0"/>
          <w:cols w:space="720" w:num="1"/>
        </w:sectPr>
      </w:pPr>
    </w:p>
    <w:p>
      <w:pPr>
        <w:rPr>
          <w:rFonts w:hint="eastAsia" w:ascii="宋体" w:hAnsi="宋体" w:eastAsia="宋体" w:cs="宋体"/>
          <w:b/>
          <w:sz w:val="24"/>
          <w:highlight w:val="none"/>
        </w:rPr>
      </w:pP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年月日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2023—2024年度护校安园和应急处置辅助服务项目</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（中标或者成交投标人名称） </w:t>
      </w:r>
      <w:r>
        <w:rPr>
          <w:rFonts w:hint="eastAsia" w:ascii="宋体" w:hAnsi="宋体" w:eastAsia="宋体" w:cs="宋体"/>
          <w:sz w:val="24"/>
          <w:highlight w:val="none"/>
        </w:rPr>
        <w:t>为该项目中标或者成交投标人。现于中标或者成交通知书发出之日起10个工作日内，按照采购文件确定的事项签订本合同。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（中或者成交标投标人名称）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pPr>
        <w:spacing w:line="560" w:lineRule="exact"/>
        <w:ind w:firstLine="482" w:firstLineChars="200"/>
        <w:outlineLvl w:val="0"/>
        <w:rPr>
          <w:rFonts w:hint="eastAsia" w:ascii="宋体" w:hAnsi="宋体" w:eastAsia="宋体" w:cs="宋体"/>
          <w:sz w:val="24"/>
          <w:highlight w:val="none"/>
        </w:rPr>
      </w:pPr>
      <w:bookmarkStart w:id="402" w:name="_Toc28855"/>
      <w:bookmarkStart w:id="403" w:name="_Toc22967"/>
      <w:bookmarkStart w:id="404" w:name="_Toc15367"/>
      <w:bookmarkStart w:id="405" w:name="_Toc20421"/>
      <w:bookmarkStart w:id="406" w:name="_Toc19273"/>
      <w:r>
        <w:rPr>
          <w:rFonts w:hint="eastAsia" w:ascii="宋体" w:hAnsi="宋体" w:eastAsia="宋体" w:cs="宋体"/>
          <w:b/>
          <w:sz w:val="24"/>
          <w:highlight w:val="none"/>
        </w:rPr>
        <w:t>1.1 合同组成部分</w:t>
      </w:r>
      <w:bookmarkEnd w:id="402"/>
      <w:bookmarkEnd w:id="403"/>
      <w:bookmarkEnd w:id="404"/>
      <w:bookmarkEnd w:id="405"/>
      <w:bookmarkEnd w:id="406"/>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本合同及其补充合同、变更协议；</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中标或者成交通知书；</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投标或者响应文件（含澄清或者说明文件）；</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采购文件（含澄清或者修改文件）；</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其他相关采购文件。</w:t>
      </w:r>
    </w:p>
    <w:p>
      <w:pPr>
        <w:spacing w:line="560" w:lineRule="exact"/>
        <w:ind w:firstLine="482" w:firstLineChars="200"/>
        <w:outlineLvl w:val="0"/>
        <w:rPr>
          <w:rFonts w:hint="eastAsia" w:ascii="宋体" w:hAnsi="宋体" w:eastAsia="宋体" w:cs="宋体"/>
          <w:b/>
          <w:sz w:val="24"/>
          <w:highlight w:val="none"/>
        </w:rPr>
      </w:pPr>
      <w:bookmarkStart w:id="407" w:name="_Toc6311"/>
      <w:bookmarkStart w:id="408" w:name="_Toc22185"/>
      <w:bookmarkStart w:id="409" w:name="_Toc6773"/>
      <w:bookmarkStart w:id="410" w:name="_Toc18585"/>
      <w:bookmarkStart w:id="411" w:name="_Toc2918"/>
      <w:r>
        <w:rPr>
          <w:rFonts w:hint="eastAsia" w:ascii="宋体" w:hAnsi="宋体" w:eastAsia="宋体" w:cs="宋体"/>
          <w:b/>
          <w:sz w:val="24"/>
          <w:highlight w:val="none"/>
        </w:rPr>
        <w:t>1.2 标的</w:t>
      </w:r>
      <w:bookmarkEnd w:id="407"/>
      <w:bookmarkEnd w:id="408"/>
      <w:bookmarkEnd w:id="409"/>
      <w:bookmarkEnd w:id="410"/>
      <w:bookmarkEnd w:id="411"/>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 服务内容：；</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 服务标准：；</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1.2.3 技术保障：</w:t>
      </w:r>
      <w:r>
        <w:rPr>
          <w:rFonts w:hint="eastAsia" w:ascii="宋体" w:hAnsi="宋体" w:eastAsia="宋体" w:cs="宋体"/>
          <w:sz w:val="24"/>
          <w:highlight w:val="none"/>
          <w:u w:val="single"/>
        </w:rPr>
        <w:t>　　　　　　　　　                      　      ；</w:t>
      </w:r>
    </w:p>
    <w:p>
      <w:pPr>
        <w:spacing w:line="5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1.2.4 服务人员组成：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1.2.5合同（是/否）涉及货物。若涉及货物的的，则：</w:t>
      </w:r>
    </w:p>
    <w:p>
      <w:pPr>
        <w:spacing w:line="560" w:lineRule="exact"/>
        <w:ind w:firstLine="480" w:firstLineChars="200"/>
        <w:rPr>
          <w:rFonts w:hint="eastAsia" w:ascii="宋体" w:hAnsi="宋体" w:eastAsia="宋体" w:cs="宋体"/>
          <w:sz w:val="24"/>
          <w:highlight w:val="none"/>
          <w:u w:val="single"/>
        </w:rPr>
      </w:pPr>
      <w:bookmarkStart w:id="412" w:name="_Toc1386"/>
      <w:bookmarkStart w:id="413" w:name="_Toc4929"/>
      <w:bookmarkStart w:id="414" w:name="_Toc21124"/>
      <w:bookmarkStart w:id="415" w:name="_Toc5635"/>
      <w:bookmarkStart w:id="416" w:name="_Toc13918"/>
      <w:r>
        <w:rPr>
          <w:rFonts w:hint="eastAsia" w:ascii="宋体" w:hAnsi="宋体" w:eastAsia="宋体" w:cs="宋体"/>
          <w:sz w:val="24"/>
          <w:highlight w:val="none"/>
        </w:rPr>
        <w:t>1.2.5.1 货物名称、品牌、规格型号、花色：；</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1.2.5.2 货物数量：；</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1.2.5.3 货物质量：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1.3 价款</w:t>
      </w:r>
      <w:bookmarkEnd w:id="412"/>
      <w:bookmarkEnd w:id="413"/>
      <w:bookmarkEnd w:id="414"/>
      <w:bookmarkEnd w:id="415"/>
      <w:bookmarkEnd w:id="416"/>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本项目采用以下第条款规定的计价方式计价。</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1.3.1总价合同，本合同总价（含税）为：￥元（大写：元人民币）。</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vAlign w:val="center"/>
          </w:tcPr>
          <w:p>
            <w:pPr>
              <w:pStyle w:val="107"/>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vAlign w:val="center"/>
          </w:tcPr>
          <w:p>
            <w:pPr>
              <w:pStyle w:val="107"/>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3402" w:type="dxa"/>
            <w:vAlign w:val="center"/>
          </w:tcPr>
          <w:p>
            <w:pPr>
              <w:pStyle w:val="107"/>
              <w:spacing w:line="560" w:lineRule="exact"/>
              <w:ind w:firstLine="200"/>
              <w:jc w:val="center"/>
              <w:rPr>
                <w:rFonts w:hint="eastAsia" w:ascii="宋体" w:hAnsi="宋体" w:eastAsia="宋体" w:cs="宋体"/>
                <w:sz w:val="24"/>
                <w:szCs w:val="24"/>
                <w:highlight w:val="none"/>
              </w:rPr>
            </w:pPr>
          </w:p>
        </w:tc>
        <w:tc>
          <w:tcPr>
            <w:tcW w:w="2552" w:type="dxa"/>
            <w:vAlign w:val="center"/>
          </w:tcPr>
          <w:p>
            <w:pPr>
              <w:pStyle w:val="107"/>
              <w:spacing w:line="560" w:lineRule="exact"/>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7"/>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vAlign w:val="center"/>
          </w:tcPr>
          <w:p>
            <w:pPr>
              <w:pStyle w:val="107"/>
              <w:spacing w:line="560" w:lineRule="exact"/>
              <w:ind w:firstLine="200"/>
              <w:jc w:val="center"/>
              <w:rPr>
                <w:rFonts w:hint="eastAsia" w:ascii="宋体" w:hAnsi="宋体" w:eastAsia="宋体" w:cs="宋体"/>
                <w:sz w:val="24"/>
                <w:szCs w:val="24"/>
                <w:highlight w:val="none"/>
              </w:rPr>
            </w:pPr>
          </w:p>
        </w:tc>
      </w:tr>
    </w:tbl>
    <w:p>
      <w:pPr>
        <w:spacing w:line="560" w:lineRule="exact"/>
        <w:ind w:firstLine="480" w:firstLineChars="200"/>
        <w:rPr>
          <w:rFonts w:hint="eastAsia" w:ascii="宋体" w:hAnsi="宋体" w:eastAsia="宋体" w:cs="宋体"/>
          <w:sz w:val="24"/>
          <w:highlight w:val="none"/>
        </w:rPr>
      </w:pPr>
      <w:bookmarkStart w:id="417" w:name="_Toc3654"/>
      <w:bookmarkStart w:id="418" w:name="_Toc14993"/>
      <w:bookmarkStart w:id="419" w:name="_Toc26916"/>
      <w:bookmarkStart w:id="420" w:name="_Toc30158"/>
      <w:bookmarkStart w:id="421" w:name="_Toc30506"/>
      <w:r>
        <w:rPr>
          <w:rFonts w:hint="eastAsia" w:ascii="宋体" w:hAnsi="宋体" w:eastAsia="宋体" w:cs="宋体"/>
          <w:bCs/>
          <w:sz w:val="24"/>
          <w:highlight w:val="none"/>
        </w:rPr>
        <w:t>1.3.2单价合同，本合同单价（含税）标准为：</w:t>
      </w:r>
      <w:r>
        <w:rPr>
          <w:rFonts w:hint="eastAsia" w:ascii="宋体" w:hAnsi="宋体" w:eastAsia="宋体" w:cs="宋体"/>
          <w:sz w:val="24"/>
          <w:highlight w:val="none"/>
        </w:rPr>
        <w:t>。服务工作量的计量方式为：</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。单价合同，在合同履行期间内，根据实际完成的工作量据实结算，但结算总价上限不得超过预算金额或者双方确定的金额￥元（大写：元人民币）。</w:t>
      </w:r>
    </w:p>
    <w:p>
      <w:pPr>
        <w:pStyle w:val="2"/>
        <w:rPr>
          <w:rFonts w:hint="eastAsia" w:ascii="宋体" w:hAnsi="宋体" w:eastAsia="宋体" w:cs="宋体"/>
          <w:highlight w:val="none"/>
          <w:lang w:val="en-US"/>
        </w:rPr>
      </w:pP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rPr>
        <w:t>。</w:t>
      </w:r>
    </w:p>
    <w:bookmarkEnd w:id="417"/>
    <w:bookmarkEnd w:id="418"/>
    <w:bookmarkEnd w:id="419"/>
    <w:bookmarkEnd w:id="420"/>
    <w:bookmarkEnd w:id="421"/>
    <w:p>
      <w:pPr>
        <w:pStyle w:val="618"/>
        <w:spacing w:before="0" w:beforeAutospacing="0" w:after="0" w:afterAutospacing="0" w:line="360" w:lineRule="auto"/>
        <w:ind w:firstLine="480"/>
        <w:rPr>
          <w:rFonts w:hint="eastAsia" w:ascii="宋体" w:hAnsi="宋体" w:eastAsia="宋体" w:cs="宋体"/>
          <w:b/>
          <w:highlight w:val="none"/>
        </w:rPr>
      </w:pPr>
      <w:bookmarkStart w:id="422" w:name="_Toc10340"/>
      <w:bookmarkStart w:id="423" w:name="_Toc1814"/>
      <w:bookmarkStart w:id="424" w:name="_Toc22618"/>
      <w:bookmarkStart w:id="425" w:name="_Toc31421"/>
      <w:bookmarkStart w:id="426" w:name="_Toc8772"/>
      <w:bookmarkStart w:id="427" w:name="_Toc3625"/>
      <w:bookmarkStart w:id="428" w:name="_Toc11108"/>
      <w:bookmarkStart w:id="429" w:name="_Toc4760"/>
      <w:r>
        <w:rPr>
          <w:rFonts w:hint="eastAsia" w:ascii="宋体" w:hAnsi="宋体" w:eastAsia="宋体" w:cs="宋体"/>
          <w:b/>
          <w:highlight w:val="none"/>
        </w:rPr>
        <w:t>1.4履约保证金</w:t>
      </w:r>
    </w:p>
    <w:p>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乙方（是/否）需要支付履约保证金。若需要支付履约保证金的，则：</w:t>
      </w:r>
    </w:p>
    <w:p>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1.4.1履约保证金的比例为合同金额的%；</w:t>
      </w:r>
    </w:p>
    <w:p>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1.4.2履约保证金支付方式详见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pPr>
        <w:pStyle w:val="2"/>
        <w:tabs>
          <w:tab w:val="left" w:pos="0"/>
        </w:tabs>
        <w:spacing w:line="560" w:lineRule="exact"/>
        <w:ind w:left="0" w:firstLine="480" w:firstLineChars="200"/>
        <w:rPr>
          <w:rFonts w:hint="eastAsia" w:ascii="宋体" w:hAnsi="宋体" w:eastAsia="宋体" w:cs="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highlight w:val="none"/>
          <w:u w:val="single"/>
        </w:rPr>
        <w:t xml:space="preserve">  0.05（可根据情况修改）  </w:t>
      </w:r>
      <w:r>
        <w:rPr>
          <w:rFonts w:hint="eastAsia" w:ascii="宋体" w:hAnsi="宋体" w:eastAsia="宋体" w:cs="宋体"/>
          <w:kern w:val="0"/>
          <w:sz w:val="24"/>
          <w:highlight w:val="none"/>
        </w:rPr>
        <w:t>%计算，最高限额为本合同履约保证金的</w:t>
      </w:r>
      <w:r>
        <w:rPr>
          <w:rFonts w:hint="eastAsia" w:ascii="宋体" w:hAnsi="宋体" w:eastAsia="宋体" w:cs="宋体"/>
          <w:kern w:val="0"/>
          <w:sz w:val="24"/>
          <w:highlight w:val="none"/>
          <w:u w:val="single"/>
        </w:rPr>
        <w:t xml:space="preserve">  20  </w:t>
      </w:r>
      <w:r>
        <w:rPr>
          <w:rFonts w:hint="eastAsia" w:ascii="宋体" w:hAnsi="宋体" w:eastAsia="宋体" w:cs="宋体"/>
          <w:kern w:val="0"/>
          <w:sz w:val="24"/>
          <w:highlight w:val="none"/>
        </w:rPr>
        <w:t xml:space="preserve"> %。</w:t>
      </w:r>
    </w:p>
    <w:p>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w:t>
      </w:r>
      <w:bookmarkEnd w:id="422"/>
      <w:bookmarkEnd w:id="423"/>
      <w:bookmarkEnd w:id="424"/>
      <w:r>
        <w:rPr>
          <w:rFonts w:hint="eastAsia" w:ascii="宋体" w:hAnsi="宋体" w:eastAsia="宋体" w:cs="宋体"/>
          <w:b/>
          <w:sz w:val="24"/>
          <w:highlight w:val="none"/>
        </w:rPr>
        <w:t>预付款</w:t>
      </w:r>
    </w:p>
    <w:p>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甲方（是/否）需要支付预付款。若需要支付预付款的，则：</w:t>
      </w:r>
    </w:p>
    <w:p>
      <w:pPr>
        <w:spacing w:line="5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1.5.1预付款比例、支付方式、时间详见</w:t>
      </w:r>
      <w:r>
        <w:rPr>
          <w:rFonts w:hint="eastAsia" w:ascii="宋体" w:hAnsi="宋体" w:eastAsia="宋体" w:cs="宋体"/>
          <w:b/>
          <w:i/>
          <w:sz w:val="24"/>
          <w:highlight w:val="none"/>
          <w:u w:val="single"/>
        </w:rPr>
        <w:t>合同专用条款</w:t>
      </w:r>
      <w:r>
        <w:rPr>
          <w:rFonts w:hint="eastAsia" w:ascii="宋体" w:hAnsi="宋体" w:eastAsia="宋体" w:cs="宋体"/>
          <w:kern w:val="0"/>
          <w:sz w:val="24"/>
          <w:highlight w:val="none"/>
        </w:rPr>
        <w:t>；</w:t>
      </w:r>
    </w:p>
    <w:p>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1.5.2预付款的扣回方式详见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pPr>
        <w:pStyle w:val="618"/>
        <w:spacing w:before="0" w:beforeAutospacing="0" w:after="0" w:afterAutospacing="0" w:line="360" w:lineRule="auto"/>
        <w:ind w:firstLine="480"/>
        <w:rPr>
          <w:rFonts w:hint="eastAsia" w:ascii="宋体" w:hAnsi="宋体" w:eastAsia="宋体" w:cs="宋体"/>
          <w:highlight w:val="none"/>
          <w:u w:val="single"/>
        </w:rPr>
      </w:pPr>
      <w:r>
        <w:rPr>
          <w:rFonts w:hint="eastAsia" w:ascii="宋体" w:hAnsi="宋体" w:eastAsia="宋体" w:cs="宋体"/>
          <w:highlight w:val="none"/>
        </w:rPr>
        <w:t>1.5.3预付款的担保措施详见</w:t>
      </w:r>
      <w:r>
        <w:rPr>
          <w:rFonts w:hint="eastAsia" w:ascii="宋体" w:hAnsi="宋体" w:eastAsia="宋体" w:cs="宋体"/>
          <w:b/>
          <w:i/>
          <w:highlight w:val="none"/>
          <w:u w:val="single"/>
        </w:rPr>
        <w:t>合同专用条款</w:t>
      </w:r>
      <w:r>
        <w:rPr>
          <w:rFonts w:hint="eastAsia" w:ascii="宋体" w:hAnsi="宋体" w:eastAsia="宋体" w:cs="宋体"/>
          <w:highlight w:val="none"/>
        </w:rPr>
        <w:t>。</w:t>
      </w:r>
    </w:p>
    <w:p>
      <w:pPr>
        <w:pStyle w:val="618"/>
        <w:spacing w:before="0" w:beforeAutospacing="0" w:after="0" w:afterAutospacing="0" w:line="360" w:lineRule="auto"/>
        <w:ind w:firstLine="480"/>
        <w:rPr>
          <w:rFonts w:hint="eastAsia" w:ascii="宋体" w:hAnsi="宋体" w:eastAsia="宋体" w:cs="宋体"/>
          <w:b/>
          <w:bCs/>
          <w:highlight w:val="none"/>
        </w:rPr>
      </w:pPr>
      <w:r>
        <w:rPr>
          <w:rFonts w:hint="eastAsia" w:ascii="宋体" w:hAnsi="宋体" w:eastAsia="宋体" w:cs="宋体"/>
          <w:b/>
          <w:bCs/>
          <w:highlight w:val="none"/>
        </w:rPr>
        <w:t>1.6资金支付</w:t>
      </w:r>
    </w:p>
    <w:p>
      <w:pPr>
        <w:pStyle w:val="618"/>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rPr>
        <w:t>1.6.2资金支付的方式、时间和条件详见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1.7 履行期限、地点和方式</w:t>
      </w:r>
      <w:bookmarkEnd w:id="425"/>
      <w:bookmarkEnd w:id="426"/>
      <w:bookmarkEnd w:id="427"/>
      <w:bookmarkEnd w:id="428"/>
      <w:bookmarkEnd w:id="429"/>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1.7.1 服务交付（实施）的时间（期限）：</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 服务交付（实施）的地点（地域范围）：</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 服务交付（实施）的方式：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0" w:firstLineChars="200"/>
        <w:outlineLvl w:val="0"/>
        <w:rPr>
          <w:rFonts w:hint="eastAsia" w:ascii="宋体" w:hAnsi="宋体" w:eastAsia="宋体" w:cs="宋体"/>
          <w:bCs/>
          <w:sz w:val="24"/>
          <w:highlight w:val="none"/>
        </w:rPr>
      </w:pPr>
      <w:bookmarkStart w:id="430" w:name="_Toc3079"/>
      <w:bookmarkStart w:id="431" w:name="_Toc8586"/>
      <w:bookmarkStart w:id="432" w:name="_Toc5698"/>
      <w:bookmarkStart w:id="433" w:name="_Toc2375"/>
      <w:bookmarkStart w:id="434" w:name="_Toc24662"/>
      <w:r>
        <w:rPr>
          <w:rFonts w:hint="eastAsia" w:ascii="宋体" w:hAnsi="宋体" w:eastAsia="宋体" w:cs="宋体"/>
          <w:bCs/>
          <w:sz w:val="24"/>
          <w:highlight w:val="none"/>
        </w:rPr>
        <w:t>1.7.4若服务涉及货物的，则货物的：</w:t>
      </w:r>
    </w:p>
    <w:p>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1.7.4.1 交付期限：详见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1.7.4.2 交付地点：</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1.7.4.3 交付方式：</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2" w:firstLineChars="200"/>
        <w:outlineLvl w:val="0"/>
        <w:rPr>
          <w:rFonts w:hint="eastAsia" w:ascii="宋体" w:hAnsi="宋体" w:eastAsia="宋体" w:cs="宋体"/>
          <w:sz w:val="24"/>
          <w:highlight w:val="none"/>
          <w:u w:val="single"/>
        </w:rPr>
      </w:pPr>
      <w:r>
        <w:rPr>
          <w:rFonts w:hint="eastAsia" w:ascii="宋体" w:hAnsi="宋体" w:eastAsia="宋体" w:cs="宋体"/>
          <w:b/>
          <w:sz w:val="24"/>
          <w:highlight w:val="none"/>
        </w:rPr>
        <w:t>1.8违约责任</w:t>
      </w:r>
      <w:bookmarkEnd w:id="430"/>
      <w:bookmarkEnd w:id="431"/>
      <w:bookmarkEnd w:id="432"/>
      <w:bookmarkEnd w:id="433"/>
      <w:bookmarkEnd w:id="434"/>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highlight w:val="none"/>
          <w:u w:val="single"/>
        </w:rPr>
        <w:t xml:space="preserve">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   </w:t>
      </w:r>
      <w:r>
        <w:rPr>
          <w:rFonts w:hint="eastAsia" w:ascii="宋体" w:hAnsi="宋体" w:eastAsia="宋体" w:cs="宋体"/>
          <w:sz w:val="24"/>
          <w:highlight w:val="none"/>
        </w:rPr>
        <w:t>%；迟延履行的违约金计算数额达到前述最高限额之日起，甲方有权在要求乙方支付违约金的同时，书面通知乙方解除本合同；</w:t>
      </w:r>
    </w:p>
    <w:p>
      <w:pPr>
        <w:pStyle w:val="2"/>
        <w:ind w:left="0"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5（可根据情况修改） %计算，最高限额为本合同总价的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20</w:t>
      </w:r>
      <w:r>
        <w:rPr>
          <w:rFonts w:hint="eastAsia" w:ascii="宋体" w:hAnsi="宋体" w:eastAsia="宋体" w:cs="宋体"/>
          <w:kern w:val="0"/>
          <w:sz w:val="24"/>
          <w:highlight w:val="none"/>
          <w:u w:val="single"/>
        </w:rPr>
        <w:t>（可根据情况修改）</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highlight w:val="none"/>
        </w:rPr>
      </w:pPr>
      <w:bookmarkStart w:id="435" w:name="_Toc30329"/>
      <w:bookmarkStart w:id="436" w:name="_Toc9497"/>
      <w:bookmarkStart w:id="437" w:name="_Toc26807"/>
      <w:bookmarkStart w:id="438" w:name="_Toc32454"/>
      <w:bookmarkStart w:id="439" w:name="_Toc18683"/>
      <w:r>
        <w:rPr>
          <w:rFonts w:hint="eastAsia" w:ascii="宋体" w:hAnsi="宋体" w:eastAsia="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1.8.7违约责任</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另有约定的，从其约定。</w:t>
      </w:r>
    </w:p>
    <w:bookmarkEnd w:id="435"/>
    <w:bookmarkEnd w:id="436"/>
    <w:bookmarkEnd w:id="437"/>
    <w:bookmarkEnd w:id="438"/>
    <w:bookmarkEnd w:id="439"/>
    <w:p>
      <w:pPr>
        <w:spacing w:line="560" w:lineRule="exact"/>
        <w:ind w:firstLine="482" w:firstLineChars="200"/>
        <w:outlineLvl w:val="0"/>
        <w:rPr>
          <w:rFonts w:hint="eastAsia" w:ascii="宋体" w:hAnsi="宋体" w:eastAsia="宋体" w:cs="宋体"/>
          <w:b/>
          <w:sz w:val="24"/>
          <w:highlight w:val="none"/>
        </w:rPr>
      </w:pPr>
      <w:bookmarkStart w:id="440" w:name="_Toc28375"/>
      <w:bookmarkStart w:id="441" w:name="_Toc15583"/>
      <w:bookmarkStart w:id="442" w:name="_Toc16021"/>
      <w:r>
        <w:rPr>
          <w:rFonts w:hint="eastAsia" w:ascii="宋体" w:hAnsi="宋体" w:eastAsia="宋体" w:cs="宋体"/>
          <w:b/>
          <w:sz w:val="24"/>
          <w:highlight w:val="none"/>
        </w:rPr>
        <w:t>1.9合同争议的解决</w:t>
      </w:r>
      <w:bookmarkEnd w:id="440"/>
      <w:bookmarkEnd w:id="441"/>
      <w:bookmarkEnd w:id="442"/>
    </w:p>
    <w:p>
      <w:pPr>
        <w:spacing w:line="560" w:lineRule="exact"/>
        <w:ind w:left="-61" w:leftChars="-29" w:right="-420" w:rightChars="-200"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hint="eastAsia" w:ascii="宋体" w:hAnsi="宋体" w:eastAsia="宋体" w:cs="宋体"/>
          <w:sz w:val="24"/>
          <w:highlight w:val="none"/>
        </w:rPr>
      </w:pPr>
      <w:r>
        <w:rPr>
          <w:rFonts w:hint="eastAsia" w:ascii="宋体" w:hAnsi="宋体" w:eastAsia="宋体" w:cs="宋体"/>
          <w:sz w:val="24"/>
          <w:highlight w:val="none"/>
        </w:rPr>
        <w:t>1.9.1 将争议提交</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sz w:val="24"/>
          <w:highlight w:val="none"/>
        </w:rPr>
      </w:pPr>
      <w:r>
        <w:rPr>
          <w:rFonts w:hint="eastAsia" w:ascii="宋体" w:hAnsi="宋体" w:eastAsia="宋体" w:cs="宋体"/>
          <w:sz w:val="24"/>
          <w:highlight w:val="none"/>
        </w:rPr>
        <w:t>1.9.2 向</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人民法院起诉。</w:t>
      </w:r>
    </w:p>
    <w:p>
      <w:pPr>
        <w:spacing w:line="560" w:lineRule="exact"/>
        <w:ind w:firstLine="482" w:firstLineChars="200"/>
        <w:outlineLvl w:val="0"/>
        <w:rPr>
          <w:rFonts w:hint="eastAsia" w:ascii="宋体" w:hAnsi="宋体" w:eastAsia="宋体" w:cs="宋体"/>
          <w:b/>
          <w:sz w:val="24"/>
          <w:highlight w:val="none"/>
        </w:rPr>
      </w:pPr>
      <w:bookmarkStart w:id="443" w:name="_Toc7245"/>
      <w:bookmarkStart w:id="444" w:name="_Toc11173"/>
      <w:bookmarkStart w:id="445" w:name="_Toc15322"/>
      <w:r>
        <w:rPr>
          <w:rFonts w:hint="eastAsia" w:ascii="宋体" w:hAnsi="宋体" w:eastAsia="宋体" w:cs="宋体"/>
          <w:b/>
          <w:sz w:val="24"/>
          <w:highlight w:val="none"/>
        </w:rPr>
        <w:t>2.0 合同生效</w:t>
      </w:r>
      <w:bookmarkEnd w:id="443"/>
      <w:bookmarkEnd w:id="444"/>
      <w:bookmarkEnd w:id="445"/>
    </w:p>
    <w:p>
      <w:pPr>
        <w:spacing w:line="56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本合同自双方当事人盖章签字时生效。</w:t>
      </w:r>
    </w:p>
    <w:p>
      <w:pPr>
        <w:autoSpaceDE w:val="0"/>
        <w:autoSpaceDN w:val="0"/>
        <w:spacing w:line="560" w:lineRule="exact"/>
        <w:rPr>
          <w:rFonts w:hint="eastAsia" w:ascii="宋体" w:hAnsi="宋体" w:eastAsia="宋体" w:cs="宋体"/>
          <w:sz w:val="24"/>
          <w:highlight w:val="none"/>
          <w:lang w:val="zh-CN"/>
        </w:rPr>
      </w:pP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 xml:space="preserve">      乙方</w:t>
      </w:r>
      <w:r>
        <w:rPr>
          <w:rFonts w:hint="eastAsia" w:ascii="宋体" w:hAnsi="宋体" w:eastAsia="宋体" w:cs="宋体"/>
          <w:sz w:val="24"/>
          <w:highlight w:val="none"/>
          <w:lang w:val="zh-CN"/>
        </w:rPr>
        <w:t>：</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sz w:val="24"/>
          <w:highlight w:val="none"/>
          <w:lang w:val="zh-CN"/>
        </w:rPr>
      </w:pP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法定代表人或</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授权代表（签字）: </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                               电子邮箱：</w:t>
      </w:r>
    </w:p>
    <w:p>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开户名称：                               开户名称： </w:t>
      </w:r>
    </w:p>
    <w:p>
      <w:pPr>
        <w:autoSpaceDE w:val="0"/>
        <w:autoSpaceDN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开户账号：开户账号：</w:t>
      </w:r>
    </w:p>
    <w:p>
      <w:pPr>
        <w:widowControl/>
        <w:spacing w:line="560" w:lineRule="exact"/>
        <w:jc w:val="left"/>
        <w:rPr>
          <w:rFonts w:hint="eastAsia" w:ascii="宋体" w:hAnsi="宋体" w:eastAsia="宋体" w:cs="宋体"/>
          <w:b/>
          <w:sz w:val="24"/>
          <w:highlight w:val="none"/>
        </w:rPr>
      </w:pPr>
    </w:p>
    <w:p>
      <w:pPr>
        <w:widowControl/>
        <w:adjustRightInd/>
        <w:jc w:val="left"/>
        <w:rPr>
          <w:rFonts w:hint="eastAsia" w:ascii="宋体" w:hAnsi="宋体" w:eastAsia="宋体" w:cs="宋体"/>
          <w:b/>
          <w:sz w:val="24"/>
          <w:highlight w:val="none"/>
        </w:rPr>
      </w:pPr>
      <w:r>
        <w:rPr>
          <w:rFonts w:hint="eastAsia" w:ascii="宋体" w:hAnsi="宋体" w:eastAsia="宋体" w:cs="宋体"/>
          <w:b/>
          <w:highlight w:val="none"/>
        </w:rPr>
        <w:br w:type="page"/>
      </w:r>
    </w:p>
    <w:p>
      <w:pPr>
        <w:pStyle w:val="80"/>
        <w:spacing w:line="560" w:lineRule="exact"/>
        <w:ind w:firstLine="482"/>
        <w:jc w:val="center"/>
        <w:rPr>
          <w:rFonts w:hint="eastAsia" w:ascii="宋体" w:hAnsi="宋体" w:eastAsia="宋体" w:cs="宋体"/>
          <w:b/>
          <w:szCs w:val="24"/>
          <w:highlight w:val="none"/>
        </w:rPr>
      </w:pPr>
      <w:r>
        <w:rPr>
          <w:rFonts w:hint="eastAsia" w:ascii="宋体" w:hAnsi="宋体" w:eastAsia="宋体" w:cs="宋体"/>
          <w:b/>
          <w:szCs w:val="24"/>
          <w:highlight w:val="none"/>
        </w:rPr>
        <w:t>第二部分 合同一般条款</w:t>
      </w:r>
    </w:p>
    <w:p>
      <w:pPr>
        <w:spacing w:line="560" w:lineRule="exact"/>
        <w:ind w:firstLine="482" w:firstLineChars="200"/>
        <w:outlineLvl w:val="0"/>
        <w:rPr>
          <w:rFonts w:hint="eastAsia" w:ascii="宋体" w:hAnsi="宋体" w:eastAsia="宋体" w:cs="宋体"/>
          <w:b/>
          <w:sz w:val="24"/>
          <w:highlight w:val="none"/>
        </w:rPr>
      </w:pPr>
      <w:bookmarkStart w:id="446" w:name="_Toc14021"/>
      <w:bookmarkStart w:id="447" w:name="_Toc5228"/>
      <w:bookmarkStart w:id="448" w:name="_Toc19680"/>
      <w:bookmarkStart w:id="449" w:name="_Toc31297"/>
      <w:bookmarkStart w:id="450" w:name="_Toc25079"/>
      <w:r>
        <w:rPr>
          <w:rFonts w:hint="eastAsia" w:ascii="宋体" w:hAnsi="宋体" w:eastAsia="宋体" w:cs="宋体"/>
          <w:b/>
          <w:sz w:val="24"/>
          <w:highlight w:val="none"/>
        </w:rPr>
        <w:t>2.1 定义</w:t>
      </w:r>
      <w:bookmarkEnd w:id="446"/>
      <w:bookmarkEnd w:id="447"/>
      <w:bookmarkEnd w:id="448"/>
      <w:bookmarkEnd w:id="449"/>
      <w:bookmarkEnd w:id="450"/>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“合同”系指采购人和中标或成交投标人签订的载明双方当事人所达成的协议，并包括所有的附件、附录和构成合同的其他文件。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“合同价”系指根据合同约定，中标或成交投标人在完全履行合同义务后，采购人应支付给中标或成交投标人的价格。</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“服务”系指中标或成交投标人根据合同约定应向采购人履行的除货物和工程以外的其他政府采购对象，包括采购人自身需要的服务和向社会公众提供的公共服务。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 “甲方”系指与中标或成交投标人签署合同的采购人；采购人委托采购代理机构代表其与乙方签订合同的，采购人的授权委托书作为合同附件。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 “乙方”系指根据合同约定提供服务的中标或成交投标人；两个以上的自然人、法人或者其他组织组成一个联合体，以一个投标人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 “现场”系指合同约定提供服务的地点。</w:t>
      </w:r>
    </w:p>
    <w:p>
      <w:pPr>
        <w:spacing w:line="560" w:lineRule="exact"/>
        <w:ind w:firstLine="482" w:firstLineChars="200"/>
        <w:outlineLvl w:val="0"/>
        <w:rPr>
          <w:rFonts w:hint="eastAsia" w:ascii="宋体" w:hAnsi="宋体" w:eastAsia="宋体" w:cs="宋体"/>
          <w:b/>
          <w:sz w:val="24"/>
          <w:highlight w:val="none"/>
        </w:rPr>
      </w:pPr>
      <w:bookmarkStart w:id="451" w:name="_Toc16752"/>
      <w:bookmarkStart w:id="452" w:name="_Toc19539"/>
      <w:bookmarkStart w:id="453" w:name="_Toc23289"/>
      <w:bookmarkStart w:id="454" w:name="_Toc31402"/>
      <w:bookmarkStart w:id="455" w:name="_Toc3769"/>
      <w:r>
        <w:rPr>
          <w:rFonts w:hint="eastAsia" w:ascii="宋体" w:hAnsi="宋体" w:eastAsia="宋体" w:cs="宋体"/>
          <w:b/>
          <w:sz w:val="24"/>
          <w:highlight w:val="none"/>
        </w:rPr>
        <w:t>2.2 技术规范</w:t>
      </w:r>
      <w:bookmarkEnd w:id="451"/>
      <w:bookmarkEnd w:id="452"/>
      <w:bookmarkEnd w:id="453"/>
      <w:bookmarkEnd w:id="454"/>
      <w:bookmarkEnd w:id="455"/>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highlight w:val="none"/>
        </w:rPr>
      </w:pPr>
      <w:bookmarkStart w:id="456" w:name="_Toc27945"/>
      <w:bookmarkStart w:id="457" w:name="_Toc13673"/>
      <w:bookmarkStart w:id="458" w:name="_Toc12412"/>
      <w:bookmarkStart w:id="459" w:name="_Toc9161"/>
      <w:bookmarkStart w:id="460" w:name="_Toc4133"/>
      <w:r>
        <w:rPr>
          <w:rFonts w:hint="eastAsia" w:ascii="宋体" w:hAnsi="宋体" w:eastAsia="宋体" w:cs="宋体"/>
          <w:b/>
          <w:sz w:val="24"/>
          <w:highlight w:val="none"/>
        </w:rPr>
        <w:t>2.3 知识产权</w:t>
      </w:r>
      <w:bookmarkEnd w:id="456"/>
      <w:bookmarkEnd w:id="457"/>
      <w:bookmarkEnd w:id="458"/>
      <w:bookmarkEnd w:id="459"/>
      <w:bookmarkEnd w:id="460"/>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 合同涉及技术成果的归属和收益的分成办法的，详见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2.4 履约检查和问题反馈</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sz w:val="24"/>
          <w:highlight w:val="none"/>
        </w:rPr>
      </w:pPr>
      <w:bookmarkStart w:id="461" w:name="_Toc26555"/>
      <w:bookmarkStart w:id="462" w:name="_Toc31233"/>
      <w:bookmarkStart w:id="463" w:name="_Toc22011"/>
      <w:bookmarkStart w:id="464" w:name="_Toc15447"/>
      <w:bookmarkStart w:id="465" w:name="_Toc32670"/>
      <w:r>
        <w:rPr>
          <w:rFonts w:hint="eastAsia" w:ascii="宋体" w:hAnsi="宋体" w:eastAsia="宋体" w:cs="宋体"/>
          <w:b/>
          <w:sz w:val="24"/>
          <w:highlight w:val="none"/>
        </w:rPr>
        <w:t>2.5 结算方式和付款条件</w:t>
      </w:r>
      <w:bookmarkEnd w:id="461"/>
      <w:bookmarkEnd w:id="462"/>
      <w:bookmarkEnd w:id="463"/>
      <w:bookmarkEnd w:id="464"/>
      <w:bookmarkEnd w:id="465"/>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w:t>
      </w:r>
    </w:p>
    <w:p>
      <w:pPr>
        <w:spacing w:line="560" w:lineRule="exact"/>
        <w:ind w:firstLine="482" w:firstLineChars="200"/>
        <w:outlineLvl w:val="0"/>
        <w:rPr>
          <w:rFonts w:hint="eastAsia" w:ascii="宋体" w:hAnsi="宋体" w:eastAsia="宋体" w:cs="宋体"/>
          <w:b/>
          <w:sz w:val="24"/>
          <w:highlight w:val="none"/>
        </w:rPr>
      </w:pPr>
      <w:bookmarkStart w:id="466" w:name="_Toc30507"/>
      <w:bookmarkStart w:id="467" w:name="_Toc13154"/>
      <w:bookmarkStart w:id="468" w:name="_Toc18990"/>
      <w:bookmarkStart w:id="469" w:name="_Toc16163"/>
      <w:bookmarkStart w:id="470" w:name="_Toc13467"/>
      <w:r>
        <w:rPr>
          <w:rFonts w:hint="eastAsia" w:ascii="宋体" w:hAnsi="宋体" w:eastAsia="宋体" w:cs="宋体"/>
          <w:b/>
          <w:sz w:val="24"/>
          <w:highlight w:val="none"/>
        </w:rPr>
        <w:t>2.6 技术资料和保密义务</w:t>
      </w:r>
      <w:bookmarkEnd w:id="466"/>
      <w:bookmarkEnd w:id="467"/>
      <w:bookmarkEnd w:id="468"/>
      <w:bookmarkEnd w:id="469"/>
      <w:bookmarkEnd w:id="470"/>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highlight w:val="none"/>
        </w:rPr>
      </w:pPr>
      <w:bookmarkStart w:id="471" w:name="_Toc19069"/>
      <w:r>
        <w:rPr>
          <w:rFonts w:hint="eastAsia" w:ascii="宋体" w:hAnsi="宋体" w:eastAsia="宋体" w:cs="宋体"/>
          <w:b/>
          <w:sz w:val="24"/>
          <w:highlight w:val="none"/>
        </w:rPr>
        <w:t>2.7 质量保证</w:t>
      </w:r>
      <w:bookmarkEnd w:id="471"/>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highlight w:val="none"/>
        </w:rPr>
      </w:pPr>
      <w:bookmarkStart w:id="472" w:name="_Toc22267"/>
      <w:r>
        <w:rPr>
          <w:rFonts w:hint="eastAsia" w:ascii="宋体" w:hAnsi="宋体" w:eastAsia="宋体" w:cs="宋体"/>
          <w:b/>
          <w:sz w:val="24"/>
          <w:highlight w:val="none"/>
        </w:rPr>
        <w:t>2.8 延迟履行</w:t>
      </w:r>
      <w:bookmarkEnd w:id="472"/>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sz w:val="24"/>
          <w:highlight w:val="none"/>
        </w:rPr>
      </w:pPr>
      <w:bookmarkStart w:id="473" w:name="_Toc10611"/>
      <w:r>
        <w:rPr>
          <w:rFonts w:hint="eastAsia" w:ascii="宋体" w:hAnsi="宋体" w:eastAsia="宋体" w:cs="宋体"/>
          <w:b/>
          <w:sz w:val="24"/>
          <w:highlight w:val="none"/>
        </w:rPr>
        <w:t>2.9 合同变更</w:t>
      </w:r>
      <w:bookmarkEnd w:id="473"/>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highlight w:val="none"/>
        </w:rPr>
      </w:pPr>
      <w:bookmarkStart w:id="474" w:name="_Toc42"/>
      <w:bookmarkStart w:id="475" w:name="_Toc21830"/>
      <w:bookmarkStart w:id="476" w:name="_Toc23368"/>
      <w:bookmarkStart w:id="477" w:name="_Toc26689"/>
      <w:bookmarkStart w:id="478" w:name="_Toc10663"/>
      <w:r>
        <w:rPr>
          <w:rFonts w:hint="eastAsia" w:ascii="宋体" w:hAnsi="宋体" w:eastAsia="宋体" w:cs="宋体"/>
          <w:b/>
          <w:sz w:val="24"/>
          <w:highlight w:val="none"/>
        </w:rPr>
        <w:t>2.10 合同转让和分包</w:t>
      </w:r>
      <w:bookmarkEnd w:id="474"/>
      <w:bookmarkEnd w:id="475"/>
      <w:bookmarkEnd w:id="476"/>
      <w:bookmarkEnd w:id="477"/>
      <w:bookmarkEnd w:id="478"/>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560" w:lineRule="exact"/>
        <w:ind w:firstLine="482" w:firstLineChars="200"/>
        <w:outlineLvl w:val="0"/>
        <w:rPr>
          <w:rFonts w:hint="eastAsia" w:ascii="宋体" w:hAnsi="宋体" w:eastAsia="宋体" w:cs="宋体"/>
          <w:b/>
          <w:sz w:val="24"/>
          <w:highlight w:val="none"/>
        </w:rPr>
      </w:pPr>
      <w:bookmarkStart w:id="479" w:name="_Toc26633"/>
      <w:bookmarkStart w:id="480" w:name="_Toc14371"/>
      <w:bookmarkStart w:id="481" w:name="_Toc25571"/>
      <w:bookmarkStart w:id="482" w:name="_Toc32494"/>
      <w:bookmarkStart w:id="483" w:name="_Toc4720"/>
      <w:r>
        <w:rPr>
          <w:rFonts w:hint="eastAsia" w:ascii="宋体" w:hAnsi="宋体" w:eastAsia="宋体" w:cs="宋体"/>
          <w:b/>
          <w:sz w:val="24"/>
          <w:highlight w:val="none"/>
        </w:rPr>
        <w:t>2.11 不可抗力</w:t>
      </w:r>
      <w:bookmarkEnd w:id="479"/>
      <w:bookmarkEnd w:id="480"/>
      <w:bookmarkEnd w:id="481"/>
      <w:bookmarkEnd w:id="482"/>
      <w:bookmarkEnd w:id="483"/>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2.11.3 因不可抗力致使合同有变更必要的，双方当事人应在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约定时间内以书面形式变更合同；</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2.11.4受不可抗力影响的一方在不可抗力发生后，应在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约定时间内以书面形式通知对方当事人，并在</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highlight w:val="none"/>
        </w:rPr>
      </w:pPr>
      <w:bookmarkStart w:id="484" w:name="_Toc23854"/>
      <w:bookmarkStart w:id="485" w:name="_Toc3638"/>
      <w:bookmarkStart w:id="486" w:name="_Toc24465"/>
      <w:bookmarkStart w:id="487" w:name="_Toc14115"/>
      <w:bookmarkStart w:id="488" w:name="_Toc25783"/>
      <w:r>
        <w:rPr>
          <w:rFonts w:hint="eastAsia" w:ascii="宋体" w:hAnsi="宋体" w:eastAsia="宋体" w:cs="宋体"/>
          <w:b/>
          <w:sz w:val="24"/>
          <w:highlight w:val="none"/>
        </w:rPr>
        <w:t>2.12 税费</w:t>
      </w:r>
      <w:bookmarkEnd w:id="484"/>
      <w:bookmarkEnd w:id="485"/>
      <w:bookmarkEnd w:id="486"/>
      <w:bookmarkEnd w:id="487"/>
      <w:bookmarkEnd w:id="488"/>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sz w:val="24"/>
          <w:highlight w:val="none"/>
        </w:rPr>
      </w:pPr>
      <w:bookmarkStart w:id="489" w:name="_Toc7315"/>
      <w:bookmarkStart w:id="490" w:name="_Toc14814"/>
      <w:bookmarkStart w:id="491" w:name="_Toc30105"/>
      <w:bookmarkStart w:id="492" w:name="_Toc26883"/>
      <w:bookmarkStart w:id="493" w:name="_Toc25525"/>
      <w:r>
        <w:rPr>
          <w:rFonts w:hint="eastAsia" w:ascii="宋体" w:hAnsi="宋体" w:eastAsia="宋体" w:cs="宋体"/>
          <w:b/>
          <w:sz w:val="24"/>
          <w:highlight w:val="none"/>
        </w:rPr>
        <w:t>2.13 乙方破产</w:t>
      </w:r>
      <w:bookmarkEnd w:id="489"/>
      <w:bookmarkEnd w:id="490"/>
      <w:bookmarkEnd w:id="491"/>
      <w:bookmarkEnd w:id="492"/>
      <w:bookmarkEnd w:id="493"/>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highlight w:val="none"/>
        </w:rPr>
      </w:pPr>
      <w:bookmarkStart w:id="494" w:name="_Toc23323"/>
      <w:bookmarkStart w:id="495" w:name="_Toc2016"/>
      <w:bookmarkStart w:id="496" w:name="_Toc1123"/>
      <w:r>
        <w:rPr>
          <w:rFonts w:hint="eastAsia" w:ascii="宋体" w:hAnsi="宋体" w:eastAsia="宋体" w:cs="宋体"/>
          <w:b/>
          <w:sz w:val="24"/>
          <w:highlight w:val="none"/>
        </w:rPr>
        <w:t>2.14 合同中止、终止</w:t>
      </w:r>
      <w:bookmarkEnd w:id="494"/>
      <w:bookmarkEnd w:id="495"/>
      <w:bookmarkEnd w:id="496"/>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2.14.1 双方当事人不得擅自中止或者终止合同；</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highlight w:val="none"/>
        </w:rPr>
      </w:pPr>
      <w:bookmarkStart w:id="497" w:name="_Toc1969"/>
      <w:bookmarkStart w:id="498" w:name="_Toc17363"/>
      <w:bookmarkStart w:id="499" w:name="_Toc14525"/>
      <w:r>
        <w:rPr>
          <w:rFonts w:hint="eastAsia" w:ascii="宋体" w:hAnsi="宋体" w:eastAsia="宋体" w:cs="宋体"/>
          <w:b/>
          <w:sz w:val="24"/>
          <w:highlight w:val="none"/>
        </w:rPr>
        <w:t>2.15 检验和验收</w:t>
      </w:r>
      <w:bookmarkEnd w:id="497"/>
      <w:bookmarkEnd w:id="498"/>
      <w:bookmarkEnd w:id="499"/>
    </w:p>
    <w:p>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2.15.1 乙方按照</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的约定，定期提交服务报告，甲方按照</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2.15.3 检验和验收标准、程序等具体内容以及前述验收书的效力详见</w:t>
      </w:r>
      <w:r>
        <w:rPr>
          <w:rFonts w:hint="eastAsia" w:ascii="宋体" w:hAnsi="宋体" w:eastAsia="宋体" w:cs="宋体"/>
          <w:b/>
          <w:i/>
          <w:sz w:val="24"/>
          <w:highlight w:val="none"/>
          <w:u w:val="single"/>
        </w:rPr>
        <w:t>合同专用条款</w:t>
      </w:r>
      <w:r>
        <w:rPr>
          <w:rFonts w:hint="eastAsia" w:ascii="宋体" w:hAnsi="宋体" w:eastAsia="宋体" w:cs="宋体"/>
          <w:i/>
          <w:sz w:val="24"/>
          <w:highlight w:val="none"/>
        </w:rPr>
        <w:t>。</w:t>
      </w:r>
    </w:p>
    <w:p>
      <w:pPr>
        <w:spacing w:line="560" w:lineRule="exact"/>
        <w:ind w:firstLine="482" w:firstLineChars="200"/>
        <w:outlineLvl w:val="0"/>
        <w:rPr>
          <w:rFonts w:hint="eastAsia" w:ascii="宋体" w:hAnsi="宋体" w:eastAsia="宋体" w:cs="宋体"/>
          <w:b/>
          <w:sz w:val="24"/>
          <w:highlight w:val="none"/>
        </w:rPr>
      </w:pPr>
      <w:bookmarkStart w:id="500" w:name="_Toc2308"/>
      <w:bookmarkStart w:id="501" w:name="_Toc31892"/>
      <w:bookmarkStart w:id="502" w:name="_Toc25198"/>
      <w:bookmarkStart w:id="503" w:name="_Toc9808"/>
      <w:bookmarkStart w:id="504" w:name="_Toc12666"/>
      <w:r>
        <w:rPr>
          <w:rFonts w:hint="eastAsia" w:ascii="宋体" w:hAnsi="宋体" w:eastAsia="宋体" w:cs="宋体"/>
          <w:b/>
          <w:sz w:val="24"/>
          <w:highlight w:val="none"/>
        </w:rPr>
        <w:t>2.16 通知和送达</w:t>
      </w:r>
      <w:bookmarkEnd w:id="500"/>
      <w:bookmarkEnd w:id="501"/>
      <w:bookmarkEnd w:id="502"/>
      <w:bookmarkEnd w:id="503"/>
      <w:bookmarkEnd w:id="504"/>
    </w:p>
    <w:p>
      <w:pPr>
        <w:spacing w:line="560" w:lineRule="exact"/>
        <w:ind w:firstLine="480" w:firstLineChars="200"/>
        <w:rPr>
          <w:rFonts w:hint="eastAsia" w:ascii="宋体" w:hAnsi="宋体" w:eastAsia="宋体" w:cs="宋体"/>
          <w:sz w:val="24"/>
          <w:highlight w:val="none"/>
        </w:rPr>
      </w:pPr>
      <w:bookmarkStart w:id="505" w:name="_Toc18401"/>
      <w:bookmarkStart w:id="506" w:name="_Toc27674"/>
      <w:r>
        <w:rPr>
          <w:rFonts w:hint="eastAsia" w:ascii="宋体" w:hAnsi="宋体" w:eastAsia="宋体" w:cs="宋体"/>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5"/>
      <w:bookmarkEnd w:id="506"/>
    </w:p>
    <w:p>
      <w:pPr>
        <w:spacing w:line="560" w:lineRule="exact"/>
        <w:ind w:firstLine="482" w:firstLineChars="200"/>
        <w:outlineLvl w:val="0"/>
        <w:rPr>
          <w:rFonts w:hint="eastAsia" w:ascii="宋体" w:hAnsi="宋体" w:eastAsia="宋体" w:cs="宋体"/>
          <w:b/>
          <w:sz w:val="24"/>
          <w:highlight w:val="none"/>
        </w:rPr>
      </w:pPr>
      <w:bookmarkStart w:id="507" w:name="_Toc12254"/>
      <w:bookmarkStart w:id="508" w:name="_Toc28906"/>
      <w:bookmarkStart w:id="509" w:name="_Toc5063"/>
      <w:bookmarkStart w:id="510" w:name="_Toc20808"/>
      <w:bookmarkStart w:id="511" w:name="_Toc27644"/>
      <w:r>
        <w:rPr>
          <w:rFonts w:hint="eastAsia" w:ascii="宋体" w:hAnsi="宋体" w:eastAsia="宋体" w:cs="宋体"/>
          <w:b/>
          <w:sz w:val="24"/>
          <w:highlight w:val="none"/>
        </w:rPr>
        <w:t>2.17 合同使用的文字和适用的法律</w:t>
      </w:r>
      <w:bookmarkEnd w:id="507"/>
      <w:bookmarkEnd w:id="508"/>
      <w:bookmarkEnd w:id="509"/>
      <w:bookmarkEnd w:id="510"/>
      <w:bookmarkEnd w:id="511"/>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2.17.1 合同使用汉语书就、变更和解释；</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2.17.2 合同适用中华人民共和国法律。</w:t>
      </w:r>
    </w:p>
    <w:p>
      <w:pPr>
        <w:spacing w:line="560" w:lineRule="exact"/>
        <w:ind w:firstLine="482" w:firstLineChars="200"/>
        <w:outlineLvl w:val="0"/>
        <w:rPr>
          <w:rFonts w:hint="eastAsia" w:ascii="宋体" w:hAnsi="宋体" w:eastAsia="宋体" w:cs="宋体"/>
          <w:b/>
          <w:sz w:val="24"/>
          <w:highlight w:val="none"/>
        </w:rPr>
      </w:pPr>
      <w:bookmarkStart w:id="512" w:name="_Toc30599"/>
      <w:bookmarkStart w:id="513" w:name="_Toc18540"/>
      <w:bookmarkStart w:id="514" w:name="_Toc4355"/>
      <w:r>
        <w:rPr>
          <w:rFonts w:hint="eastAsia" w:ascii="宋体" w:hAnsi="宋体" w:eastAsia="宋体" w:cs="宋体"/>
          <w:b/>
          <w:sz w:val="24"/>
          <w:highlight w:val="none"/>
        </w:rPr>
        <w:t>2.18 计量单位</w:t>
      </w:r>
      <w:bookmarkEnd w:id="512"/>
      <w:bookmarkEnd w:id="513"/>
      <w:bookmarkEnd w:id="514"/>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2.19合同份数</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合同份数按</w:t>
      </w:r>
      <w:r>
        <w:rPr>
          <w:rFonts w:hint="eastAsia" w:ascii="宋体" w:hAnsi="宋体" w:eastAsia="宋体" w:cs="宋体"/>
          <w:b/>
          <w:i/>
          <w:sz w:val="24"/>
          <w:highlight w:val="none"/>
          <w:u w:val="single"/>
        </w:rPr>
        <w:t>合同专用条款</w:t>
      </w:r>
      <w:r>
        <w:rPr>
          <w:rFonts w:hint="eastAsia" w:ascii="宋体" w:hAnsi="宋体" w:eastAsia="宋体" w:cs="宋体"/>
          <w:sz w:val="24"/>
          <w:highlight w:val="none"/>
        </w:rPr>
        <w:t>规定，每份均具有同等法律效力。</w:t>
      </w:r>
    </w:p>
    <w:p>
      <w:pPr>
        <w:spacing w:line="360" w:lineRule="auto"/>
        <w:jc w:val="center"/>
        <w:outlineLvl w:val="0"/>
        <w:rPr>
          <w:rFonts w:hint="eastAsia" w:ascii="宋体" w:hAnsi="宋体" w:eastAsia="宋体" w:cs="宋体"/>
          <w:b/>
          <w:sz w:val="24"/>
          <w:highlight w:val="none"/>
        </w:rPr>
      </w:pPr>
      <w:r>
        <w:rPr>
          <w:rFonts w:hint="eastAsia" w:ascii="宋体" w:hAnsi="宋体" w:eastAsia="宋体" w:cs="宋体"/>
          <w:kern w:val="0"/>
          <w:highlight w:val="none"/>
        </w:rPr>
        <w:br w:type="page"/>
      </w:r>
      <w:bookmarkStart w:id="515" w:name="_Toc331685784"/>
      <w:bookmarkEnd w:id="515"/>
      <w:r>
        <w:rPr>
          <w:rFonts w:hint="eastAsia" w:ascii="宋体" w:hAnsi="宋体" w:eastAsia="宋体" w:cs="宋体"/>
          <w:b/>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8149"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1.3.2</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1.4.2</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1.5.1 </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1.5.2</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1.5.3 </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1.6.2</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1.7.1</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1.7.2</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1.7.3</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1.7.4.1</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1.7.4.2</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1.7.4.3</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1.8.7</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1.9.1</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1.9.2</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2.3.2</w:t>
            </w:r>
          </w:p>
        </w:tc>
        <w:tc>
          <w:tcPr>
            <w:tcW w:w="8149" w:type="dxa"/>
            <w:vAlign w:val="center"/>
          </w:tcPr>
          <w:p>
            <w:pPr>
              <w:spacing w:line="360" w:lineRule="auto"/>
              <w:ind w:left="-420" w:leftChars="-200" w:right="-420" w:rightChars="-200" w:firstLine="480" w:firstLineChars="200"/>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2.5</w:t>
            </w:r>
          </w:p>
        </w:tc>
        <w:tc>
          <w:tcPr>
            <w:tcW w:w="8149" w:type="dxa"/>
            <w:vAlign w:val="center"/>
          </w:tcPr>
          <w:p>
            <w:pPr>
              <w:spacing w:line="360" w:lineRule="auto"/>
              <w:ind w:left="-420" w:leftChars="-200" w:right="-420" w:rightChars="-200" w:firstLine="480" w:firstLineChars="200"/>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2.11.3</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2.11.4 </w:t>
            </w:r>
          </w:p>
        </w:tc>
        <w:tc>
          <w:tcPr>
            <w:tcW w:w="8149" w:type="dxa"/>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2.15.1</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2.15.3</w:t>
            </w:r>
          </w:p>
        </w:tc>
        <w:tc>
          <w:tcPr>
            <w:tcW w:w="8149" w:type="dxa"/>
            <w:vAlign w:val="center"/>
          </w:tcPr>
          <w:p>
            <w:pPr>
              <w:spacing w:line="360" w:lineRule="auto"/>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2.19</w:t>
            </w:r>
          </w:p>
        </w:tc>
        <w:tc>
          <w:tcPr>
            <w:tcW w:w="8149" w:type="dxa"/>
          </w:tcPr>
          <w:p>
            <w:pPr>
              <w:spacing w:line="360" w:lineRule="auto"/>
              <w:rPr>
                <w:rFonts w:hint="eastAsia" w:ascii="宋体" w:hAnsi="宋体" w:eastAsia="宋体" w:cs="宋体"/>
                <w:sz w:val="24"/>
                <w:highlight w:val="none"/>
              </w:rPr>
            </w:pPr>
          </w:p>
        </w:tc>
      </w:tr>
    </w:tbl>
    <w:p>
      <w:pPr>
        <w:spacing w:line="360" w:lineRule="auto"/>
        <w:ind w:left="-420" w:leftChars="-200" w:right="-420" w:rightChars="-200" w:firstLine="480" w:firstLineChars="200"/>
        <w:rPr>
          <w:rFonts w:hint="eastAsia" w:ascii="宋体" w:hAnsi="宋体" w:eastAsia="宋体" w:cs="宋体"/>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sz w:val="24"/>
          <w:highlight w:val="none"/>
        </w:rPr>
      </w:pPr>
    </w:p>
    <w:p>
      <w:pPr>
        <w:widowControl/>
        <w:adjustRightInd/>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400"/>
      <w:bookmarkEnd w:id="401"/>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（2）联合协议</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（4）本项目的特定资格要求………………………………………………（页码）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（5）投标供应商不属于公益一类事业单位承诺函…………………………（页码）</w:t>
      </w: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我方参与2023—2024年度护校安园和应急处置辅助服务项目【招标编号：RTZFCG-2023-】政府采购活动，郑重承诺：</w:t>
      </w:r>
    </w:p>
    <w:p>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1、单位负责人为同一人或者存在直接控股、管理关系的不同投标人参加同一合同项下的政府采购活动的；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widowControl/>
        <w:spacing w:line="360" w:lineRule="auto"/>
        <w:ind w:firstLine="643" w:firstLineChars="2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sz w:val="24"/>
          <w:highlight w:val="none"/>
        </w:rPr>
      </w:pPr>
    </w:p>
    <w:p>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要求以联合体形式参加的，提供联合协议（附件5）和中小企业声明函（附件7），联合协议中中小企业合同金额应当达到招标公告载明的比例；如果投标人本身提供所有标的均由中小企业承接的，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sz w:val="24"/>
          <w:highlight w:val="none"/>
        </w:rPr>
      </w:pP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要求合同分包的，提供分包意向协议（附件6）和中小企业声明函（附件7），分包意向协议中中小企业合同金额应当达到招标公告载明的比例；如果投标人本身提供所有标的均由中小企业承接的，</w:t>
      </w:r>
      <w:r>
        <w:rPr>
          <w:rFonts w:hint="eastAsia" w:ascii="宋体" w:hAnsi="宋体" w:eastAsia="宋体" w:cs="宋体"/>
          <w:spacing w:val="8"/>
          <w:kern w:val="0"/>
          <w:sz w:val="24"/>
          <w:highlight w:val="none"/>
        </w:rPr>
        <w:t>并相应达到了前述比例要求，</w:t>
      </w:r>
      <w:r>
        <w:rPr>
          <w:rFonts w:hint="eastAsia" w:ascii="宋体" w:hAnsi="宋体" w:eastAsia="宋体" w:cs="宋体"/>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6"/>
          <w:szCs w:val="36"/>
          <w:highlight w:val="none"/>
        </w:rPr>
        <w:br w:type="page"/>
      </w:r>
      <w:r>
        <w:rPr>
          <w:rFonts w:hint="eastAsia" w:ascii="宋体" w:hAnsi="宋体" w:eastAsia="宋体" w:cs="宋体"/>
          <w:b/>
          <w:kern w:val="0"/>
          <w:sz w:val="32"/>
          <w:szCs w:val="32"/>
          <w:highlight w:val="none"/>
          <w:lang w:val="zh-CN"/>
        </w:rPr>
        <w:t>五、投标供应商不属于公益一类事业单位承诺函</w:t>
      </w:r>
    </w:p>
    <w:p>
      <w:pPr>
        <w:spacing w:line="293" w:lineRule="auto"/>
        <w:rPr>
          <w:rFonts w:hint="eastAsia" w:ascii="宋体" w:hAnsi="宋体" w:eastAsia="宋体" w:cs="宋体"/>
          <w:highlight w:val="none"/>
        </w:rPr>
      </w:pPr>
    </w:p>
    <w:p>
      <w:pPr>
        <w:spacing w:before="74" w:line="227" w:lineRule="auto"/>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杭州市余杭区人民政府仁和街道办事处、杭州瑞拓工程咨询有限公司：</w:t>
      </w:r>
    </w:p>
    <w:p>
      <w:pPr>
        <w:spacing w:before="263" w:line="388" w:lineRule="auto"/>
        <w:ind w:left="3" w:firstLine="479"/>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我</w:t>
      </w:r>
      <w:r>
        <w:rPr>
          <w:rFonts w:hint="eastAsia" w:ascii="宋体" w:hAnsi="宋体" w:eastAsia="宋体" w:cs="宋体"/>
          <w:spacing w:val="7"/>
          <w:sz w:val="23"/>
          <w:szCs w:val="23"/>
          <w:highlight w:val="none"/>
        </w:rPr>
        <w:t>方</w:t>
      </w:r>
      <w:r>
        <w:rPr>
          <w:rFonts w:hint="eastAsia" w:ascii="宋体" w:hAnsi="宋体" w:eastAsia="宋体" w:cs="宋体"/>
          <w:spacing w:val="5"/>
          <w:sz w:val="23"/>
          <w:szCs w:val="23"/>
          <w:highlight w:val="none"/>
        </w:rPr>
        <w:t>郑重承诺，我单位不属于公益一类事业单位，可承接</w:t>
      </w:r>
      <w:r>
        <w:rPr>
          <w:rFonts w:hint="eastAsia" w:ascii="宋体" w:hAnsi="宋体" w:eastAsia="宋体" w:cs="宋体"/>
          <w:spacing w:val="5"/>
          <w:sz w:val="23"/>
          <w:szCs w:val="23"/>
          <w:highlight w:val="none"/>
          <w:u w:val="single"/>
        </w:rPr>
        <w:t>2023—2024年度护校安园和应急处置辅助服务项目</w:t>
      </w:r>
      <w:r>
        <w:rPr>
          <w:rFonts w:hint="eastAsia" w:ascii="宋体" w:hAnsi="宋体" w:eastAsia="宋体" w:cs="宋体"/>
          <w:spacing w:val="9"/>
          <w:sz w:val="23"/>
          <w:szCs w:val="23"/>
          <w:highlight w:val="none"/>
        </w:rPr>
        <w:t>的相关服务内容。如有虚假或隐瞒，愿意承担一切后果。</w:t>
      </w:r>
    </w:p>
    <w:p>
      <w:pPr>
        <w:spacing w:line="289" w:lineRule="auto"/>
        <w:rPr>
          <w:rFonts w:hint="eastAsia" w:ascii="宋体" w:hAnsi="宋体" w:eastAsia="宋体" w:cs="宋体"/>
          <w:highlight w:val="none"/>
        </w:rPr>
      </w:pPr>
    </w:p>
    <w:p>
      <w:pPr>
        <w:widowControl/>
        <w:adjustRightInd/>
        <w:jc w:val="left"/>
        <w:rPr>
          <w:rFonts w:hint="eastAsia" w:ascii="宋体" w:hAnsi="宋体" w:eastAsia="宋体" w:cs="宋体"/>
          <w:b/>
          <w:kern w:val="0"/>
          <w:sz w:val="36"/>
          <w:szCs w:val="36"/>
          <w:highlight w:val="none"/>
        </w:rPr>
      </w:pPr>
      <w:r>
        <w:rPr>
          <w:rFonts w:hint="eastAsia" w:ascii="宋体" w:hAnsi="宋体" w:eastAsia="宋体" w:cs="宋体"/>
          <w:spacing w:val="6"/>
          <w:sz w:val="23"/>
          <w:szCs w:val="23"/>
          <w:highlight w:val="none"/>
        </w:rPr>
        <w:t>特此承诺！</w:t>
      </w:r>
    </w:p>
    <w:p>
      <w:pPr>
        <w:spacing w:line="360" w:lineRule="auto"/>
        <w:ind w:right="420" w:firstLine="3614" w:firstLineChars="1000"/>
        <w:rPr>
          <w:rFonts w:hint="eastAsia" w:ascii="宋体" w:hAnsi="宋体" w:eastAsia="宋体" w:cs="宋体"/>
          <w:b/>
          <w:kern w:val="0"/>
          <w:sz w:val="36"/>
          <w:szCs w:val="36"/>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（5）评标标准相应的商务技术资料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（6）投标标的清单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（7）商务技术偏离表</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）政府采购投标人廉洁自律承诺书</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rPr>
          <w:rFonts w:hint="eastAsia" w:ascii="宋体" w:hAnsi="宋体" w:eastAsia="宋体" w:cs="宋体"/>
          <w:b/>
          <w:kern w:val="0"/>
          <w:sz w:val="32"/>
          <w:szCs w:val="32"/>
          <w:highlight w:val="none"/>
          <w:lang w:val="zh-CN"/>
        </w:rPr>
      </w:pPr>
    </w:p>
    <w:p>
      <w:pPr>
        <w:widowControl/>
        <w:adjustRightInd/>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我方参加你方组织的2023—2024年度护校安园和应急处置辅助服务项目【招标编号：RTZFCG-2023-】招标的有关活动，并对此项目进行投标。为此：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w:t>
      </w:r>
      <w:r>
        <w:rPr>
          <w:rFonts w:hint="eastAsia" w:ascii="宋体" w:hAnsi="宋体" w:eastAsia="宋体" w:cs="宋体"/>
          <w:snapToGrid w:val="0"/>
          <w:kern w:val="28"/>
          <w:sz w:val="24"/>
          <w:szCs w:val="20"/>
          <w:highlight w:val="none"/>
        </w:rPr>
        <w:t>联合协议</w:t>
      </w:r>
      <w:bookmarkStart w:id="516" w:name="_Hlk101257010"/>
      <w:r>
        <w:rPr>
          <w:rFonts w:hint="eastAsia" w:ascii="宋体" w:hAnsi="宋体" w:eastAsia="宋体" w:cs="宋体"/>
          <w:sz w:val="24"/>
          <w:highlight w:val="none"/>
        </w:rPr>
        <w:t>（如果有)</w:t>
      </w:r>
      <w:bookmarkEnd w:id="516"/>
      <w:r>
        <w:rPr>
          <w:rFonts w:hint="eastAsia" w:ascii="宋体" w:hAnsi="宋体" w:eastAsia="宋体" w:cs="宋体"/>
          <w:snapToGrid w:val="0"/>
          <w:kern w:val="28"/>
          <w:sz w:val="24"/>
          <w:szCs w:val="20"/>
          <w:highlight w:val="none"/>
        </w:rPr>
        <w:t>；</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2.2.3分包意向协议（如果有)；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2.2.6投标标的清单；</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政府采购投标人廉洁自律承诺书；</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2"/>
        <w:rPr>
          <w:rFonts w:hint="eastAsia" w:ascii="宋体" w:hAnsi="宋体" w:eastAsia="宋体" w:cs="宋体"/>
          <w:highlight w:val="none"/>
          <w:lang w:val="en-US"/>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sz w:val="24"/>
          <w:highlight w:val="none"/>
        </w:rPr>
      </w:pPr>
    </w:p>
    <w:p>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2023—2024年度护校安园和应急处置辅助服务项目【招标编号：RTZFCG-2023-】</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授权委托书（适用于联合体投标）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2023—2024年度护校安园和应急处置辅助服务项目【招标编号：RTZFCG-2023-】</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pPr>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kern w:val="0"/>
          <w:sz w:val="32"/>
          <w:szCs w:val="32"/>
          <w:highlight w:val="none"/>
          <w:lang w:val="zh-CN"/>
        </w:rPr>
      </w:pPr>
    </w:p>
    <w:p>
      <w:pPr>
        <w:autoSpaceDE w:val="0"/>
        <w:autoSpaceDN w:val="0"/>
        <w:spacing w:line="360" w:lineRule="auto"/>
        <w:jc w:val="center"/>
        <w:rPr>
          <w:rFonts w:hint="eastAsia" w:ascii="宋体" w:hAnsi="宋体" w:eastAsia="宋体" w:cs="宋体"/>
          <w:b/>
          <w:kern w:val="0"/>
          <w:sz w:val="32"/>
          <w:szCs w:val="32"/>
          <w:highlight w:val="none"/>
          <w:lang w:val="zh-CN"/>
        </w:rPr>
      </w:pPr>
    </w:p>
    <w:p>
      <w:pPr>
        <w:autoSpaceDE w:val="0"/>
        <w:autoSpaceDN w:val="0"/>
        <w:spacing w:line="360" w:lineRule="auto"/>
        <w:jc w:val="center"/>
        <w:rPr>
          <w:rFonts w:hint="eastAsia" w:ascii="宋体" w:hAnsi="宋体" w:eastAsia="宋体" w:cs="宋体"/>
          <w:b/>
          <w:kern w:val="0"/>
          <w:sz w:val="32"/>
          <w:szCs w:val="32"/>
          <w:highlight w:val="none"/>
          <w:lang w:val="zh-CN"/>
        </w:rPr>
      </w:pP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pPr>
        <w:pStyle w:val="89"/>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9"/>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89"/>
              <w:adjustRightInd w:val="0"/>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snapToGrid w:val="0"/>
        <w:spacing w:line="360" w:lineRule="auto"/>
        <w:ind w:right="480"/>
        <w:rPr>
          <w:rFonts w:hint="eastAsia" w:ascii="宋体" w:hAnsi="宋体" w:eastAsia="宋体" w:cs="宋体"/>
          <w:b/>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rPr>
          <w:rFonts w:hint="eastAsia" w:ascii="宋体" w:hAnsi="宋体" w:eastAsia="宋体" w:cs="宋体"/>
          <w:kern w:val="0"/>
          <w:sz w:val="24"/>
          <w:highlight w:val="none"/>
        </w:rPr>
      </w:pPr>
    </w:p>
    <w:p>
      <w:pPr>
        <w:pStyle w:val="26"/>
        <w:ind w:firstLine="480"/>
        <w:rPr>
          <w:rFonts w:hint="eastAsia" w:ascii="宋体" w:hAnsi="宋体" w:eastAsia="宋体" w:cs="宋体"/>
          <w:kern w:val="0"/>
          <w:sz w:val="24"/>
          <w:highlight w:val="none"/>
        </w:rPr>
      </w:pPr>
    </w:p>
    <w:p>
      <w:pPr>
        <w:pStyle w:val="24"/>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rPr>
                <w:rFonts w:hint="eastAsia" w:ascii="宋体" w:hAnsi="宋体" w:eastAsia="宋体" w:cs="宋体"/>
                <w:highlight w:val="none"/>
              </w:rPr>
            </w:pPr>
            <w:r>
              <w:rPr>
                <w:rFonts w:hint="eastAsia" w:ascii="宋体" w:hAnsi="宋体" w:eastAsia="宋体" w:cs="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pPr>
              <w:rPr>
                <w:rFonts w:hint="eastAsia" w:ascii="宋体" w:hAnsi="宋体" w:eastAsia="宋体" w:cs="宋体"/>
                <w:highlight w:val="none"/>
              </w:rPr>
            </w:pPr>
            <w:r>
              <w:rPr>
                <w:rFonts w:hint="eastAsia" w:ascii="宋体" w:hAnsi="宋体" w:eastAsia="宋体" w:cs="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highlight w:val="none"/>
              </w:rPr>
            </w:pPr>
            <w:r>
              <w:rPr>
                <w:rFonts w:hint="eastAsia" w:ascii="宋体" w:hAnsi="宋体" w:eastAsia="宋体" w:cs="宋体"/>
                <w:sz w:val="24"/>
                <w:highlight w:val="none"/>
              </w:rPr>
              <w:t>见投标文件第页</w:t>
            </w:r>
          </w:p>
        </w:tc>
      </w:tr>
    </w:tbl>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pPr>
              <w:spacing w:line="360" w:lineRule="auto"/>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r>
    </w:tbl>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ind w:firstLine="1911" w:firstLineChars="595"/>
        <w:rPr>
          <w:rFonts w:hint="eastAsia" w:ascii="宋体" w:hAnsi="宋体" w:eastAsia="宋体" w:cs="宋体"/>
          <w:b/>
          <w:bCs/>
          <w:sz w:val="32"/>
          <w:szCs w:val="32"/>
          <w:highlight w:val="none"/>
        </w:rPr>
      </w:pPr>
    </w:p>
    <w:p>
      <w:pPr>
        <w:ind w:firstLine="1911" w:firstLineChars="595"/>
        <w:rPr>
          <w:rFonts w:hint="eastAsia" w:ascii="宋体" w:hAnsi="宋体" w:eastAsia="宋体" w:cs="宋体"/>
          <w:b/>
          <w:bCs/>
          <w:sz w:val="32"/>
          <w:szCs w:val="32"/>
          <w:highlight w:val="none"/>
        </w:rPr>
      </w:pPr>
    </w:p>
    <w:p>
      <w:pPr>
        <w:ind w:firstLine="1911" w:firstLineChars="595"/>
        <w:rPr>
          <w:rFonts w:hint="eastAsia" w:ascii="宋体" w:hAnsi="宋体" w:eastAsia="宋体" w:cs="宋体"/>
          <w:b/>
          <w:bCs/>
          <w:sz w:val="32"/>
          <w:szCs w:val="32"/>
          <w:highlight w:val="none"/>
        </w:rPr>
      </w:pPr>
    </w:p>
    <w:p>
      <w:pPr>
        <w:widowControl/>
        <w:adjustRightInd/>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ind w:firstLine="1911" w:firstLineChars="595"/>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政府采购投标人廉洁自律承诺书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pacing w:line="360" w:lineRule="auto"/>
        <w:jc w:val="center"/>
        <w:rPr>
          <w:rFonts w:hint="eastAsia" w:ascii="宋体" w:hAnsi="宋体" w:eastAsia="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378"/>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2023—2024年度护校安园和应急处置辅助服务项目</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RTZFCG-2023-】的实施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5"/>
              <w:spacing w:line="24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序号</w:t>
            </w:r>
          </w:p>
        </w:tc>
        <w:tc>
          <w:tcPr>
            <w:tcW w:w="3496" w:type="dxa"/>
            <w:vAlign w:val="center"/>
          </w:tcPr>
          <w:p>
            <w:pPr>
              <w:pStyle w:val="25"/>
              <w:spacing w:line="24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项目板块</w:t>
            </w:r>
          </w:p>
        </w:tc>
        <w:tc>
          <w:tcPr>
            <w:tcW w:w="1830" w:type="dxa"/>
            <w:vAlign w:val="center"/>
          </w:tcPr>
          <w:p>
            <w:pPr>
              <w:pStyle w:val="25"/>
              <w:spacing w:line="24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报价（元）</w:t>
            </w:r>
          </w:p>
        </w:tc>
        <w:tc>
          <w:tcPr>
            <w:tcW w:w="2981" w:type="dxa"/>
            <w:vAlign w:val="center"/>
          </w:tcPr>
          <w:p>
            <w:pPr>
              <w:pStyle w:val="25"/>
              <w:spacing w:line="24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pPr>
              <w:pStyle w:val="25"/>
              <w:spacing w:line="24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1</w:t>
            </w:r>
          </w:p>
        </w:tc>
        <w:tc>
          <w:tcPr>
            <w:tcW w:w="3496" w:type="dxa"/>
            <w:vAlign w:val="center"/>
          </w:tcPr>
          <w:p>
            <w:pPr>
              <w:pStyle w:val="25"/>
              <w:spacing w:line="24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2023—2024年度护校安园和应急处置辅助服务项目</w:t>
            </w:r>
          </w:p>
        </w:tc>
        <w:tc>
          <w:tcPr>
            <w:tcW w:w="1830" w:type="dxa"/>
            <w:vAlign w:val="center"/>
          </w:tcPr>
          <w:p>
            <w:pPr>
              <w:pStyle w:val="25"/>
              <w:spacing w:line="240" w:lineRule="auto"/>
              <w:jc w:val="center"/>
              <w:rPr>
                <w:rFonts w:hint="eastAsia" w:ascii="宋体" w:hAnsi="宋体" w:eastAsia="宋体" w:cs="宋体"/>
                <w:highlight w:val="none"/>
                <w:lang w:val="zh-CN"/>
              </w:rPr>
            </w:pPr>
          </w:p>
        </w:tc>
        <w:tc>
          <w:tcPr>
            <w:tcW w:w="2981" w:type="dxa"/>
            <w:vAlign w:val="center"/>
          </w:tcPr>
          <w:p>
            <w:pPr>
              <w:pStyle w:val="25"/>
              <w:spacing w:line="240" w:lineRule="auto"/>
              <w:ind w:firstLine="0" w:firstLineChars="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pPr>
              <w:pStyle w:val="25"/>
              <w:spacing w:line="240" w:lineRule="auto"/>
              <w:ind w:firstLine="0" w:firstLineChars="0"/>
              <w:jc w:val="center"/>
              <w:rPr>
                <w:rFonts w:hint="eastAsia" w:ascii="宋体" w:hAnsi="宋体" w:eastAsia="宋体" w:cs="宋体"/>
                <w:highlight w:val="none"/>
              </w:rPr>
            </w:pPr>
            <w:r>
              <w:rPr>
                <w:rFonts w:hint="eastAsia" w:ascii="宋体" w:hAnsi="宋体" w:eastAsia="宋体" w:cs="宋体"/>
                <w:highlight w:val="none"/>
              </w:rPr>
              <w:t>合计</w:t>
            </w:r>
          </w:p>
        </w:tc>
        <w:tc>
          <w:tcPr>
            <w:tcW w:w="3496" w:type="dxa"/>
            <w:vAlign w:val="center"/>
          </w:tcPr>
          <w:p>
            <w:pPr>
              <w:pStyle w:val="25"/>
              <w:spacing w:line="24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小写（元）</w:t>
            </w:r>
          </w:p>
        </w:tc>
        <w:tc>
          <w:tcPr>
            <w:tcW w:w="4811" w:type="dxa"/>
            <w:gridSpan w:val="2"/>
            <w:vAlign w:val="center"/>
          </w:tcPr>
          <w:p>
            <w:pPr>
              <w:pStyle w:val="25"/>
              <w:spacing w:line="240" w:lineRule="auto"/>
              <w:ind w:firstLine="0" w:firstLineChars="0"/>
              <w:jc w:val="center"/>
              <w:rPr>
                <w:rFonts w:hint="eastAsia" w:ascii="宋体" w:hAnsi="宋体" w:eastAsia="宋体" w:cs="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pPr>
              <w:pStyle w:val="25"/>
              <w:spacing w:line="240" w:lineRule="auto"/>
              <w:ind w:firstLine="0" w:firstLineChars="0"/>
              <w:jc w:val="center"/>
              <w:rPr>
                <w:rFonts w:hint="eastAsia" w:ascii="宋体" w:hAnsi="宋体" w:eastAsia="宋体" w:cs="宋体"/>
                <w:highlight w:val="none"/>
              </w:rPr>
            </w:pPr>
          </w:p>
        </w:tc>
        <w:tc>
          <w:tcPr>
            <w:tcW w:w="3496" w:type="dxa"/>
            <w:vAlign w:val="center"/>
          </w:tcPr>
          <w:p>
            <w:pPr>
              <w:pStyle w:val="25"/>
              <w:spacing w:line="24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大写（元）</w:t>
            </w:r>
          </w:p>
        </w:tc>
        <w:tc>
          <w:tcPr>
            <w:tcW w:w="4811" w:type="dxa"/>
            <w:gridSpan w:val="2"/>
            <w:vAlign w:val="center"/>
          </w:tcPr>
          <w:p>
            <w:pPr>
              <w:pStyle w:val="25"/>
              <w:spacing w:line="240" w:lineRule="auto"/>
              <w:ind w:firstLine="0" w:firstLineChars="0"/>
              <w:jc w:val="center"/>
              <w:rPr>
                <w:rFonts w:hint="eastAsia" w:ascii="宋体" w:hAnsi="宋体" w:eastAsia="宋体" w:cs="宋体"/>
                <w:highlight w:val="none"/>
                <w:lang w:val="zh-CN"/>
              </w:rPr>
            </w:pPr>
          </w:p>
        </w:tc>
      </w:tr>
    </w:tbl>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w:t>
      </w:r>
      <w:r>
        <w:rPr>
          <w:rFonts w:hint="eastAsia" w:ascii="宋体" w:hAnsi="宋体" w:eastAsia="宋体" w:cs="宋体"/>
          <w:kern w:val="0"/>
          <w:sz w:val="24"/>
          <w:highlight w:val="none"/>
          <w:lang w:val="zh-CN"/>
        </w:rPr>
        <w:t>。</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投标文件含有采购人不能接受的附加条件，投标无效</w:t>
      </w:r>
      <w:r>
        <w:rPr>
          <w:rFonts w:hint="eastAsia" w:ascii="宋体" w:hAnsi="宋体" w:eastAsia="宋体" w:cs="宋体"/>
          <w:b/>
          <w:kern w:val="0"/>
          <w:sz w:val="24"/>
          <w:highlight w:val="none"/>
          <w:lang w:val="zh-CN"/>
        </w:rPr>
        <w:t>；采购内容未包含在《开标一览表（报价表）》名称栏中，投标人不能作出合理解释的，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3、特别提示：采购代理机构将对项目名称和项目编号，中标投标人名称、地址和中标金额，主要中标标的名称、服务范围、服务要求、服务时间、服务标准等予以公示。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highlight w:val="none"/>
        </w:rPr>
      </w:pPr>
    </w:p>
    <w:p>
      <w:pPr>
        <w:pStyle w:val="378"/>
        <w:tabs>
          <w:tab w:val="clear" w:pos="720"/>
        </w:tabs>
        <w:snapToGrid w:val="0"/>
        <w:spacing w:before="120" w:after="120"/>
        <w:ind w:firstLine="643"/>
        <w:outlineLvl w:val="9"/>
        <w:rPr>
          <w:rFonts w:hint="eastAsia"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pPr>
        <w:shd w:val="clear" w:color="auto" w:fill="FFFFFF"/>
        <w:snapToGrid w:val="0"/>
        <w:spacing w:line="600" w:lineRule="exact"/>
        <w:ind w:firstLine="640" w:firstLineChars="20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二、中小企业声明函（如果有）</w:t>
      </w:r>
    </w:p>
    <w:p>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pStyle w:val="3"/>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r>
        <w:rPr>
          <w:rFonts w:hint="eastAsia" w:ascii="宋体" w:hAnsi="宋体" w:eastAsia="宋体" w:cs="宋体"/>
          <w:highlight w:val="none"/>
        </w:rPr>
        <w:t>附件</w:t>
      </w:r>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517" w:name="OLE_LINK13"/>
      <w:bookmarkStart w:id="518" w:name="OLE_LINK14"/>
      <w:r>
        <w:rPr>
          <w:rFonts w:hint="eastAsia" w:ascii="宋体" w:hAnsi="宋体" w:eastAsia="宋体" w:cs="宋体"/>
          <w:b/>
          <w:spacing w:val="6"/>
          <w:sz w:val="32"/>
          <w:szCs w:val="32"/>
          <w:highlight w:val="none"/>
        </w:rPr>
        <w:t>残疾人福利性单位声明函</w:t>
      </w:r>
    </w:p>
    <w:bookmarkEnd w:id="517"/>
    <w:bookmarkEnd w:id="518"/>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highlight w:val="none"/>
          <w:u w:val="single"/>
        </w:rPr>
        <w:t>(采购人)</w:t>
      </w:r>
      <w:r>
        <w:rPr>
          <w:rFonts w:hint="eastAsia" w:ascii="宋体" w:hAnsi="宋体" w:eastAsia="宋体" w:cs="宋体"/>
          <w:sz w:val="24"/>
          <w:highlight w:val="none"/>
        </w:rPr>
        <w:t>_单位的_</w:t>
      </w:r>
      <w:r>
        <w:rPr>
          <w:rFonts w:hint="eastAsia" w:ascii="宋体" w:hAnsi="宋体" w:eastAsia="宋体" w:cs="宋体"/>
          <w:sz w:val="24"/>
          <w:highlight w:val="none"/>
          <w:u w:val="single"/>
        </w:rPr>
        <w:t>2023—2024年度护校安园和应急处置辅助服务项目</w:t>
      </w:r>
      <w:r>
        <w:rPr>
          <w:rFonts w:hint="eastAsia" w:ascii="宋体" w:hAnsi="宋体" w:eastAsia="宋体"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一、质疑投标人基本信息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质疑投标人：</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地址：邮编：</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联系人：联系电话：</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 邮编：</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质疑项目的编号：包号：</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p>
    <w:p>
      <w:pPr>
        <w:snapToGrid w:val="0"/>
        <w:spacing w:line="360" w:lineRule="auto"/>
        <w:rPr>
          <w:rFonts w:hint="eastAsia" w:ascii="宋体" w:hAnsi="宋体" w:eastAsia="宋体" w:cs="宋体"/>
          <w:sz w:val="24"/>
          <w:highlight w:val="none"/>
          <w:u w:val="dotted"/>
        </w:rPr>
      </w:pP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1.投标人提出质疑时，应提交质疑函和必要的证明材料。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2.质疑投标人若委托代理人进行质疑的，质疑函应按要求列明“授权代表”的有关内容，并在附件中提交由质疑</w:t>
      </w:r>
      <w:r>
        <w:rPr>
          <w:rFonts w:hint="eastAsia" w:ascii="宋体" w:hAnsi="宋体" w:eastAsia="宋体" w:cs="宋体"/>
          <w:kern w:val="0"/>
          <w:sz w:val="24"/>
          <w:highlight w:val="none"/>
        </w:rPr>
        <w:t>投标人签署的授权委托书。授权委托书应载明代理人的姓名或者名称、代理事项、具体权限、期限和相关事项。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3.质疑投标人若对项目的某一分包进行质疑，质疑函中应列明具体分包号。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6.质疑投标人为自然人的，质疑函应由本人签字；质疑投标人为法人或者其他组织的，质疑函应由法定代表人、主要负责人，或者其授权代表签字或者盖章，并加盖公章。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相关投标人：</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址：邮编：</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联系人：联系电话：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采购项目编号：包号：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投诉人于年月日,向提出质疑，质疑事项为：</w:t>
      </w:r>
    </w:p>
    <w:p>
      <w:pPr>
        <w:spacing w:line="360" w:lineRule="auto"/>
        <w:rPr>
          <w:rFonts w:hint="eastAsia" w:ascii="宋体" w:hAnsi="宋体" w:eastAsia="宋体" w:cs="宋体"/>
          <w:sz w:val="24"/>
          <w:highlight w:val="none"/>
          <w:u w:val="dotted"/>
        </w:rPr>
      </w:pP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于年月日,就质疑事项作出了答复/没有在法定期限内作出答复。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p>
    <w:p>
      <w:pPr>
        <w:spacing w:line="360" w:lineRule="auto"/>
        <w:rPr>
          <w:rFonts w:hint="eastAsia" w:ascii="宋体" w:hAnsi="宋体" w:eastAsia="宋体" w:cs="宋体"/>
          <w:sz w:val="24"/>
          <w:highlight w:val="none"/>
          <w:u w:val="dotted"/>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p>
    <w:p>
      <w:pPr>
        <w:spacing w:line="360" w:lineRule="auto"/>
        <w:rPr>
          <w:rFonts w:hint="eastAsia" w:ascii="宋体" w:hAnsi="宋体" w:eastAsia="宋体" w:cs="宋体"/>
          <w:sz w:val="24"/>
          <w:highlight w:val="none"/>
          <w:u w:val="dotted"/>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p>
    <w:p>
      <w:pPr>
        <w:spacing w:line="360" w:lineRule="auto"/>
        <w:rPr>
          <w:rFonts w:hint="eastAsia" w:ascii="宋体" w:hAnsi="宋体" w:eastAsia="宋体" w:cs="宋体"/>
          <w:sz w:val="24"/>
          <w:highlight w:val="none"/>
          <w:u w:val="singl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1.投诉人提起投诉时，应当提交投诉书和必要的证明材料，并按照被投诉人和与投诉事项有关的投标人数量提供投诉书副本。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u w:val="singl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你方组织的2023—2024年度护校安园和应急处置辅助服务项目【招标编号：RTZFCG-2023-】</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hint="eastAsia" w:ascii="宋体" w:hAnsi="宋体" w:eastAsia="宋体" w:cs="宋体"/>
          <w:b/>
          <w:bCs/>
          <w:sz w:val="24"/>
          <w:highlight w:val="none"/>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kern w:val="0"/>
          <w:sz w:val="32"/>
          <w:szCs w:val="32"/>
          <w:highlight w:val="none"/>
          <w:lang w:val="zh-CN"/>
        </w:rPr>
      </w:pPr>
      <w:r>
        <w:rPr>
          <w:rFonts w:hint="eastAsia" w:ascii="宋体" w:hAnsi="宋体" w:eastAsia="宋体" w:cs="宋体"/>
          <w:b/>
          <w:spacing w:val="6"/>
          <w:sz w:val="32"/>
          <w:szCs w:val="32"/>
          <w:highlight w:val="none"/>
        </w:rPr>
        <w:t>附件5：</w:t>
      </w:r>
      <w:r>
        <w:rPr>
          <w:rFonts w:hint="eastAsia" w:ascii="宋体" w:hAnsi="宋体" w:eastAsia="宋体" w:cs="宋体"/>
          <w:b/>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2023—2024年度护校安园和应急处置辅助服务项目【招标编号：RTZFCG-2023-】</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（联合体成员1）</w:t>
      </w:r>
      <w:r>
        <w:rPr>
          <w:rFonts w:hint="eastAsia" w:ascii="宋体" w:hAnsi="宋体" w:eastAsia="宋体" w:cs="宋体"/>
          <w:kern w:val="0"/>
          <w:sz w:val="24"/>
          <w:highlight w:val="none"/>
          <w:lang w:val="zh-CN"/>
        </w:rPr>
        <w:t>承担的工作和义务为：；</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（联合体成员2）</w:t>
      </w:r>
      <w:r>
        <w:rPr>
          <w:rFonts w:hint="eastAsia" w:ascii="宋体" w:hAnsi="宋体" w:eastAsia="宋体" w:cs="宋体"/>
          <w:kern w:val="0"/>
          <w:sz w:val="24"/>
          <w:highlight w:val="none"/>
          <w:lang w:val="zh-CN"/>
        </w:rPr>
        <w:t>承担的工作和义务为：；</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四、联合体成员中小企业合同份额。</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u w:val="single"/>
        </w:rPr>
        <w:t>（</w:t>
      </w:r>
      <w:bookmarkStart w:id="519" w:name="_Hlk101131882"/>
      <w:r>
        <w:rPr>
          <w:rFonts w:hint="eastAsia" w:ascii="宋体" w:hAnsi="宋体" w:eastAsia="宋体" w:cs="宋体"/>
          <w:kern w:val="0"/>
          <w:sz w:val="24"/>
          <w:highlight w:val="none"/>
          <w:u w:val="single"/>
        </w:rPr>
        <w:t>联合体成员X,……</w:t>
      </w:r>
      <w:bookmarkEnd w:id="519"/>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提供的服务由小微企业承接，其合同份额占到合同总金额%以上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w:t>
      </w:r>
      <w:bookmarkStart w:id="520" w:name="_Hlk101133598"/>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sz w:val="24"/>
          <w:highlight w:val="none"/>
        </w:rPr>
        <w:t>拟享受以上价格扣除政策的，填写有关内容。</w:t>
      </w:r>
      <w:bookmarkEnd w:id="520"/>
      <w:r>
        <w:rPr>
          <w:rFonts w:hint="eastAsia" w:ascii="宋体" w:hAnsi="宋体" w:eastAsia="宋体" w:cs="宋体"/>
          <w:b/>
          <w:kern w:val="0"/>
          <w:sz w:val="24"/>
          <w:highlight w:val="none"/>
          <w:lang w:val="zh-CN"/>
        </w:rPr>
        <w:t>）</w:t>
      </w:r>
    </w:p>
    <w:p>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w:t>
      </w:r>
      <w:bookmarkStart w:id="521" w:name="_Hlk101133173"/>
      <w:r>
        <w:rPr>
          <w:rFonts w:hint="eastAsia" w:ascii="宋体" w:hAnsi="宋体" w:eastAsia="宋体" w:cs="宋体"/>
          <w:sz w:val="24"/>
          <w:highlight w:val="none"/>
        </w:rPr>
        <w:t>中小企业合同金额达到%，小微企业合同金额达到%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eastAsia="宋体" w:cs="宋体"/>
          <w:b/>
          <w:bCs/>
          <w:kern w:val="0"/>
          <w:sz w:val="24"/>
          <w:highlight w:val="none"/>
          <w:lang w:val="zh-CN"/>
        </w:rPr>
        <w:t>）</w:t>
      </w:r>
      <w:bookmarkEnd w:id="521"/>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1、联合体各方不再单独参加或者与其他投标人另外组成联合体参加同一合同项下的政府采购活动。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2、联合体中有同类资质的各方按照联合体分工承担相同工作的，按照资质等级较低的投标人确定资质等级。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snapToGrid w:val="0"/>
        <w:spacing w:line="360" w:lineRule="auto"/>
        <w:ind w:firstLine="3666" w:firstLineChars="1100"/>
        <w:rPr>
          <w:rFonts w:hint="eastAsia" w:ascii="宋体" w:hAnsi="宋体" w:eastAsia="宋体" w:cs="宋体"/>
          <w:b/>
          <w:spacing w:val="6"/>
          <w:sz w:val="32"/>
          <w:szCs w:val="32"/>
          <w:highlight w:val="none"/>
        </w:rPr>
      </w:pPr>
    </w:p>
    <w:p>
      <w:pPr>
        <w:widowControl/>
        <w:adjustRightInd/>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pPr>
        <w:snapToGrid w:val="0"/>
        <w:spacing w:line="360" w:lineRule="auto"/>
        <w:ind w:firstLine="3666" w:firstLineChars="1100"/>
        <w:rPr>
          <w:rFonts w:hint="eastAsia" w:ascii="宋体" w:hAnsi="宋体" w:eastAsia="宋体" w:cs="宋体"/>
          <w:b/>
          <w:kern w:val="0"/>
          <w:sz w:val="32"/>
          <w:szCs w:val="32"/>
          <w:highlight w:val="none"/>
        </w:rPr>
      </w:pPr>
      <w:r>
        <w:rPr>
          <w:rFonts w:hint="eastAsia" w:ascii="宋体" w:hAnsi="宋体" w:eastAsia="宋体" w:cs="宋体"/>
          <w:b/>
          <w:spacing w:val="6"/>
          <w:sz w:val="32"/>
          <w:szCs w:val="32"/>
          <w:highlight w:val="none"/>
        </w:rPr>
        <w:t>附件6：</w:t>
      </w:r>
      <w:r>
        <w:rPr>
          <w:rFonts w:hint="eastAsia" w:ascii="宋体" w:hAnsi="宋体" w:eastAsia="宋体" w:cs="宋体"/>
          <w:b/>
          <w:kern w:val="0"/>
          <w:sz w:val="32"/>
          <w:szCs w:val="32"/>
          <w:highlight w:val="none"/>
        </w:rPr>
        <w:t>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2023—2024年度护校安园和应急处置辅助服务项目【招标编号：RTZFCG-2023-】</w:t>
      </w:r>
      <w:r>
        <w:rPr>
          <w:rFonts w:hint="eastAsia" w:ascii="宋体" w:hAnsi="宋体" w:eastAsia="宋体" w:cs="宋体"/>
          <w:kern w:val="0"/>
          <w:sz w:val="24"/>
          <w:highlight w:val="none"/>
          <w:lang w:val="zh-CN"/>
        </w:rPr>
        <w:t>的中标投标人，将依法采取分包方式履行合同。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（所有分包投标人名称）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kern w:val="0"/>
          <w:sz w:val="24"/>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（分包投标人1名称）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（分包投标人2名称），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2"/>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rFonts w:hint="eastAsia" w:ascii="宋体" w:hAnsi="宋体" w:eastAsia="宋体" w:cs="宋体"/>
          <w:highlight w:val="none"/>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二、分包投标人中小企业合同份额</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（分包投标人X,……）提供的服务全部由小微企业承接，</w:t>
      </w:r>
      <w:r>
        <w:rPr>
          <w:rFonts w:hint="eastAsia" w:ascii="宋体" w:hAnsi="宋体" w:eastAsia="宋体" w:cs="宋体"/>
          <w:kern w:val="0"/>
          <w:sz w:val="24"/>
          <w:highlight w:val="none"/>
        </w:rPr>
        <w:t>其合同份额占到合同总金额%以上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sz w:val="24"/>
          <w:highlight w:val="none"/>
        </w:rPr>
        <w:t>拟享受以上价格扣除政策的，填写有关内容。</w:t>
      </w:r>
      <w:r>
        <w:rPr>
          <w:rFonts w:hint="eastAsia" w:ascii="宋体" w:hAnsi="宋体" w:eastAsia="宋体" w:cs="宋体"/>
          <w:b/>
          <w:kern w:val="0"/>
          <w:sz w:val="24"/>
          <w:highlight w:val="none"/>
          <w:lang w:val="zh-CN"/>
        </w:rPr>
        <w:t>）</w:t>
      </w:r>
    </w:p>
    <w:p>
      <w:pPr>
        <w:spacing w:line="360" w:lineRule="auto"/>
        <w:ind w:firstLine="480" w:firstLineChars="200"/>
        <w:rPr>
          <w:rFonts w:hint="eastAsia" w:ascii="宋体" w:hAnsi="宋体" w:eastAsia="宋体" w:cs="宋体"/>
          <w:b/>
          <w:bCs/>
          <w:kern w:val="0"/>
          <w:sz w:val="24"/>
          <w:highlight w:val="none"/>
          <w:lang w:val="zh-CN"/>
        </w:rPr>
      </w:pPr>
      <w:r>
        <w:rPr>
          <w:rFonts w:hint="eastAsia" w:ascii="宋体" w:hAnsi="宋体" w:eastAsia="宋体" w:cs="宋体"/>
          <w:sz w:val="24"/>
          <w:highlight w:val="none"/>
        </w:rPr>
        <w:t>2、中小企业合同金额达到%，小微企业合同金额达到%</w:t>
      </w:r>
      <w:r>
        <w:rPr>
          <w:rFonts w:hint="eastAsia" w:ascii="宋体" w:hAnsi="宋体" w:eastAsia="宋体" w:cs="宋体"/>
          <w:kern w:val="0"/>
          <w:sz w:val="24"/>
          <w:highlight w:val="none"/>
          <w:lang w:val="zh-CN"/>
        </w:rPr>
        <w:t>。</w:t>
      </w:r>
      <w:r>
        <w:rPr>
          <w:rFonts w:hint="eastAsia" w:ascii="宋体" w:hAnsi="宋体" w:eastAsia="宋体" w:cs="宋体"/>
          <w:b/>
          <w:bCs/>
          <w:kern w:val="0"/>
          <w:sz w:val="24"/>
          <w:highlight w:val="none"/>
          <w:lang w:val="zh-CN"/>
        </w:rPr>
        <w:t>（</w:t>
      </w:r>
      <w:r>
        <w:rPr>
          <w:rFonts w:hint="eastAsia" w:ascii="宋体" w:hAnsi="宋体" w:eastAsia="宋体" w:cs="宋体"/>
          <w:b/>
          <w:bCs/>
          <w:sz w:val="24"/>
          <w:highlight w:val="none"/>
        </w:rPr>
        <w:t>要求合同分包形式参加的项目或采购包，投标人按招标文件第一部分招标公告申请人的资格要求中规定的</w:t>
      </w:r>
      <w:r>
        <w:rPr>
          <w:rFonts w:hint="eastAsia" w:ascii="宋体" w:hAnsi="宋体" w:eastAsia="宋体" w:cs="宋体"/>
          <w:b/>
          <w:kern w:val="0"/>
          <w:sz w:val="24"/>
          <w:highlight w:val="none"/>
          <w:lang w:val="zh-CN"/>
        </w:rPr>
        <w:t>分包意向协议</w:t>
      </w:r>
      <w:r>
        <w:rPr>
          <w:rFonts w:hint="eastAsia" w:ascii="宋体" w:hAnsi="宋体" w:eastAsia="宋体" w:cs="宋体"/>
          <w:b/>
          <w:bCs/>
          <w:sz w:val="24"/>
          <w:highlight w:val="none"/>
        </w:rPr>
        <w:t>中中小企业、小微企业合同金额应当达到的比例要求填写。</w:t>
      </w:r>
      <w:r>
        <w:rPr>
          <w:rFonts w:hint="eastAsia" w:ascii="宋体" w:hAnsi="宋体" w:eastAsia="宋体" w:cs="宋体"/>
          <w:b/>
          <w:bCs/>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三、分包工作履行期限、地点、方式</w:t>
      </w:r>
    </w:p>
    <w:p>
      <w:pPr>
        <w:snapToGrid w:val="0"/>
        <w:spacing w:line="360" w:lineRule="auto"/>
        <w:ind w:firstLine="576"/>
        <w:rPr>
          <w:rFonts w:hint="eastAsia" w:ascii="宋体" w:hAnsi="宋体" w:eastAsia="宋体" w:cs="宋体"/>
          <w:highlight w:val="none"/>
          <w:u w:val="single"/>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四、质量</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五、价款或者报酬</w:t>
      </w:r>
    </w:p>
    <w:p>
      <w:pPr>
        <w:snapToGrid w:val="0"/>
        <w:spacing w:line="360" w:lineRule="auto"/>
        <w:ind w:left="573" w:leftChars="273"/>
        <w:rPr>
          <w:rFonts w:hint="eastAsia" w:ascii="宋体" w:hAnsi="宋体" w:eastAsia="宋体" w:cs="宋体"/>
          <w:kern w:val="0"/>
          <w:sz w:val="24"/>
          <w:highlight w:val="none"/>
          <w:lang w:val="zh-CN"/>
        </w:rPr>
      </w:pP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六、违约责任</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七、争议解决的办法</w:t>
      </w:r>
    </w:p>
    <w:p>
      <w:pPr>
        <w:snapToGrid w:val="0"/>
        <w:spacing w:line="360" w:lineRule="auto"/>
        <w:ind w:firstLine="576"/>
        <w:rPr>
          <w:rFonts w:hint="eastAsia" w:ascii="宋体" w:hAnsi="宋体" w:eastAsia="宋体" w:cs="宋体"/>
          <w:kern w:val="0"/>
          <w:sz w:val="24"/>
          <w:highlight w:val="none"/>
          <w:lang w:val="zh-CN"/>
        </w:rPr>
      </w:pP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中小企业合同金额达到%，小微企业合同金额达到%</w:t>
      </w:r>
      <w:r>
        <w:rPr>
          <w:rFonts w:hint="eastAsia" w:ascii="宋体" w:hAnsi="宋体" w:eastAsia="宋体" w:cs="宋体"/>
          <w:kern w:val="0"/>
          <w:sz w:val="24"/>
          <w:highlight w:val="none"/>
          <w:lang w:val="zh-CN"/>
        </w:rPr>
        <w:t xml:space="preserve">  。                                           投标人名称(电子签名)：</w:t>
      </w:r>
    </w:p>
    <w:p>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分包投标人名称(电子签名/公章)：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spacing w:line="360" w:lineRule="auto"/>
        <w:jc w:val="left"/>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附件7：中小企业声明函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中小企业声明函（服务）</w:t>
      </w: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 xml:space="preserve">本公司（联合体）郑重声明，根据《政府采购促进中小企业发展管理办法》（财库﹝2020﹞46 号）的规定，本公司（联合体）参加 </w:t>
      </w:r>
      <w:r>
        <w:rPr>
          <w:rFonts w:hint="eastAsia" w:ascii="宋体" w:hAnsi="宋体" w:eastAsia="宋体" w:cs="宋体"/>
          <w:sz w:val="24"/>
          <w:highlight w:val="none"/>
          <w:u w:val="single"/>
        </w:rPr>
        <w:t xml:space="preserve">（采购人） </w:t>
      </w:r>
      <w:r>
        <w:rPr>
          <w:rFonts w:hint="eastAsia" w:ascii="宋体" w:hAnsi="宋体" w:eastAsia="宋体" w:cs="宋体"/>
          <w:sz w:val="24"/>
          <w:highlight w:val="none"/>
        </w:rPr>
        <w:t>的</w:t>
      </w:r>
      <w:r>
        <w:rPr>
          <w:rFonts w:hint="eastAsia" w:ascii="宋体" w:hAnsi="宋体" w:eastAsia="宋体" w:cs="宋体"/>
          <w:sz w:val="24"/>
          <w:highlight w:val="none"/>
          <w:u w:val="single"/>
        </w:rPr>
        <w:t>2023—2024年度护校安园和应急处置辅助服务项目</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 xml:space="preserve"> （标的名称），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 xml:space="preserve">（采购文件中明确的所属行业） </w:t>
      </w:r>
      <w:r>
        <w:rPr>
          <w:rFonts w:hint="eastAsia" w:ascii="宋体" w:hAnsi="宋体" w:eastAsia="宋体" w:cs="宋体"/>
          <w:sz w:val="24"/>
          <w:highlight w:val="none"/>
        </w:rPr>
        <w:t xml:space="preserve">；承建（承接）企业为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，从业人员人，营业收入为万元，资产总额为万元属于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w:t>
      </w:r>
    </w:p>
    <w:p>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sz w:val="24"/>
          <w:highlight w:val="none"/>
        </w:rPr>
      </w:pPr>
      <w:r>
        <w:rPr>
          <w:rFonts w:hint="eastAsia" w:ascii="宋体" w:hAnsi="宋体" w:eastAsia="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宋体" w:hAnsi="宋体" w:eastAsia="宋体" w:cs="宋体"/>
          <w:highlight w:val="none"/>
          <w:lang w:val="en-US"/>
        </w:rPr>
      </w:pPr>
    </w:p>
    <w:p>
      <w:pPr>
        <w:spacing w:line="360" w:lineRule="auto"/>
        <w:ind w:right="420"/>
        <w:rPr>
          <w:rFonts w:hint="eastAsia" w:ascii="宋体" w:hAnsi="宋体" w:eastAsia="宋体" w:cs="宋体"/>
          <w:highlight w:val="none"/>
        </w:rPr>
      </w:pPr>
    </w:p>
    <w:p>
      <w:pPr>
        <w:spacing w:line="360" w:lineRule="auto"/>
        <w:rPr>
          <w:rFonts w:hint="eastAsia" w:ascii="宋体" w:hAnsi="宋体" w:eastAsia="宋体" w:cs="宋体"/>
          <w:bCs/>
          <w:sz w:val="24"/>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522" w:name="_Toc36110187"/>
    <w:bookmarkStart w:id="523" w:name="_Toc164085800"/>
    <w:bookmarkStart w:id="524" w:name="_Toc91899912"/>
    <w:bookmarkStart w:id="525" w:name="_Toc131845147"/>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rect id="文本框 8"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42</w:t>
                </w:r>
                <w:r>
                  <w:rPr>
                    <w:rFonts w:hint="eastAsia" w:ascii="宋体" w:hAnsi="宋体" w:cs="宋体"/>
                    <w:sz w:val="18"/>
                    <w:szCs w:val="18"/>
                  </w:rPr>
                  <w:fldChar w:fldCharType="end"/>
                </w:r>
                <w:r>
                  <w:rPr>
                    <w:rFonts w:hint="eastAsia" w:ascii="宋体" w:hAnsi="宋体" w:cs="宋体"/>
                    <w:sz w:val="18"/>
                    <w:szCs w:val="18"/>
                  </w:rPr>
                  <w:t xml:space="preserve"> 页 共 </w:t>
                </w:r>
                <w:r>
                  <w:fldChar w:fldCharType="begin"/>
                </w:r>
                <w:r>
                  <w:instrText xml:space="preserve"> NUMPAGES  \* MERGEFORMAT </w:instrText>
                </w:r>
                <w:r>
                  <w:fldChar w:fldCharType="separate"/>
                </w:r>
                <w:r>
                  <w:rPr>
                    <w:rFonts w:ascii="宋体" w:hAnsi="宋体" w:cs="宋体"/>
                    <w:sz w:val="18"/>
                    <w:szCs w:val="18"/>
                  </w:rPr>
                  <w:t>87</w:t>
                </w:r>
                <w:r>
                  <w:rPr>
                    <w:rFonts w:ascii="宋体" w:hAnsi="宋体" w:cs="宋体"/>
                    <w:sz w:val="18"/>
                    <w:szCs w:val="18"/>
                  </w:rPr>
                  <w:fldChar w:fldCharType="end"/>
                </w:r>
                <w:r>
                  <w:rPr>
                    <w:rFonts w:hint="eastAsia" w:ascii="宋体" w:hAnsi="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upperLetter"/>
      <w:suff w:val="nothing"/>
      <w:lvlText w:val="%1、"/>
      <w:lvlJc w:val="left"/>
    </w:lvl>
  </w:abstractNum>
  <w:abstractNum w:abstractNumId="1">
    <w:nsid w:val="5EF0505D"/>
    <w:multiLevelType w:val="singleLevel"/>
    <w:tmpl w:val="5EF0505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FA9"/>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B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01"/>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37D11"/>
    <w:rsid w:val="025F0711"/>
    <w:rsid w:val="026B2E25"/>
    <w:rsid w:val="02824D4D"/>
    <w:rsid w:val="02DC4B10"/>
    <w:rsid w:val="02DD76CE"/>
    <w:rsid w:val="02F36323"/>
    <w:rsid w:val="02F5619C"/>
    <w:rsid w:val="0326446A"/>
    <w:rsid w:val="032D5555"/>
    <w:rsid w:val="036634D2"/>
    <w:rsid w:val="03800753"/>
    <w:rsid w:val="03DD35E4"/>
    <w:rsid w:val="04076900"/>
    <w:rsid w:val="041A5A3B"/>
    <w:rsid w:val="042311BA"/>
    <w:rsid w:val="042B157A"/>
    <w:rsid w:val="048F763B"/>
    <w:rsid w:val="049F330E"/>
    <w:rsid w:val="04AA775C"/>
    <w:rsid w:val="04AF1889"/>
    <w:rsid w:val="04C579C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ED538B"/>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228E4"/>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F648C"/>
    <w:rsid w:val="0C8445DA"/>
    <w:rsid w:val="0C87121B"/>
    <w:rsid w:val="0CC007F7"/>
    <w:rsid w:val="0CC617AC"/>
    <w:rsid w:val="0CE618DF"/>
    <w:rsid w:val="0CF426A5"/>
    <w:rsid w:val="0CFE707A"/>
    <w:rsid w:val="0D063BDA"/>
    <w:rsid w:val="0D08375F"/>
    <w:rsid w:val="0D184CFB"/>
    <w:rsid w:val="0D4A7419"/>
    <w:rsid w:val="0D735465"/>
    <w:rsid w:val="0D827401"/>
    <w:rsid w:val="0D84094E"/>
    <w:rsid w:val="0D8A00E9"/>
    <w:rsid w:val="0D8D589E"/>
    <w:rsid w:val="0DA01C73"/>
    <w:rsid w:val="0DD63300"/>
    <w:rsid w:val="0DF50604"/>
    <w:rsid w:val="0DF702FE"/>
    <w:rsid w:val="0E060E51"/>
    <w:rsid w:val="0E3F3599"/>
    <w:rsid w:val="0E5604B2"/>
    <w:rsid w:val="0E6D5D79"/>
    <w:rsid w:val="0E9D0089"/>
    <w:rsid w:val="0EB803EE"/>
    <w:rsid w:val="0ECB1C7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DA2100"/>
    <w:rsid w:val="11E104CC"/>
    <w:rsid w:val="11E20309"/>
    <w:rsid w:val="12255233"/>
    <w:rsid w:val="12530213"/>
    <w:rsid w:val="127723A9"/>
    <w:rsid w:val="12862074"/>
    <w:rsid w:val="12883966"/>
    <w:rsid w:val="129E45B4"/>
    <w:rsid w:val="12B5260F"/>
    <w:rsid w:val="12D81596"/>
    <w:rsid w:val="13072A44"/>
    <w:rsid w:val="13182CD5"/>
    <w:rsid w:val="135F4BE2"/>
    <w:rsid w:val="13881845"/>
    <w:rsid w:val="139B1A0A"/>
    <w:rsid w:val="139D25C7"/>
    <w:rsid w:val="13BF3CE4"/>
    <w:rsid w:val="13CF064E"/>
    <w:rsid w:val="141008D8"/>
    <w:rsid w:val="14125FE6"/>
    <w:rsid w:val="146D271E"/>
    <w:rsid w:val="14982588"/>
    <w:rsid w:val="149A5AD9"/>
    <w:rsid w:val="14A7619D"/>
    <w:rsid w:val="150536C3"/>
    <w:rsid w:val="150C1963"/>
    <w:rsid w:val="151447A0"/>
    <w:rsid w:val="154A6454"/>
    <w:rsid w:val="15762120"/>
    <w:rsid w:val="157A4573"/>
    <w:rsid w:val="16A8729C"/>
    <w:rsid w:val="16B33777"/>
    <w:rsid w:val="16BC70A7"/>
    <w:rsid w:val="16C6339E"/>
    <w:rsid w:val="172F2D79"/>
    <w:rsid w:val="17557BEF"/>
    <w:rsid w:val="17D349C1"/>
    <w:rsid w:val="1830729E"/>
    <w:rsid w:val="18366553"/>
    <w:rsid w:val="1870062C"/>
    <w:rsid w:val="18817102"/>
    <w:rsid w:val="18830A15"/>
    <w:rsid w:val="18852B28"/>
    <w:rsid w:val="188B5321"/>
    <w:rsid w:val="19771B7E"/>
    <w:rsid w:val="19932372"/>
    <w:rsid w:val="19A20DD5"/>
    <w:rsid w:val="19AE03F1"/>
    <w:rsid w:val="19B645E8"/>
    <w:rsid w:val="1A071A03"/>
    <w:rsid w:val="1A1F16AE"/>
    <w:rsid w:val="1A3B5C77"/>
    <w:rsid w:val="1A85782D"/>
    <w:rsid w:val="1A984BAD"/>
    <w:rsid w:val="1AA560C7"/>
    <w:rsid w:val="1AB8220E"/>
    <w:rsid w:val="1AE4166C"/>
    <w:rsid w:val="1AF06CFB"/>
    <w:rsid w:val="1AF11B8D"/>
    <w:rsid w:val="1B11359C"/>
    <w:rsid w:val="1B2A271F"/>
    <w:rsid w:val="1B530544"/>
    <w:rsid w:val="1B713184"/>
    <w:rsid w:val="1BA209CF"/>
    <w:rsid w:val="1BA52068"/>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A27FB"/>
    <w:rsid w:val="1E5C3A12"/>
    <w:rsid w:val="1E714A66"/>
    <w:rsid w:val="1E802593"/>
    <w:rsid w:val="1E8B6156"/>
    <w:rsid w:val="1EA703CC"/>
    <w:rsid w:val="1EB7330C"/>
    <w:rsid w:val="1F0A0FF3"/>
    <w:rsid w:val="1F1B770B"/>
    <w:rsid w:val="1F2E38E2"/>
    <w:rsid w:val="1F5771FF"/>
    <w:rsid w:val="1F961FD3"/>
    <w:rsid w:val="1FD52DD5"/>
    <w:rsid w:val="1FE868A9"/>
    <w:rsid w:val="20034907"/>
    <w:rsid w:val="20173E4B"/>
    <w:rsid w:val="204E48BC"/>
    <w:rsid w:val="207B78F6"/>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4063E"/>
    <w:rsid w:val="245375B0"/>
    <w:rsid w:val="24642C0A"/>
    <w:rsid w:val="24B22173"/>
    <w:rsid w:val="24B95AD9"/>
    <w:rsid w:val="24BE24DA"/>
    <w:rsid w:val="24CF5825"/>
    <w:rsid w:val="24D663E6"/>
    <w:rsid w:val="24D77F2B"/>
    <w:rsid w:val="258B00E2"/>
    <w:rsid w:val="25A917A6"/>
    <w:rsid w:val="25BE27CC"/>
    <w:rsid w:val="25C7239A"/>
    <w:rsid w:val="25F74A5C"/>
    <w:rsid w:val="2628662C"/>
    <w:rsid w:val="262D45DE"/>
    <w:rsid w:val="264A0360"/>
    <w:rsid w:val="26871DC8"/>
    <w:rsid w:val="26A53EF9"/>
    <w:rsid w:val="26A94201"/>
    <w:rsid w:val="26AC274F"/>
    <w:rsid w:val="26CC5449"/>
    <w:rsid w:val="26DC4BB2"/>
    <w:rsid w:val="27044A29"/>
    <w:rsid w:val="271D34C8"/>
    <w:rsid w:val="276142BF"/>
    <w:rsid w:val="27783712"/>
    <w:rsid w:val="27797334"/>
    <w:rsid w:val="27907362"/>
    <w:rsid w:val="28333E1D"/>
    <w:rsid w:val="28454BD6"/>
    <w:rsid w:val="28455253"/>
    <w:rsid w:val="28551971"/>
    <w:rsid w:val="285B1C53"/>
    <w:rsid w:val="289F7086"/>
    <w:rsid w:val="28BE1833"/>
    <w:rsid w:val="28C32028"/>
    <w:rsid w:val="28CC490F"/>
    <w:rsid w:val="28DE40AA"/>
    <w:rsid w:val="29345E77"/>
    <w:rsid w:val="294C65AD"/>
    <w:rsid w:val="29762687"/>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B2138"/>
    <w:rsid w:val="2DD15014"/>
    <w:rsid w:val="2DF72DE4"/>
    <w:rsid w:val="2E0220AF"/>
    <w:rsid w:val="2E4B082A"/>
    <w:rsid w:val="2E5D4E86"/>
    <w:rsid w:val="2E5D790B"/>
    <w:rsid w:val="2E9A3C18"/>
    <w:rsid w:val="2EBB0FEE"/>
    <w:rsid w:val="2EC63002"/>
    <w:rsid w:val="2F0A6B38"/>
    <w:rsid w:val="2F946CCB"/>
    <w:rsid w:val="2FD25781"/>
    <w:rsid w:val="2FDC745C"/>
    <w:rsid w:val="2FEF5395"/>
    <w:rsid w:val="2FFD7934"/>
    <w:rsid w:val="30272830"/>
    <w:rsid w:val="305E3D1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769B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668FE"/>
    <w:rsid w:val="38586797"/>
    <w:rsid w:val="38BC0149"/>
    <w:rsid w:val="38D87D1C"/>
    <w:rsid w:val="39636459"/>
    <w:rsid w:val="396B7F6C"/>
    <w:rsid w:val="39B417A9"/>
    <w:rsid w:val="39EC1A2E"/>
    <w:rsid w:val="39FC5695"/>
    <w:rsid w:val="3A006D8E"/>
    <w:rsid w:val="3A3651E5"/>
    <w:rsid w:val="3A744481"/>
    <w:rsid w:val="3A8C7BEF"/>
    <w:rsid w:val="3A906246"/>
    <w:rsid w:val="3B2349B7"/>
    <w:rsid w:val="3B491FD0"/>
    <w:rsid w:val="3B616CFF"/>
    <w:rsid w:val="3B6259F6"/>
    <w:rsid w:val="3B976654"/>
    <w:rsid w:val="3BC01EFC"/>
    <w:rsid w:val="3BCA786A"/>
    <w:rsid w:val="3BD31E2F"/>
    <w:rsid w:val="3BF15831"/>
    <w:rsid w:val="3C105946"/>
    <w:rsid w:val="3C1F6635"/>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C33B1"/>
    <w:rsid w:val="3E377251"/>
    <w:rsid w:val="3E42664B"/>
    <w:rsid w:val="3E5A7334"/>
    <w:rsid w:val="3E7B5D6B"/>
    <w:rsid w:val="3E843E66"/>
    <w:rsid w:val="3E8F51FE"/>
    <w:rsid w:val="3E926F87"/>
    <w:rsid w:val="3E9A59DE"/>
    <w:rsid w:val="3EAF4836"/>
    <w:rsid w:val="3EC33DFA"/>
    <w:rsid w:val="3F060E16"/>
    <w:rsid w:val="3F1D1096"/>
    <w:rsid w:val="3F227801"/>
    <w:rsid w:val="3F2F0234"/>
    <w:rsid w:val="3F6363FE"/>
    <w:rsid w:val="3F756B8F"/>
    <w:rsid w:val="3F95482B"/>
    <w:rsid w:val="4019356B"/>
    <w:rsid w:val="402A78AD"/>
    <w:rsid w:val="40592157"/>
    <w:rsid w:val="406E1CAE"/>
    <w:rsid w:val="40A0133A"/>
    <w:rsid w:val="40C31A53"/>
    <w:rsid w:val="40FF545D"/>
    <w:rsid w:val="410067C8"/>
    <w:rsid w:val="41320BB8"/>
    <w:rsid w:val="416C6A2A"/>
    <w:rsid w:val="418F0D2A"/>
    <w:rsid w:val="41D01505"/>
    <w:rsid w:val="420E33D3"/>
    <w:rsid w:val="42474939"/>
    <w:rsid w:val="424C3C57"/>
    <w:rsid w:val="42613FF3"/>
    <w:rsid w:val="42660D96"/>
    <w:rsid w:val="428667D2"/>
    <w:rsid w:val="42CD1CE0"/>
    <w:rsid w:val="42E1381E"/>
    <w:rsid w:val="42ED6459"/>
    <w:rsid w:val="42FE58DD"/>
    <w:rsid w:val="43174B3D"/>
    <w:rsid w:val="434B790E"/>
    <w:rsid w:val="434E3DE6"/>
    <w:rsid w:val="4360274F"/>
    <w:rsid w:val="43642CC9"/>
    <w:rsid w:val="43977AB6"/>
    <w:rsid w:val="43A3342B"/>
    <w:rsid w:val="43C77C27"/>
    <w:rsid w:val="43DE09EE"/>
    <w:rsid w:val="44002FAD"/>
    <w:rsid w:val="443965F7"/>
    <w:rsid w:val="449101DD"/>
    <w:rsid w:val="44DB4A18"/>
    <w:rsid w:val="44DE1391"/>
    <w:rsid w:val="451B225C"/>
    <w:rsid w:val="452410C9"/>
    <w:rsid w:val="45317DFB"/>
    <w:rsid w:val="456D3CE4"/>
    <w:rsid w:val="4579042C"/>
    <w:rsid w:val="457E6D33"/>
    <w:rsid w:val="457F0571"/>
    <w:rsid w:val="45851176"/>
    <w:rsid w:val="45C63B94"/>
    <w:rsid w:val="460E7DA5"/>
    <w:rsid w:val="46422483"/>
    <w:rsid w:val="4659254A"/>
    <w:rsid w:val="465B0637"/>
    <w:rsid w:val="465E3F0D"/>
    <w:rsid w:val="466A16E6"/>
    <w:rsid w:val="467F14EA"/>
    <w:rsid w:val="46893F2B"/>
    <w:rsid w:val="46C4686E"/>
    <w:rsid w:val="473531B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03205"/>
    <w:rsid w:val="49E56AF9"/>
    <w:rsid w:val="49F6167F"/>
    <w:rsid w:val="4A064FA0"/>
    <w:rsid w:val="4A16615C"/>
    <w:rsid w:val="4A4424D7"/>
    <w:rsid w:val="4A993A56"/>
    <w:rsid w:val="4AB82D0F"/>
    <w:rsid w:val="4AEB7664"/>
    <w:rsid w:val="4AFD7C19"/>
    <w:rsid w:val="4B0567D1"/>
    <w:rsid w:val="4B236AAE"/>
    <w:rsid w:val="4B707271"/>
    <w:rsid w:val="4B9739F7"/>
    <w:rsid w:val="4BAA0168"/>
    <w:rsid w:val="4BEE2503"/>
    <w:rsid w:val="4C245A30"/>
    <w:rsid w:val="4CB6685F"/>
    <w:rsid w:val="4CC367FE"/>
    <w:rsid w:val="4D0478AD"/>
    <w:rsid w:val="4D077F3C"/>
    <w:rsid w:val="4D123355"/>
    <w:rsid w:val="4D2A3B31"/>
    <w:rsid w:val="4D312C52"/>
    <w:rsid w:val="4D537B97"/>
    <w:rsid w:val="4D905305"/>
    <w:rsid w:val="4D964A72"/>
    <w:rsid w:val="4D9C1254"/>
    <w:rsid w:val="4DF8215D"/>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94764"/>
    <w:rsid w:val="522E4CC3"/>
    <w:rsid w:val="5244713B"/>
    <w:rsid w:val="52615633"/>
    <w:rsid w:val="526F4DE4"/>
    <w:rsid w:val="52977FD4"/>
    <w:rsid w:val="529A131E"/>
    <w:rsid w:val="52A25790"/>
    <w:rsid w:val="52A96B6F"/>
    <w:rsid w:val="52AD092D"/>
    <w:rsid w:val="52B45975"/>
    <w:rsid w:val="52D94AA4"/>
    <w:rsid w:val="52EA3A62"/>
    <w:rsid w:val="52F50BB8"/>
    <w:rsid w:val="53097272"/>
    <w:rsid w:val="53544462"/>
    <w:rsid w:val="5397158E"/>
    <w:rsid w:val="539B32F7"/>
    <w:rsid w:val="54013861"/>
    <w:rsid w:val="54487265"/>
    <w:rsid w:val="544D6070"/>
    <w:rsid w:val="54605E1E"/>
    <w:rsid w:val="548F0C46"/>
    <w:rsid w:val="54B3506A"/>
    <w:rsid w:val="54BD179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B047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B367B"/>
    <w:rsid w:val="5B843A1C"/>
    <w:rsid w:val="5B873E3F"/>
    <w:rsid w:val="5C02690E"/>
    <w:rsid w:val="5C17056B"/>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C10E5"/>
    <w:rsid w:val="5E1834A1"/>
    <w:rsid w:val="5E261785"/>
    <w:rsid w:val="5E4A7017"/>
    <w:rsid w:val="5E552BBA"/>
    <w:rsid w:val="5E6051C0"/>
    <w:rsid w:val="5E611C10"/>
    <w:rsid w:val="5E7A0F3F"/>
    <w:rsid w:val="5EFC7377"/>
    <w:rsid w:val="5F06174D"/>
    <w:rsid w:val="5F3A3602"/>
    <w:rsid w:val="5F45733B"/>
    <w:rsid w:val="5F6277C6"/>
    <w:rsid w:val="5F640AAE"/>
    <w:rsid w:val="5F6D0B1D"/>
    <w:rsid w:val="5F8D0B82"/>
    <w:rsid w:val="5FCC5339"/>
    <w:rsid w:val="5FE34A5B"/>
    <w:rsid w:val="5FFE1E36"/>
    <w:rsid w:val="60232584"/>
    <w:rsid w:val="607330CE"/>
    <w:rsid w:val="60825176"/>
    <w:rsid w:val="609F2AC4"/>
    <w:rsid w:val="60A84A99"/>
    <w:rsid w:val="60FA2EE8"/>
    <w:rsid w:val="61054A27"/>
    <w:rsid w:val="610A52BC"/>
    <w:rsid w:val="611D2366"/>
    <w:rsid w:val="61421856"/>
    <w:rsid w:val="61422F7A"/>
    <w:rsid w:val="615227C4"/>
    <w:rsid w:val="61654E3F"/>
    <w:rsid w:val="6182292A"/>
    <w:rsid w:val="619F7F92"/>
    <w:rsid w:val="61F94C26"/>
    <w:rsid w:val="62000E56"/>
    <w:rsid w:val="624F3E49"/>
    <w:rsid w:val="62632286"/>
    <w:rsid w:val="62885958"/>
    <w:rsid w:val="62F40B65"/>
    <w:rsid w:val="62FC2CFE"/>
    <w:rsid w:val="63024505"/>
    <w:rsid w:val="635600A5"/>
    <w:rsid w:val="63575087"/>
    <w:rsid w:val="635B1DB5"/>
    <w:rsid w:val="63711FED"/>
    <w:rsid w:val="63880DDC"/>
    <w:rsid w:val="638D750D"/>
    <w:rsid w:val="63AC6CC0"/>
    <w:rsid w:val="63B53257"/>
    <w:rsid w:val="63FA1A53"/>
    <w:rsid w:val="64055776"/>
    <w:rsid w:val="64240056"/>
    <w:rsid w:val="643E143A"/>
    <w:rsid w:val="64491666"/>
    <w:rsid w:val="648B6EEF"/>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885826"/>
    <w:rsid w:val="689F444F"/>
    <w:rsid w:val="68B96DBB"/>
    <w:rsid w:val="68CA2805"/>
    <w:rsid w:val="68D43FCC"/>
    <w:rsid w:val="68E937A3"/>
    <w:rsid w:val="691664E5"/>
    <w:rsid w:val="693E15D3"/>
    <w:rsid w:val="69627681"/>
    <w:rsid w:val="6977531D"/>
    <w:rsid w:val="69CC2BFF"/>
    <w:rsid w:val="69FD55B8"/>
    <w:rsid w:val="6A0B1C62"/>
    <w:rsid w:val="6A2406C8"/>
    <w:rsid w:val="6ADE0BD1"/>
    <w:rsid w:val="6AE96859"/>
    <w:rsid w:val="6B147746"/>
    <w:rsid w:val="6B24787C"/>
    <w:rsid w:val="6B265065"/>
    <w:rsid w:val="6B573233"/>
    <w:rsid w:val="6B5B6274"/>
    <w:rsid w:val="6B935D53"/>
    <w:rsid w:val="6BBD738F"/>
    <w:rsid w:val="6C196F71"/>
    <w:rsid w:val="6C226FCB"/>
    <w:rsid w:val="6C31226F"/>
    <w:rsid w:val="6C552F0B"/>
    <w:rsid w:val="6C8C67B7"/>
    <w:rsid w:val="6C9D744C"/>
    <w:rsid w:val="6CE96789"/>
    <w:rsid w:val="6D167928"/>
    <w:rsid w:val="6D26299B"/>
    <w:rsid w:val="6D4772EC"/>
    <w:rsid w:val="6D9078AF"/>
    <w:rsid w:val="6DAA3FEF"/>
    <w:rsid w:val="6DC0172B"/>
    <w:rsid w:val="6DCB690C"/>
    <w:rsid w:val="6DCB77D9"/>
    <w:rsid w:val="6DD41A5B"/>
    <w:rsid w:val="6DF43C2E"/>
    <w:rsid w:val="6DF51CA3"/>
    <w:rsid w:val="6E8335BD"/>
    <w:rsid w:val="6E8E12EF"/>
    <w:rsid w:val="6E972936"/>
    <w:rsid w:val="6E9A533B"/>
    <w:rsid w:val="6ED446C5"/>
    <w:rsid w:val="6F2A7D94"/>
    <w:rsid w:val="6F8331F1"/>
    <w:rsid w:val="6FAE1A09"/>
    <w:rsid w:val="6FD75BF8"/>
    <w:rsid w:val="707723D0"/>
    <w:rsid w:val="70F5661B"/>
    <w:rsid w:val="71360107"/>
    <w:rsid w:val="713B688E"/>
    <w:rsid w:val="71A861A9"/>
    <w:rsid w:val="71AF2175"/>
    <w:rsid w:val="71D43752"/>
    <w:rsid w:val="71F1796A"/>
    <w:rsid w:val="72154626"/>
    <w:rsid w:val="72262B5D"/>
    <w:rsid w:val="72283FF7"/>
    <w:rsid w:val="722E7212"/>
    <w:rsid w:val="723A0474"/>
    <w:rsid w:val="725923E4"/>
    <w:rsid w:val="72864BF7"/>
    <w:rsid w:val="729023FC"/>
    <w:rsid w:val="72B91E38"/>
    <w:rsid w:val="734D7A2A"/>
    <w:rsid w:val="737427E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01576"/>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67450"/>
    <w:rsid w:val="78B2245C"/>
    <w:rsid w:val="78E172CC"/>
    <w:rsid w:val="78EA1D1F"/>
    <w:rsid w:val="7904172F"/>
    <w:rsid w:val="790F7E27"/>
    <w:rsid w:val="792A231A"/>
    <w:rsid w:val="79316829"/>
    <w:rsid w:val="797E66A9"/>
    <w:rsid w:val="798518A4"/>
    <w:rsid w:val="79A97383"/>
    <w:rsid w:val="79CC5DA5"/>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A355A"/>
    <w:rsid w:val="7BEE0103"/>
    <w:rsid w:val="7C0A0FE4"/>
    <w:rsid w:val="7C254906"/>
    <w:rsid w:val="7C4A3667"/>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D48D5"/>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styleId="26">
    <w:name w:val="Body Text First Indent 2"/>
    <w:basedOn w:val="25"/>
    <w:link w:val="657"/>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35"/>
    <w:link w:val="661"/>
    <w:qFormat/>
    <w:uiPriority w:val="0"/>
    <w:rPr>
      <w:rFonts w:ascii="宋体" w:hAnsi="Courier New" w:cs="Arial"/>
      <w:snapToGrid w:val="0"/>
      <w:szCs w:val="21"/>
    </w:rPr>
  </w:style>
  <w:style w:type="paragraph" w:styleId="35">
    <w:name w:val="toc 2"/>
    <w:basedOn w:val="1"/>
    <w:next w:val="1"/>
    <w:qFormat/>
    <w:uiPriority w:val="39"/>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1"/>
    <w:qFormat/>
    <w:uiPriority w:val="0"/>
    <w:pPr>
      <w:ind w:left="100" w:leftChars="2500"/>
    </w:pPr>
    <w:rPr>
      <w:rFonts w:ascii="宋体"/>
      <w:sz w:val="24"/>
      <w:szCs w:val="21"/>
      <w:lang w:val="zh-CN"/>
    </w:rPr>
  </w:style>
  <w:style w:type="paragraph" w:styleId="39">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0">
    <w:name w:val="endnote text"/>
    <w:basedOn w:val="1"/>
    <w:link w:val="942"/>
    <w:qFormat/>
    <w:uiPriority w:val="0"/>
    <w:rPr>
      <w:lang w:val="zh-CN"/>
    </w:rPr>
  </w:style>
  <w:style w:type="paragraph" w:styleId="41">
    <w:name w:val="Balloon Text"/>
    <w:basedOn w:val="1"/>
    <w:link w:val="718"/>
    <w:qFormat/>
    <w:uiPriority w:val="0"/>
    <w:rPr>
      <w:sz w:val="18"/>
      <w:szCs w:val="18"/>
    </w:rPr>
  </w:style>
  <w:style w:type="paragraph" w:styleId="42">
    <w:name w:val="footer"/>
    <w:basedOn w:val="1"/>
    <w:link w:val="893"/>
    <w:qFormat/>
    <w:uiPriority w:val="99"/>
    <w:pPr>
      <w:tabs>
        <w:tab w:val="center" w:pos="4153"/>
        <w:tab w:val="right" w:pos="8306"/>
      </w:tabs>
      <w:snapToGrid w:val="0"/>
      <w:jc w:val="left"/>
    </w:pPr>
    <w:rPr>
      <w:sz w:val="18"/>
      <w:szCs w:val="18"/>
    </w:rPr>
  </w:style>
  <w:style w:type="paragraph" w:styleId="43">
    <w:name w:val="envelope return"/>
    <w:basedOn w:val="1"/>
    <w:unhideWhenUsed/>
    <w:qFormat/>
    <w:uiPriority w:val="99"/>
    <w:pPr>
      <w:snapToGrid w:val="0"/>
    </w:pPr>
    <w:rPr>
      <w:rFonts w:ascii="Arial" w:hAnsi="Arial"/>
    </w:rPr>
  </w:style>
  <w:style w:type="paragraph" w:styleId="44">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6"/>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4"/>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1">
    <w:name w:val="正文文本首行缩进 2"/>
    <w:basedOn w:val="25"/>
    <w:qFormat/>
    <w:uiPriority w:val="99"/>
    <w:pPr>
      <w:spacing w:line="200" w:lineRule="atLeast"/>
      <w:ind w:firstLine="420"/>
    </w:pPr>
    <w:rPr>
      <w:rFonts w:hAnsi="Courier New"/>
      <w:spacing w:val="-4"/>
      <w:sz w:val="18"/>
    </w:rPr>
  </w:style>
  <w:style w:type="paragraph" w:customStyle="1" w:styleId="82">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6"/>
    <w:qFormat/>
    <w:uiPriority w:val="0"/>
    <w:pPr>
      <w:spacing w:before="156" w:line="360" w:lineRule="auto"/>
      <w:ind w:firstLine="510" w:firstLineChars="200"/>
    </w:pPr>
    <w:rPr>
      <w:sz w:val="24"/>
      <w:szCs w:val="20"/>
    </w:rPr>
  </w:style>
  <w:style w:type="paragraph" w:customStyle="1" w:styleId="88">
    <w:name w:val="无间隔1"/>
    <w:link w:val="674"/>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2"/>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7"/>
    <w:qFormat/>
    <w:uiPriority w:val="0"/>
    <w:pPr>
      <w:ind w:left="0" w:right="466" w:firstLine="288"/>
    </w:pPr>
    <w:rPr>
      <w:rFonts w:hAnsi="宋体"/>
    </w:rPr>
  </w:style>
  <w:style w:type="paragraph" w:customStyle="1" w:styleId="9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9"/>
    <w:qFormat/>
    <w:uiPriority w:val="0"/>
    <w:pPr>
      <w:adjustRightInd/>
      <w:spacing w:line="360" w:lineRule="auto"/>
      <w:ind w:firstLine="480" w:firstLineChars="200"/>
    </w:pPr>
    <w:rPr>
      <w:kern w:val="0"/>
      <w:sz w:val="24"/>
    </w:rPr>
  </w:style>
  <w:style w:type="paragraph" w:customStyle="1" w:styleId="100">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800"/>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2"/>
    <w:qFormat/>
    <w:uiPriority w:val="0"/>
    <w:pPr>
      <w:tabs>
        <w:tab w:val="left" w:pos="2356"/>
      </w:tabs>
    </w:pPr>
  </w:style>
  <w:style w:type="paragraph" w:customStyle="1" w:styleId="105">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5"/>
    <w:qFormat/>
    <w:uiPriority w:val="0"/>
    <w:pPr>
      <w:adjustRightInd/>
    </w:pPr>
    <w:rPr>
      <w:rFonts w:ascii="宋体" w:hAnsi="Courier New"/>
      <w:kern w:val="0"/>
      <w:sz w:val="20"/>
      <w:szCs w:val="20"/>
    </w:rPr>
  </w:style>
  <w:style w:type="paragraph" w:customStyle="1" w:styleId="108">
    <w:name w:val="正文说明"/>
    <w:basedOn w:val="1"/>
    <w:link w:val="847"/>
    <w:qFormat/>
    <w:uiPriority w:val="0"/>
    <w:pPr>
      <w:adjustRightInd/>
      <w:spacing w:line="360" w:lineRule="auto"/>
    </w:pPr>
    <w:rPr>
      <w:kern w:val="0"/>
      <w:sz w:val="24"/>
    </w:rPr>
  </w:style>
  <w:style w:type="paragraph" w:customStyle="1" w:styleId="109">
    <w:name w:val="Table Text"/>
    <w:basedOn w:val="1"/>
    <w:link w:val="853"/>
    <w:qFormat/>
    <w:uiPriority w:val="0"/>
    <w:pPr>
      <w:widowControl/>
      <w:spacing w:before="60" w:after="60"/>
      <w:jc w:val="left"/>
    </w:pPr>
    <w:rPr>
      <w:kern w:val="0"/>
      <w:sz w:val="24"/>
    </w:rPr>
  </w:style>
  <w:style w:type="paragraph" w:customStyle="1" w:styleId="110">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5"/>
    <w:qFormat/>
    <w:uiPriority w:val="0"/>
    <w:pPr>
      <w:widowControl/>
      <w:snapToGrid w:val="0"/>
      <w:spacing w:afterLines="50"/>
      <w:ind w:firstLine="200" w:firstLineChars="200"/>
    </w:pPr>
    <w:rPr>
      <w:kern w:val="0"/>
      <w:sz w:val="24"/>
      <w:szCs w:val="20"/>
    </w:rPr>
  </w:style>
  <w:style w:type="paragraph" w:customStyle="1" w:styleId="115">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6"/>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3"/>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7"/>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5"/>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9"/>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_正文"/>
    <w:basedOn w:val="1"/>
    <w:qFormat/>
    <w:uiPriority w:val="0"/>
    <w:pPr>
      <w:tabs>
        <w:tab w:val="left" w:pos="840"/>
      </w:tabs>
      <w:adjustRightInd/>
      <w:spacing w:line="360" w:lineRule="auto"/>
      <w:ind w:firstLine="200" w:firstLineChars="200"/>
    </w:pPr>
    <w:rPr>
      <w:sz w:val="24"/>
    </w:rPr>
  </w:style>
  <w:style w:type="paragraph" w:customStyle="1" w:styleId="621">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2">
    <w:name w:val="[Normal]"/>
    <w:qFormat/>
    <w:uiPriority w:val="0"/>
    <w:rPr>
      <w:rFonts w:ascii="宋体" w:hAnsi="宋体" w:eastAsia="宋体" w:cs="Times New Roman"/>
      <w:sz w:val="24"/>
      <w:szCs w:val="22"/>
      <w:lang w:val="zh-CN" w:eastAsia="zh-CN" w:bidi="ar-SA"/>
    </w:rPr>
  </w:style>
  <w:style w:type="character" w:customStyle="1" w:styleId="623">
    <w:name w:val="表格非标题文字 Char"/>
    <w:link w:val="82"/>
    <w:qFormat/>
    <w:uiPriority w:val="0"/>
    <w:rPr>
      <w:rFonts w:ascii="Futura Bk" w:hAnsi="Futura Bk"/>
      <w:kern w:val="2"/>
      <w:sz w:val="18"/>
      <w:szCs w:val="21"/>
      <w:lang w:val="en-US" w:eastAsia="zh-CN" w:bidi="ar-SA"/>
    </w:rPr>
  </w:style>
  <w:style w:type="character" w:customStyle="1" w:styleId="624">
    <w:name w:val="*正文 Char"/>
    <w:link w:val="83"/>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4"/>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5"/>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6"/>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26"/>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7"/>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0"/>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8"/>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89"/>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1"/>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2"/>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8"/>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1"/>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3"/>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4"/>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6"/>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7"/>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8"/>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9"/>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0"/>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1"/>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3"/>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9"/>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3"/>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6"/>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7"/>
    <w:qFormat/>
    <w:uiPriority w:val="0"/>
    <w:rPr>
      <w:rFonts w:ascii="宋体" w:hAnsi="Courier New"/>
    </w:rPr>
  </w:style>
  <w:style w:type="character" w:customStyle="1" w:styleId="836">
    <w:name w:val="正文首行缩进 Char"/>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8"/>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9"/>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5"/>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0"/>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1"/>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6"/>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2"/>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2"/>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3"/>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4"/>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4"/>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5"/>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6"/>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7"/>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8"/>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0"/>
    <w:qFormat/>
    <w:uiPriority w:val="0"/>
    <w:rPr>
      <w:kern w:val="2"/>
      <w:sz w:val="21"/>
      <w:szCs w:val="24"/>
      <w:lang w:val="zh-CN"/>
    </w:rPr>
  </w:style>
  <w:style w:type="character" w:customStyle="1" w:styleId="943">
    <w:name w:val="无间隔 Char"/>
    <w:link w:val="168"/>
    <w:qFormat/>
    <w:uiPriority w:val="99"/>
    <w:rPr>
      <w:kern w:val="2"/>
      <w:sz w:val="21"/>
      <w:szCs w:val="22"/>
    </w:rPr>
  </w:style>
  <w:style w:type="character" w:customStyle="1" w:styleId="944">
    <w:name w:val="标准文本 Char Char"/>
    <w:link w:val="606"/>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968">
    <w:name w:val="TOC Heading"/>
    <w:basedOn w:val="3"/>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73C68-86E9-449B-AD77-40B52AC6781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6679</Words>
  <Characters>38072</Characters>
  <Lines>317</Lines>
  <Paragraphs>89</Paragraphs>
  <TotalTime>3</TotalTime>
  <ScaleCrop>false</ScaleCrop>
  <LinksUpToDate>false</LinksUpToDate>
  <CharactersWithSpaces>44662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Ning</cp:lastModifiedBy>
  <cp:lastPrinted>2021-12-27T03:06:00Z</cp:lastPrinted>
  <dcterms:modified xsi:type="dcterms:W3CDTF">2023-11-13T07:50:28Z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