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600" w:lineRule="atLeast"/>
        <w:jc w:val="center"/>
        <w:rPr>
          <w:rFonts w:ascii="宋体" w:hAnsi="宋体" w:cs="宋体"/>
          <w:b/>
          <w:bCs/>
          <w:spacing w:val="6"/>
          <w:sz w:val="44"/>
          <w:szCs w:val="44"/>
          <w:highlight w:val="none"/>
        </w:rPr>
      </w:pPr>
      <w:r>
        <w:rPr>
          <w:rFonts w:hint="eastAsia" w:ascii="宋体" w:hAnsi="宋体" w:cs="宋体"/>
          <w:b/>
          <w:bCs/>
          <w:spacing w:val="6"/>
          <w:sz w:val="44"/>
          <w:szCs w:val="44"/>
          <w:highlight w:val="none"/>
        </w:rPr>
        <w:t>2022年—2025年南苑街道</w:t>
      </w:r>
      <w:bookmarkStart w:id="403" w:name="_GoBack"/>
      <w:bookmarkEnd w:id="403"/>
    </w:p>
    <w:p>
      <w:pPr>
        <w:adjustRightInd/>
        <w:spacing w:line="600" w:lineRule="atLeast"/>
        <w:jc w:val="center"/>
        <w:rPr>
          <w:rFonts w:ascii="宋体" w:hAnsi="宋体" w:cs="宋体"/>
          <w:b/>
          <w:bCs/>
          <w:spacing w:val="6"/>
          <w:sz w:val="44"/>
          <w:szCs w:val="44"/>
          <w:highlight w:val="none"/>
        </w:rPr>
      </w:pPr>
      <w:r>
        <w:rPr>
          <w:rFonts w:hint="eastAsia" w:ascii="宋体" w:hAnsi="宋体" w:cs="宋体"/>
          <w:b/>
          <w:bCs/>
          <w:spacing w:val="6"/>
          <w:sz w:val="44"/>
          <w:szCs w:val="44"/>
          <w:highlight w:val="none"/>
        </w:rPr>
        <w:t>综合养护项目四标段</w:t>
      </w:r>
    </w:p>
    <w:p>
      <w:pPr>
        <w:pStyle w:val="62"/>
        <w:spacing w:line="600" w:lineRule="atLeast"/>
        <w:ind w:left="0" w:leftChars="0" w:firstLine="0" w:firstLineChars="0"/>
        <w:jc w:val="center"/>
        <w:rPr>
          <w:rFonts w:cs="宋体"/>
          <w:highlight w:val="none"/>
        </w:rPr>
      </w:pPr>
    </w:p>
    <w:p>
      <w:pPr>
        <w:adjustRightInd/>
        <w:spacing w:line="600" w:lineRule="atLeast"/>
        <w:jc w:val="center"/>
        <w:rPr>
          <w:rFonts w:ascii="宋体" w:hAnsi="宋体" w:cs="宋体"/>
          <w:b/>
          <w:bCs/>
          <w:spacing w:val="6"/>
          <w:sz w:val="44"/>
          <w:szCs w:val="44"/>
          <w:highlight w:val="none"/>
        </w:rPr>
      </w:pPr>
    </w:p>
    <w:p>
      <w:pPr>
        <w:pStyle w:val="62"/>
        <w:spacing w:line="600" w:lineRule="atLeast"/>
        <w:ind w:left="0" w:leftChars="0" w:firstLine="0" w:firstLineChars="0"/>
        <w:jc w:val="center"/>
        <w:rPr>
          <w:rFonts w:cs="宋体"/>
          <w:highlight w:val="none"/>
        </w:rPr>
      </w:pPr>
    </w:p>
    <w:p>
      <w:pPr>
        <w:jc w:val="center"/>
        <w:rPr>
          <w:rFonts w:ascii="宋体" w:hAnsi="宋体" w:cs="宋体"/>
          <w:b/>
          <w:bCs/>
          <w:sz w:val="84"/>
          <w:szCs w:val="84"/>
          <w:highlight w:val="none"/>
        </w:rPr>
      </w:pPr>
      <w:r>
        <w:rPr>
          <w:rFonts w:hint="eastAsia" w:ascii="宋体" w:hAnsi="宋体" w:cs="宋体"/>
          <w:b/>
          <w:bCs/>
          <w:sz w:val="84"/>
          <w:szCs w:val="84"/>
          <w:highlight w:val="none"/>
        </w:rPr>
        <w:t>招标文件</w:t>
      </w:r>
    </w:p>
    <w:p>
      <w:pPr>
        <w:jc w:val="center"/>
        <w:rPr>
          <w:rFonts w:ascii="宋体" w:hAnsi="宋体" w:cs="宋体"/>
          <w:b/>
          <w:bCs/>
          <w:sz w:val="44"/>
          <w:szCs w:val="44"/>
          <w:highlight w:val="none"/>
        </w:rPr>
      </w:pPr>
      <w:r>
        <w:rPr>
          <w:rFonts w:hint="eastAsia" w:ascii="宋体" w:hAnsi="宋体" w:cs="宋体"/>
          <w:b/>
          <w:bCs/>
          <w:sz w:val="44"/>
          <w:szCs w:val="44"/>
          <w:highlight w:val="none"/>
        </w:rPr>
        <w:t>（电子招投标）</w:t>
      </w:r>
    </w:p>
    <w:p>
      <w:pPr>
        <w:jc w:val="center"/>
        <w:rPr>
          <w:rFonts w:ascii="宋体" w:hAnsi="宋体" w:cs="宋体"/>
          <w:b/>
          <w:bCs/>
          <w:sz w:val="32"/>
          <w:szCs w:val="32"/>
          <w:highlight w:val="none"/>
        </w:rPr>
      </w:pPr>
      <w:r>
        <w:rPr>
          <w:rFonts w:hint="eastAsia" w:ascii="宋体" w:hAnsi="宋体" w:cs="宋体"/>
          <w:b/>
          <w:bCs/>
          <w:sz w:val="32"/>
          <w:szCs w:val="32"/>
          <w:highlight w:val="none"/>
        </w:rPr>
        <w:t>编号：（RTZFCG-2022-044）</w:t>
      </w:r>
    </w:p>
    <w:p>
      <w:pPr>
        <w:adjustRightInd/>
        <w:spacing w:line="600" w:lineRule="atLeast"/>
        <w:jc w:val="center"/>
        <w:rPr>
          <w:rFonts w:ascii="宋体" w:hAnsi="宋体" w:cs="宋体"/>
          <w:b/>
          <w:bCs/>
          <w:spacing w:val="6"/>
          <w:sz w:val="44"/>
          <w:szCs w:val="44"/>
          <w:highlight w:val="none"/>
        </w:rPr>
      </w:pPr>
    </w:p>
    <w:p>
      <w:pPr>
        <w:pStyle w:val="62"/>
        <w:spacing w:line="600" w:lineRule="atLeast"/>
        <w:ind w:left="0" w:leftChars="0" w:firstLine="0" w:firstLineChars="0"/>
        <w:jc w:val="center"/>
        <w:rPr>
          <w:rFonts w:cs="宋体"/>
          <w:highlight w:val="none"/>
        </w:rPr>
      </w:pPr>
    </w:p>
    <w:p>
      <w:pPr>
        <w:pStyle w:val="62"/>
        <w:spacing w:line="600" w:lineRule="atLeast"/>
        <w:ind w:left="0" w:leftChars="0" w:firstLine="0" w:firstLineChars="0"/>
        <w:jc w:val="center"/>
        <w:rPr>
          <w:rFonts w:cs="宋体"/>
          <w:highlight w:val="none"/>
        </w:rPr>
      </w:pPr>
    </w:p>
    <w:p>
      <w:pPr>
        <w:adjustRightInd/>
        <w:spacing w:line="600" w:lineRule="atLeast"/>
        <w:jc w:val="center"/>
        <w:rPr>
          <w:rFonts w:ascii="宋体" w:hAnsi="宋体" w:cs="宋体"/>
          <w:b/>
          <w:bCs/>
          <w:spacing w:val="6"/>
          <w:sz w:val="44"/>
          <w:szCs w:val="44"/>
          <w:highlight w:val="none"/>
        </w:rPr>
      </w:pPr>
    </w:p>
    <w:p>
      <w:pPr>
        <w:jc w:val="center"/>
        <w:rPr>
          <w:rFonts w:ascii="宋体" w:hAnsi="宋体" w:cs="宋体"/>
          <w:b/>
          <w:bCs/>
          <w:sz w:val="28"/>
          <w:szCs w:val="28"/>
          <w:highlight w:val="none"/>
        </w:rPr>
      </w:pPr>
      <w:r>
        <w:rPr>
          <w:rFonts w:hint="eastAsia" w:ascii="宋体" w:hAnsi="宋体" w:cs="宋体"/>
          <w:b/>
          <w:bCs/>
          <w:sz w:val="28"/>
          <w:szCs w:val="28"/>
          <w:highlight w:val="none"/>
        </w:rPr>
        <w:t>采购人：杭州市临平区人民政府南苑街道办事处</w:t>
      </w:r>
    </w:p>
    <w:p>
      <w:pPr>
        <w:jc w:val="center"/>
        <w:rPr>
          <w:rFonts w:ascii="宋体" w:hAnsi="宋体" w:cs="宋体"/>
          <w:b/>
          <w:bCs/>
          <w:sz w:val="28"/>
          <w:szCs w:val="28"/>
          <w:highlight w:val="none"/>
        </w:rPr>
      </w:pPr>
    </w:p>
    <w:p>
      <w:pPr>
        <w:jc w:val="center"/>
        <w:rPr>
          <w:rFonts w:ascii="宋体" w:hAnsi="宋体" w:cs="宋体"/>
          <w:b/>
          <w:bCs/>
          <w:sz w:val="28"/>
          <w:szCs w:val="28"/>
          <w:highlight w:val="none"/>
        </w:rPr>
      </w:pPr>
      <w:r>
        <w:rPr>
          <w:rFonts w:hint="eastAsia" w:ascii="宋体" w:hAnsi="宋体" w:cs="宋体"/>
          <w:b/>
          <w:bCs/>
          <w:sz w:val="28"/>
          <w:szCs w:val="28"/>
          <w:highlight w:val="none"/>
        </w:rPr>
        <w:t>采购代理机构：杭州瑞拓工程咨询有限公司</w:t>
      </w:r>
    </w:p>
    <w:p>
      <w:pPr>
        <w:jc w:val="center"/>
        <w:rPr>
          <w:rFonts w:ascii="宋体" w:hAnsi="宋体" w:cs="宋体"/>
          <w:b/>
          <w:bCs/>
          <w:sz w:val="28"/>
          <w:szCs w:val="28"/>
          <w:highlight w:val="none"/>
        </w:rPr>
      </w:pPr>
    </w:p>
    <w:p>
      <w:pPr>
        <w:snapToGrid w:val="0"/>
        <w:spacing w:line="360" w:lineRule="auto"/>
        <w:jc w:val="center"/>
        <w:rPr>
          <w:rFonts w:ascii="宋体" w:hAnsi="宋体" w:cs="宋体"/>
          <w:bCs/>
          <w:sz w:val="32"/>
          <w:szCs w:val="32"/>
          <w:highlight w:val="none"/>
        </w:rPr>
      </w:pPr>
      <w:r>
        <w:rPr>
          <w:rFonts w:hint="eastAsia" w:ascii="宋体" w:hAnsi="宋体" w:cs="宋体"/>
          <w:b/>
          <w:bCs/>
          <w:sz w:val="28"/>
          <w:szCs w:val="28"/>
          <w:highlight w:val="none"/>
        </w:rPr>
        <w:t>二〇二二年</w:t>
      </w:r>
      <w:r>
        <w:rPr>
          <w:rFonts w:hint="eastAsia" w:ascii="宋体" w:hAnsi="宋体" w:cs="宋体"/>
          <w:b/>
          <w:bCs/>
          <w:sz w:val="28"/>
          <w:szCs w:val="28"/>
          <w:highlight w:val="none"/>
          <w:lang w:eastAsia="zh-CN"/>
        </w:rPr>
        <w:t>五</w:t>
      </w:r>
      <w:r>
        <w:rPr>
          <w:rFonts w:hint="eastAsia" w:ascii="宋体" w:hAnsi="宋体" w:cs="宋体"/>
          <w:b/>
          <w:bCs/>
          <w:sz w:val="28"/>
          <w:szCs w:val="28"/>
          <w:highlight w:val="none"/>
        </w:rPr>
        <w:t>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bookmarkEnd w:id="2"/>
    <w:p>
      <w:pPr>
        <w:adjustRightInd/>
        <w:spacing w:line="360" w:lineRule="auto"/>
        <w:jc w:val="center"/>
        <w:outlineLvl w:val="0"/>
        <w:rPr>
          <w:rFonts w:ascii="宋体" w:hAnsi="宋体" w:cs="宋体"/>
          <w:b/>
          <w:sz w:val="36"/>
          <w:szCs w:val="20"/>
          <w:highlight w:val="none"/>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2022年—2025年南苑街道综合养护项目四标段</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点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一、项目基本情况</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RTZFCG-2022-044</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2022年—2025年南苑街道综合养护项目四标段</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预算金额（元）：34500000元</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3405</w:t>
      </w:r>
      <w:r>
        <w:rPr>
          <w:rFonts w:hint="eastAsia" w:ascii="宋体" w:hAnsi="宋体" w:cs="宋体"/>
          <w:b/>
          <w:sz w:val="24"/>
          <w:highlight w:val="none"/>
        </w:rPr>
        <w:t>0000元</w:t>
      </w:r>
    </w:p>
    <w:p>
      <w:pPr>
        <w:pStyle w:val="8"/>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sz w:val="24"/>
          <w:highlight w:val="none"/>
        </w:rPr>
        <w:t>2022年—2025年南苑街道综合养护项目四标段</w:t>
      </w:r>
      <w:r>
        <w:rPr>
          <w:rFonts w:hint="eastAsia" w:hAnsi="宋体" w:cs="宋体"/>
          <w:bCs/>
          <w:color w:val="auto"/>
          <w:kern w:val="2"/>
          <w:sz w:val="24"/>
          <w:szCs w:val="24"/>
          <w:highlight w:val="none"/>
        </w:rPr>
        <w:t>主要内容：详见招标文件第三部分采购需求。</w:t>
      </w:r>
    </w:p>
    <w:p>
      <w:pPr>
        <w:pStyle w:val="85"/>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Cs/>
          <w:szCs w:val="24"/>
          <w:highlight w:val="none"/>
        </w:rPr>
        <w:t>详见招标文件第三部分采购需求</w:t>
      </w:r>
    </w:p>
    <w:p>
      <w:pPr>
        <w:pStyle w:val="8"/>
        <w:spacing w:line="360" w:lineRule="auto"/>
        <w:ind w:firstLine="480"/>
        <w:rPr>
          <w:rFonts w:hAnsi="宋体" w:cs="宋体"/>
          <w:b/>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2.落实政府采购政策需满足的资格要求：</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sz w:val="24"/>
          <w:highlight w:val="none"/>
        </w:rPr>
        <w:t>无；</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r>
        <w:rPr>
          <w:rFonts w:hint="eastAsia" w:ascii="宋体" w:hAnsi="宋体" w:cs="宋体"/>
          <w:kern w:val="0"/>
          <w:sz w:val="24"/>
          <w:highlight w:val="none"/>
        </w:rPr>
        <w:t>☐</w:t>
      </w:r>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货物全部由符合政策要求的小微企业制造，提供中小企业声明函；</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要求以联合体形式参加，提供联合协议和中小企业声明函，联合协议中中小企业合同金额应当达到%，小微企业合同金额应当达到%;</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3.本项目的特定资格要求：无；</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ascii="宋体" w:hAnsi="宋体" w:cs="宋体"/>
          <w:b/>
          <w:sz w:val="24"/>
          <w:highlight w:val="none"/>
        </w:rPr>
      </w:pPr>
      <w:r>
        <w:rPr>
          <w:rFonts w:hint="eastAsia" w:ascii="宋体" w:hAnsi="宋体" w:cs="宋体"/>
          <w:b/>
          <w:sz w:val="24"/>
          <w:highlight w:val="none"/>
        </w:rPr>
        <w:t>三、获取招标文件</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点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 xml:space="preserve">点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b/>
          <w:sz w:val="24"/>
          <w:highlight w:val="none"/>
        </w:rPr>
      </w:pPr>
      <w:r>
        <w:rPr>
          <w:rFonts w:hint="eastAsia" w:ascii="宋体" w:hAnsi="宋体" w:cs="宋体"/>
          <w:b/>
          <w:sz w:val="24"/>
          <w:highlight w:val="none"/>
        </w:rPr>
        <w:t>五、采购意向公开链接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https://zfcg.czt.zj.gov.cn/innerUsed_noticeDetails/index.html?noticeId=8621669&amp;utm=web-government-front.49399a16.0.0.99143360c55611eca8a20b101ce84404</w:t>
      </w:r>
    </w:p>
    <w:p>
      <w:pPr>
        <w:spacing w:line="360" w:lineRule="auto"/>
        <w:rPr>
          <w:rFonts w:ascii="宋体" w:hAnsi="宋体" w:cs="宋体"/>
          <w:sz w:val="24"/>
          <w:highlight w:val="none"/>
        </w:rPr>
      </w:pPr>
      <w:r>
        <w:rPr>
          <w:rFonts w:hint="eastAsia" w:ascii="宋体" w:hAnsi="宋体" w:cs="宋体"/>
          <w:b/>
          <w:sz w:val="24"/>
          <w:highlight w:val="none"/>
        </w:rPr>
        <w:t>六、公告期限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七、其他补充事宜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称：杭州市临平区人民政府南苑街道办事处</w:t>
      </w:r>
    </w:p>
    <w:p>
      <w:pPr>
        <w:spacing w:line="360" w:lineRule="auto"/>
        <w:rPr>
          <w:rFonts w:ascii="宋体" w:hAnsi="宋体" w:cs="宋体"/>
          <w:sz w:val="24"/>
          <w:highlight w:val="none"/>
        </w:rPr>
      </w:pPr>
      <w:r>
        <w:rPr>
          <w:rFonts w:hint="eastAsia" w:ascii="宋体" w:hAnsi="宋体" w:cs="宋体"/>
          <w:sz w:val="24"/>
          <w:highlight w:val="none"/>
        </w:rPr>
        <w:t xml:space="preserve">    地    址：杭州市临平区人民大道792号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梁振业</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18758255259</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李一中</w:t>
      </w:r>
    </w:p>
    <w:p>
      <w:pPr>
        <w:spacing w:line="360" w:lineRule="auto"/>
        <w:rPr>
          <w:rFonts w:hint="default" w:ascii="宋体" w:hAnsi="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13606819798</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称：杭州瑞拓工程咨询有限公司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址：杭州市临平区新丰路199号余杭商会大厦4号楼25楼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传    真：0571-86243788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项目联系人（询问）：张诗佳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项目联系方式（询问）：0571-89282811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质疑联系人：石敏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质疑联系方式：0571-86243788</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3.同级政府采购监督管理部门</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名称：临平区政府采购办公室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地址：杭州市临平区东湖中路236号临平财税大楼</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传真：0571—89185312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联系人：俞征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监督投诉电话：0571—89185312</w:t>
      </w:r>
    </w:p>
    <w:p>
      <w:pPr>
        <w:spacing w:line="360" w:lineRule="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5"/>
        <w:spacing w:line="360" w:lineRule="auto"/>
        <w:ind w:firstLine="480" w:firstLineChars="200"/>
        <w:rPr>
          <w:rFonts w:hAnsi="宋体" w:cs="宋体"/>
          <w:sz w:val="24"/>
          <w:szCs w:val="24"/>
          <w:highlight w:val="none"/>
        </w:rPr>
      </w:pP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投标报价超过招标文件中规定的预算金额或者最高限价或单价最高限价的;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t>☐ A</w:t>
            </w:r>
            <w:r>
              <w:rPr>
                <w:rFonts w:hint="eastAsia" w:ascii="宋体" w:hAnsi="宋体" w:cs="宋体"/>
                <w:sz w:val="24"/>
                <w:highlight w:val="none"/>
              </w:rPr>
              <w:t>同意将非主体、非关键性的工作分包。</w:t>
            </w:r>
            <w:r>
              <w:rPr>
                <w:rFonts w:hint="eastAsia" w:ascii="宋体" w:hAnsi="宋体" w:cs="宋体"/>
                <w:kern w:val="0"/>
                <w:sz w:val="24"/>
                <w:highlight w:val="none"/>
              </w:rPr>
              <w:sym w:font="Wingdings" w:char="F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F0FE"/>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r>
              <w:rPr>
                <w:rFonts w:hint="eastAsia" w:ascii="宋体" w:hAnsi="宋体" w:cs="宋体"/>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B</w:t>
            </w: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采购标的：综合养护项目；所属行业：其他未列明行业。</w:t>
            </w:r>
          </w:p>
          <w:p>
            <w:pPr>
              <w:pStyle w:val="6"/>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highlight w:val="none"/>
              </w:rPr>
            </w:pPr>
            <w:r>
              <w:rPr>
                <w:rFonts w:hint="eastAsia" w:hAnsi="宋体" w:cs="宋体"/>
                <w:kern w:val="28"/>
                <w:sz w:val="24"/>
                <w:highlight w:val="none"/>
              </w:rPr>
              <w:t>备份投标文件送达地点：杭州市临平区临平新丰路199号余杭商会大厦4号楼25楼；备份投标文件签收人员联系电话：13456280842。</w:t>
            </w:r>
          </w:p>
          <w:p>
            <w:pPr>
              <w:pStyle w:val="35"/>
              <w:spacing w:line="360" w:lineRule="auto"/>
              <w:rPr>
                <w:rFonts w:hAnsi="宋体" w:cs="宋体"/>
                <w:kern w:val="28"/>
                <w:sz w:val="24"/>
                <w:highlight w:val="none"/>
              </w:rPr>
            </w:pPr>
            <w:r>
              <w:rPr>
                <w:rFonts w:hint="eastAsia" w:hAnsi="宋体" w:cs="宋体"/>
                <w:kern w:val="28"/>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ascii="宋体" w:hAnsi="宋体" w:cs="宋体"/>
                <w:sz w:val="24"/>
                <w:highlight w:val="none"/>
              </w:rPr>
            </w:pPr>
            <w:r>
              <w:rPr>
                <w:rFonts w:hint="eastAsia" w:ascii="宋体" w:hAnsi="宋体" w:cs="宋体"/>
                <w:sz w:val="24"/>
                <w:highlight w:val="none"/>
              </w:rPr>
              <w:t>本次代理服务费由中标人支付，代理服务费按照下图规定收费。招标代理费为11</w:t>
            </w:r>
            <w:r>
              <w:rPr>
                <w:rFonts w:hint="eastAsia" w:ascii="宋体" w:hAnsi="宋体" w:cs="宋体"/>
                <w:sz w:val="24"/>
                <w:highlight w:val="none"/>
                <w:lang w:val="en-US" w:eastAsia="zh-CN"/>
              </w:rPr>
              <w:t>160</w:t>
            </w:r>
            <w:r>
              <w:rPr>
                <w:rFonts w:hint="eastAsia" w:ascii="宋体" w:hAnsi="宋体" w:cs="宋体"/>
                <w:sz w:val="24"/>
                <w:highlight w:val="none"/>
              </w:rPr>
              <w:t>0人民币元整。各投标人应在投标报价中予以考虑。</w:t>
            </w:r>
          </w:p>
          <w:p>
            <w:pPr>
              <w:spacing w:line="240" w:lineRule="auto"/>
              <w:jc w:val="left"/>
              <w:rPr>
                <w:rFonts w:ascii="宋体" w:hAnsi="宋体" w:cs="宋体"/>
                <w:sz w:val="24"/>
                <w:highlight w:val="none"/>
              </w:rPr>
            </w:pPr>
            <w:r>
              <w:rPr>
                <w:rFonts w:hint="eastAsia" w:ascii="宋体" w:hAnsi="宋体" w:cs="宋体"/>
                <w:sz w:val="24"/>
                <w:highlight w:val="none"/>
              </w:rPr>
              <w:drawing>
                <wp:inline distT="0" distB="0" distL="114300" distR="114300">
                  <wp:extent cx="3789045" cy="1297305"/>
                  <wp:effectExtent l="0" t="0" r="1905" b="17145"/>
                  <wp:docPr id="3" name="图片 3" descr="1648624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8624212(1)"/>
                          <pic:cNvPicPr>
                            <a:picLocks noChangeAspect="1"/>
                          </pic:cNvPicPr>
                        </pic:nvPicPr>
                        <pic:blipFill>
                          <a:blip r:embed="rId28"/>
                          <a:stretch>
                            <a:fillRect/>
                          </a:stretch>
                        </pic:blipFill>
                        <pic:spPr>
                          <a:xfrm>
                            <a:off x="0" y="0"/>
                            <a:ext cx="3789045" cy="1297305"/>
                          </a:xfrm>
                          <a:prstGeom prst="rect">
                            <a:avLst/>
                          </a:prstGeom>
                        </pic:spPr>
                      </pic:pic>
                    </a:graphicData>
                  </a:graphic>
                </wp:inline>
              </w:drawing>
            </w:r>
          </w:p>
          <w:p>
            <w:pPr>
              <w:spacing w:line="360" w:lineRule="auto"/>
              <w:rPr>
                <w:rFonts w:ascii="宋体" w:hAnsi="宋体" w:cs="宋体"/>
                <w:snapToGrid w:val="0"/>
                <w:kern w:val="28"/>
                <w:sz w:val="24"/>
                <w:highlight w:val="none"/>
              </w:rPr>
            </w:pPr>
            <w:r>
              <w:rPr>
                <w:rFonts w:hint="eastAsia" w:ascii="宋体" w:hAnsi="宋体" w:cs="宋体"/>
                <w:sz w:val="24"/>
                <w:highlight w:val="none"/>
              </w:rPr>
              <w:t>中标服务费的交纳方式：以转帐或支票的形式支付；开户行名称：浦发银行临平支行；帐号：95110154800000633；开户名：杭州瑞拓工程咨询有限公司；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snapToGrid w:val="0"/>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snapToGrid w:val="0"/>
                <w:kern w:val="28"/>
                <w:sz w:val="24"/>
                <w:highlight w:val="none"/>
              </w:rPr>
            </w:pPr>
            <w:r>
              <w:rPr>
                <w:rFonts w:hint="eastAsia" w:ascii="宋体" w:hAnsi="宋体" w:cs="宋体"/>
                <w:snapToGrid w:val="0"/>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highlight w:val="none"/>
              </w:rPr>
            </w:pPr>
            <w:r>
              <w:rPr>
                <w:rFonts w:hint="eastAsia" w:ascii="宋体" w:hAnsi="宋体" w:cs="宋体"/>
                <w:b/>
                <w:sz w:val="24"/>
                <w:highlight w:val="none"/>
              </w:rPr>
              <w:t>供应商以联合体形式投标的：按采购文件要求提供联合协议，联合体投标的联合体各方承担连带责任。</w:t>
            </w:r>
          </w:p>
          <w:p>
            <w:pPr>
              <w:spacing w:line="360" w:lineRule="auto"/>
              <w:rPr>
                <w:rFonts w:ascii="宋体" w:hAnsi="宋体" w:cs="宋体"/>
                <w:b/>
                <w:sz w:val="24"/>
                <w:highlight w:val="none"/>
              </w:rPr>
            </w:pPr>
            <w:r>
              <w:rPr>
                <w:rFonts w:hint="eastAsia" w:ascii="宋体" w:hAnsi="宋体" w:cs="宋体"/>
                <w:b/>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宋体" w:hAnsi="宋体" w:cs="宋体"/>
                <w:snapToGrid w:val="0"/>
                <w:kern w:val="28"/>
                <w:sz w:val="24"/>
                <w:highlight w:val="none"/>
              </w:rPr>
            </w:pPr>
            <w:r>
              <w:rPr>
                <w:rFonts w:hint="eastAsia" w:ascii="宋体" w:hAnsi="宋体" w:cs="宋体"/>
                <w:b/>
                <w:sz w:val="24"/>
                <w:highlight w:val="none"/>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snapToGrid w:val="0"/>
                <w:kern w:val="28"/>
                <w:sz w:val="24"/>
                <w:highlight w:val="none"/>
              </w:rPr>
            </w:pPr>
            <w:r>
              <w:rPr>
                <w:rFonts w:hint="eastAsia" w:ascii="宋体" w:hAnsi="宋体" w:cs="宋体"/>
                <w:snapToGrid w:val="0"/>
                <w:kern w:val="28"/>
                <w:sz w:val="24"/>
                <w:highlight w:val="none"/>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napToGrid w:val="0"/>
                <w:kern w:val="28"/>
                <w:sz w:val="24"/>
                <w:highlight w:val="none"/>
              </w:rPr>
            </w:pPr>
            <w:r>
              <w:rPr>
                <w:rFonts w:hint="eastAsia" w:ascii="宋体" w:hAnsi="宋体" w:cs="宋体"/>
                <w:sz w:val="24"/>
                <w:highlight w:val="none"/>
              </w:rPr>
              <w:t>▲</w:t>
            </w:r>
            <w:r>
              <w:rPr>
                <w:rFonts w:hint="eastAsia" w:ascii="宋体" w:hAnsi="宋体" w:cs="宋体"/>
                <w:b/>
                <w:snapToGrid w:val="0"/>
                <w:kern w:val="28"/>
                <w:sz w:val="24"/>
                <w:highlight w:val="none"/>
              </w:rPr>
              <w:t>本项目共有七个标项，供应商可选择其中一个或多个标项进行投标，但只能中其中一个标项，中标顺序按标项四、标项一、标项二、标项三、标项五、标项六、标项七进行确定；如供应商前一个标项已经被确定为该标项的第一中标候选人，则后续标项将不被推荐为中标候选人；例如供应商被确定为标项四的中标候选人，则标项一</w:t>
            </w:r>
            <w:r>
              <w:rPr>
                <w:rFonts w:hint="eastAsia" w:ascii="宋体" w:hAnsi="宋体" w:cs="宋体"/>
                <w:b/>
                <w:snapToGrid w:val="0"/>
                <w:kern w:val="28"/>
                <w:sz w:val="24"/>
                <w:highlight w:val="none"/>
                <w:lang w:eastAsia="zh-CN"/>
              </w:rPr>
              <w:t>、</w:t>
            </w:r>
            <w:r>
              <w:rPr>
                <w:rFonts w:hint="eastAsia" w:ascii="宋体" w:hAnsi="宋体" w:cs="宋体"/>
                <w:b/>
                <w:snapToGrid w:val="0"/>
                <w:kern w:val="28"/>
                <w:sz w:val="24"/>
                <w:highlight w:val="none"/>
              </w:rPr>
              <w:t>二、三、五、六、七将不被推荐为中标候选人；以此类推。</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注：1、如标项一，A单位单独投标，并被推荐为第一中标候选人，则标项二、标项三、标项四、标项五、标项六、标项七中，无论A单位是单独投标，还是采用联合体投标（即：联合体中只要包含A单位），均不被推荐为中标候选人，以此类推。</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2、如标项一，A、B两家单位组成联合体投标，并被推荐为第一中标候选人，则标项二、标项三、标项四、标项五、标项六、标项七中，无论A、B两家单位是单独投标，还是采用联合体投标（即：联合体中只要包含A或B或A、B单位），均不被推荐为中标候选人，以此类推。</w:t>
            </w:r>
          </w:p>
        </w:tc>
      </w:tr>
      <w:bookmarkEnd w:id="9"/>
    </w:tbl>
    <w:p>
      <w:pPr>
        <w:adjustRightInd/>
        <w:spacing w:line="360" w:lineRule="auto"/>
        <w:ind w:firstLine="3845" w:firstLineChars="1197"/>
        <w:outlineLvl w:val="0"/>
        <w:rPr>
          <w:rFonts w:ascii="宋体" w:hAnsi="宋体" w:cs="宋体"/>
          <w:b/>
          <w:sz w:val="32"/>
          <w:szCs w:val="20"/>
          <w:highlight w:val="none"/>
        </w:rPr>
      </w:pPr>
      <w:bookmarkStart w:id="10" w:name="_Toc164416483"/>
      <w:bookmarkStart w:id="11"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“投标人、供应商”系指是指响应招标、参加投标竞争的法人、其他组织或者自然人。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“▲”系指实质性要求条款，“★”系产品采购项目中单一产品或核心产品，“</w:t>
      </w:r>
      <w:r>
        <w:rPr>
          <w:rFonts w:hint="eastAsia" w:ascii="宋体" w:hAnsi="宋体" w:cs="宋体"/>
          <w:kern w:val="0"/>
          <w:sz w:val="24"/>
          <w:highlight w:val="none"/>
        </w:rPr>
        <w:t></w:t>
      </w:r>
      <w:r>
        <w:rPr>
          <w:rFonts w:hint="eastAsia" w:ascii="宋体" w:hAnsi="宋体" w:cs="宋体"/>
          <w:sz w:val="24"/>
          <w:highlight w:val="none"/>
        </w:rPr>
        <w:t>”系指适用本项目的要求，“</w:t>
      </w:r>
      <w:r>
        <w:rPr>
          <w:rFonts w:hint="eastAsia" w:ascii="宋体" w:hAnsi="宋体" w:cs="宋体"/>
          <w:kern w:val="0"/>
          <w:sz w:val="24"/>
          <w:highlight w:val="none"/>
        </w:rPr>
        <w:t>☐</w:t>
      </w:r>
      <w:r>
        <w:rPr>
          <w:rFonts w:hint="eastAsia" w:ascii="宋体" w:hAnsi="宋体" w:cs="宋体"/>
          <w:sz w:val="24"/>
          <w:highlight w:val="none"/>
        </w:rPr>
        <w:t>”系指不适用本项目的要求。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highlight w:val="none"/>
        </w:rPr>
      </w:pPr>
      <w:r>
        <w:rPr>
          <w:rFonts w:hint="eastAsia" w:ascii="宋体" w:hAnsi="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highlight w:val="none"/>
        </w:rPr>
      </w:pPr>
      <w:r>
        <w:rPr>
          <w:rFonts w:hint="eastAsia" w:hAnsi="宋体" w:cs="宋体"/>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highlight w:val="none"/>
        </w:rPr>
      </w:pPr>
      <w:r>
        <w:rPr>
          <w:rFonts w:hint="eastAsia" w:hAnsi="宋体" w:cs="宋体"/>
          <w:sz w:val="24"/>
          <w:highlight w:val="none"/>
        </w:rPr>
        <w:t>4.2.2.3对采购结果提出质疑的，质疑期限自采购结果公告期限届满之日起计算。</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572"/>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4.3供应商投诉</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4.3.</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4.3.5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85"/>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5"/>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5"/>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8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85"/>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highlight w:val="none"/>
          <w:lang w:val="en-US"/>
        </w:rPr>
      </w:pP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5"/>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5"/>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5"/>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11.1.2落实政府采购政策需满足的资格要求；</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11.1.3本项目的特定资格要求。</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11.1.4联合协议（如采用联合体投标）</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11.2.3联合协议；（如采用联合体投标）</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11.2.4分包意向协议；（如有）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11.2.6评标标准相应的商务技术资料；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11.2.7商务技术偏离表；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85"/>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8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8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8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DVD光盘或U【】盘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15.5投标人仅提交备份投标文件，没有在电子交易平台传输递交投标文件的，投标无效。</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第13项规定</w:t>
      </w:r>
      <w:r>
        <w:rPr>
          <w:rFonts w:hint="eastAsia" w:cs="宋体"/>
          <w:szCs w:val="21"/>
          <w:highlight w:val="none"/>
        </w:rPr>
        <w:t>的情形之一的，投标无效：</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8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85"/>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highlight w:val="none"/>
        </w:rPr>
      </w:pPr>
    </w:p>
    <w:p>
      <w:pPr>
        <w:pStyle w:val="85"/>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24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pPr>
        <w:pStyle w:val="24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采购人或采购机构依据法律法规和招标文件的规定，对投标人的基本资格条件、特定资格条件进行审查。</w:t>
      </w:r>
    </w:p>
    <w:p>
      <w:pPr>
        <w:pStyle w:val="85"/>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8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85"/>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六、定标</w:t>
      </w:r>
    </w:p>
    <w:p>
      <w:pPr>
        <w:pStyle w:val="26"/>
        <w:spacing w:line="360" w:lineRule="auto"/>
        <w:ind w:left="479" w:hanging="479" w:hangingChars="199"/>
        <w:rPr>
          <w:rFonts w:cs="宋体"/>
          <w:b/>
          <w:highlight w:val="none"/>
        </w:rPr>
      </w:pPr>
      <w:r>
        <w:rPr>
          <w:rFonts w:hint="eastAsia" w:cs="宋体"/>
          <w:b/>
          <w:highlight w:val="none"/>
        </w:rPr>
        <w:t>22. 确定中标供应商</w:t>
      </w:r>
    </w:p>
    <w:p>
      <w:pPr>
        <w:pStyle w:val="85"/>
        <w:snapToGrid w:val="0"/>
        <w:spacing w:before="0"/>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采购人将自收到评审报告之日起5个工作日内通过电子交易平台在评审报告推荐的中标候选人中按顺序确定中标供应商。</w:t>
      </w:r>
    </w:p>
    <w:p>
      <w:pPr>
        <w:pStyle w:val="8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b/>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。履约保证金的数额不得超过政府采购合同金额的2.5%。鼓励和支持供应商以银行、保险公司出具的保函形式提供履约保证金。</w:t>
      </w:r>
      <w:r>
        <w:rPr>
          <w:rFonts w:hint="eastAsia" w:ascii="宋体" w:hAnsi="宋体" w:cs="宋体"/>
          <w:b/>
          <w:sz w:val="24"/>
          <w:highlight w:val="none"/>
        </w:rPr>
        <w:t>采购人不得拒收履约保函。</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6"/>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85"/>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8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8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8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8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85"/>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6"/>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3" w:name="_Hlt75236290"/>
      <w:bookmarkEnd w:id="13"/>
      <w:bookmarkStart w:id="14" w:name="_Hlt74714665"/>
      <w:bookmarkEnd w:id="14"/>
      <w:bookmarkStart w:id="15" w:name="_Hlt68403820"/>
      <w:bookmarkEnd w:id="15"/>
      <w:bookmarkStart w:id="16" w:name="_Hlt75236101"/>
      <w:bookmarkEnd w:id="16"/>
      <w:bookmarkStart w:id="17" w:name="_Hlt68057669"/>
      <w:bookmarkEnd w:id="17"/>
      <w:bookmarkStart w:id="18" w:name="_Hlt68073093"/>
      <w:bookmarkEnd w:id="18"/>
      <w:bookmarkStart w:id="19" w:name="_Hlt74729768"/>
      <w:bookmarkEnd w:id="19"/>
      <w:bookmarkStart w:id="20" w:name="_Hlt74730295"/>
      <w:bookmarkEnd w:id="20"/>
      <w:bookmarkStart w:id="21" w:name="_Hlt68072990"/>
      <w:bookmarkEnd w:id="21"/>
      <w:bookmarkStart w:id="22" w:name="_Hlt74707468"/>
      <w:bookmarkEnd w:id="22"/>
      <w:bookmarkStart w:id="23" w:name="_Hlt75236011"/>
      <w:bookmarkEnd w:id="23"/>
      <w:bookmarkStart w:id="24" w:name="_Hlt68072998"/>
      <w:bookmarkEnd w:id="24"/>
    </w:p>
    <w:bookmarkEnd w:id="10"/>
    <w:bookmarkEnd w:id="11"/>
    <w:p>
      <w:pPr>
        <w:spacing w:line="360" w:lineRule="auto"/>
        <w:jc w:val="center"/>
        <w:outlineLvl w:val="0"/>
        <w:rPr>
          <w:rFonts w:ascii="宋体" w:hAnsi="宋体" w:cs="宋体"/>
          <w:b/>
          <w:sz w:val="36"/>
          <w:szCs w:val="36"/>
          <w:highlight w:val="none"/>
        </w:rPr>
      </w:pPr>
      <w:bookmarkStart w:id="25" w:name="第四部分"/>
      <w:r>
        <w:rPr>
          <w:rFonts w:hint="eastAsia" w:ascii="宋体" w:hAnsi="宋体" w:cs="宋体"/>
          <w:b/>
          <w:sz w:val="36"/>
          <w:szCs w:val="36"/>
          <w:highlight w:val="none"/>
        </w:rPr>
        <w:t>第三部分采购需求</w:t>
      </w:r>
    </w:p>
    <w:p>
      <w:pPr>
        <w:spacing w:line="360" w:lineRule="auto"/>
        <w:ind w:firstLine="141" w:firstLineChars="50"/>
        <w:rPr>
          <w:rFonts w:ascii="宋体" w:hAnsi="宋体" w:cs="宋体"/>
          <w:b/>
          <w:sz w:val="28"/>
          <w:szCs w:val="28"/>
          <w:highlight w:val="none"/>
        </w:rPr>
      </w:pPr>
      <w:r>
        <w:rPr>
          <w:rFonts w:hint="eastAsia" w:ascii="宋体" w:hAnsi="宋体" w:cs="宋体"/>
          <w:b/>
          <w:sz w:val="28"/>
          <w:szCs w:val="28"/>
          <w:highlight w:val="none"/>
        </w:rPr>
        <w:t>一、采购项目概述</w:t>
      </w:r>
    </w:p>
    <w:p>
      <w:pPr>
        <w:spacing w:line="360" w:lineRule="auto"/>
        <w:ind w:firstLine="355" w:firstLineChars="148"/>
        <w:rPr>
          <w:rFonts w:ascii="宋体" w:hAnsi="宋体" w:cs="宋体"/>
          <w:sz w:val="24"/>
          <w:highlight w:val="none"/>
        </w:rPr>
      </w:pPr>
      <w:r>
        <w:rPr>
          <w:rFonts w:hint="eastAsia" w:ascii="宋体" w:hAnsi="宋体" w:cs="宋体"/>
          <w:sz w:val="24"/>
          <w:highlight w:val="none"/>
        </w:rPr>
        <w:t>本项目为2022年—2025年南苑街道综合养护项目四标段，采购内容主要包括道路保洁、绿化养护、市政修复、路灯养护、牛皮癣清理等养护工作。</w:t>
      </w:r>
    </w:p>
    <w:p>
      <w:pPr>
        <w:numPr>
          <w:ilvl w:val="0"/>
          <w:numId w:val="1"/>
        </w:numPr>
        <w:adjustRightInd/>
        <w:spacing w:line="600" w:lineRule="exact"/>
        <w:rPr>
          <w:rFonts w:ascii="宋体" w:hAnsi="宋体" w:cs="宋体"/>
          <w:b/>
          <w:sz w:val="28"/>
          <w:szCs w:val="28"/>
          <w:highlight w:val="none"/>
        </w:rPr>
      </w:pPr>
      <w:r>
        <w:rPr>
          <w:rFonts w:hint="eastAsia" w:ascii="宋体" w:hAnsi="宋体" w:cs="宋体"/>
          <w:b/>
          <w:sz w:val="28"/>
          <w:szCs w:val="28"/>
          <w:highlight w:val="none"/>
        </w:rPr>
        <w:t>养护采购清单</w:t>
      </w:r>
    </w:p>
    <w:tbl>
      <w:tblPr>
        <w:tblStyle w:val="63"/>
        <w:tblW w:w="14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1"/>
        <w:gridCol w:w="11"/>
        <w:gridCol w:w="1062"/>
        <w:gridCol w:w="1680"/>
        <w:gridCol w:w="1648"/>
        <w:gridCol w:w="1076"/>
        <w:gridCol w:w="1066"/>
        <w:gridCol w:w="1072"/>
        <w:gridCol w:w="1176"/>
        <w:gridCol w:w="1176"/>
        <w:gridCol w:w="1072"/>
        <w:gridCol w:w="1072"/>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道路名称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起止点（地址）</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道路等级（一二三）</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保洁面积m²</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绿化等级（一二三）</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绿化面积m²</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市政面积m²</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牛皮癣（M）</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时花</w:t>
            </w:r>
            <w:r>
              <w:rPr>
                <w:rFonts w:hint="eastAsia" w:ascii="宋体" w:hAnsi="宋体" w:eastAsia="宋体" w:cs="宋体"/>
                <w:b/>
                <w:bCs/>
                <w:i w:val="0"/>
                <w:iCs w:val="0"/>
                <w:color w:val="000000"/>
                <w:kern w:val="0"/>
                <w:sz w:val="20"/>
                <w:szCs w:val="20"/>
                <w:highlight w:val="none"/>
                <w:u w:val="none"/>
                <w:lang w:val="en-US" w:eastAsia="zh-CN" w:bidi="ar"/>
              </w:rPr>
              <w:t>m²</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路灯（盏）</w:t>
            </w:r>
          </w:p>
        </w:tc>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藕花洲西延终点-东大街</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193507</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35852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193507</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5560.65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东湖立交西侧车行道-- 西洋桥</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17820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铁路小道</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逸仙路--爱民路（中山菜场旁</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宝幢路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藕花洲大街西延-临丁支路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6061</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6061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铁路宿舍老平房便道</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藕花洲西延至终点（凯达电力西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面、东面）</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车站路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藕花洲大街--老火车站</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2856</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车站路小公园</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车站路尽头小环岛</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4531.5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4531.5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爱民路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藕花洲大街--铁路小道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府前路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藕花洲大街--西大街</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4650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菜市路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藕花洲大街--铁路小道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逸仙路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河南埭路--铁路小道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南大街</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河南埭路-- 广和街</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5790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5790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东湖立交桥下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小公园区域</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4350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东湖立交桥下东西辅道</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河南埭路-- 广和街（桥下东西辅 道、人行道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及通道）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533.33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东湖立交桥桥面</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东大街--广和街（桥面及环岛）</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594.44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稠厂路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东大街-藕花洲大街东延</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铁路防护带（北侧）</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新颜路至595 立交</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23500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口袋公园</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上塘河南侧绿地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邱山大街至藕东延（东大街段除外）</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8420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4937</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苏家街</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星河南路-宝幢路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20893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448</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20893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临丁支路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望梅路-宝幢路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19813</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3735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19813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东湖立交桥东侧车行道</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东大街-藕花洲大街（东侧车行道）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126.67</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东湖立交桥西侧车行道</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河南埭路-藕花洲大街（西侧车行道）</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河南埭社区、保障桥社区的小区道路及楼到保洁</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小区道路及楼道保洁</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59244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7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望日路</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火车站门口区域</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highlight w:val="none"/>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迎宾路-新丰村</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三类</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1579.5</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0"/>
                <w:szCs w:val="20"/>
                <w:highlight w:val="none"/>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648" w:type="dxa"/>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397394</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80454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334407.5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12874.09</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317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河面保洁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上塘河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九九河-迎宾路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石灰浜</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上塘河-铁路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苏家河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上塘河-乔司界</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九九河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上塘河-铁路</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highlight w:val="none"/>
                <w:u w:val="none"/>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24"/>
                <w:szCs w:val="24"/>
                <w:highlight w:val="none"/>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24"/>
                <w:szCs w:val="24"/>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24"/>
                <w:szCs w:val="24"/>
                <w:highlight w:val="none"/>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center"/>
              <w:rPr>
                <w:rFonts w:hint="eastAsia" w:ascii="宋体" w:hAnsi="宋体" w:eastAsia="宋体" w:cs="宋体"/>
                <w:i w:val="0"/>
                <w:iCs w:val="0"/>
                <w:color w:val="000000"/>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6095</w:t>
            </w:r>
          </w:p>
        </w:tc>
      </w:tr>
    </w:tbl>
    <w:p>
      <w:pPr>
        <w:adjustRightInd/>
        <w:spacing w:line="600" w:lineRule="exact"/>
        <w:rPr>
          <w:rFonts w:ascii="宋体" w:hAnsi="宋体" w:cs="宋体"/>
          <w:sz w:val="24"/>
          <w:highlight w:val="none"/>
        </w:rPr>
        <w:sectPr>
          <w:headerReference r:id="rId11" w:type="first"/>
          <w:footerReference r:id="rId13" w:type="first"/>
          <w:headerReference r:id="rId10" w:type="default"/>
          <w:footerReference r:id="rId12" w:type="default"/>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1"/>
        </w:numPr>
        <w:adjustRightInd/>
        <w:spacing w:line="600" w:lineRule="exact"/>
        <w:rPr>
          <w:rFonts w:hint="eastAsia" w:ascii="宋体" w:hAnsi="宋体" w:cs="宋体"/>
          <w:b/>
          <w:sz w:val="28"/>
          <w:szCs w:val="28"/>
          <w:highlight w:val="none"/>
        </w:rPr>
      </w:pPr>
      <w:r>
        <w:rPr>
          <w:rFonts w:hint="eastAsia" w:ascii="宋体" w:hAnsi="宋体" w:cs="宋体"/>
          <w:b/>
          <w:sz w:val="28"/>
          <w:szCs w:val="28"/>
          <w:highlight w:val="none"/>
        </w:rPr>
        <w:t>养护单价最高限价</w:t>
      </w:r>
    </w:p>
    <w:tbl>
      <w:tblPr>
        <w:tblStyle w:val="63"/>
        <w:tblW w:w="100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922"/>
        <w:gridCol w:w="1230"/>
        <w:gridCol w:w="1560"/>
        <w:gridCol w:w="1200"/>
        <w:gridCol w:w="3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道路等级（一二三类）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面积/数量</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绿化</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50831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最高限价为10.77元/㎡.年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34323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最高限价为9.16元/㎡.年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最高限价为6.11元/㎡.年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334407.5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sz w:val="24"/>
                <w:szCs w:val="24"/>
                <w:highlight w:val="none"/>
                <w:lang w:val="en-US" w:eastAsia="zh-CN"/>
              </w:rPr>
              <w:t>200</w:t>
            </w:r>
            <w:r>
              <w:rPr>
                <w:rFonts w:hint="eastAsia" w:ascii="宋体" w:hAnsi="宋体" w:cs="宋体"/>
                <w:sz w:val="24"/>
                <w:szCs w:val="24"/>
                <w:highlight w:val="none"/>
              </w:rPr>
              <w:t>万元</w:t>
            </w:r>
            <w:r>
              <w:rPr>
                <w:rFonts w:ascii="宋体" w:hAnsi="宋体" w:cs="宋体"/>
                <w:sz w:val="24"/>
                <w:szCs w:val="24"/>
                <w:highlight w:val="none"/>
              </w:rPr>
              <w:t>/</w:t>
            </w:r>
            <w:r>
              <w:rPr>
                <w:rFonts w:hint="eastAsia" w:ascii="宋体" w:hAnsi="宋体" w:cs="宋体"/>
                <w:sz w:val="24"/>
                <w:szCs w:val="24"/>
                <w:highlight w:val="none"/>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时花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1500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0"/>
                <w:szCs w:val="20"/>
                <w:highlight w:val="none"/>
                <w:lang w:val="en-US" w:eastAsia="zh-CN"/>
              </w:rPr>
              <w:t>1.4元/珠，64珠/平米*面积*6次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环卫保洁</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273650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最高限价为20.1元/㎡.年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122004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最高限价为14.94元/㎡.年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1740</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最高限价为12.42元/㎡.年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最高限价为120元/盏.年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河面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6095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最高限价为50元/m.年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应急资金（偷倒垃圾清运处置、有奖举报等）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cs="宋体"/>
                <w:bCs/>
                <w:sz w:val="24"/>
                <w:highlight w:val="none"/>
                <w:lang w:val="en-US" w:eastAsia="zh-CN"/>
              </w:rPr>
              <w:t>50</w:t>
            </w:r>
            <w:r>
              <w:rPr>
                <w:rFonts w:hint="eastAsia" w:ascii="宋体" w:hAnsi="宋体" w:cs="宋体"/>
                <w:bCs/>
                <w:sz w:val="24"/>
                <w:highlight w:val="none"/>
              </w:rPr>
              <w:t>万元/年</w:t>
            </w:r>
          </w:p>
        </w:tc>
      </w:tr>
    </w:tbl>
    <w:p>
      <w:pPr>
        <w:spacing w:line="360" w:lineRule="auto"/>
        <w:rPr>
          <w:rFonts w:ascii="宋体" w:hAnsi="宋体" w:cs="宋体"/>
          <w:bCs/>
          <w:sz w:val="28"/>
          <w:szCs w:val="28"/>
          <w:highlight w:val="none"/>
        </w:rPr>
      </w:pPr>
      <w:r>
        <w:rPr>
          <w:rFonts w:hint="eastAsia" w:ascii="宋体" w:hAnsi="宋体" w:cs="宋体"/>
          <w:bCs/>
          <w:sz w:val="28"/>
          <w:szCs w:val="28"/>
          <w:highlight w:val="none"/>
        </w:rPr>
        <w:t>四、最低人员配备要求</w:t>
      </w:r>
    </w:p>
    <w:tbl>
      <w:tblPr>
        <w:tblStyle w:val="64"/>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243"/>
        <w:gridCol w:w="2724"/>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hAnsi="宋体" w:cs="宋体"/>
                <w:bCs/>
                <w:sz w:val="24"/>
                <w:highlight w:val="none"/>
              </w:rPr>
            </w:pPr>
            <w:r>
              <w:rPr>
                <w:rFonts w:hint="eastAsia" w:ascii="宋体" w:hAnsi="宋体" w:cs="宋体"/>
                <w:bCs/>
                <w:sz w:val="24"/>
                <w:highlight w:val="none"/>
              </w:rPr>
              <w:t>序号</w:t>
            </w:r>
          </w:p>
        </w:tc>
        <w:tc>
          <w:tcPr>
            <w:tcW w:w="2243" w:type="dxa"/>
          </w:tcPr>
          <w:p>
            <w:pPr>
              <w:snapToGrid w:val="0"/>
              <w:jc w:val="center"/>
              <w:rPr>
                <w:rFonts w:ascii="宋体" w:hAnsi="宋体" w:cs="宋体"/>
                <w:bCs/>
                <w:sz w:val="24"/>
                <w:highlight w:val="none"/>
              </w:rPr>
            </w:pPr>
            <w:r>
              <w:rPr>
                <w:rFonts w:hint="eastAsia" w:ascii="宋体" w:hAnsi="宋体" w:cs="宋体"/>
                <w:bCs/>
                <w:sz w:val="24"/>
                <w:highlight w:val="none"/>
              </w:rPr>
              <w:t>名称</w:t>
            </w:r>
          </w:p>
        </w:tc>
        <w:tc>
          <w:tcPr>
            <w:tcW w:w="2724" w:type="dxa"/>
          </w:tcPr>
          <w:p>
            <w:pPr>
              <w:snapToGrid w:val="0"/>
              <w:jc w:val="center"/>
              <w:rPr>
                <w:rFonts w:ascii="宋体" w:hAnsi="宋体" w:cs="宋体"/>
                <w:bCs/>
                <w:sz w:val="24"/>
                <w:highlight w:val="none"/>
              </w:rPr>
            </w:pPr>
            <w:r>
              <w:rPr>
                <w:rFonts w:hint="eastAsia" w:ascii="宋体" w:hAnsi="宋体" w:cs="宋体"/>
                <w:bCs/>
                <w:sz w:val="24"/>
                <w:highlight w:val="none"/>
              </w:rPr>
              <w:t>面积/数量</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rPr>
              <w:t>最低人员配备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hAnsi="宋体" w:cs="宋体"/>
                <w:bCs/>
                <w:sz w:val="24"/>
                <w:highlight w:val="none"/>
              </w:rPr>
            </w:pPr>
            <w:r>
              <w:rPr>
                <w:rFonts w:hint="eastAsia" w:ascii="宋体" w:hAnsi="宋体" w:cs="宋体"/>
                <w:bCs/>
                <w:sz w:val="24"/>
                <w:highlight w:val="none"/>
              </w:rPr>
              <w:t>1</w:t>
            </w:r>
          </w:p>
        </w:tc>
        <w:tc>
          <w:tcPr>
            <w:tcW w:w="2243" w:type="dxa"/>
          </w:tcPr>
          <w:p>
            <w:pPr>
              <w:widowControl/>
              <w:jc w:val="center"/>
              <w:textAlignment w:val="center"/>
              <w:rPr>
                <w:rFonts w:ascii="宋体" w:hAnsi="宋体" w:cs="宋体"/>
                <w:bCs/>
                <w:color w:val="000000"/>
                <w:sz w:val="20"/>
                <w:szCs w:val="20"/>
                <w:highlight w:val="none"/>
              </w:rPr>
            </w:pPr>
            <w:r>
              <w:rPr>
                <w:rFonts w:hint="eastAsia" w:ascii="宋体" w:hAnsi="宋体" w:cs="宋体"/>
                <w:bCs/>
                <w:sz w:val="24"/>
                <w:highlight w:val="none"/>
              </w:rPr>
              <w:t>道路保洁</w:t>
            </w:r>
          </w:p>
        </w:tc>
        <w:tc>
          <w:tcPr>
            <w:tcW w:w="2724" w:type="dxa"/>
            <w:vAlign w:val="center"/>
          </w:tcPr>
          <w:p>
            <w:pPr>
              <w:widowControl/>
              <w:jc w:val="center"/>
              <w:textAlignment w:val="center"/>
              <w:rPr>
                <w:rFonts w:ascii="宋体" w:hAnsi="宋体" w:cs="宋体"/>
                <w:bCs/>
                <w:color w:val="000000"/>
                <w:sz w:val="22"/>
                <w:szCs w:val="22"/>
                <w:highlight w:val="none"/>
              </w:rPr>
            </w:pPr>
            <w:r>
              <w:rPr>
                <w:rFonts w:hint="eastAsia" w:ascii="宋体" w:hAnsi="宋体" w:cs="宋体"/>
                <w:bCs/>
                <w:color w:val="000000"/>
                <w:kern w:val="0"/>
                <w:sz w:val="20"/>
                <w:szCs w:val="20"/>
                <w:highlight w:val="none"/>
              </w:rPr>
              <w:t>397394㎡</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lang w:val="en-US" w:eastAsia="zh-CN"/>
              </w:rPr>
              <w:t>88</w:t>
            </w:r>
            <w:r>
              <w:rPr>
                <w:rFonts w:hint="eastAsia" w:ascii="宋体" w:hAnsi="宋体" w:cs="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ascii="宋体" w:hAnsi="宋体" w:cs="宋体"/>
                <w:bCs/>
                <w:sz w:val="24"/>
                <w:highlight w:val="none"/>
              </w:rPr>
            </w:pPr>
            <w:r>
              <w:rPr>
                <w:rFonts w:hint="eastAsia" w:ascii="宋体" w:hAnsi="宋体" w:cs="宋体"/>
                <w:bCs/>
                <w:sz w:val="24"/>
                <w:highlight w:val="none"/>
              </w:rPr>
              <w:t>2</w:t>
            </w:r>
          </w:p>
        </w:tc>
        <w:tc>
          <w:tcPr>
            <w:tcW w:w="2243" w:type="dxa"/>
          </w:tcPr>
          <w:p>
            <w:pPr>
              <w:widowControl/>
              <w:jc w:val="center"/>
              <w:textAlignment w:val="center"/>
              <w:rPr>
                <w:rFonts w:ascii="宋体" w:hAnsi="宋体" w:cs="宋体"/>
                <w:bCs/>
                <w:color w:val="000000"/>
                <w:sz w:val="20"/>
                <w:szCs w:val="20"/>
                <w:highlight w:val="none"/>
              </w:rPr>
            </w:pPr>
            <w:r>
              <w:rPr>
                <w:rFonts w:hint="eastAsia" w:ascii="宋体" w:hAnsi="宋体" w:cs="宋体"/>
                <w:bCs/>
                <w:sz w:val="24"/>
                <w:highlight w:val="none"/>
              </w:rPr>
              <w:t>绿化养护</w:t>
            </w:r>
          </w:p>
        </w:tc>
        <w:tc>
          <w:tcPr>
            <w:tcW w:w="2724" w:type="dxa"/>
            <w:vAlign w:val="center"/>
          </w:tcPr>
          <w:p>
            <w:pPr>
              <w:widowControl/>
              <w:jc w:val="center"/>
              <w:textAlignment w:val="center"/>
              <w:rPr>
                <w:rFonts w:ascii="宋体" w:hAnsi="宋体" w:cs="宋体"/>
                <w:bCs/>
                <w:color w:val="000000"/>
                <w:sz w:val="22"/>
                <w:szCs w:val="22"/>
                <w:highlight w:val="none"/>
              </w:rPr>
            </w:pPr>
            <w:r>
              <w:rPr>
                <w:rFonts w:hint="eastAsia" w:ascii="宋体" w:hAnsi="宋体" w:cs="宋体"/>
                <w:bCs/>
                <w:color w:val="000000"/>
                <w:kern w:val="0"/>
                <w:sz w:val="20"/>
                <w:szCs w:val="20"/>
                <w:highlight w:val="none"/>
              </w:rPr>
              <w:t>8</w:t>
            </w:r>
            <w:r>
              <w:rPr>
                <w:rFonts w:hint="eastAsia" w:ascii="宋体" w:hAnsi="宋体" w:cs="宋体"/>
                <w:bCs/>
                <w:color w:val="000000"/>
                <w:kern w:val="0"/>
                <w:sz w:val="20"/>
                <w:szCs w:val="20"/>
                <w:highlight w:val="none"/>
                <w:lang w:val="en-US" w:eastAsia="zh-CN"/>
              </w:rPr>
              <w:t>5</w:t>
            </w:r>
            <w:r>
              <w:rPr>
                <w:rFonts w:hint="eastAsia" w:ascii="宋体" w:hAnsi="宋体" w:cs="宋体"/>
                <w:bCs/>
                <w:color w:val="000000"/>
                <w:kern w:val="0"/>
                <w:sz w:val="20"/>
                <w:szCs w:val="20"/>
                <w:highlight w:val="none"/>
              </w:rPr>
              <w:t>454㎡</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rPr>
              <w:t>17</w:t>
            </w:r>
            <w:r>
              <w:rPr>
                <w:rFonts w:hint="eastAsia" w:ascii="宋体" w:hAnsi="宋体" w:cs="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hAnsi="宋体" w:cs="宋体"/>
                <w:bCs/>
                <w:sz w:val="24"/>
                <w:highlight w:val="none"/>
              </w:rPr>
            </w:pPr>
            <w:r>
              <w:rPr>
                <w:rFonts w:hint="eastAsia" w:ascii="宋体" w:hAnsi="宋体" w:cs="宋体"/>
                <w:bCs/>
                <w:sz w:val="24"/>
                <w:highlight w:val="none"/>
              </w:rPr>
              <w:t>3</w:t>
            </w:r>
          </w:p>
        </w:tc>
        <w:tc>
          <w:tcPr>
            <w:tcW w:w="2243" w:type="dxa"/>
          </w:tcPr>
          <w:p>
            <w:pPr>
              <w:widowControl/>
              <w:jc w:val="center"/>
              <w:textAlignment w:val="center"/>
              <w:rPr>
                <w:rFonts w:ascii="宋体" w:hAnsi="宋体" w:cs="宋体"/>
                <w:bCs/>
                <w:color w:val="000000"/>
                <w:sz w:val="20"/>
                <w:szCs w:val="20"/>
                <w:highlight w:val="none"/>
              </w:rPr>
            </w:pPr>
            <w:r>
              <w:rPr>
                <w:rFonts w:hint="eastAsia" w:ascii="宋体" w:hAnsi="宋体" w:cs="宋体"/>
                <w:bCs/>
                <w:sz w:val="24"/>
                <w:highlight w:val="none"/>
              </w:rPr>
              <w:t>市政</w:t>
            </w:r>
          </w:p>
        </w:tc>
        <w:tc>
          <w:tcPr>
            <w:tcW w:w="2724" w:type="dxa"/>
            <w:vAlign w:val="center"/>
          </w:tcPr>
          <w:p>
            <w:pPr>
              <w:widowControl/>
              <w:jc w:val="center"/>
              <w:textAlignment w:val="center"/>
              <w:rPr>
                <w:rFonts w:ascii="宋体" w:hAnsi="宋体" w:cs="宋体"/>
                <w:bCs/>
                <w:color w:val="000000"/>
                <w:sz w:val="22"/>
                <w:szCs w:val="22"/>
                <w:highlight w:val="none"/>
              </w:rPr>
            </w:pPr>
            <w:r>
              <w:rPr>
                <w:rFonts w:hint="eastAsia" w:ascii="宋体" w:hAnsi="宋体" w:cs="宋体"/>
                <w:bCs/>
                <w:color w:val="000000"/>
                <w:kern w:val="0"/>
                <w:sz w:val="20"/>
                <w:szCs w:val="20"/>
                <w:highlight w:val="none"/>
              </w:rPr>
              <w:t>334407.5㎡</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hAnsi="宋体" w:cs="宋体"/>
                <w:bCs/>
                <w:sz w:val="24"/>
                <w:highlight w:val="none"/>
              </w:rPr>
            </w:pPr>
            <w:r>
              <w:rPr>
                <w:rFonts w:hint="eastAsia" w:ascii="宋体" w:hAnsi="宋体" w:cs="宋体"/>
                <w:bCs/>
                <w:sz w:val="24"/>
                <w:highlight w:val="none"/>
              </w:rPr>
              <w:t>4</w:t>
            </w:r>
          </w:p>
        </w:tc>
        <w:tc>
          <w:tcPr>
            <w:tcW w:w="2243" w:type="dxa"/>
          </w:tcPr>
          <w:p>
            <w:pPr>
              <w:widowControl/>
              <w:jc w:val="center"/>
              <w:textAlignment w:val="center"/>
              <w:rPr>
                <w:rFonts w:ascii="宋体" w:hAnsi="宋体" w:cs="宋体"/>
                <w:bCs/>
                <w:color w:val="000000"/>
                <w:sz w:val="20"/>
                <w:szCs w:val="20"/>
                <w:highlight w:val="none"/>
              </w:rPr>
            </w:pPr>
            <w:r>
              <w:rPr>
                <w:rFonts w:hint="eastAsia" w:ascii="宋体" w:hAnsi="宋体" w:cs="宋体"/>
                <w:bCs/>
                <w:sz w:val="24"/>
                <w:highlight w:val="none"/>
              </w:rPr>
              <w:t>路灯养护</w:t>
            </w:r>
          </w:p>
        </w:tc>
        <w:tc>
          <w:tcPr>
            <w:tcW w:w="2724" w:type="dxa"/>
            <w:vAlign w:val="center"/>
          </w:tcPr>
          <w:p>
            <w:pPr>
              <w:widowControl/>
              <w:jc w:val="center"/>
              <w:textAlignment w:val="center"/>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383盏</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04" w:type="dxa"/>
          </w:tcPr>
          <w:p>
            <w:pPr>
              <w:snapToGrid w:val="0"/>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5</w:t>
            </w:r>
          </w:p>
        </w:tc>
        <w:tc>
          <w:tcPr>
            <w:tcW w:w="2243" w:type="dxa"/>
          </w:tcPr>
          <w:p>
            <w:pPr>
              <w:widowControl/>
              <w:jc w:val="center"/>
              <w:textAlignment w:val="center"/>
              <w:rPr>
                <w:rFonts w:ascii="宋体" w:hAnsi="宋体" w:cs="宋体"/>
                <w:bCs/>
                <w:sz w:val="24"/>
                <w:highlight w:val="none"/>
              </w:rPr>
            </w:pPr>
            <w:r>
              <w:rPr>
                <w:rFonts w:hint="eastAsia" w:ascii="宋体" w:hAnsi="宋体" w:cs="宋体"/>
                <w:bCs/>
                <w:sz w:val="24"/>
                <w:highlight w:val="none"/>
              </w:rPr>
              <w:t>河道保洁</w:t>
            </w:r>
          </w:p>
        </w:tc>
        <w:tc>
          <w:tcPr>
            <w:tcW w:w="2724" w:type="dxa"/>
            <w:vAlign w:val="center"/>
          </w:tcPr>
          <w:p>
            <w:pPr>
              <w:widowControl/>
              <w:jc w:val="center"/>
              <w:textAlignment w:val="center"/>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6095m</w:t>
            </w:r>
          </w:p>
        </w:tc>
        <w:tc>
          <w:tcPr>
            <w:tcW w:w="3204" w:type="dxa"/>
          </w:tcPr>
          <w:p>
            <w:pPr>
              <w:snapToGrid w:val="0"/>
              <w:jc w:val="center"/>
              <w:rPr>
                <w:rFonts w:ascii="宋体" w:hAnsi="宋体" w:cs="宋体"/>
                <w:bCs/>
                <w:sz w:val="24"/>
                <w:highlight w:val="none"/>
              </w:rPr>
            </w:pPr>
            <w:r>
              <w:rPr>
                <w:rFonts w:hint="eastAsia" w:ascii="宋体" w:hAnsi="宋体" w:cs="宋体"/>
                <w:bCs/>
                <w:sz w:val="24"/>
                <w:highlight w:val="none"/>
              </w:rPr>
              <w:t>8</w:t>
            </w:r>
            <w:r>
              <w:rPr>
                <w:rFonts w:hint="eastAsia" w:ascii="宋体" w:hAnsi="宋体" w:cs="宋体"/>
                <w:sz w:val="24"/>
                <w:highlight w:val="none"/>
              </w:rPr>
              <w:t>人</w:t>
            </w:r>
          </w:p>
        </w:tc>
      </w:tr>
    </w:tbl>
    <w:p>
      <w:pPr>
        <w:spacing w:line="360" w:lineRule="auto"/>
        <w:rPr>
          <w:rFonts w:hint="eastAsia" w:ascii="宋体" w:hAnsi="宋体" w:cs="宋体"/>
          <w:b/>
          <w:sz w:val="28"/>
          <w:szCs w:val="28"/>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rPr>
          <w:rFonts w:ascii="宋体" w:hAnsi="宋体" w:cs="宋体"/>
          <w:b/>
          <w:sz w:val="28"/>
          <w:szCs w:val="28"/>
          <w:highlight w:val="none"/>
        </w:rPr>
      </w:pPr>
      <w:r>
        <w:rPr>
          <w:rFonts w:hint="eastAsia" w:ascii="宋体" w:hAnsi="宋体" w:cs="宋体"/>
          <w:b/>
          <w:sz w:val="28"/>
          <w:szCs w:val="28"/>
          <w:highlight w:val="none"/>
        </w:rPr>
        <w:t>五、投标报价说明</w:t>
      </w:r>
    </w:p>
    <w:p>
      <w:pPr>
        <w:snapToGrid w:val="0"/>
        <w:spacing w:line="360" w:lineRule="auto"/>
        <w:ind w:firstLine="472" w:firstLineChars="196"/>
        <w:jc w:val="left"/>
        <w:rPr>
          <w:rFonts w:ascii="宋体" w:hAnsi="宋体" w:cs="宋体"/>
          <w:b/>
          <w:sz w:val="24"/>
          <w:highlight w:val="none"/>
        </w:rPr>
      </w:pPr>
      <w:r>
        <w:rPr>
          <w:rFonts w:hint="eastAsia" w:ascii="宋体" w:hAnsi="宋体" w:cs="宋体"/>
          <w:b/>
          <w:sz w:val="24"/>
          <w:highlight w:val="none"/>
        </w:rPr>
        <w:t>投标报价包括三年的综合养护费（道路保洁、绿化养护、市政修复、路灯养护、牛皮癣清理等费用）。</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szCs w:val="24"/>
          <w:highlight w:val="none"/>
        </w:rPr>
        <w:t>市政修复费用按暂定价</w:t>
      </w:r>
      <w:r>
        <w:rPr>
          <w:rFonts w:hint="eastAsia" w:ascii="宋体" w:hAnsi="宋体" w:cs="宋体"/>
          <w:sz w:val="24"/>
          <w:szCs w:val="24"/>
          <w:highlight w:val="none"/>
          <w:lang w:val="en-US" w:eastAsia="zh-CN"/>
        </w:rPr>
        <w:t>200</w:t>
      </w:r>
      <w:r>
        <w:rPr>
          <w:rFonts w:hint="eastAsia" w:ascii="宋体" w:hAnsi="宋体" w:cs="宋体"/>
          <w:sz w:val="24"/>
          <w:szCs w:val="24"/>
          <w:highlight w:val="none"/>
        </w:rPr>
        <w:t>万元</w:t>
      </w:r>
      <w:r>
        <w:rPr>
          <w:rFonts w:ascii="宋体" w:hAnsi="宋体" w:cs="宋体"/>
          <w:sz w:val="24"/>
          <w:szCs w:val="24"/>
          <w:highlight w:val="none"/>
        </w:rPr>
        <w:t>/</w:t>
      </w:r>
      <w:r>
        <w:rPr>
          <w:rFonts w:hint="eastAsia" w:ascii="宋体" w:hAnsi="宋体" w:cs="宋体"/>
          <w:sz w:val="24"/>
          <w:szCs w:val="24"/>
          <w:highlight w:val="none"/>
        </w:rPr>
        <w:t>年，</w:t>
      </w:r>
      <w:r>
        <w:rPr>
          <w:rFonts w:hint="eastAsia" w:ascii="宋体" w:hAnsi="宋体" w:cs="宋体"/>
          <w:sz w:val="24"/>
          <w:szCs w:val="24"/>
          <w:highlight w:val="none"/>
          <w:lang w:val="en-US" w:eastAsia="zh-CN"/>
        </w:rPr>
        <w:t>600</w:t>
      </w:r>
      <w:r>
        <w:rPr>
          <w:rFonts w:hint="eastAsia" w:ascii="宋体" w:hAnsi="宋体" w:cs="宋体"/>
          <w:sz w:val="24"/>
          <w:szCs w:val="24"/>
          <w:highlight w:val="none"/>
        </w:rPr>
        <w:t>万元</w:t>
      </w:r>
      <w:r>
        <w:rPr>
          <w:rFonts w:ascii="宋体" w:hAnsi="宋体" w:cs="宋体"/>
          <w:sz w:val="24"/>
          <w:szCs w:val="24"/>
          <w:highlight w:val="none"/>
        </w:rPr>
        <w:t>3</w:t>
      </w:r>
      <w:r>
        <w:rPr>
          <w:rFonts w:hint="eastAsia" w:ascii="宋体" w:hAnsi="宋体" w:cs="宋体"/>
          <w:sz w:val="24"/>
          <w:szCs w:val="24"/>
          <w:highlight w:val="none"/>
        </w:rPr>
        <w:t>年计入报价，</w:t>
      </w:r>
      <w:r>
        <w:rPr>
          <w:rFonts w:hint="eastAsia" w:ascii="宋体" w:hAnsi="宋体" w:cs="宋体"/>
          <w:sz w:val="24"/>
          <w:highlight w:val="none"/>
          <w:lang w:val="en-US" w:eastAsia="zh-CN"/>
        </w:rPr>
        <w:t>应急资金（偷倒垃圾清运处置、有奖举报等）</w:t>
      </w:r>
      <w:r>
        <w:rPr>
          <w:rFonts w:hint="eastAsia" w:ascii="宋体" w:hAnsi="宋体" w:cs="宋体"/>
          <w:sz w:val="24"/>
          <w:highlight w:val="none"/>
        </w:rPr>
        <w:t>，暂定价</w:t>
      </w:r>
      <w:r>
        <w:rPr>
          <w:rFonts w:hint="eastAsia" w:ascii="宋体" w:hAnsi="宋体" w:cs="宋体"/>
          <w:sz w:val="24"/>
          <w:highlight w:val="none"/>
          <w:lang w:val="en-US" w:eastAsia="zh-CN"/>
        </w:rPr>
        <w:t>50</w:t>
      </w:r>
      <w:r>
        <w:rPr>
          <w:rFonts w:hint="eastAsia" w:ascii="宋体" w:hAnsi="宋体" w:cs="宋体"/>
          <w:sz w:val="24"/>
          <w:highlight w:val="none"/>
        </w:rPr>
        <w:t>万元/年；此项报价不做竞争。</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2、道路保洁、绿化养护、</w:t>
      </w:r>
      <w:r>
        <w:rPr>
          <w:rFonts w:hint="eastAsia" w:ascii="宋体" w:hAnsi="宋体" w:cs="宋体"/>
          <w:bCs/>
          <w:sz w:val="24"/>
          <w:highlight w:val="none"/>
        </w:rPr>
        <w:t>市政</w:t>
      </w:r>
      <w:r>
        <w:rPr>
          <w:rFonts w:hint="eastAsia" w:ascii="宋体" w:hAnsi="宋体" w:cs="宋体"/>
          <w:bCs/>
          <w:sz w:val="24"/>
          <w:highlight w:val="none"/>
          <w:lang w:eastAsia="zh-CN"/>
        </w:rPr>
        <w:t>、</w:t>
      </w:r>
      <w:r>
        <w:rPr>
          <w:rFonts w:hint="eastAsia" w:ascii="宋体" w:hAnsi="宋体" w:cs="宋体"/>
          <w:sz w:val="24"/>
          <w:highlight w:val="none"/>
        </w:rPr>
        <w:t>路灯养护、牛皮癣清理等费用由供应商自主报价，报价不得超过单价最高限价及本项目最高限价。</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3、绿化养护费用包括：（1）日常养护费（绿化养护费的70%）、更新改造费（绿化养护费的30%）。</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3.1.1</w:t>
      </w:r>
      <w:r>
        <w:rPr>
          <w:rFonts w:hint="eastAsia" w:ascii="宋体" w:hAnsi="宋体" w:cs="宋体"/>
          <w:b/>
          <w:sz w:val="24"/>
          <w:highlight w:val="none"/>
        </w:rPr>
        <w:t>绿化施肥费：</w:t>
      </w:r>
      <w:r>
        <w:rPr>
          <w:rFonts w:hint="eastAsia" w:ascii="宋体" w:hAnsi="宋体" w:cs="宋体"/>
          <w:sz w:val="24"/>
          <w:highlight w:val="none"/>
        </w:rPr>
        <w:t>每年施肥不少于2次，平日应及时追肥，确保绿化生长所必需的养分，用有机肥或复合肥0.5kg／㎡；</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3.1.2</w:t>
      </w:r>
      <w:r>
        <w:rPr>
          <w:rFonts w:hint="eastAsia" w:ascii="宋体" w:hAnsi="宋体" w:cs="宋体"/>
          <w:b/>
          <w:bCs/>
          <w:sz w:val="24"/>
          <w:highlight w:val="none"/>
        </w:rPr>
        <w:t>绿化浇水费：</w:t>
      </w:r>
      <w:r>
        <w:rPr>
          <w:rFonts w:hint="eastAsia" w:ascii="宋体" w:hAnsi="宋体" w:cs="宋体"/>
          <w:sz w:val="24"/>
          <w:highlight w:val="none"/>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3.1.3</w:t>
      </w:r>
      <w:r>
        <w:rPr>
          <w:rFonts w:hint="eastAsia" w:ascii="宋体" w:hAnsi="宋体" w:cs="宋体"/>
          <w:b/>
          <w:bCs/>
          <w:sz w:val="24"/>
          <w:highlight w:val="none"/>
        </w:rPr>
        <w:t>绿化防病防虫用药费：</w:t>
      </w:r>
      <w:r>
        <w:rPr>
          <w:rFonts w:hint="eastAsia" w:ascii="宋体" w:hAnsi="宋体" w:cs="宋体"/>
          <w:sz w:val="24"/>
          <w:highlight w:val="none"/>
        </w:rPr>
        <w:t>要求综合防治，以防为主。病虫害危害应控制在以不影响观赏效果的范围之内，其中食叶性害虫危害的叶片，每株不超过5%；刺吸性害虫危害的叶片，每株不超过10%；无蛀干性害虫的活虫、活卵；</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3.1.4</w:t>
      </w:r>
      <w:r>
        <w:rPr>
          <w:rFonts w:hint="eastAsia" w:ascii="宋体" w:hAnsi="宋体" w:cs="宋体"/>
          <w:b/>
          <w:bCs/>
          <w:sz w:val="24"/>
          <w:highlight w:val="none"/>
        </w:rPr>
        <w:t>绿化零星补植费：</w:t>
      </w:r>
      <w:r>
        <w:rPr>
          <w:rFonts w:hint="eastAsia" w:ascii="宋体" w:hAnsi="宋体" w:cs="宋体"/>
          <w:sz w:val="24"/>
          <w:highlight w:val="none"/>
        </w:rPr>
        <w:t xml:space="preserve">因企业养护不力引起乔木死枯株，或灌木（草坪）枯死株面积在10㎡/处以下，养护企业应无条件进行补植相同品种的苗木； </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3.1.5</w:t>
      </w:r>
      <w:r>
        <w:rPr>
          <w:rFonts w:hint="eastAsia" w:ascii="宋体" w:hAnsi="宋体" w:cs="宋体"/>
          <w:b/>
          <w:bCs/>
          <w:sz w:val="24"/>
          <w:highlight w:val="none"/>
        </w:rPr>
        <w:t>防台抗雪应急物资储备费：</w:t>
      </w:r>
      <w:r>
        <w:rPr>
          <w:rFonts w:hint="eastAsia" w:ascii="宋体" w:hAnsi="宋体" w:cs="宋体"/>
          <w:sz w:val="24"/>
          <w:highlight w:val="none"/>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3.1.6</w:t>
      </w:r>
      <w:r>
        <w:rPr>
          <w:rFonts w:hint="eastAsia" w:ascii="宋体" w:hAnsi="宋体" w:cs="宋体"/>
          <w:b/>
          <w:bCs/>
          <w:sz w:val="24"/>
          <w:highlight w:val="none"/>
        </w:rPr>
        <w:t>其他费：</w:t>
      </w:r>
      <w:r>
        <w:rPr>
          <w:rFonts w:hint="eastAsia" w:ascii="宋体" w:hAnsi="宋体" w:cs="宋体"/>
          <w:sz w:val="24"/>
          <w:highlight w:val="none"/>
        </w:rPr>
        <w:t>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snapToGrid w:val="0"/>
        <w:spacing w:line="360" w:lineRule="auto"/>
        <w:ind w:firstLine="472" w:firstLineChars="196"/>
        <w:jc w:val="left"/>
        <w:rPr>
          <w:rFonts w:ascii="宋体" w:hAnsi="宋体" w:cs="宋体"/>
          <w:sz w:val="24"/>
          <w:highlight w:val="none"/>
        </w:rPr>
      </w:pPr>
      <w:r>
        <w:rPr>
          <w:rFonts w:hint="eastAsia" w:ascii="宋体" w:hAnsi="宋体" w:cs="宋体"/>
          <w:b/>
          <w:bCs/>
          <w:sz w:val="24"/>
          <w:highlight w:val="none"/>
        </w:rPr>
        <w:t>3.2更新改造费（绿化养护费的30%）</w:t>
      </w:r>
      <w:r>
        <w:rPr>
          <w:rFonts w:hint="eastAsia" w:ascii="宋体" w:hAnsi="宋体" w:cs="宋体"/>
          <w:sz w:val="24"/>
          <w:highlight w:val="none"/>
        </w:rPr>
        <w:t>包括：本项目绿地50㎡（含）以上的绿地改造、长势不良乔木更换，但日常养护费、养护设备购置及消耗、应急物资（含快速支撑钢管）、零星整改（含修缮公园景观设施、更换灯具配件、常绿草坪播种、养护抄告问题整改）的所需费用不纳入更新改造费。</w:t>
      </w:r>
    </w:p>
    <w:p>
      <w:pPr>
        <w:numPr>
          <w:ilvl w:val="0"/>
          <w:numId w:val="2"/>
        </w:numPr>
        <w:snapToGrid w:val="0"/>
        <w:spacing w:line="360" w:lineRule="auto"/>
        <w:ind w:firstLine="470" w:firstLineChars="196"/>
        <w:jc w:val="left"/>
        <w:rPr>
          <w:rFonts w:hint="eastAsia" w:ascii="宋体" w:hAnsi="宋体" w:cs="宋体"/>
          <w:b/>
          <w:kern w:val="0"/>
          <w:sz w:val="24"/>
          <w:highlight w:val="none"/>
        </w:rPr>
      </w:pPr>
      <w:r>
        <w:rPr>
          <w:rFonts w:hint="eastAsia" w:ascii="宋体" w:hAnsi="宋体" w:cs="宋体"/>
          <w:kern w:val="0"/>
          <w:sz w:val="24"/>
          <w:highlight w:val="none"/>
        </w:rPr>
        <w:t>根据《杭州市人民政府关于调整市区最低工资标准的通知》（杭政函[2021]69号），项目人员工资不得低于杭州市最低工资标准相关工资要求，日常加班工资按劳动法相关要求另行计算</w:t>
      </w:r>
      <w:r>
        <w:rPr>
          <w:rFonts w:hint="eastAsia" w:ascii="宋体" w:hAnsi="宋体" w:cs="宋体"/>
          <w:b/>
          <w:kern w:val="0"/>
          <w:sz w:val="24"/>
          <w:highlight w:val="none"/>
        </w:rPr>
        <w:t>。</w:t>
      </w:r>
    </w:p>
    <w:p>
      <w:pPr>
        <w:pStyle w:val="2"/>
        <w:numPr>
          <w:ilvl w:val="0"/>
          <w:numId w:val="0"/>
        </w:numPr>
        <w:rPr>
          <w:rFonts w:hint="default" w:eastAsia="宋体"/>
          <w:highlight w:val="none"/>
          <w:lang w:val="en-US" w:eastAsia="zh-CN"/>
        </w:rPr>
      </w:pPr>
      <w:r>
        <w:rPr>
          <w:rFonts w:hint="eastAsia"/>
          <w:highlight w:val="none"/>
          <w:lang w:val="en-US" w:eastAsia="zh-CN"/>
        </w:rPr>
        <w:t xml:space="preserve">   5、</w:t>
      </w:r>
      <w:r>
        <w:rPr>
          <w:rFonts w:hint="eastAsia"/>
          <w:b/>
          <w:bCs/>
          <w:highlight w:val="none"/>
          <w:lang w:val="en-US" w:eastAsia="zh-CN"/>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551" w:firstLineChars="196"/>
        <w:jc w:val="left"/>
        <w:rPr>
          <w:rFonts w:ascii="宋体" w:hAnsi="宋体" w:cs="宋体"/>
          <w:b/>
          <w:sz w:val="28"/>
          <w:szCs w:val="28"/>
          <w:highlight w:val="none"/>
        </w:rPr>
      </w:pPr>
      <w:r>
        <w:rPr>
          <w:rFonts w:hint="eastAsia" w:ascii="宋体" w:hAnsi="宋体" w:cs="宋体"/>
          <w:b/>
          <w:sz w:val="28"/>
          <w:szCs w:val="28"/>
          <w:highlight w:val="none"/>
        </w:rPr>
        <w:t>六、管养标准、考核办法及奖惩制度</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依据余城组办〔2020〕9号关于印发《余杭区城市管理范围内洁化、市政亮化、绿化、序化分级分类及考核办法》的通知、余城管〔2020〕50号关于提升余杭区市政、景观灯、环卫保洁管养定额标准及养护标准的通知、余政办（2008）75号“关于批转《临平城区主次干道清理“牛皮癣”实行市场化运作的实施方案》的通知执行，如上级主管或本区有新文件的，按新文件执行，</w:t>
      </w:r>
      <w:bookmarkStart w:id="26" w:name="_Toc22905_WPSOffice_Level1"/>
      <w:bookmarkStart w:id="27" w:name="_Toc7823_WPSOffice_Level1"/>
      <w:bookmarkStart w:id="28" w:name="_Toc1907_WPSOffice_Level1"/>
      <w:r>
        <w:rPr>
          <w:rFonts w:hint="eastAsia" w:ascii="宋体" w:hAnsi="宋体" w:cs="宋体"/>
          <w:kern w:val="0"/>
          <w:sz w:val="24"/>
          <w:highlight w:val="none"/>
        </w:rPr>
        <w:t>综合养护标准</w:t>
      </w:r>
      <w:bookmarkEnd w:id="26"/>
      <w:bookmarkEnd w:id="27"/>
      <w:bookmarkEnd w:id="28"/>
      <w:r>
        <w:rPr>
          <w:rFonts w:hint="eastAsia" w:ascii="宋体" w:hAnsi="宋体" w:cs="宋体"/>
          <w:kern w:val="0"/>
          <w:sz w:val="24"/>
          <w:highlight w:val="none"/>
        </w:rPr>
        <w:t>具体如下：</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（一）道路保洁标准、考核办法等</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1、道路保洁相关要求</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1.1本项目各标项</w:t>
      </w:r>
      <w:r>
        <w:rPr>
          <w:rFonts w:hint="eastAsia" w:ascii="宋体" w:hAnsi="宋体" w:cs="宋体"/>
          <w:color w:val="000000"/>
          <w:sz w:val="24"/>
          <w:highlight w:val="none"/>
          <w:lang w:val="zh-CN"/>
        </w:rPr>
        <w:t>人员要求</w:t>
      </w:r>
      <w:r>
        <w:rPr>
          <w:rFonts w:hint="eastAsia" w:ascii="宋体" w:hAnsi="宋体" w:cs="宋体"/>
          <w:color w:val="000000"/>
          <w:sz w:val="24"/>
          <w:highlight w:val="none"/>
        </w:rPr>
        <w:t>须符合</w:t>
      </w:r>
      <w:r>
        <w:rPr>
          <w:rFonts w:hint="eastAsia" w:ascii="宋体" w:hAnsi="宋体" w:cs="宋体"/>
          <w:bCs/>
          <w:color w:val="000000"/>
          <w:sz w:val="24"/>
          <w:highlight w:val="none"/>
        </w:rPr>
        <w:t>专职人员基本岗位数量要求</w:t>
      </w:r>
      <w:r>
        <w:rPr>
          <w:rFonts w:hint="eastAsia" w:ascii="宋体" w:hAnsi="宋体" w:cs="宋体"/>
          <w:color w:val="000000"/>
          <w:sz w:val="24"/>
          <w:highlight w:val="none"/>
          <w:lang w:val="zh-CN"/>
        </w:rPr>
        <w:t>。</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1.1.2供应商应根据项目保洁的实际需要配备相应人员，所需费用应考虑在投标总价中。</w:t>
      </w:r>
    </w:p>
    <w:p>
      <w:pPr>
        <w:snapToGrid w:val="0"/>
        <w:spacing w:line="360" w:lineRule="auto"/>
        <w:ind w:firstLine="360" w:firstLineChars="150"/>
        <w:jc w:val="left"/>
        <w:rPr>
          <w:rFonts w:ascii="宋体" w:hAnsi="宋体" w:cs="宋体"/>
          <w:color w:val="000000"/>
          <w:sz w:val="24"/>
          <w:highlight w:val="none"/>
        </w:rPr>
      </w:pPr>
      <w:r>
        <w:rPr>
          <w:rFonts w:hint="eastAsia" w:ascii="宋体" w:hAnsi="宋体" w:cs="宋体"/>
          <w:bCs/>
          <w:color w:val="000000"/>
          <w:sz w:val="24"/>
          <w:highlight w:val="none"/>
        </w:rPr>
        <w:t>1.1.3保洁人员</w:t>
      </w:r>
      <w:r>
        <w:rPr>
          <w:rFonts w:hint="eastAsia" w:ascii="宋体" w:hAnsi="宋体" w:cs="宋体"/>
          <w:bCs/>
          <w:color w:val="000000"/>
          <w:sz w:val="24"/>
          <w:highlight w:val="none"/>
          <w:lang w:val="en-US" w:eastAsia="zh-CN"/>
        </w:rPr>
        <w:t>在岗要求男性年龄在60周岁以下，女性年龄在55周岁以下，</w:t>
      </w:r>
      <w:r>
        <w:rPr>
          <w:rFonts w:hint="eastAsia" w:ascii="宋体" w:hAnsi="宋体" w:cs="宋体"/>
          <w:color w:val="000000"/>
          <w:sz w:val="24"/>
          <w:highlight w:val="none"/>
          <w:lang w:val="zh-CN"/>
        </w:rPr>
        <w:t>按采购人要求完成智慧化管理措施、设施配备。大型活动、节假日、新作业方式调整或未达到管理标准等情况下</w:t>
      </w:r>
      <w:r>
        <w:rPr>
          <w:rFonts w:hint="eastAsia" w:ascii="宋体" w:hAnsi="宋体" w:cs="宋体"/>
          <w:color w:val="000000"/>
          <w:sz w:val="24"/>
          <w:highlight w:val="none"/>
        </w:rPr>
        <w:t>应根据实际情况或采购人要求增派保洁人员、保洁设备，以确保清卫保洁质量，</w:t>
      </w:r>
      <w:r>
        <w:rPr>
          <w:rFonts w:hint="eastAsia" w:ascii="宋体" w:hAnsi="宋体" w:cs="宋体"/>
          <w:color w:val="000000"/>
          <w:sz w:val="24"/>
          <w:highlight w:val="none"/>
          <w:lang w:val="zh-CN"/>
        </w:rPr>
        <w:t>增</w:t>
      </w:r>
      <w:r>
        <w:rPr>
          <w:rFonts w:hint="eastAsia" w:ascii="宋体" w:hAnsi="宋体" w:cs="宋体"/>
          <w:color w:val="000000"/>
          <w:sz w:val="24"/>
          <w:highlight w:val="none"/>
        </w:rPr>
        <w:t>派人员和设备的费用应考虑在投标总报价中。</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1.1.6 作业车辆、作业时间应符合属地交警部门要求，并按要求进行报备后实施。</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1.1.7 供应商提供的设施设备，根据采购人要求统一外观，标识。</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1.2保洁服务内容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1.2.2</w:t>
      </w:r>
      <w:r>
        <w:rPr>
          <w:rFonts w:hint="eastAsia" w:ascii="宋体" w:hAnsi="宋体" w:cs="宋体"/>
          <w:bCs/>
          <w:color w:val="000000"/>
          <w:sz w:val="24"/>
          <w:highlight w:val="none"/>
        </w:rPr>
        <w:t>本项目</w:t>
      </w:r>
      <w:r>
        <w:rPr>
          <w:rFonts w:hint="eastAsia" w:ascii="宋体" w:hAnsi="宋体" w:cs="宋体"/>
          <w:color w:val="000000"/>
          <w:sz w:val="24"/>
          <w:highlight w:val="none"/>
        </w:rPr>
        <w:t>道路中间绿化带含在道路保洁范围内，及道路两侧人行道外建筑物基石边或无建筑物外可视范围内</w:t>
      </w:r>
      <w:r>
        <w:rPr>
          <w:rFonts w:hint="eastAsia" w:ascii="宋体" w:hAnsi="宋体" w:cs="宋体"/>
          <w:bCs/>
          <w:color w:val="000000"/>
          <w:sz w:val="24"/>
          <w:highlight w:val="none"/>
        </w:rPr>
        <w:t>（不少于5米</w:t>
      </w:r>
      <w:r>
        <w:rPr>
          <w:rFonts w:hint="eastAsia" w:ascii="宋体" w:hAnsi="宋体" w:cs="宋体"/>
          <w:color w:val="000000"/>
          <w:sz w:val="24"/>
          <w:highlight w:val="none"/>
        </w:rPr>
        <w:t>）均包含在保洁范围内。</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1.2</w:t>
      </w:r>
      <w:r>
        <w:rPr>
          <w:rFonts w:hint="eastAsia" w:ascii="宋体" w:hAnsi="宋体" w:cs="宋体"/>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1.2</w:t>
      </w:r>
      <w:r>
        <w:rPr>
          <w:rFonts w:hint="eastAsia" w:ascii="宋体" w:hAnsi="宋体" w:cs="宋体"/>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1.2.5</w:t>
      </w:r>
      <w:r>
        <w:rPr>
          <w:rFonts w:hint="eastAsia" w:ascii="宋体" w:hAnsi="宋体" w:cs="宋体"/>
          <w:sz w:val="24"/>
          <w:highlight w:val="none"/>
        </w:rPr>
        <w:t>牛皮癣清理：标段范围内道路、围墙、道路沿线设施（含一层建筑立面）等区域的“乱涂”、“乱张贴”等牛皮癣日常清理</w:t>
      </w:r>
      <w:r>
        <w:rPr>
          <w:rFonts w:hint="eastAsia" w:ascii="宋体" w:hAnsi="宋体" w:cs="宋体"/>
          <w:bCs/>
          <w:color w:val="000000"/>
          <w:sz w:val="24"/>
          <w:highlight w:val="none"/>
        </w:rPr>
        <w:t>均属于本项目保洁范围</w:t>
      </w:r>
      <w:r>
        <w:rPr>
          <w:rFonts w:hint="eastAsia" w:ascii="宋体" w:hAnsi="宋体" w:cs="宋体"/>
          <w:sz w:val="24"/>
          <w:highlight w:val="none"/>
        </w:rPr>
        <w:t>。</w:t>
      </w:r>
    </w:p>
    <w:p>
      <w:pPr>
        <w:snapToGrid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1.3保洁基本要求</w:t>
      </w:r>
    </w:p>
    <w:p>
      <w:pPr>
        <w:pStyle w:val="26"/>
        <w:spacing w:line="360" w:lineRule="auto"/>
        <w:ind w:firstLine="31680"/>
        <w:rPr>
          <w:rFonts w:cs="Times New Roman"/>
          <w:color w:val="auto"/>
          <w:highlight w:val="none"/>
        </w:rPr>
      </w:pPr>
      <w:r>
        <w:rPr>
          <w:b/>
          <w:bCs/>
          <w:color w:val="auto"/>
          <w:highlight w:val="none"/>
        </w:rPr>
        <w:t>1.3.1</w:t>
      </w:r>
      <w:r>
        <w:rPr>
          <w:rFonts w:hint="eastAsia"/>
          <w:b/>
          <w:bCs/>
          <w:color w:val="auto"/>
          <w:highlight w:val="none"/>
        </w:rPr>
        <w:t>一级</w:t>
      </w:r>
      <w:r>
        <w:rPr>
          <w:rFonts w:hint="eastAsia"/>
          <w:b/>
          <w:bCs/>
          <w:color w:val="auto"/>
          <w:highlight w:val="none"/>
          <w:lang w:eastAsia="zh-CN"/>
        </w:rPr>
        <w:t>、</w:t>
      </w:r>
      <w:r>
        <w:rPr>
          <w:rFonts w:hint="eastAsia" w:ascii="华文仿宋" w:hAnsi="华文仿宋" w:eastAsia="华文仿宋" w:cs="宋体"/>
          <w:b/>
          <w:bCs/>
          <w:color w:val="auto"/>
          <w:highlight w:val="none"/>
        </w:rPr>
        <w:t>二级、三级、四级道路</w:t>
      </w:r>
      <w:r>
        <w:rPr>
          <w:rFonts w:hint="eastAsia"/>
          <w:b/>
          <w:bCs/>
          <w:color w:val="auto"/>
          <w:highlight w:val="none"/>
        </w:rPr>
        <w:t>道路</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w:t>
      </w:r>
      <w:r>
        <w:rPr>
          <w:rFonts w:hint="eastAsia" w:ascii="宋体" w:hAnsi="宋体" w:cs="宋体"/>
          <w:color w:val="auto"/>
          <w:sz w:val="24"/>
          <w:szCs w:val="24"/>
          <w:highlight w:val="none"/>
        </w:rPr>
        <w:t>保洁时长：</w:t>
      </w:r>
      <w:r>
        <w:rPr>
          <w:rFonts w:hint="eastAsia" w:ascii="宋体" w:hAnsi="宋体" w:cs="宋体"/>
          <w:color w:val="auto"/>
          <w:sz w:val="24"/>
          <w:szCs w:val="24"/>
          <w:highlight w:val="none"/>
          <w:lang w:val="en-US" w:eastAsia="zh-CN"/>
        </w:rPr>
        <w:t>一级</w:t>
      </w:r>
      <w:r>
        <w:rPr>
          <w:rFonts w:ascii="宋体" w:hAnsi="宋体" w:cs="宋体"/>
          <w:color w:val="auto"/>
          <w:sz w:val="24"/>
          <w:szCs w:val="24"/>
          <w:highlight w:val="none"/>
        </w:rPr>
        <w:t>18</w:t>
      </w:r>
      <w:r>
        <w:rPr>
          <w:rFonts w:hint="eastAsia" w:ascii="宋体" w:hAnsi="宋体" w:cs="宋体"/>
          <w:color w:val="auto"/>
          <w:sz w:val="24"/>
          <w:szCs w:val="24"/>
          <w:highlight w:val="none"/>
        </w:rPr>
        <w:t>小时（</w:t>
      </w:r>
      <w:r>
        <w:rPr>
          <w:rFonts w:ascii="宋体" w:hAnsi="宋体" w:cs="宋体"/>
          <w:color w:val="auto"/>
          <w:sz w:val="24"/>
          <w:szCs w:val="24"/>
          <w:highlight w:val="none"/>
        </w:rPr>
        <w:t>4:30-22</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，二级道路：18小时（4:30-22：30），三级道路：16小时（4:30-20:30），四级道路：14小时（5:00-19:00）</w:t>
      </w:r>
      <w:r>
        <w:rPr>
          <w:rFonts w:hint="eastAsia" w:ascii="宋体" w:hAnsi="宋体" w:cs="宋体"/>
          <w:color w:val="auto"/>
          <w:sz w:val="24"/>
          <w:szCs w:val="24"/>
          <w:highlight w:val="none"/>
        </w:rPr>
        <w:t>。</w:t>
      </w:r>
    </w:p>
    <w:p>
      <w:pP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1.3.1.2</w:t>
      </w:r>
      <w:r>
        <w:rPr>
          <w:rFonts w:hint="eastAsia" w:ascii="宋体" w:hAnsi="宋体" w:cs="宋体"/>
          <w:color w:val="auto"/>
          <w:sz w:val="24"/>
          <w:szCs w:val="24"/>
          <w:highlight w:val="none"/>
        </w:rPr>
        <w:t>快车道保洁：</w:t>
      </w:r>
      <w:r>
        <w:rPr>
          <w:rFonts w:hint="eastAsia" w:ascii="宋体" w:hAnsi="宋体" w:cs="宋体"/>
          <w:color w:val="auto"/>
          <w:sz w:val="24"/>
          <w:szCs w:val="24"/>
          <w:highlight w:val="none"/>
          <w:lang w:val="en-US" w:eastAsia="zh-CN"/>
        </w:rPr>
        <w:t>一级</w:t>
      </w:r>
      <w:r>
        <w:rPr>
          <w:rFonts w:hint="eastAsia" w:ascii="宋体" w:hAnsi="宋体" w:cs="宋体"/>
          <w:color w:val="auto"/>
          <w:sz w:val="24"/>
          <w:szCs w:val="24"/>
          <w:highlight w:val="none"/>
        </w:rPr>
        <w:t>洒水</w:t>
      </w:r>
      <w:r>
        <w:rPr>
          <w:rFonts w:ascii="宋体" w:hAnsi="宋体" w:cs="宋体"/>
          <w:color w:val="auto"/>
          <w:sz w:val="24"/>
          <w:szCs w:val="24"/>
          <w:highlight w:val="none"/>
        </w:rPr>
        <w:t>6</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日；高压冲洗</w:t>
      </w:r>
      <w:r>
        <w:rPr>
          <w:rFonts w:ascii="宋体" w:hAnsi="宋体" w:cs="宋体"/>
          <w:color w:val="auto"/>
          <w:sz w:val="24"/>
          <w:szCs w:val="24"/>
          <w:highlight w:val="none"/>
        </w:rPr>
        <w:t>2</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日；洗扫吸三合一作业</w:t>
      </w:r>
      <w:r>
        <w:rPr>
          <w:rFonts w:ascii="宋体" w:hAnsi="宋体" w:cs="宋体"/>
          <w:color w:val="auto"/>
          <w:sz w:val="24"/>
          <w:szCs w:val="24"/>
          <w:highlight w:val="none"/>
        </w:rPr>
        <w:t>3</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日，要求单向两边侧石、隔离栏底下全部覆盖</w:t>
      </w:r>
      <w:r>
        <w:rPr>
          <w:rFonts w:hint="eastAsia" w:ascii="宋体" w:hAnsi="宋体" w:cs="宋体"/>
          <w:color w:val="auto"/>
          <w:sz w:val="24"/>
          <w:szCs w:val="24"/>
          <w:highlight w:val="none"/>
          <w:lang w:eastAsia="zh-CN"/>
        </w:rPr>
        <w:t>，二级道路：洒水6次/日；高压冲洗2次/日；洗扫吸三合一作业2次/日，要求单向两边侧石、隔离栏底下全部覆盖。三级道路：洒水6次/日；高压冲洗2次/日；洗扫吸三合一作业1次/日，要求单向两边侧石、隔离栏底下全部覆盖。四级道路：洒水2次/日；高压冲洗1次/周；机扫作业2次/日。</w:t>
      </w:r>
    </w:p>
    <w:p>
      <w:pP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1.3.1.3</w:t>
      </w:r>
      <w:r>
        <w:rPr>
          <w:rFonts w:hint="eastAsia" w:ascii="宋体" w:hAnsi="宋体" w:cs="宋体"/>
          <w:color w:val="auto"/>
          <w:sz w:val="24"/>
          <w:szCs w:val="24"/>
          <w:highlight w:val="none"/>
        </w:rPr>
        <w:t>慢车道和人行道保洁：</w:t>
      </w:r>
      <w:r>
        <w:rPr>
          <w:rFonts w:hint="eastAsia" w:ascii="宋体" w:hAnsi="宋体" w:cs="宋体"/>
          <w:color w:val="auto"/>
          <w:sz w:val="24"/>
          <w:szCs w:val="24"/>
          <w:highlight w:val="none"/>
          <w:lang w:val="en-US" w:eastAsia="zh-CN"/>
        </w:rPr>
        <w:t>一级，</w:t>
      </w:r>
      <w:r>
        <w:rPr>
          <w:rFonts w:hint="eastAsia" w:ascii="宋体" w:hAnsi="宋体" w:cs="宋体"/>
          <w:color w:val="auto"/>
          <w:sz w:val="24"/>
          <w:szCs w:val="24"/>
          <w:highlight w:val="none"/>
        </w:rPr>
        <w:t>日常普扫吹风机搭配小型慢车道清扫车作业，</w:t>
      </w:r>
      <w:r>
        <w:rPr>
          <w:rFonts w:ascii="宋体" w:hAnsi="宋体" w:cs="宋体"/>
          <w:color w:val="auto"/>
          <w:sz w:val="24"/>
          <w:szCs w:val="24"/>
          <w:highlight w:val="none"/>
        </w:rPr>
        <w:t>3</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日；洗、扫、吸一体清洗作业</w:t>
      </w:r>
      <w:r>
        <w:rPr>
          <w:rFonts w:ascii="宋体" w:hAnsi="宋体" w:cs="宋体"/>
          <w:color w:val="auto"/>
          <w:sz w:val="24"/>
          <w:szCs w:val="24"/>
          <w:highlight w:val="none"/>
        </w:rPr>
        <w:t>1</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，二级道路：日常普扫吹风机搭配小型慢车道清扫车作业，2次/日；洗、扫、吸一体清洗作业2天1次。三级道路：常规人工清扫2次/日。</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1.3.1.4</w:t>
      </w:r>
      <w:r>
        <w:rPr>
          <w:rFonts w:hint="eastAsia" w:ascii="宋体" w:hAnsi="宋体" w:cs="宋体"/>
          <w:color w:val="auto"/>
          <w:sz w:val="24"/>
          <w:szCs w:val="24"/>
          <w:highlight w:val="none"/>
        </w:rPr>
        <w:t>巡回保洁：保洁员配备电动巡回保洁车巡回作业。</w:t>
      </w:r>
    </w:p>
    <w:p>
      <w:pPr>
        <w:spacing w:line="360" w:lineRule="auto"/>
        <w:ind w:firstLine="480" w:firstLineChars="200"/>
        <w:jc w:val="left"/>
        <w:rPr>
          <w:rFonts w:hint="eastAsia" w:ascii="宋体" w:hAnsi="宋体" w:cs="宋体"/>
          <w:color w:val="auto"/>
          <w:sz w:val="24"/>
          <w:szCs w:val="24"/>
          <w:highlight w:val="none"/>
          <w:lang w:eastAsia="zh-CN"/>
        </w:rPr>
      </w:pPr>
      <w:r>
        <w:rPr>
          <w:rFonts w:ascii="宋体" w:hAnsi="宋体" w:cs="宋体"/>
          <w:color w:val="auto"/>
          <w:sz w:val="24"/>
          <w:szCs w:val="24"/>
          <w:highlight w:val="none"/>
        </w:rPr>
        <w:t>1.3.1.5</w:t>
      </w:r>
      <w:r>
        <w:rPr>
          <w:rFonts w:hint="eastAsia" w:ascii="宋体" w:hAnsi="宋体" w:cs="宋体"/>
          <w:color w:val="auto"/>
          <w:sz w:val="24"/>
          <w:szCs w:val="24"/>
          <w:highlight w:val="none"/>
        </w:rPr>
        <w:t>空气抑尘：</w:t>
      </w:r>
      <w:r>
        <w:rPr>
          <w:rFonts w:hint="eastAsia" w:ascii="宋体" w:hAnsi="宋体" w:cs="宋体"/>
          <w:color w:val="auto"/>
          <w:sz w:val="24"/>
          <w:szCs w:val="24"/>
          <w:highlight w:val="none"/>
          <w:lang w:val="en-US" w:eastAsia="zh-CN"/>
        </w:rPr>
        <w:t>一级，</w:t>
      </w:r>
      <w:r>
        <w:rPr>
          <w:rFonts w:hint="eastAsia" w:ascii="宋体" w:hAnsi="宋体" w:cs="宋体"/>
          <w:color w:val="auto"/>
          <w:sz w:val="24"/>
          <w:szCs w:val="24"/>
          <w:highlight w:val="none"/>
        </w:rPr>
        <w:t>配置空气抑尘设备，每天</w:t>
      </w:r>
      <w:r>
        <w:rPr>
          <w:rFonts w:ascii="宋体" w:hAnsi="宋体" w:cs="宋体"/>
          <w:color w:val="auto"/>
          <w:sz w:val="24"/>
          <w:szCs w:val="24"/>
          <w:highlight w:val="none"/>
        </w:rPr>
        <w:t>2</w:t>
      </w:r>
      <w:r>
        <w:rPr>
          <w:rFonts w:hint="eastAsia" w:ascii="宋体" w:hAnsi="宋体" w:cs="宋体"/>
          <w:color w:val="auto"/>
          <w:sz w:val="24"/>
          <w:szCs w:val="24"/>
          <w:highlight w:val="none"/>
        </w:rPr>
        <w:t>次洒水、抑尘</w:t>
      </w:r>
      <w:r>
        <w:rPr>
          <w:rFonts w:hint="eastAsia" w:ascii="宋体" w:hAnsi="宋体" w:cs="宋体"/>
          <w:color w:val="auto"/>
          <w:sz w:val="24"/>
          <w:szCs w:val="24"/>
          <w:highlight w:val="none"/>
          <w:lang w:eastAsia="zh-CN"/>
        </w:rPr>
        <w:t>，二级道路：配置空气抑尘设备，每天1次洒水、抑尘。三级道路：配置空气抑尘设备，每天1次洒水、抑尘。四级道路：不定期洒水、抑尘。</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1.3.1.6</w:t>
      </w:r>
      <w:r>
        <w:rPr>
          <w:rFonts w:hint="eastAsia" w:ascii="宋体" w:hAnsi="宋体" w:cs="宋体"/>
          <w:color w:val="auto"/>
          <w:sz w:val="24"/>
          <w:szCs w:val="24"/>
          <w:highlight w:val="none"/>
        </w:rPr>
        <w:t>城市家具：</w:t>
      </w:r>
      <w:r>
        <w:rPr>
          <w:rFonts w:hint="eastAsia" w:ascii="宋体" w:hAnsi="宋体" w:cs="宋体"/>
          <w:color w:val="auto"/>
          <w:sz w:val="24"/>
          <w:szCs w:val="24"/>
          <w:highlight w:val="none"/>
          <w:lang w:val="en-US" w:eastAsia="zh-CN"/>
        </w:rPr>
        <w:t>一级，</w:t>
      </w:r>
      <w:r>
        <w:rPr>
          <w:rFonts w:hint="eastAsia" w:ascii="宋体" w:hAnsi="宋体" w:cs="宋体"/>
          <w:color w:val="auto"/>
          <w:sz w:val="24"/>
          <w:szCs w:val="24"/>
          <w:highlight w:val="none"/>
        </w:rPr>
        <w:t>全覆盖擦洗</w:t>
      </w:r>
      <w:r>
        <w:rPr>
          <w:rFonts w:ascii="宋体" w:hAnsi="宋体" w:cs="宋体"/>
          <w:color w:val="auto"/>
          <w:sz w:val="24"/>
          <w:szCs w:val="24"/>
          <w:highlight w:val="none"/>
        </w:rPr>
        <w:t>1</w:t>
      </w:r>
      <w:r>
        <w:rPr>
          <w:rFonts w:hint="eastAsia" w:ascii="宋体" w:hAnsi="宋体" w:cs="宋体"/>
          <w:color w:val="auto"/>
          <w:sz w:val="24"/>
          <w:szCs w:val="24"/>
          <w:highlight w:val="none"/>
        </w:rPr>
        <w:t>次</w:t>
      </w:r>
      <w:r>
        <w:rPr>
          <w:rFonts w:ascii="宋体" w:hAnsi="宋体" w:cs="宋体"/>
          <w:color w:val="auto"/>
          <w:sz w:val="24"/>
          <w:szCs w:val="24"/>
          <w:highlight w:val="none"/>
        </w:rPr>
        <w:t>/</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二级道路：全覆盖擦洗2天1次。三级道路：全覆盖擦洗1次/周。四级道路：全覆盖擦洗1次/月。</w:t>
      </w:r>
    </w:p>
    <w:p>
      <w:pP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1.3.1.7</w:t>
      </w:r>
      <w:r>
        <w:rPr>
          <w:rFonts w:hint="eastAsia" w:ascii="宋体" w:hAnsi="宋体" w:cs="宋体"/>
          <w:color w:val="auto"/>
          <w:sz w:val="24"/>
          <w:szCs w:val="24"/>
          <w:highlight w:val="none"/>
        </w:rPr>
        <w:t>小广告清除：配备高压冲洗设备，每天清除小广告</w:t>
      </w:r>
      <w:r>
        <w:rPr>
          <w:rFonts w:hint="eastAsia" w:ascii="宋体" w:hAnsi="宋体" w:cs="宋体"/>
          <w:color w:val="auto"/>
          <w:sz w:val="24"/>
          <w:szCs w:val="24"/>
          <w:highlight w:val="none"/>
          <w:lang w:eastAsia="zh-CN"/>
        </w:rPr>
        <w:t>，</w:t>
      </w:r>
    </w:p>
    <w:p>
      <w:pP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1.3.1.8</w:t>
      </w:r>
      <w:r>
        <w:rPr>
          <w:rFonts w:hint="eastAsia" w:ascii="宋体" w:hAnsi="宋体" w:cs="宋体"/>
          <w:color w:val="auto"/>
          <w:sz w:val="24"/>
          <w:szCs w:val="24"/>
          <w:highlight w:val="none"/>
        </w:rPr>
        <w:t>道路栏杆：</w:t>
      </w:r>
      <w:r>
        <w:rPr>
          <w:rFonts w:hint="eastAsia" w:ascii="宋体" w:hAnsi="宋体" w:cs="宋体"/>
          <w:color w:val="auto"/>
          <w:sz w:val="24"/>
          <w:szCs w:val="24"/>
          <w:highlight w:val="none"/>
          <w:lang w:val="en-US" w:eastAsia="zh-CN"/>
        </w:rPr>
        <w:t>一级、二级</w:t>
      </w:r>
      <w:r>
        <w:rPr>
          <w:rFonts w:hint="eastAsia" w:ascii="宋体" w:hAnsi="宋体" w:cs="宋体"/>
          <w:color w:val="auto"/>
          <w:sz w:val="24"/>
          <w:szCs w:val="24"/>
          <w:highlight w:val="none"/>
        </w:rPr>
        <w:t>配备栏杆清洗车，每周清洗一次</w:t>
      </w:r>
      <w:r>
        <w:rPr>
          <w:rFonts w:hint="eastAsia" w:ascii="宋体" w:hAnsi="宋体" w:cs="宋体"/>
          <w:color w:val="auto"/>
          <w:sz w:val="24"/>
          <w:szCs w:val="24"/>
          <w:highlight w:val="none"/>
          <w:lang w:eastAsia="zh-CN"/>
        </w:rPr>
        <w:t>，。三级、四级道路：配备栏杆清洗车，每10天清洗一次。</w:t>
      </w:r>
    </w:p>
    <w:p>
      <w:pP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1.3.1.9</w:t>
      </w:r>
      <w:r>
        <w:rPr>
          <w:rFonts w:hint="eastAsia" w:ascii="宋体" w:hAnsi="宋体" w:cs="宋体"/>
          <w:color w:val="auto"/>
          <w:sz w:val="24"/>
          <w:szCs w:val="24"/>
          <w:highlight w:val="none"/>
        </w:rPr>
        <w:t>绿化带捡拾：</w:t>
      </w:r>
      <w:r>
        <w:rPr>
          <w:rFonts w:hint="eastAsia" w:ascii="宋体" w:hAnsi="宋体" w:cs="宋体"/>
          <w:color w:val="auto"/>
          <w:sz w:val="24"/>
          <w:szCs w:val="24"/>
          <w:highlight w:val="none"/>
          <w:lang w:val="en-US" w:eastAsia="zh-CN"/>
        </w:rPr>
        <w:t>一级</w:t>
      </w:r>
      <w:r>
        <w:rPr>
          <w:rFonts w:hint="eastAsia" w:ascii="宋体" w:hAnsi="宋体" w:cs="宋体"/>
          <w:color w:val="auto"/>
          <w:sz w:val="24"/>
          <w:szCs w:val="24"/>
          <w:highlight w:val="none"/>
        </w:rPr>
        <w:t>配置小型设备，人工配合，每天</w:t>
      </w:r>
      <w:r>
        <w:rPr>
          <w:rFonts w:ascii="宋体" w:hAnsi="宋体" w:cs="宋体"/>
          <w:color w:val="auto"/>
          <w:sz w:val="24"/>
          <w:szCs w:val="24"/>
          <w:highlight w:val="none"/>
        </w:rPr>
        <w:t>1~2</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。二级道路：配置小型设备，人工配合，每天1次。三级、四级道路：配置小型设备，人工配合，每天2天1次。</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1.3.1.10</w:t>
      </w:r>
      <w:r>
        <w:rPr>
          <w:rFonts w:hint="eastAsia" w:ascii="宋体" w:hAnsi="宋体" w:cs="宋体"/>
          <w:color w:val="auto"/>
          <w:sz w:val="24"/>
          <w:szCs w:val="24"/>
          <w:highlight w:val="none"/>
        </w:rPr>
        <w:t>应做到文明、清洁、安全和有序，最大限度地减少对环境的污染和对公众生活的影响。</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1.3.1.11</w:t>
      </w:r>
      <w:r>
        <w:rPr>
          <w:rFonts w:hint="eastAsia" w:ascii="宋体" w:hAnsi="宋体" w:cs="宋体"/>
          <w:color w:val="auto"/>
          <w:sz w:val="24"/>
          <w:szCs w:val="24"/>
          <w:highlight w:val="none"/>
        </w:rPr>
        <w:t>合理安排作业计划。清晨或深夜在居民住宅小区或周边道路进行环卫作业时，不得大声喧哗，并应注意控制机具噪音。组织机械化清扫、洒水、清洗作业应避开交通高峰时段（</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w:t>
      </w:r>
      <w:r>
        <w:rPr>
          <w:rFonts w:ascii="宋体" w:hAnsi="宋体" w:cs="宋体"/>
          <w:color w:val="auto"/>
          <w:sz w:val="24"/>
          <w:szCs w:val="24"/>
          <w:highlight w:val="none"/>
        </w:rPr>
        <w:t>30—18</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1.3.1.12</w:t>
      </w:r>
      <w:r>
        <w:rPr>
          <w:rFonts w:hint="eastAsia" w:ascii="宋体" w:hAnsi="宋体" w:cs="宋体"/>
          <w:color w:val="auto"/>
          <w:sz w:val="24"/>
          <w:szCs w:val="24"/>
          <w:highlight w:val="none"/>
        </w:rPr>
        <w:t>下雪及雪后应根据需要，及时进行路面除雪作业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1.3.1.13</w:t>
      </w:r>
      <w:r>
        <w:rPr>
          <w:rFonts w:hint="eastAsia" w:ascii="宋体" w:hAnsi="宋体" w:cs="宋体"/>
          <w:color w:val="auto"/>
          <w:sz w:val="24"/>
          <w:szCs w:val="24"/>
          <w:highlight w:val="none"/>
        </w:rPr>
        <w:t>日常保洁时间内保洁单位需确保保洁范围干净，如有无主垃圾或其它垃圾，应加强监管，及时劝导并清理干净。</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1.3.1.14</w:t>
      </w:r>
      <w:r>
        <w:rPr>
          <w:rFonts w:hint="eastAsia" w:ascii="宋体" w:hAnsi="宋体" w:cs="宋体"/>
          <w:color w:val="auto"/>
          <w:sz w:val="24"/>
          <w:szCs w:val="24"/>
          <w:highlight w:val="none"/>
        </w:rPr>
        <w:t>每辆环卫专用车辆应装有</w:t>
      </w:r>
      <w:r>
        <w:rPr>
          <w:rFonts w:ascii="宋体" w:hAnsi="宋体" w:cs="宋体"/>
          <w:color w:val="auto"/>
          <w:sz w:val="24"/>
          <w:szCs w:val="24"/>
          <w:highlight w:val="none"/>
        </w:rPr>
        <w:t>GPS</w:t>
      </w:r>
      <w:r>
        <w:rPr>
          <w:rFonts w:hint="eastAsia" w:ascii="宋体" w:hAnsi="宋体" w:cs="宋体"/>
          <w:color w:val="auto"/>
          <w:sz w:val="24"/>
          <w:szCs w:val="24"/>
          <w:highlight w:val="none"/>
        </w:rPr>
        <w:t>装置，并按采购人要求安装摄像设备及人员的智慧管理等接入采购人指定系统，如</w:t>
      </w:r>
      <w:r>
        <w:rPr>
          <w:rFonts w:ascii="宋体" w:hAnsi="宋体" w:cs="宋体"/>
          <w:color w:val="auto"/>
          <w:sz w:val="24"/>
          <w:szCs w:val="24"/>
          <w:highlight w:val="none"/>
        </w:rPr>
        <w:t>GPS</w:t>
      </w:r>
      <w:r>
        <w:rPr>
          <w:rFonts w:hint="eastAsia" w:ascii="宋体" w:hAnsi="宋体" w:cs="宋体"/>
          <w:color w:val="auto"/>
          <w:sz w:val="24"/>
          <w:szCs w:val="24"/>
          <w:highlight w:val="none"/>
        </w:rPr>
        <w:t>装置、摄像设备故障后应及时报修。</w:t>
      </w:r>
      <w:r>
        <w:rPr>
          <w:rFonts w:ascii="宋体" w:hAnsi="宋体" w:cs="宋体"/>
          <w:color w:val="auto"/>
          <w:sz w:val="24"/>
          <w:szCs w:val="24"/>
          <w:highlight w:val="none"/>
        </w:rPr>
        <w:t>GPS</w:t>
      </w:r>
      <w:r>
        <w:rPr>
          <w:rFonts w:hint="eastAsia" w:ascii="宋体" w:hAnsi="宋体" w:cs="宋体"/>
          <w:color w:val="auto"/>
          <w:sz w:val="24"/>
          <w:szCs w:val="24"/>
          <w:highlight w:val="none"/>
        </w:rPr>
        <w:t>定位系统或摄像设备以及为本项目服务提供的智慧环卫等（含人员智慧管理）相关费用均由中标单位承担，同时需纳入城管智慧平台，采购人不另支付任何费用。</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1.3.1.15</w:t>
      </w:r>
      <w:r>
        <w:rPr>
          <w:rFonts w:hint="eastAsia" w:ascii="宋体" w:hAnsi="宋体" w:cs="宋体"/>
          <w:color w:val="auto"/>
          <w:sz w:val="24"/>
          <w:szCs w:val="24"/>
          <w:highlight w:val="none"/>
        </w:rPr>
        <w:t>人工辅助清扫、清洗机动车道、非机动车道或清洗机动车道交通隔离栏时，应在距清扫点来车方向</w:t>
      </w:r>
      <w:r>
        <w:rPr>
          <w:rFonts w:ascii="宋体" w:hAnsi="宋体" w:cs="宋体"/>
          <w:color w:val="auto"/>
          <w:sz w:val="24"/>
          <w:szCs w:val="24"/>
          <w:highlight w:val="none"/>
        </w:rPr>
        <w:t>100M</w:t>
      </w:r>
      <w:r>
        <w:rPr>
          <w:rFonts w:hint="eastAsia" w:ascii="宋体" w:hAnsi="宋体" w:cs="宋体"/>
          <w:color w:val="auto"/>
          <w:sz w:val="24"/>
          <w:szCs w:val="24"/>
          <w:highlight w:val="none"/>
        </w:rPr>
        <w:t>处设置警示标识，使用荧光锥形筒等警示标识围护清扫保洁区域，面向来车方向清扫，注意车辆动态。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1.3.1.16</w:t>
      </w:r>
      <w:r>
        <w:rPr>
          <w:rFonts w:hint="eastAsia" w:ascii="宋体" w:hAnsi="宋体" w:cs="宋体"/>
          <w:color w:val="auto"/>
          <w:sz w:val="24"/>
          <w:szCs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1.3.1.17</w:t>
      </w:r>
      <w:r>
        <w:rPr>
          <w:rFonts w:hint="eastAsia" w:ascii="宋体" w:hAnsi="宋体" w:cs="宋体"/>
          <w:color w:val="auto"/>
          <w:sz w:val="24"/>
          <w:szCs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宋体" w:hAnsi="宋体" w:cs="宋体"/>
          <w:color w:val="auto"/>
          <w:sz w:val="24"/>
          <w:szCs w:val="24"/>
          <w:highlight w:val="none"/>
        </w:rPr>
      </w:pPr>
      <w:r>
        <w:rPr>
          <w:rFonts w:ascii="宋体" w:hAnsi="宋体" w:cs="宋体"/>
          <w:color w:val="auto"/>
          <w:sz w:val="24"/>
          <w:szCs w:val="24"/>
          <w:highlight w:val="none"/>
        </w:rPr>
        <w:t>1.3.1.18</w:t>
      </w:r>
      <w:r>
        <w:rPr>
          <w:rFonts w:hint="eastAsia" w:ascii="宋体" w:hAnsi="宋体" w:cs="宋体"/>
          <w:color w:val="auto"/>
          <w:sz w:val="24"/>
          <w:szCs w:val="24"/>
          <w:highlight w:val="none"/>
        </w:rPr>
        <w:t>承诺能及时提供人力、设备、技术等支持。</w:t>
      </w:r>
    </w:p>
    <w:p>
      <w:pPr>
        <w:snapToGrid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 xml:space="preserve">1.4保洁作业规范 </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1.4.1道路普扫次数和时间</w:t>
      </w:r>
    </w:p>
    <w:p>
      <w:pPr>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highlight w:val="none"/>
        </w:rPr>
        <w:t>1.4.1.1</w:t>
      </w:r>
      <w:r>
        <w:rPr>
          <w:rFonts w:hint="eastAsia" w:ascii="宋体" w:hAnsi="宋体" w:cs="宋体"/>
          <w:color w:val="000000"/>
          <w:sz w:val="24"/>
          <w:szCs w:val="24"/>
          <w:highlight w:val="none"/>
        </w:rPr>
        <w:t>一级道路普扫作业每日不少于</w:t>
      </w:r>
      <w:r>
        <w:rPr>
          <w:rFonts w:ascii="宋体" w:hAnsi="宋体" w:cs="宋体"/>
          <w:color w:val="000000"/>
          <w:sz w:val="24"/>
          <w:szCs w:val="24"/>
          <w:highlight w:val="none"/>
        </w:rPr>
        <w:t>3</w:t>
      </w:r>
      <w:r>
        <w:rPr>
          <w:rFonts w:hint="eastAsia" w:ascii="宋体" w:hAnsi="宋体" w:cs="宋体"/>
          <w:color w:val="000000"/>
          <w:sz w:val="24"/>
          <w:szCs w:val="24"/>
          <w:highlight w:val="none"/>
        </w:rPr>
        <w:t>次。夏季（</w:t>
      </w:r>
      <w:r>
        <w:rPr>
          <w:rFonts w:ascii="宋体" w:hAnsi="宋体" w:cs="宋体"/>
          <w:color w:val="000000"/>
          <w:sz w:val="24"/>
          <w:szCs w:val="24"/>
          <w:highlight w:val="none"/>
        </w:rPr>
        <w:t>6</w:t>
      </w:r>
      <w:r>
        <w:rPr>
          <w:rFonts w:hint="eastAsia" w:ascii="宋体" w:hAnsi="宋体" w:cs="宋体"/>
          <w:color w:val="000000"/>
          <w:sz w:val="24"/>
          <w:szCs w:val="24"/>
          <w:highlight w:val="none"/>
        </w:rPr>
        <w:t>月</w:t>
      </w:r>
      <w:r>
        <w:rPr>
          <w:rFonts w:ascii="宋体" w:hAnsi="宋体" w:cs="宋体"/>
          <w:color w:val="000000"/>
          <w:sz w:val="24"/>
          <w:szCs w:val="24"/>
          <w:highlight w:val="none"/>
        </w:rPr>
        <w:t>—8</w:t>
      </w:r>
      <w:r>
        <w:rPr>
          <w:rFonts w:hint="eastAsia" w:ascii="宋体" w:hAnsi="宋体" w:cs="宋体"/>
          <w:color w:val="000000"/>
          <w:sz w:val="24"/>
          <w:szCs w:val="24"/>
          <w:highlight w:val="none"/>
        </w:rPr>
        <w:t>月）第一次普扫应在</w:t>
      </w:r>
      <w:r>
        <w:rPr>
          <w:rFonts w:ascii="宋体" w:hAnsi="宋体" w:cs="宋体"/>
          <w:color w:val="000000"/>
          <w:sz w:val="24"/>
          <w:szCs w:val="24"/>
          <w:highlight w:val="none"/>
        </w:rPr>
        <w:t>6</w:t>
      </w:r>
      <w:r>
        <w:rPr>
          <w:rFonts w:hint="eastAsia" w:ascii="宋体" w:hAnsi="宋体" w:cs="宋体"/>
          <w:color w:val="000000"/>
          <w:sz w:val="24"/>
          <w:szCs w:val="24"/>
          <w:highlight w:val="none"/>
        </w:rPr>
        <w:t>：</w:t>
      </w:r>
      <w:r>
        <w:rPr>
          <w:rFonts w:ascii="宋体" w:hAnsi="宋体" w:cs="宋体"/>
          <w:color w:val="000000"/>
          <w:sz w:val="24"/>
          <w:szCs w:val="24"/>
          <w:highlight w:val="none"/>
        </w:rPr>
        <w:t>30</w:t>
      </w:r>
      <w:r>
        <w:rPr>
          <w:rFonts w:hint="eastAsia" w:ascii="宋体" w:hAnsi="宋体" w:cs="宋体"/>
          <w:color w:val="000000"/>
          <w:sz w:val="24"/>
          <w:szCs w:val="24"/>
          <w:highlight w:val="none"/>
        </w:rPr>
        <w:t>前完成，春、秋、冬季（</w:t>
      </w:r>
      <w:r>
        <w:rPr>
          <w:rFonts w:ascii="宋体" w:hAnsi="宋体" w:cs="宋体"/>
          <w:color w:val="000000"/>
          <w:sz w:val="24"/>
          <w:szCs w:val="24"/>
          <w:highlight w:val="none"/>
        </w:rPr>
        <w:t>9</w:t>
      </w:r>
      <w:r>
        <w:rPr>
          <w:rFonts w:hint="eastAsia" w:ascii="宋体" w:hAnsi="宋体" w:cs="宋体"/>
          <w:color w:val="000000"/>
          <w:sz w:val="24"/>
          <w:szCs w:val="24"/>
          <w:highlight w:val="none"/>
        </w:rPr>
        <w:t>月</w:t>
      </w:r>
      <w:r>
        <w:rPr>
          <w:rFonts w:ascii="宋体" w:hAnsi="宋体" w:cs="宋体"/>
          <w:color w:val="000000"/>
          <w:sz w:val="24"/>
          <w:szCs w:val="24"/>
          <w:highlight w:val="none"/>
        </w:rPr>
        <w:t>—</w:t>
      </w:r>
      <w:r>
        <w:rPr>
          <w:rFonts w:hint="eastAsia" w:ascii="宋体" w:hAnsi="宋体" w:cs="宋体"/>
          <w:color w:val="000000"/>
          <w:sz w:val="24"/>
          <w:szCs w:val="24"/>
          <w:highlight w:val="none"/>
        </w:rPr>
        <w:t>次年</w:t>
      </w:r>
      <w:r>
        <w:rPr>
          <w:rFonts w:ascii="宋体" w:hAnsi="宋体" w:cs="宋体"/>
          <w:color w:val="000000"/>
          <w:sz w:val="24"/>
          <w:szCs w:val="24"/>
          <w:highlight w:val="none"/>
        </w:rPr>
        <w:t>5</w:t>
      </w:r>
      <w:r>
        <w:rPr>
          <w:rFonts w:hint="eastAsia" w:ascii="宋体" w:hAnsi="宋体" w:cs="宋体"/>
          <w:color w:val="000000"/>
          <w:sz w:val="24"/>
          <w:szCs w:val="24"/>
          <w:highlight w:val="none"/>
        </w:rPr>
        <w:t>月）在</w:t>
      </w:r>
      <w:r>
        <w:rPr>
          <w:rFonts w:ascii="宋体" w:hAnsi="宋体" w:cs="宋体"/>
          <w:color w:val="000000"/>
          <w:sz w:val="24"/>
          <w:szCs w:val="24"/>
          <w:highlight w:val="none"/>
        </w:rPr>
        <w:t>7</w:t>
      </w:r>
      <w:r>
        <w:rPr>
          <w:rFonts w:hint="eastAsia" w:ascii="宋体" w:hAnsi="宋体" w:cs="宋体"/>
          <w:color w:val="000000"/>
          <w:sz w:val="24"/>
          <w:szCs w:val="24"/>
          <w:highlight w:val="none"/>
        </w:rPr>
        <w:t>：</w:t>
      </w:r>
      <w:r>
        <w:rPr>
          <w:rFonts w:ascii="宋体" w:cs="宋体"/>
          <w:color w:val="000000"/>
          <w:sz w:val="24"/>
          <w:szCs w:val="24"/>
          <w:highlight w:val="none"/>
        </w:rPr>
        <w:t>00</w:t>
      </w:r>
      <w:r>
        <w:rPr>
          <w:rFonts w:hint="eastAsia" w:ascii="宋体" w:hAnsi="宋体" w:cs="宋体"/>
          <w:color w:val="000000"/>
          <w:sz w:val="24"/>
          <w:szCs w:val="24"/>
          <w:highlight w:val="none"/>
        </w:rPr>
        <w:t>前完成；第二次普扫在</w:t>
      </w:r>
      <w:r>
        <w:rPr>
          <w:rFonts w:ascii="宋体" w:hAnsi="宋体" w:cs="宋体"/>
          <w:color w:val="000000"/>
          <w:sz w:val="24"/>
          <w:szCs w:val="24"/>
          <w:highlight w:val="none"/>
        </w:rPr>
        <w:t>13</w:t>
      </w:r>
      <w:r>
        <w:rPr>
          <w:rFonts w:hint="eastAsia" w:ascii="宋体" w:hAnsi="宋体" w:cs="宋体"/>
          <w:color w:val="000000"/>
          <w:sz w:val="24"/>
          <w:szCs w:val="24"/>
          <w:highlight w:val="none"/>
        </w:rPr>
        <w:t>：</w:t>
      </w:r>
      <w:r>
        <w:rPr>
          <w:rFonts w:ascii="宋体" w:hAnsi="宋体" w:cs="宋体"/>
          <w:color w:val="000000"/>
          <w:sz w:val="24"/>
          <w:szCs w:val="24"/>
          <w:highlight w:val="none"/>
        </w:rPr>
        <w:t>30</w:t>
      </w:r>
      <w:r>
        <w:rPr>
          <w:rFonts w:hint="eastAsia" w:ascii="宋体" w:hAnsi="宋体" w:cs="宋体"/>
          <w:color w:val="000000"/>
          <w:sz w:val="24"/>
          <w:szCs w:val="24"/>
          <w:highlight w:val="none"/>
        </w:rPr>
        <w:t>前完成；第三次普扫在</w:t>
      </w:r>
      <w:r>
        <w:rPr>
          <w:rFonts w:ascii="宋体" w:hAnsi="宋体" w:cs="宋体"/>
          <w:color w:val="000000"/>
          <w:sz w:val="24"/>
          <w:szCs w:val="24"/>
          <w:highlight w:val="none"/>
        </w:rPr>
        <w:t>17</w:t>
      </w:r>
      <w:r>
        <w:rPr>
          <w:rFonts w:hint="eastAsia" w:ascii="宋体" w:hAnsi="宋体" w:cs="宋体"/>
          <w:color w:val="000000"/>
          <w:sz w:val="24"/>
          <w:szCs w:val="24"/>
          <w:highlight w:val="none"/>
        </w:rPr>
        <w:t>：</w:t>
      </w:r>
      <w:r>
        <w:rPr>
          <w:rFonts w:ascii="宋体" w:cs="宋体"/>
          <w:color w:val="000000"/>
          <w:sz w:val="24"/>
          <w:szCs w:val="24"/>
          <w:highlight w:val="none"/>
        </w:rPr>
        <w:t>00</w:t>
      </w:r>
      <w:r>
        <w:rPr>
          <w:rFonts w:hint="eastAsia" w:ascii="宋体" w:hAnsi="宋体" w:cs="宋体"/>
          <w:color w:val="000000"/>
          <w:sz w:val="24"/>
          <w:szCs w:val="24"/>
          <w:highlight w:val="none"/>
        </w:rPr>
        <w:t>前完成。</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二级道路普扫作业每日不少于1次。夏季（6月—8月）第一次普扫应在6：30前完成，春、秋、冬季（9月—次年5月）在7：00前完成；第二次普扫在13：30前完成；第三次普扫在17：00前完成。</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lang w:eastAsia="zh-CN"/>
        </w:rPr>
        <w:t>三</w:t>
      </w:r>
      <w:r>
        <w:rPr>
          <w:rFonts w:hint="eastAsia" w:ascii="宋体" w:hAnsi="宋体" w:cs="宋体"/>
          <w:color w:val="000000"/>
          <w:sz w:val="24"/>
          <w:highlight w:val="none"/>
        </w:rPr>
        <w:t>级道路普扫作业每日不少于1次。夏季（6月—8月）第一次普扫应在6：30前完成，春、秋、冬季（9月—次年5月）在7：00前完成；第二次普扫在1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0前完成；第三次普扫在17：00前完成。</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1.4.1.2应根据重大活动保障、落叶旺季等因素适时增加每日普扫频次。 </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1.4.2洒水（清洗）</w:t>
      </w:r>
    </w:p>
    <w:p>
      <w:pPr>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highlight w:val="none"/>
        </w:rPr>
        <w:t>1.4.2.1</w:t>
      </w:r>
      <w:r>
        <w:rPr>
          <w:rFonts w:hint="eastAsia" w:ascii="宋体" w:hAnsi="宋体" w:cs="宋体"/>
          <w:color w:val="000000"/>
          <w:sz w:val="24"/>
          <w:szCs w:val="24"/>
          <w:highlight w:val="none"/>
        </w:rPr>
        <w:t>一级道路作业每日不少于</w:t>
      </w:r>
      <w:r>
        <w:rPr>
          <w:rFonts w:ascii="宋体" w:hAnsi="宋体" w:cs="宋体"/>
          <w:color w:val="000000"/>
          <w:sz w:val="24"/>
          <w:szCs w:val="24"/>
          <w:highlight w:val="none"/>
        </w:rPr>
        <w:t>6</w:t>
      </w:r>
      <w:r>
        <w:rPr>
          <w:rFonts w:hint="eastAsia" w:ascii="宋体" w:hAnsi="宋体" w:cs="宋体"/>
          <w:color w:val="000000"/>
          <w:sz w:val="24"/>
          <w:szCs w:val="24"/>
          <w:highlight w:val="none"/>
        </w:rPr>
        <w:t>次，洒水时，洒水车车速不得超过</w:t>
      </w:r>
      <w:r>
        <w:rPr>
          <w:rFonts w:ascii="宋体" w:hAnsi="宋体" w:cs="宋体"/>
          <w:color w:val="000000"/>
          <w:sz w:val="24"/>
          <w:szCs w:val="24"/>
          <w:highlight w:val="none"/>
        </w:rPr>
        <w:t>25km/h</w:t>
      </w:r>
      <w:r>
        <w:rPr>
          <w:rFonts w:hint="eastAsia" w:ascii="宋体" w:hAnsi="宋体" w:cs="宋体"/>
          <w:color w:val="000000"/>
          <w:sz w:val="24"/>
          <w:szCs w:val="24"/>
          <w:highlight w:val="none"/>
        </w:rPr>
        <w:t>；清洗时，高压清洗车车速不得超过</w:t>
      </w:r>
      <w:r>
        <w:rPr>
          <w:rFonts w:ascii="宋体" w:hAnsi="宋体" w:cs="宋体"/>
          <w:color w:val="000000"/>
          <w:sz w:val="24"/>
          <w:szCs w:val="24"/>
          <w:highlight w:val="none"/>
        </w:rPr>
        <w:t>10km/h</w:t>
      </w:r>
      <w:r>
        <w:rPr>
          <w:rFonts w:hint="eastAsia" w:ascii="宋体" w:hAnsi="宋体" w:cs="宋体"/>
          <w:color w:val="000000"/>
          <w:sz w:val="24"/>
          <w:szCs w:val="24"/>
          <w:highlight w:val="none"/>
        </w:rPr>
        <w:t>；机械化清扫作业。</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二级道路作业每日不少于4次，</w:t>
      </w:r>
      <w:r>
        <w:rPr>
          <w:rFonts w:hint="eastAsia" w:ascii="宋体" w:hAnsi="宋体" w:cs="宋体"/>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lang w:eastAsia="zh-CN"/>
        </w:rPr>
        <w:t>三</w:t>
      </w:r>
      <w:r>
        <w:rPr>
          <w:rFonts w:hint="eastAsia" w:ascii="宋体" w:hAnsi="宋体" w:cs="宋体"/>
          <w:color w:val="000000"/>
          <w:sz w:val="24"/>
          <w:highlight w:val="none"/>
        </w:rPr>
        <w:t>级道路作业每日不少于4次，</w:t>
      </w:r>
      <w:r>
        <w:rPr>
          <w:rFonts w:hint="eastAsia" w:ascii="宋体" w:hAnsi="宋体" w:cs="宋体"/>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1.4.2.2</w:t>
      </w:r>
      <w:r>
        <w:rPr>
          <w:rFonts w:hint="eastAsia" w:ascii="宋体" w:hAnsi="宋体" w:cs="宋体"/>
          <w:bCs/>
          <w:color w:val="000000"/>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1.4.2.3</w:t>
      </w:r>
      <w:r>
        <w:rPr>
          <w:rFonts w:hint="eastAsia" w:ascii="宋体" w:hAnsi="宋体" w:cs="宋体"/>
          <w:bCs/>
          <w:color w:val="000000"/>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1.4.2.4</w:t>
      </w:r>
      <w:r>
        <w:rPr>
          <w:rFonts w:hint="eastAsia" w:ascii="宋体" w:hAnsi="宋体" w:cs="宋体"/>
          <w:bCs/>
          <w:color w:val="000000"/>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1.4.2.5春秋季（3月—5月、9月—11月），每日道路洒水频次作为基准遍次，即一级道路每日3次；夏季（6月—8月），在基准频次上每日分别增加1次；冬季（12月—2月），在基准频次上每日分别减少1次。</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1.4.2.6</w:t>
      </w:r>
      <w:r>
        <w:rPr>
          <w:rFonts w:hint="eastAsia" w:ascii="宋体" w:hAnsi="宋体" w:cs="宋体"/>
          <w:bCs/>
          <w:color w:val="000000"/>
          <w:sz w:val="24"/>
          <w:highlight w:val="none"/>
        </w:rPr>
        <w:t>气温低于2摄氏度时应停止清洗和洒水。</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1.4.2.7</w:t>
      </w:r>
      <w:r>
        <w:rPr>
          <w:rFonts w:hint="eastAsia" w:ascii="宋体" w:hAnsi="宋体" w:cs="宋体"/>
          <w:bCs/>
          <w:color w:val="000000"/>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1.4.3机械化清扫</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1.4.3.1</w:t>
      </w:r>
      <w:r>
        <w:rPr>
          <w:rFonts w:hint="eastAsia" w:ascii="宋体" w:hAnsi="宋体" w:cs="宋体"/>
          <w:bCs/>
          <w:color w:val="000000"/>
          <w:sz w:val="24"/>
          <w:highlight w:val="none"/>
        </w:rPr>
        <w:t>机械化清扫范围主要为机动车道，及便于使用机械化装备清洁机动车道的交通隔离栏。</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1.4.3.2</w:t>
      </w:r>
      <w:r>
        <w:rPr>
          <w:rFonts w:hint="eastAsia" w:ascii="宋体" w:hAnsi="宋体" w:cs="宋体"/>
          <w:bCs/>
          <w:color w:val="000000"/>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1.4.3.3</w:t>
      </w:r>
      <w:r>
        <w:rPr>
          <w:rFonts w:hint="eastAsia" w:ascii="宋体" w:hAnsi="宋体" w:cs="宋体"/>
          <w:bCs/>
          <w:color w:val="000000"/>
          <w:sz w:val="24"/>
          <w:highlight w:val="none"/>
        </w:rPr>
        <w:t>机械化清扫作业时，扫路车或洗扫车车速不得超过10km/h。</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1.4.3.4</w:t>
      </w:r>
      <w:r>
        <w:rPr>
          <w:rFonts w:hint="eastAsia" w:ascii="宋体" w:hAnsi="宋体" w:cs="宋体"/>
          <w:bCs/>
          <w:color w:val="000000"/>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1.4.3.5</w:t>
      </w:r>
      <w:r>
        <w:rPr>
          <w:rFonts w:hint="eastAsia" w:ascii="宋体" w:hAnsi="宋体" w:cs="宋体"/>
          <w:bCs/>
          <w:color w:val="000000"/>
          <w:sz w:val="24"/>
          <w:highlight w:val="none"/>
        </w:rPr>
        <w:t>当日清扫结束后，应在指定地点卸空机械化清扫车辆中的垃圾。</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1.4.3.6</w:t>
      </w:r>
      <w:r>
        <w:rPr>
          <w:rFonts w:hint="eastAsia" w:ascii="宋体" w:hAnsi="宋体" w:cs="宋体"/>
          <w:bCs/>
          <w:color w:val="000000"/>
          <w:sz w:val="24"/>
          <w:highlight w:val="none"/>
        </w:rPr>
        <w:t>机械化清扫车辆所用的扫把丝等消耗品应根据使用状况及时更换。</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1.4.4人工普扫</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1.4.4.1清扫时，在距清扫点适当位置安全警示标识。</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1.4.4.3清扫的街面垃圾、沿街果壳箱中的垃圾应密闭化运至指定地点，运输过程不得抛洒滴漏。</w:t>
      </w:r>
    </w:p>
    <w:p>
      <w:pPr>
        <w:snapToGrid w:val="0"/>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1.4.5人工保洁</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1.4.5.1普扫结束后，应按照规定的责任保洁区域、保洁时间组织巡回保洁。落实责任保洁区域边界管理，保洁时应向保洁边界以外适当延伸（不少于5米），不留保洁盲区和空白点。</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1.4.5.2应定时清运沿街果壳箱中的垃圾，做到垃圾不落地、不积存，日产日清。</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1.4.5.3突发性环境卫生污染现场清理时，应严格按照应急处置方案进行保洁，及时消除污染物，恢复路面清洁。</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1.4.5.4环卫电动专用作业车辆应在非机动车道顺向行驶，不得超载，且行驶速度不得超过20Km/h。</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1.4.5.5保洁作业结束后，作业工具应在规定地点摆放，不得在道路路面、墙角、绿化带、绿地中存放。</w:t>
      </w:r>
    </w:p>
    <w:p>
      <w:pPr>
        <w:snapToGrid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1.5保洁作业质量要求</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 xml:space="preserve">   1.5.2三化四分相关要求：</w:t>
      </w:r>
      <w:r>
        <w:rPr>
          <w:rFonts w:hint="eastAsia" w:ascii="宋体" w:hAnsi="宋体" w:cs="宋体"/>
          <w:color w:val="000000"/>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 xml:space="preserve">   1.5.3其他要求：   </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（1）遇有窨井盖丢失、破损等，承包方必须及时上报采购人。  </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（2）遇有重大活动或突发事件，及时组织力量做好清扫保洁保障工作。   </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1.6.管理要求</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1.6.2规范管理、文明作业、自觉接受采购人及其上级各部门领导的检查和社会监督，对出现的问题要及时整改。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 xml:space="preserve">   1.6.6垃圾应倾倒在指定的垃圾堆放场地，不得焚烧垃圾、树叶，确需垃圾二次转运的应在指定地点进行，不得直接在保洁道路上进行。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color w:val="000000"/>
          <w:sz w:val="24"/>
          <w:highlight w:val="none"/>
        </w:rPr>
        <w:t xml:space="preserve">1.6.7如遇渣土抛洒污染路面等情况，中标单位应及时上报采购人，并做好照片资料，同时进行道路冲洗清理。   </w:t>
      </w:r>
    </w:p>
    <w:p>
      <w:pPr>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1.6.8无新闻媒体曝光，对“12345”市长公开电话和有关受理中心及信访处相关问题，处理、回复及时到位。</w:t>
      </w:r>
      <w:r>
        <w:rPr>
          <w:rFonts w:hint="eastAsia" w:ascii="宋体" w:hAnsi="宋体" w:cs="宋体"/>
          <w:color w:val="000000"/>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ascii="宋体" w:hAnsi="宋体" w:cs="宋体"/>
          <w:b/>
          <w:bCs/>
          <w:color w:val="000000"/>
          <w:kern w:val="44"/>
          <w:sz w:val="24"/>
          <w:highlight w:val="none"/>
        </w:rPr>
      </w:pPr>
      <w:r>
        <w:rPr>
          <w:rFonts w:hint="eastAsia" w:ascii="宋体" w:hAnsi="宋体" w:cs="宋体"/>
          <w:b/>
          <w:bCs/>
          <w:color w:val="000000"/>
          <w:kern w:val="44"/>
          <w:sz w:val="24"/>
          <w:highlight w:val="none"/>
        </w:rPr>
        <w:t>2、偷倒垃圾清运要求</w:t>
      </w:r>
    </w:p>
    <w:p>
      <w:pPr>
        <w:tabs>
          <w:tab w:val="left" w:pos="851"/>
          <w:tab w:val="left" w:pos="993"/>
        </w:tabs>
        <w:snapToGrid w:val="0"/>
        <w:spacing w:line="360" w:lineRule="auto"/>
        <w:ind w:firstLine="480" w:firstLineChars="200"/>
        <w:rPr>
          <w:rFonts w:ascii="宋体" w:hAnsi="宋体" w:cs="宋体"/>
          <w:b/>
          <w:bCs/>
          <w:color w:val="000000"/>
          <w:kern w:val="44"/>
          <w:sz w:val="24"/>
          <w:highlight w:val="none"/>
        </w:rPr>
      </w:pPr>
      <w:r>
        <w:rPr>
          <w:rFonts w:hint="eastAsia" w:ascii="宋体" w:hAnsi="宋体" w:cs="宋体"/>
          <w:bCs/>
          <w:color w:val="000000"/>
          <w:kern w:val="0"/>
          <w:sz w:val="24"/>
          <w:highlight w:val="none"/>
        </w:rPr>
        <w:t>2.1服务内容：</w:t>
      </w:r>
      <w:r>
        <w:rPr>
          <w:rFonts w:hint="eastAsia" w:ascii="宋体" w:hAnsi="宋体" w:cs="宋体"/>
          <w:color w:val="000000"/>
          <w:sz w:val="24"/>
          <w:highlight w:val="none"/>
        </w:rPr>
        <w:t>主要为本项目各个标段采购人管养范围内偷倒的垃圾清运</w:t>
      </w:r>
      <w:r>
        <w:rPr>
          <w:rFonts w:hint="eastAsia" w:ascii="宋体" w:hAnsi="宋体" w:cs="宋体"/>
          <w:bCs/>
          <w:color w:val="000000"/>
          <w:sz w:val="24"/>
          <w:highlight w:val="none"/>
        </w:rPr>
        <w:t>工作，垃圾运自行处理，相关费包含在本次招标内容中。</w:t>
      </w:r>
    </w:p>
    <w:p>
      <w:pPr>
        <w:snapToGrid w:val="0"/>
        <w:spacing w:line="360" w:lineRule="auto"/>
        <w:ind w:firstLine="480" w:firstLineChars="200"/>
        <w:rPr>
          <w:rFonts w:ascii="宋体" w:hAnsi="宋体" w:cs="宋体"/>
          <w:bCs/>
          <w:color w:val="000000"/>
          <w:kern w:val="0"/>
          <w:sz w:val="24"/>
          <w:highlight w:val="none"/>
        </w:rPr>
      </w:pPr>
      <w:r>
        <w:rPr>
          <w:rFonts w:hint="eastAsia" w:ascii="宋体" w:hAnsi="宋体" w:cs="宋体"/>
          <w:bCs/>
          <w:color w:val="000000"/>
          <w:kern w:val="0"/>
          <w:sz w:val="24"/>
          <w:highlight w:val="none"/>
        </w:rPr>
        <w:t>2.2具体要求：</w:t>
      </w:r>
    </w:p>
    <w:p>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（1）在</w:t>
      </w:r>
      <w:r>
        <w:rPr>
          <w:rFonts w:hint="eastAsia" w:ascii="宋体" w:hAnsi="宋体" w:cs="宋体"/>
          <w:color w:val="000000"/>
          <w:sz w:val="24"/>
          <w:highlight w:val="none"/>
        </w:rPr>
        <w:t>服务期内，</w:t>
      </w:r>
      <w:r>
        <w:rPr>
          <w:rFonts w:hint="eastAsia" w:ascii="宋体" w:hAnsi="宋体" w:cs="宋体"/>
          <w:color w:val="000000"/>
          <w:kern w:val="0"/>
          <w:sz w:val="24"/>
          <w:highlight w:val="none"/>
        </w:rPr>
        <w:t>供应商应加强</w:t>
      </w:r>
      <w:r>
        <w:rPr>
          <w:rFonts w:hint="eastAsia" w:ascii="宋体" w:hAnsi="宋体" w:cs="宋体"/>
          <w:color w:val="000000"/>
          <w:sz w:val="24"/>
          <w:highlight w:val="none"/>
        </w:rPr>
        <w:t>所承包范围内防止垃圾偷倒的管理工作。如在所承包范围内发生偷倒，</w:t>
      </w:r>
      <w:r>
        <w:rPr>
          <w:rFonts w:hint="eastAsia" w:ascii="宋体" w:hAnsi="宋体" w:cs="宋体"/>
          <w:color w:val="000000"/>
          <w:kern w:val="0"/>
          <w:sz w:val="24"/>
          <w:highlight w:val="none"/>
        </w:rPr>
        <w:t>需完成</w:t>
      </w:r>
      <w:r>
        <w:rPr>
          <w:rFonts w:hint="eastAsia" w:ascii="宋体" w:hAnsi="宋体" w:cs="宋体"/>
          <w:color w:val="000000"/>
          <w:sz w:val="24"/>
          <w:highlight w:val="none"/>
        </w:rPr>
        <w:t>偷倒的垃圾清运</w:t>
      </w:r>
      <w:r>
        <w:rPr>
          <w:rFonts w:hint="eastAsia" w:ascii="宋体" w:hAnsi="宋体" w:cs="宋体"/>
          <w:bCs/>
          <w:color w:val="000000"/>
          <w:sz w:val="24"/>
          <w:highlight w:val="none"/>
        </w:rPr>
        <w:t>工作，</w:t>
      </w:r>
      <w:r>
        <w:rPr>
          <w:rFonts w:hint="eastAsia" w:ascii="宋体" w:hAnsi="宋体" w:cs="宋体"/>
          <w:color w:val="000000"/>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cs="宋体"/>
          <w:bCs/>
          <w:color w:val="000000"/>
          <w:sz w:val="24"/>
          <w:highlight w:val="none"/>
        </w:rPr>
        <w:t>（3）</w:t>
      </w:r>
      <w:r>
        <w:rPr>
          <w:rFonts w:hint="eastAsia" w:ascii="宋体" w:hAnsi="宋体" w:cs="宋体"/>
          <w:color w:val="000000"/>
          <w:kern w:val="0"/>
          <w:sz w:val="24"/>
          <w:highlight w:val="none"/>
        </w:rPr>
        <w:t>装运时必须密封整洁，不得沿路抛撒、滴漏。遵守环境卫生作业标准、规范，装运后及时复位，清理作业场地，保持场地周边环境干净整洁；装运时须铺设地垫等设施，防止污染</w:t>
      </w:r>
      <w:r>
        <w:rPr>
          <w:rFonts w:hint="eastAsia" w:ascii="宋体" w:hAnsi="宋体" w:eastAsia="宋体" w:cs="宋体"/>
          <w:color w:val="000000"/>
          <w:kern w:val="0"/>
          <w:sz w:val="24"/>
          <w:highlight w:val="none"/>
        </w:rPr>
        <w:t>路面，做到车走地净。</w:t>
      </w:r>
    </w:p>
    <w:p>
      <w:pPr>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（4）清理的时间要求：2小时之内清理。</w:t>
      </w:r>
    </w:p>
    <w:p>
      <w:pPr>
        <w:snapToGrid w:val="0"/>
        <w:spacing w:line="360" w:lineRule="auto"/>
        <w:ind w:firstLine="482" w:firstLineChars="200"/>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rPr>
        <w:t>3、</w:t>
      </w:r>
      <w:r>
        <w:rPr>
          <w:rFonts w:hint="eastAsia" w:ascii="宋体" w:hAnsi="宋体" w:eastAsia="宋体" w:cs="宋体"/>
          <w:b/>
          <w:bCs/>
          <w:color w:val="000000"/>
          <w:kern w:val="0"/>
          <w:sz w:val="24"/>
          <w:highlight w:val="none"/>
          <w:lang w:val="en-US" w:eastAsia="zh-CN"/>
        </w:rPr>
        <w:t>保洁养护分级标准</w:t>
      </w:r>
    </w:p>
    <w:p>
      <w:pPr>
        <w:snapToGrid w:val="0"/>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auto"/>
          <w:sz w:val="24"/>
          <w:highlight w:val="none"/>
          <w:lang w:val="en-US" w:eastAsia="zh-CN"/>
        </w:rPr>
        <w:t>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pPr>
        <w:snapToGrid w:val="0"/>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w:t>
      </w:r>
      <w:r>
        <w:rPr>
          <w:rFonts w:hint="eastAsia" w:ascii="宋体" w:hAnsi="宋体" w:eastAsia="宋体" w:cs="宋体"/>
          <w:color w:val="auto"/>
          <w:sz w:val="24"/>
          <w:highlight w:val="none"/>
          <w:lang w:val="en-US" w:eastAsia="zh-CN"/>
        </w:rPr>
        <w:t>规定时间内（夏季6:30前，其它季节上午7点前）完成第一遍</w:t>
      </w:r>
      <w:r>
        <w:rPr>
          <w:rFonts w:hint="eastAsia" w:ascii="宋体" w:hAnsi="宋体" w:eastAsia="宋体" w:cs="宋体"/>
          <w:color w:val="000000"/>
          <w:kern w:val="0"/>
          <w:sz w:val="24"/>
          <w:highlight w:val="none"/>
          <w:lang w:val="en-US" w:eastAsia="zh-CN"/>
        </w:rPr>
        <w:t>普扫，然后进行全天巡回保洁以及中午、晚上的两次普扫。每日16小时保洁，人均保洁面积5500㎡，每日洒水4次(夏季6次)、机械化清扫3次（夏季4次），每周清洗道路2次。</w:t>
      </w:r>
    </w:p>
    <w:p>
      <w:pPr>
        <w:snapToGrid w:val="0"/>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pPr>
        <w:tabs>
          <w:tab w:val="left" w:pos="851"/>
          <w:tab w:val="left" w:pos="993"/>
        </w:tabs>
        <w:snapToGrid w:val="0"/>
        <w:spacing w:line="360" w:lineRule="auto"/>
        <w:ind w:firstLine="482" w:firstLineChars="200"/>
        <w:rPr>
          <w:rFonts w:ascii="宋体" w:hAnsi="宋体" w:cs="宋体"/>
          <w:b/>
          <w:bCs/>
          <w:color w:val="000000"/>
          <w:kern w:val="44"/>
          <w:sz w:val="24"/>
          <w:highlight w:val="none"/>
        </w:rPr>
      </w:pPr>
      <w:r>
        <w:rPr>
          <w:rFonts w:hint="eastAsia" w:ascii="宋体" w:hAnsi="宋体" w:cs="宋体"/>
          <w:b/>
          <w:bCs/>
          <w:color w:val="000000"/>
          <w:kern w:val="44"/>
          <w:sz w:val="24"/>
          <w:highlight w:val="none"/>
          <w:lang w:val="en-US" w:eastAsia="zh-CN"/>
        </w:rPr>
        <w:t>4、</w:t>
      </w:r>
      <w:r>
        <w:rPr>
          <w:rFonts w:hint="eastAsia" w:ascii="宋体" w:hAnsi="宋体" w:cs="宋体"/>
          <w:b/>
          <w:bCs/>
          <w:color w:val="000000"/>
          <w:kern w:val="44"/>
          <w:sz w:val="24"/>
          <w:highlight w:val="none"/>
        </w:rPr>
        <w:t>考核办法</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（1）月度检查考核成绩计算</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每个项目的检查考核均按百分制计算，根据现场检查得分计算出每个项目的实际分值。一类道路当月检查3次以上，二类检查2次以上，月度考核得分精确到小数点后一位。</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（2）季度、年度考核成绩计算，</w:t>
      </w:r>
    </w:p>
    <w:p>
      <w:pPr>
        <w:tabs>
          <w:tab w:val="left" w:pos="851"/>
          <w:tab w:val="left" w:pos="993"/>
        </w:tabs>
        <w:snapToGrid w:val="0"/>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季度考核=每月度检查考核成绩得分之和÷3。年度考核成绩=每季度检查考核成绩得分之和÷4。</w:t>
      </w:r>
    </w:p>
    <w:p>
      <w:pPr>
        <w:tabs>
          <w:tab w:val="left" w:pos="851"/>
          <w:tab w:val="left" w:pos="993"/>
        </w:tabs>
        <w:snapToGrid w:val="0"/>
        <w:spacing w:line="360" w:lineRule="auto"/>
        <w:ind w:firstLine="482" w:firstLineChars="200"/>
        <w:rPr>
          <w:rFonts w:ascii="宋体" w:hAnsi="宋体" w:cs="宋体"/>
          <w:b/>
          <w:bCs/>
          <w:color w:val="000000"/>
          <w:kern w:val="44"/>
          <w:sz w:val="24"/>
          <w:highlight w:val="none"/>
        </w:rPr>
      </w:pPr>
      <w:r>
        <w:rPr>
          <w:rFonts w:hint="eastAsia" w:ascii="宋体" w:hAnsi="宋体" w:cs="宋体"/>
          <w:b/>
          <w:bCs/>
          <w:color w:val="000000"/>
          <w:kern w:val="44"/>
          <w:sz w:val="24"/>
          <w:highlight w:val="none"/>
          <w:lang w:val="en-US" w:eastAsia="zh-CN"/>
        </w:rPr>
        <w:t>5</w:t>
      </w:r>
      <w:r>
        <w:rPr>
          <w:rFonts w:hint="eastAsia" w:ascii="宋体" w:hAnsi="宋体" w:cs="宋体"/>
          <w:b/>
          <w:bCs/>
          <w:color w:val="000000"/>
          <w:kern w:val="44"/>
          <w:sz w:val="24"/>
          <w:highlight w:val="none"/>
        </w:rPr>
        <w:t>、成绩通报以及奖惩措施</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由采购人进行不定期巡回监督管理与每月考核。</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每月至少对养护单位考核一次，考核路段都是由采购人现场选定，考核人员由采购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年度考核主要依据季度考核成绩进行汇总。</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年度考核成绩通报：道路保洁管理检查考核年度（四个季度）平均得分在95分（含）以上的标段为优胜（优秀）单位，95-90分（含）为良好单位，90-85分（含）为达标（合格）单位，85分以下和应急响应中通报批评的为不合格单位。</w:t>
      </w:r>
    </w:p>
    <w:p>
      <w:pPr>
        <w:tabs>
          <w:tab w:val="left" w:pos="851"/>
          <w:tab w:val="left" w:pos="993"/>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市级以上抄告单处罚：市查（杭州市政府以上创建部门、杭州市以上新闻媒体部门等）抄告单，经核实为养护问题及责任的，按照扣除养护款2000元/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pPr>
        <w:tabs>
          <w:tab w:val="left" w:pos="851"/>
          <w:tab w:val="left" w:pos="993"/>
        </w:tabs>
        <w:snapToGrid w:val="0"/>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（二）</w:t>
      </w:r>
      <w:r>
        <w:rPr>
          <w:rFonts w:hint="eastAsia" w:ascii="宋体" w:hAnsi="宋体" w:cs="宋体"/>
          <w:b/>
          <w:sz w:val="24"/>
          <w:highlight w:val="none"/>
        </w:rPr>
        <w:t>绿化养护</w:t>
      </w:r>
      <w:r>
        <w:rPr>
          <w:rFonts w:hint="eastAsia" w:ascii="宋体" w:hAnsi="宋体" w:cs="宋体"/>
          <w:b/>
          <w:kern w:val="0"/>
          <w:sz w:val="24"/>
          <w:highlight w:val="none"/>
        </w:rPr>
        <w:t>标准、考核办法等</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1、总体标准：</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2、公共绿地具体养护标准</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 xml:space="preserve"> 一级绿地养护标准</w:t>
      </w:r>
      <w:r>
        <w:rPr>
          <w:rFonts w:hint="eastAsia" w:ascii="宋体" w:hAnsi="宋体" w:cs="宋体"/>
          <w:kern w:val="0"/>
          <w:sz w:val="24"/>
          <w:highlight w:val="none"/>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二级绿地养护标准</w:t>
      </w:r>
      <w:r>
        <w:rPr>
          <w:rFonts w:hint="eastAsia" w:ascii="宋体" w:hAnsi="宋体" w:cs="宋体"/>
          <w:kern w:val="0"/>
          <w:sz w:val="24"/>
          <w:highlight w:val="none"/>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三级绿地养护标准</w:t>
      </w:r>
      <w:r>
        <w:rPr>
          <w:rFonts w:hint="eastAsia" w:ascii="宋体" w:hAnsi="宋体" w:cs="宋体"/>
          <w:kern w:val="0"/>
          <w:sz w:val="24"/>
          <w:highlight w:val="none"/>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其他绿地养护标准：</w:t>
      </w:r>
      <w:r>
        <w:rPr>
          <w:rFonts w:hint="eastAsia" w:ascii="宋体" w:hAnsi="宋体" w:cs="宋体"/>
          <w:kern w:val="0"/>
          <w:sz w:val="24"/>
          <w:highlight w:val="none"/>
        </w:rPr>
        <w:t>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3、考核办法等</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通过日常检查、专项考核、定期检查、杭州市“双最”考核、年度考核等方式对招标绿地进行养护质量考核及奖惩（以下所涉及到的扣除养护费为日常绿化养护费）。</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⑤应急响应（抗旱、防汛、抗台、抗寒、抗雪、其他养护应急任务等）不到位，通报批评的，采购人应扣除养护企业当季5-20%日常绿化养护费，并定为为不合格企业。</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季度检查考核（百分制）得分在95分（含）以上的标段为优秀单位，95-93分（含）为良好（优胜）单位，93-90分（含）为达标（合格）单位，90分以下和应急响应中通报批评的为不合格单位。</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4.年度考核主要依据定期考核成绩进行汇总，并对各城区绿地养护质量进行综合评定。年度考评结果由区城管局予以公布。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年度考核成绩通报：招标绿地养护管理检查考核年度（四个季度）平均得分在95分（含）以上的标段为优秀单位，95-93分（含）为良好（优胜）单位，93-90分（含）为达标（合格）单位，90分以下和应急响应中通报批评的为不合格单位。</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（三）</w:t>
      </w:r>
      <w:r>
        <w:rPr>
          <w:rFonts w:hint="eastAsia" w:ascii="宋体" w:hAnsi="宋体" w:cs="宋体"/>
          <w:b/>
          <w:sz w:val="24"/>
          <w:highlight w:val="none"/>
        </w:rPr>
        <w:t>市政修复养护标准</w:t>
      </w:r>
      <w:r>
        <w:rPr>
          <w:rFonts w:hint="eastAsia" w:ascii="宋体" w:hAnsi="宋体" w:cs="宋体"/>
          <w:b/>
          <w:kern w:val="0"/>
          <w:sz w:val="24"/>
          <w:highlight w:val="none"/>
        </w:rPr>
        <w:t>、考核办法等</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1、一级市政养护标准：</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二级市政设施养护标准：</w:t>
      </w:r>
      <w:r>
        <w:rPr>
          <w:rFonts w:hint="eastAsia" w:ascii="宋体" w:hAnsi="宋体" w:cs="宋体"/>
          <w:kern w:val="0"/>
          <w:sz w:val="24"/>
          <w:highlight w:val="none"/>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三级市政设施养护：</w:t>
      </w:r>
      <w:r>
        <w:rPr>
          <w:rFonts w:hint="eastAsia" w:ascii="宋体" w:hAnsi="宋体" w:cs="宋体"/>
          <w:kern w:val="0"/>
          <w:sz w:val="24"/>
          <w:highlight w:val="none"/>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w:t>
      </w:r>
      <w:r>
        <w:rPr>
          <w:rFonts w:hint="eastAsia" w:ascii="宋体" w:hAnsi="宋体" w:cs="宋体"/>
          <w:kern w:val="0"/>
          <w:sz w:val="24"/>
          <w:highlight w:val="none"/>
          <w:vertAlign w:val="superscript"/>
        </w:rPr>
        <w:t>2</w:t>
      </w:r>
      <w:r>
        <w:rPr>
          <w:rFonts w:hint="eastAsia" w:ascii="宋体" w:hAnsi="宋体" w:cs="宋体"/>
          <w:kern w:val="0"/>
          <w:sz w:val="24"/>
          <w:highlight w:val="none"/>
        </w:rPr>
        <w:t>（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kern w:val="0"/>
          <w:sz w:val="24"/>
          <w:highlight w:val="none"/>
        </w:rPr>
        <w:t>其他市政设施养护：</w:t>
      </w:r>
      <w:r>
        <w:rPr>
          <w:rFonts w:hint="eastAsia" w:ascii="宋体" w:hAnsi="宋体" w:cs="宋体"/>
          <w:kern w:val="0"/>
          <w:sz w:val="24"/>
          <w:highlight w:val="none"/>
        </w:rPr>
        <w:t>参照三级市政设施养护标准实施。</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2、考核办法及奖惩制度</w:t>
      </w:r>
    </w:p>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南苑街道市政道路养护设施考核评分细则</w:t>
      </w:r>
    </w:p>
    <w:tbl>
      <w:tblPr>
        <w:tblStyle w:val="63"/>
        <w:tblW w:w="9060" w:type="dxa"/>
        <w:jc w:val="center"/>
        <w:tblLayout w:type="fixed"/>
        <w:tblCellMar>
          <w:top w:w="0" w:type="dxa"/>
          <w:left w:w="108" w:type="dxa"/>
          <w:bottom w:w="0" w:type="dxa"/>
          <w:right w:w="108" w:type="dxa"/>
        </w:tblCellMar>
      </w:tblPr>
      <w:tblGrid>
        <w:gridCol w:w="828"/>
        <w:gridCol w:w="1460"/>
        <w:gridCol w:w="361"/>
        <w:gridCol w:w="2649"/>
        <w:gridCol w:w="2990"/>
        <w:gridCol w:w="772"/>
      </w:tblGrid>
      <w:tr>
        <w:tblPrEx>
          <w:tblCellMar>
            <w:top w:w="0" w:type="dxa"/>
            <w:left w:w="108" w:type="dxa"/>
            <w:bottom w:w="0" w:type="dxa"/>
            <w:right w:w="108" w:type="dxa"/>
          </w:tblCellMar>
        </w:tblPrEx>
        <w:trPr>
          <w:trHeight w:val="56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   项目</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p>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考核内容</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评分标准</w:t>
            </w:r>
          </w:p>
        </w:tc>
        <w:tc>
          <w:tcPr>
            <w:tcW w:w="77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考核    </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分数</w:t>
            </w:r>
          </w:p>
        </w:tc>
      </w:tr>
      <w:tr>
        <w:tblPrEx>
          <w:tblCellMar>
            <w:top w:w="0" w:type="dxa"/>
            <w:left w:w="108" w:type="dxa"/>
            <w:bottom w:w="0" w:type="dxa"/>
            <w:right w:w="108" w:type="dxa"/>
          </w:tblCellMar>
        </w:tblPrEx>
        <w:trPr>
          <w:cantSplit/>
          <w:trHeight w:val="1454"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道路    设施</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养护</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60分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路面养护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人行道养护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74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市政基础设施完整率</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1023" w:hRule="atLeast"/>
          <w:jc w:val="center"/>
        </w:trPr>
        <w:tc>
          <w:tcPr>
            <w:tcW w:w="828"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数字城管案件20分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数字城管案件量</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576"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桥梁设施养护</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10分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桥面裂缝、坑槽、破损、伸缩缝破损、支座破损锈蚀等每处扣1分。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455"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墩台墙柱开裂每处扣0.5分，基础下沉扣0.5分， 基础位移扣1分。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6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栏杆结构不牢、破损、排水设施破损、堵塞、挡墙损坏开裂每处扣1分，特别严重的扣2分，指示牌破损每处扣1分。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trHeight w:val="653"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安全文明施工</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5分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养护作业</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发现违章及不规范施工每次扣1分，养护不当存在安全隐患的每处扣2分。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trHeight w:val="46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不文明施工，无围护扣1分、围护不到位扣1分、着装不规范扣1分。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trHeight w:val="6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监督管理</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未经审批私自开挖市政道路或未按市政养护规范要求恢复等每处扣1分。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cantSplit/>
          <w:trHeight w:val="17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抄告信访处理及台帐检查</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5分</w:t>
            </w:r>
          </w:p>
        </w:tc>
        <w:tc>
          <w:tcPr>
            <w:tcW w:w="7460" w:type="dxa"/>
            <w:gridSpan w:val="4"/>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spacing w:line="360" w:lineRule="auto"/>
              <w:rPr>
                <w:rFonts w:ascii="宋体" w:hAnsi="宋体" w:cs="宋体"/>
                <w:kern w:val="0"/>
                <w:sz w:val="24"/>
                <w:highlight w:val="none"/>
              </w:rPr>
            </w:pPr>
            <w:r>
              <w:rPr>
                <w:rFonts w:hint="eastAsia" w:ascii="宋体" w:hAnsi="宋体" w:cs="宋体"/>
                <w:kern w:val="0"/>
                <w:sz w:val="24"/>
                <w:highlight w:val="none"/>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考核结果</w:t>
            </w:r>
          </w:p>
        </w:tc>
        <w:tc>
          <w:tcPr>
            <w:tcW w:w="2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合计</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r>
      <w:tr>
        <w:tblPrEx>
          <w:tblCellMar>
            <w:top w:w="0" w:type="dxa"/>
            <w:left w:w="108" w:type="dxa"/>
            <w:bottom w:w="0" w:type="dxa"/>
            <w:right w:w="108" w:type="dxa"/>
          </w:tblCellMar>
        </w:tblPrEx>
        <w:trPr>
          <w:trHeight w:val="85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备注</w:t>
            </w:r>
          </w:p>
        </w:tc>
        <w:tc>
          <w:tcPr>
            <w:tcW w:w="8232" w:type="dxa"/>
            <w:gridSpan w:val="5"/>
            <w:tcBorders>
              <w:top w:val="single" w:color="auto" w:sz="4" w:space="0"/>
              <w:left w:val="nil"/>
              <w:bottom w:val="single" w:color="auto" w:sz="4" w:space="0"/>
              <w:right w:val="single" w:color="auto" w:sz="4" w:space="0"/>
            </w:tcBorders>
            <w:vAlign w:val="center"/>
          </w:tcPr>
          <w:p>
            <w:pPr>
              <w:numPr>
                <w:ilvl w:val="0"/>
                <w:numId w:val="3"/>
              </w:numPr>
              <w:adjustRightInd/>
              <w:spacing w:line="360" w:lineRule="auto"/>
              <w:rPr>
                <w:rFonts w:ascii="宋体" w:hAnsi="宋体" w:cs="宋体"/>
                <w:kern w:val="0"/>
                <w:sz w:val="24"/>
                <w:highlight w:val="none"/>
              </w:rPr>
            </w:pPr>
            <w:r>
              <w:rPr>
                <w:rFonts w:hint="eastAsia" w:ascii="宋体" w:hAnsi="宋体" w:cs="宋体"/>
                <w:kern w:val="0"/>
                <w:sz w:val="24"/>
                <w:highlight w:val="none"/>
              </w:rPr>
              <w:t>未尽事宜（如市、区相关指标任务等市政工作），考核视完成情况加或扣1-3分。</w:t>
            </w:r>
          </w:p>
          <w:p>
            <w:pPr>
              <w:spacing w:line="360" w:lineRule="auto"/>
              <w:rPr>
                <w:rFonts w:ascii="宋体" w:hAnsi="宋体" w:cs="宋体"/>
                <w:kern w:val="0"/>
                <w:sz w:val="24"/>
                <w:highlight w:val="none"/>
              </w:rPr>
            </w:pPr>
            <w:r>
              <w:rPr>
                <w:rFonts w:hint="eastAsia" w:ascii="宋体" w:hAnsi="宋体" w:cs="宋体"/>
                <w:kern w:val="0"/>
                <w:sz w:val="24"/>
                <w:highlight w:val="none"/>
              </w:rPr>
              <w:t>2、考核分值95分以上为优秀，90分至94分为合格，90分以下为不合格。</w:t>
            </w:r>
          </w:p>
        </w:tc>
      </w:tr>
    </w:tbl>
    <w:p>
      <w:pPr>
        <w:snapToGrid w:val="0"/>
        <w:spacing w:line="360" w:lineRule="auto"/>
        <w:ind w:firstLine="472" w:firstLineChars="196"/>
        <w:jc w:val="left"/>
        <w:rPr>
          <w:rFonts w:ascii="宋体" w:hAnsi="宋体" w:cs="宋体"/>
          <w:b/>
          <w:kern w:val="0"/>
          <w:sz w:val="24"/>
          <w:highlight w:val="none"/>
        </w:rPr>
      </w:pP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（四）</w:t>
      </w:r>
      <w:r>
        <w:rPr>
          <w:rFonts w:hint="eastAsia" w:ascii="宋体" w:hAnsi="宋体" w:cs="宋体"/>
          <w:b/>
          <w:sz w:val="24"/>
          <w:highlight w:val="none"/>
        </w:rPr>
        <w:t>路灯养护标准、考核办法</w:t>
      </w:r>
    </w:p>
    <w:p>
      <w:pPr>
        <w:snapToGrid w:val="0"/>
        <w:spacing w:line="360" w:lineRule="auto"/>
        <w:ind w:firstLine="472" w:firstLineChars="196"/>
        <w:jc w:val="left"/>
        <w:rPr>
          <w:rFonts w:ascii="宋体" w:hAnsi="宋体" w:cs="宋体"/>
          <w:kern w:val="0"/>
          <w:sz w:val="24"/>
          <w:highlight w:val="none"/>
        </w:rPr>
      </w:pPr>
      <w:r>
        <w:rPr>
          <w:rFonts w:hint="eastAsia" w:ascii="宋体" w:hAnsi="宋体" w:cs="宋体"/>
          <w:b/>
          <w:sz w:val="24"/>
          <w:highlight w:val="none"/>
        </w:rPr>
        <w:t>1、路灯</w:t>
      </w:r>
      <w:r>
        <w:rPr>
          <w:rFonts w:hint="eastAsia" w:ascii="宋体" w:hAnsi="宋体" w:cs="宋体"/>
          <w:b/>
          <w:kern w:val="0"/>
          <w:sz w:val="24"/>
          <w:highlight w:val="none"/>
        </w:rPr>
        <w:t>设施管养标准：</w:t>
      </w:r>
      <w:r>
        <w:rPr>
          <w:rFonts w:hint="eastAsia" w:ascii="宋体" w:hAnsi="宋体" w:cs="宋体"/>
          <w:kern w:val="0"/>
          <w:sz w:val="24"/>
          <w:highlight w:val="none"/>
        </w:rPr>
        <w:t>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spacing w:line="360" w:lineRule="auto"/>
        <w:rPr>
          <w:rFonts w:ascii="宋体" w:hAnsi="宋体" w:cs="宋体"/>
          <w:b/>
          <w:kern w:val="0"/>
          <w:sz w:val="24"/>
          <w:highlight w:val="none"/>
        </w:rPr>
      </w:pPr>
      <w:r>
        <w:rPr>
          <w:rFonts w:hint="eastAsia" w:ascii="宋体" w:hAnsi="宋体" w:cs="宋体"/>
          <w:b/>
          <w:kern w:val="0"/>
          <w:sz w:val="24"/>
          <w:highlight w:val="none"/>
        </w:rPr>
        <w:t>2、考核办法</w:t>
      </w:r>
    </w:p>
    <w:p>
      <w:pPr>
        <w:spacing w:line="360" w:lineRule="auto"/>
        <w:jc w:val="center"/>
        <w:rPr>
          <w:rFonts w:ascii="宋体" w:hAnsi="宋体" w:cs="宋体"/>
          <w:b/>
          <w:kern w:val="0"/>
          <w:sz w:val="24"/>
          <w:highlight w:val="none"/>
        </w:rPr>
      </w:pPr>
      <w:r>
        <w:rPr>
          <w:rFonts w:hint="eastAsia" w:ascii="宋体" w:hAnsi="宋体" w:cs="宋体"/>
          <w:b/>
          <w:kern w:val="0"/>
          <w:sz w:val="24"/>
          <w:highlight w:val="none"/>
        </w:rPr>
        <w:t>南苑街道路灯长效管理评分表</w:t>
      </w:r>
    </w:p>
    <w:tbl>
      <w:tblPr>
        <w:tblStyle w:val="6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70"/>
        <w:gridCol w:w="53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5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   项目</w:t>
            </w:r>
          </w:p>
        </w:tc>
        <w:tc>
          <w:tcPr>
            <w:tcW w:w="1270" w:type="dxa"/>
            <w:vAlign w:val="center"/>
          </w:tcPr>
          <w:p>
            <w:pPr>
              <w:spacing w:line="360" w:lineRule="auto"/>
              <w:jc w:val="center"/>
              <w:rPr>
                <w:rFonts w:ascii="宋体" w:hAnsi="宋体" w:cs="宋体"/>
                <w:kern w:val="0"/>
                <w:sz w:val="24"/>
                <w:highlight w:val="none"/>
              </w:rPr>
            </w:pPr>
          </w:p>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考核内容</w:t>
            </w:r>
          </w:p>
          <w:p>
            <w:pPr>
              <w:spacing w:line="360" w:lineRule="auto"/>
              <w:jc w:val="center"/>
              <w:rPr>
                <w:rFonts w:ascii="宋体" w:hAnsi="宋体" w:cs="宋体"/>
                <w:kern w:val="0"/>
                <w:sz w:val="24"/>
                <w:highlight w:val="none"/>
              </w:rPr>
            </w:pPr>
          </w:p>
        </w:tc>
        <w:tc>
          <w:tcPr>
            <w:tcW w:w="5323"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评分标准</w:t>
            </w:r>
          </w:p>
        </w:tc>
        <w:tc>
          <w:tcPr>
            <w:tcW w:w="1112"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考核    </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355" w:type="dxa"/>
            <w:vMerge w:val="restart"/>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路灯设施养护30分</w:t>
            </w:r>
          </w:p>
        </w:tc>
        <w:tc>
          <w:tcPr>
            <w:tcW w:w="1270"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亮灯率</w:t>
            </w: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亮灯率低于99%的每下降1%扣2分。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1355" w:type="dxa"/>
            <w:vMerge w:val="continue"/>
            <w:vAlign w:val="center"/>
          </w:tcPr>
          <w:p>
            <w:pPr>
              <w:spacing w:line="360" w:lineRule="auto"/>
              <w:jc w:val="center"/>
              <w:rPr>
                <w:rFonts w:ascii="宋体" w:hAnsi="宋体" w:cs="宋体"/>
                <w:kern w:val="0"/>
                <w:sz w:val="24"/>
                <w:highlight w:val="none"/>
              </w:rPr>
            </w:pPr>
          </w:p>
        </w:tc>
        <w:tc>
          <w:tcPr>
            <w:tcW w:w="1270"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群众投诉</w:t>
            </w: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投诉未按时亮熄灯，每处每次扣2分;投诉管养不到位有一盏不亮，扣2分。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355" w:type="dxa"/>
            <w:vMerge w:val="continue"/>
            <w:vAlign w:val="center"/>
          </w:tcPr>
          <w:p>
            <w:pPr>
              <w:spacing w:line="360" w:lineRule="auto"/>
              <w:jc w:val="center"/>
              <w:rPr>
                <w:rFonts w:ascii="宋体" w:hAnsi="宋体" w:cs="宋体"/>
                <w:kern w:val="0"/>
                <w:sz w:val="24"/>
                <w:highlight w:val="none"/>
              </w:rPr>
            </w:pPr>
          </w:p>
        </w:tc>
        <w:tc>
          <w:tcPr>
            <w:tcW w:w="1270"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设施完好率</w:t>
            </w: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路灯设施倾斜、缺损每处扣2分；油漆剥落和锈斑、外观不整洁每处扣2分。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55" w:type="dxa"/>
            <w:vMerge w:val="restart"/>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安全文明施工</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20分</w:t>
            </w:r>
          </w:p>
        </w:tc>
        <w:tc>
          <w:tcPr>
            <w:tcW w:w="1270" w:type="dxa"/>
            <w:vMerge w:val="restart"/>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养护作业</w:t>
            </w: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发现违章施工每次扣3分，养护不当存在安全隐患的每处扣5分。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5" w:type="dxa"/>
            <w:vMerge w:val="continue"/>
            <w:vAlign w:val="center"/>
          </w:tcPr>
          <w:p>
            <w:pPr>
              <w:spacing w:line="360" w:lineRule="auto"/>
              <w:jc w:val="center"/>
              <w:rPr>
                <w:rFonts w:ascii="宋体" w:hAnsi="宋体" w:cs="宋体"/>
                <w:kern w:val="0"/>
                <w:sz w:val="24"/>
                <w:highlight w:val="none"/>
              </w:rPr>
            </w:pPr>
          </w:p>
        </w:tc>
        <w:tc>
          <w:tcPr>
            <w:tcW w:w="1270" w:type="dxa"/>
            <w:vMerge w:val="continue"/>
            <w:vAlign w:val="center"/>
          </w:tcPr>
          <w:p>
            <w:pPr>
              <w:spacing w:line="360" w:lineRule="auto"/>
              <w:jc w:val="center"/>
              <w:rPr>
                <w:rFonts w:ascii="宋体" w:hAnsi="宋体" w:cs="宋体"/>
                <w:kern w:val="0"/>
                <w:sz w:val="24"/>
                <w:highlight w:val="none"/>
              </w:rPr>
            </w:pP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不文明施工，无围护扣5分、围护不到位扣2.5分、着装不规范扣2分。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vMerge w:val="continue"/>
            <w:vAlign w:val="center"/>
          </w:tcPr>
          <w:p>
            <w:pPr>
              <w:spacing w:line="360" w:lineRule="auto"/>
              <w:jc w:val="center"/>
              <w:rPr>
                <w:rFonts w:ascii="宋体" w:hAnsi="宋体" w:cs="宋体"/>
                <w:kern w:val="0"/>
                <w:sz w:val="24"/>
                <w:highlight w:val="none"/>
              </w:rPr>
            </w:pPr>
          </w:p>
        </w:tc>
        <w:tc>
          <w:tcPr>
            <w:tcW w:w="1270"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监督管理</w:t>
            </w:r>
          </w:p>
        </w:tc>
        <w:tc>
          <w:tcPr>
            <w:tcW w:w="5323" w:type="dxa"/>
            <w:vAlign w:val="center"/>
          </w:tcPr>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未经审批私自开挖市政道路或未按市政养护规范要求恢复，以及管养区域其他市政设施不规范问题等每处扣2-5分。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35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抄告信访处理及台帐检查</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10分</w:t>
            </w:r>
          </w:p>
        </w:tc>
        <w:tc>
          <w:tcPr>
            <w:tcW w:w="6593" w:type="dxa"/>
            <w:gridSpan w:val="2"/>
            <w:vAlign w:val="center"/>
          </w:tcPr>
          <w:p>
            <w:pPr>
              <w:spacing w:line="360" w:lineRule="auto"/>
              <w:ind w:firstLine="501" w:firstLineChars="209"/>
              <w:rPr>
                <w:rFonts w:ascii="宋体" w:hAnsi="宋体" w:cs="宋体"/>
                <w:kern w:val="0"/>
                <w:sz w:val="24"/>
                <w:highlight w:val="none"/>
              </w:rPr>
            </w:pPr>
            <w:r>
              <w:rPr>
                <w:rFonts w:hint="eastAsia" w:ascii="宋体" w:hAnsi="宋体" w:cs="宋体"/>
                <w:kern w:val="0"/>
                <w:sz w:val="24"/>
                <w:highlight w:val="none"/>
              </w:rPr>
              <w:t>1.市查、区查的涉及养护范围内的有责抄告及信访问题二次抄告每件扣3分 ，三次及以上抄告扣5分；发生区级媒体曝光每件扣3分，被区级领导批示批评的每件扣5分；联系函、抄告单等超时回复或不回复的每次扣2分。</w:t>
            </w:r>
          </w:p>
        </w:tc>
        <w:tc>
          <w:tcPr>
            <w:tcW w:w="1112" w:type="dxa"/>
            <w:vAlign w:val="center"/>
          </w:tcPr>
          <w:p>
            <w:pPr>
              <w:spacing w:line="360" w:lineRule="auto"/>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35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数字城管案件40分</w:t>
            </w:r>
          </w:p>
        </w:tc>
        <w:tc>
          <w:tcPr>
            <w:tcW w:w="6593" w:type="dxa"/>
            <w:gridSpan w:val="2"/>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标段内1-20件扣2分，20-40件扣5分，40-50扣10分，以此类推上限扣完</w:t>
            </w:r>
          </w:p>
        </w:tc>
        <w:tc>
          <w:tcPr>
            <w:tcW w:w="1112" w:type="dxa"/>
            <w:vAlign w:val="center"/>
          </w:tcPr>
          <w:p>
            <w:pPr>
              <w:spacing w:line="360" w:lineRule="auto"/>
              <w:rPr>
                <w:rFonts w:ascii="宋体" w:hAnsi="宋体" w:cs="宋体"/>
                <w:kern w:val="0"/>
                <w:sz w:val="24"/>
                <w:highlight w:val="none"/>
              </w:rPr>
            </w:pPr>
          </w:p>
        </w:tc>
      </w:tr>
    </w:tbl>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（五）</w:t>
      </w:r>
      <w:r>
        <w:rPr>
          <w:rFonts w:hint="eastAsia" w:ascii="宋体" w:hAnsi="宋体" w:cs="宋体"/>
          <w:b/>
          <w:sz w:val="24"/>
          <w:highlight w:val="none"/>
        </w:rPr>
        <w:t>牛皮癣清理、考核办法</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1、、作业技术标准：</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（1）、处理非法涂写。作业应注意“色、形、洁、美”，达到“色、形、洁、美”的有机结合，自然、协调。</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色：根据不同墙体颜色，将调料调配成相同或相似的颜色，最大限度的将污染处恢复原来色泽；</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形：对被污染墙面的清除应有统一覆盖形状（四方形），有完整、清晰的轮廓；</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洁：清除作业要按照“一刮、二铲、三粉刷”程序操作，使作业墙体达到干净、整洁；</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美：要使清除作业墙体在“色、形、洁”上与周边环境相协调。</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（2）、处理非法招贴广告。清除作业按照“一刮、二铲、三粉刷”要求进行；清除后不出现“残标”，不留粘贴痕迹，尽量不损坏建（构）筑物立面和颜色。</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2、作业要求：</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（1）、清洁公司在责任辖区内要实行“四定”管理（定人员、定路段、定责任、定时间）和巡查督查机制，有效控制各类“牛皮癣”的产生。</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（2）、强化清除与监管，每天上午8：00前完成第一遍清除保洁，8：00时以后进行巡回清除保洁，做到即时发现，即时清除，新产生的“牛皮癣”滞留时间不得超过半小时。</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（3）、清除作业要严格按照作业技术标准操作，无遗漏，无“以癣治癣”现象出现。</w:t>
      </w:r>
    </w:p>
    <w:p>
      <w:pPr>
        <w:snapToGrid w:val="0"/>
        <w:spacing w:line="360" w:lineRule="auto"/>
        <w:ind w:firstLine="470" w:firstLineChars="196"/>
        <w:jc w:val="left"/>
        <w:rPr>
          <w:rFonts w:ascii="宋体" w:hAnsi="宋体" w:cs="宋体"/>
          <w:kern w:val="0"/>
          <w:sz w:val="24"/>
          <w:highlight w:val="none"/>
        </w:rPr>
      </w:pPr>
      <w:r>
        <w:rPr>
          <w:rFonts w:hint="eastAsia" w:ascii="宋体" w:hAnsi="宋体" w:cs="宋体"/>
          <w:kern w:val="0"/>
          <w:sz w:val="24"/>
          <w:highlight w:val="none"/>
        </w:rPr>
        <w:t>（4）、及时清除作业所产生的垃圾，达到垃圾袋装，集中处理。</w:t>
      </w:r>
    </w:p>
    <w:p>
      <w:pPr>
        <w:snapToGrid w:val="0"/>
        <w:spacing w:line="360" w:lineRule="auto"/>
        <w:ind w:firstLine="472" w:firstLineChars="196"/>
        <w:jc w:val="left"/>
        <w:rPr>
          <w:rFonts w:ascii="宋体" w:hAnsi="宋体" w:cs="宋体"/>
          <w:b/>
          <w:kern w:val="0"/>
          <w:sz w:val="24"/>
          <w:highlight w:val="none"/>
        </w:rPr>
      </w:pPr>
      <w:r>
        <w:rPr>
          <w:rFonts w:hint="eastAsia" w:ascii="宋体" w:hAnsi="宋体" w:cs="宋体"/>
          <w:b/>
          <w:kern w:val="0"/>
          <w:sz w:val="24"/>
          <w:highlight w:val="none"/>
        </w:rPr>
        <w:t>3、考核办法</w:t>
      </w:r>
    </w:p>
    <w:p>
      <w:pPr>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南苑街道牛皮癣清理评分表  </w:t>
      </w:r>
    </w:p>
    <w:tbl>
      <w:tblPr>
        <w:tblStyle w:val="63"/>
        <w:tblW w:w="10141" w:type="dxa"/>
        <w:tblInd w:w="-4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7103"/>
        <w:gridCol w:w="1154"/>
        <w:gridCol w:w="10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7103"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考核标准</w:t>
            </w: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基分</w:t>
            </w:r>
          </w:p>
        </w:tc>
        <w:tc>
          <w:tcPr>
            <w:tcW w:w="108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7103" w:type="dxa"/>
            <w:vAlign w:val="center"/>
          </w:tcPr>
          <w:p>
            <w:pPr>
              <w:spacing w:line="360" w:lineRule="auto"/>
              <w:jc w:val="left"/>
              <w:rPr>
                <w:rFonts w:ascii="宋体" w:hAnsi="宋体" w:cs="宋体"/>
                <w:kern w:val="0"/>
                <w:sz w:val="24"/>
                <w:highlight w:val="none"/>
              </w:rPr>
            </w:pPr>
            <w:r>
              <w:rPr>
                <w:rFonts w:hint="eastAsia" w:ascii="宋体" w:hAnsi="宋体" w:cs="宋体"/>
                <w:kern w:val="0"/>
                <w:sz w:val="24"/>
                <w:highlight w:val="none"/>
              </w:rPr>
              <w:t>发现在道路两侧50米内有一处张贴涂写末清理的扣1分，在抽查200米道路范围有2处以内每一处扣1分、有2处以上每一处扣2分；新产生“牛皮癣”超过30分钟未淸的每处扣1分</w:t>
            </w: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25</w:t>
            </w:r>
          </w:p>
        </w:tc>
        <w:tc>
          <w:tcPr>
            <w:tcW w:w="1089" w:type="dxa"/>
            <w:vAlign w:val="center"/>
          </w:tcPr>
          <w:p>
            <w:pPr>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7103" w:type="dxa"/>
            <w:vAlign w:val="center"/>
          </w:tcPr>
          <w:p>
            <w:pPr>
              <w:spacing w:line="360" w:lineRule="auto"/>
              <w:jc w:val="left"/>
              <w:rPr>
                <w:rFonts w:ascii="宋体" w:hAnsi="宋体" w:cs="宋体"/>
                <w:kern w:val="0"/>
                <w:sz w:val="24"/>
                <w:highlight w:val="none"/>
              </w:rPr>
            </w:pPr>
            <w:r>
              <w:rPr>
                <w:rFonts w:hint="eastAsia" w:ascii="宋体" w:hAnsi="宋体" w:cs="宋体"/>
                <w:kern w:val="0"/>
                <w:sz w:val="24"/>
                <w:highlight w:val="none"/>
              </w:rPr>
              <w:t>在道路两侧各入口处5至10米内发现三处末清理扣1分，超过30分钟未淸除的每处扣1分</w:t>
            </w: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25</w:t>
            </w:r>
          </w:p>
        </w:tc>
        <w:tc>
          <w:tcPr>
            <w:tcW w:w="1089" w:type="dxa"/>
            <w:vAlign w:val="center"/>
          </w:tcPr>
          <w:p>
            <w:pPr>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7103" w:type="dxa"/>
            <w:vAlign w:val="center"/>
          </w:tcPr>
          <w:p>
            <w:pPr>
              <w:spacing w:line="360" w:lineRule="auto"/>
              <w:jc w:val="left"/>
              <w:rPr>
                <w:rFonts w:ascii="宋体" w:hAnsi="宋体" w:cs="宋体"/>
                <w:kern w:val="0"/>
                <w:sz w:val="24"/>
                <w:highlight w:val="none"/>
              </w:rPr>
            </w:pPr>
            <w:r>
              <w:rPr>
                <w:rFonts w:hint="eastAsia" w:ascii="宋体" w:hAnsi="宋体" w:cs="宋体"/>
                <w:kern w:val="0"/>
                <w:sz w:val="24"/>
                <w:highlight w:val="none"/>
              </w:rPr>
              <w:t>以癣治癣每处扣1分</w:t>
            </w: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25</w:t>
            </w:r>
          </w:p>
        </w:tc>
        <w:tc>
          <w:tcPr>
            <w:tcW w:w="1089" w:type="dxa"/>
            <w:vAlign w:val="center"/>
          </w:tcPr>
          <w:p>
            <w:pPr>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4</w:t>
            </w:r>
          </w:p>
        </w:tc>
        <w:tc>
          <w:tcPr>
            <w:tcW w:w="7103" w:type="dxa"/>
            <w:vAlign w:val="center"/>
          </w:tcPr>
          <w:p>
            <w:pPr>
              <w:spacing w:line="360" w:lineRule="auto"/>
              <w:jc w:val="left"/>
              <w:rPr>
                <w:rFonts w:ascii="宋体" w:hAnsi="宋体" w:cs="宋体"/>
                <w:kern w:val="0"/>
                <w:sz w:val="24"/>
                <w:highlight w:val="none"/>
              </w:rPr>
            </w:pPr>
            <w:r>
              <w:rPr>
                <w:rFonts w:hint="eastAsia" w:ascii="宋体" w:hAnsi="宋体" w:cs="宋体"/>
                <w:kern w:val="0"/>
                <w:sz w:val="24"/>
                <w:highlight w:val="none"/>
              </w:rPr>
              <w:t>色彩不一、清理不彻底每处扣2分</w:t>
            </w: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25</w:t>
            </w:r>
          </w:p>
        </w:tc>
        <w:tc>
          <w:tcPr>
            <w:tcW w:w="1089" w:type="dxa"/>
            <w:vAlign w:val="center"/>
          </w:tcPr>
          <w:p>
            <w:pPr>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合计</w:t>
            </w:r>
          </w:p>
        </w:tc>
        <w:tc>
          <w:tcPr>
            <w:tcW w:w="7103" w:type="dxa"/>
            <w:vAlign w:val="center"/>
          </w:tcPr>
          <w:p>
            <w:pPr>
              <w:spacing w:line="360" w:lineRule="auto"/>
              <w:jc w:val="left"/>
              <w:rPr>
                <w:rFonts w:ascii="宋体" w:hAnsi="宋体" w:cs="宋体"/>
                <w:kern w:val="0"/>
                <w:sz w:val="24"/>
                <w:highlight w:val="none"/>
              </w:rPr>
            </w:pPr>
          </w:p>
        </w:tc>
        <w:tc>
          <w:tcPr>
            <w:tcW w:w="1154"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100</w:t>
            </w:r>
          </w:p>
        </w:tc>
        <w:tc>
          <w:tcPr>
            <w:tcW w:w="1089" w:type="dxa"/>
            <w:vAlign w:val="center"/>
          </w:tcPr>
          <w:p>
            <w:pPr>
              <w:spacing w:line="360" w:lineRule="auto"/>
              <w:jc w:val="center"/>
              <w:rPr>
                <w:rFonts w:ascii="宋体" w:hAnsi="宋体" w:cs="宋体"/>
                <w:kern w:val="0"/>
                <w:sz w:val="24"/>
                <w:highlight w:val="none"/>
              </w:rPr>
            </w:pPr>
          </w:p>
        </w:tc>
      </w:tr>
    </w:tbl>
    <w:p>
      <w:pPr>
        <w:snapToGrid w:val="0"/>
        <w:spacing w:line="360" w:lineRule="auto"/>
        <w:ind w:firstLine="472" w:firstLineChars="196"/>
        <w:jc w:val="left"/>
        <w:rPr>
          <w:rFonts w:ascii="宋体" w:hAnsi="宋体" w:cs="宋体"/>
          <w:b/>
          <w:bCs/>
          <w:kern w:val="0"/>
          <w:sz w:val="24"/>
          <w:highlight w:val="none"/>
        </w:rPr>
      </w:pPr>
      <w:r>
        <w:rPr>
          <w:rFonts w:hint="eastAsia" w:ascii="宋体" w:hAnsi="宋体" w:cs="宋体"/>
          <w:b/>
          <w:bCs/>
          <w:kern w:val="0"/>
          <w:sz w:val="24"/>
          <w:highlight w:val="none"/>
        </w:rPr>
        <w:t>（六）河道保洁标准</w:t>
      </w:r>
      <w:r>
        <w:rPr>
          <w:rFonts w:hint="eastAsia" w:ascii="宋体" w:hAnsi="宋体" w:cs="宋体"/>
          <w:b/>
          <w:bCs/>
          <w:sz w:val="24"/>
          <w:highlight w:val="none"/>
        </w:rPr>
        <w:t>、考核办法</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1、保洁服务内容及要求：</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河道保洁分为河面保洁和河岸保洁。总体要求：河面清洁无漂浮物，无杂物，河岸（滩）无垃圾、无污垢、无福寿螺，保持整洁完好。河岸范围为河岸两侧各10米范围保洁、牛皮癣处理、垃圾桶清理维保（有整体绿化外延的保洁范围扩大至整体绿化，具体按红线图为准)。</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1、1做到范围内道路按照“三无”即：无垃圾、无污染物、无乱堆乱放的要求进行全日制保洁、并做好道路两旁有碍观瞻物品的清洁工作。</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1、2做到范围内河道按照“三无”即：无漂浮物、无杂草、两岸河坡无固体废弃物和暴露垃圾，河中无障碍物的的要求进行全日制保洁。</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1、3做好范围内的牛皮癣的清除工作，保证区域内无乱张贴，无乱涂写。</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1、4要求做到范围内（包括道路两侧各一米）全年除草不少于五次，保证无杂草生长。</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1、5生活垃圾等各种垃圾清运要及时、做到日常日销。</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1、6如遇突击检查等事件、需无条件配合社区做到应急保洁工作。</w:t>
      </w:r>
    </w:p>
    <w:p>
      <w:pPr>
        <w:widowControl/>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1、7如未详尽事宜以实际操作情况为准。</w:t>
      </w:r>
    </w:p>
    <w:p>
      <w:pPr>
        <w:adjustRightInd/>
        <w:spacing w:line="600" w:lineRule="exact"/>
        <w:rPr>
          <w:rFonts w:ascii="宋体" w:hAnsi="宋体" w:cs="宋体"/>
          <w:b/>
          <w:bCs/>
          <w:sz w:val="28"/>
          <w:szCs w:val="28"/>
          <w:highlight w:val="none"/>
        </w:rPr>
      </w:pPr>
      <w:r>
        <w:rPr>
          <w:rFonts w:hint="eastAsia" w:ascii="宋体" w:hAnsi="宋体" w:cs="宋体"/>
          <w:b/>
          <w:bCs/>
          <w:sz w:val="28"/>
          <w:szCs w:val="28"/>
          <w:highlight w:val="none"/>
        </w:rPr>
        <w:t xml:space="preserve">   2、考核办法</w:t>
      </w:r>
    </w:p>
    <w:tbl>
      <w:tblPr>
        <w:tblStyle w:val="63"/>
        <w:tblW w:w="4998" w:type="pct"/>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36"/>
        <w:gridCol w:w="6837"/>
        <w:gridCol w:w="1203"/>
        <w:gridCol w:w="4212"/>
        <w:gridCol w:w="11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391" w:type="pct"/>
            <w:tcBorders>
              <w:top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序号</w:t>
            </w:r>
          </w:p>
        </w:tc>
        <w:tc>
          <w:tcPr>
            <w:tcW w:w="2352" w:type="pct"/>
            <w:tcBorders>
              <w:top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考核内容</w:t>
            </w:r>
          </w:p>
        </w:tc>
        <w:tc>
          <w:tcPr>
            <w:tcW w:w="414" w:type="pct"/>
            <w:tcBorders>
              <w:top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基分</w:t>
            </w:r>
          </w:p>
        </w:tc>
        <w:tc>
          <w:tcPr>
            <w:tcW w:w="1449" w:type="pct"/>
            <w:tcBorders>
              <w:top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考核标准</w:t>
            </w:r>
          </w:p>
        </w:tc>
        <w:tc>
          <w:tcPr>
            <w:tcW w:w="391" w:type="pct"/>
            <w:tcBorders>
              <w:top w:val="single" w:color="auto" w:sz="4" w:space="0"/>
            </w:tcBorders>
            <w:vAlign w:val="center"/>
          </w:tcPr>
          <w:p>
            <w:pPr>
              <w:spacing w:line="360" w:lineRule="auto"/>
              <w:jc w:val="center"/>
              <w:rPr>
                <w:rFonts w:ascii="宋体" w:hAnsi="宋体" w:cs="宋体"/>
                <w:b/>
                <w:bCs/>
                <w:highlight w:val="none"/>
              </w:rPr>
            </w:pPr>
            <w:r>
              <w:rPr>
                <w:rFonts w:hint="eastAsia" w:ascii="宋体" w:hAnsi="宋体" w:cs="宋体"/>
                <w:b/>
                <w:bCs/>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遵纪守法、举止文明、行为规范</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6</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如与他人发生争吵或有损河道管理形象的，每起扣1分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1 月一4 月、11 月一12 月每天对河面进行不少于3次保洁，作业时间不少于10 小时（7:00 一17:00 ) ; 5 月一10 月作业时间不少于12 小时（6:00 一18:00）。水面打捞作业时作业人员须穿着救生衣及反光黄背心，各河段作业人员不得擅自离岗，河道保洁现场人员不得少于平均每公里1人，严禁保洁人员酒后进行水面打捞作业</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6</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保洁次数少于3次，保洁人数少于每公里1人；保洁员接到通知后未按时到岗（平时20分钟，迎检期10分钟）；未按规定的每起扣1分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3</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认真做好河道打捞工作，河面无漂浮物、水草、水葫芦、水瓢、树枝杂草等。</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20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每发现一处漂浮物扣1分；发现0.25平方米以上漂浮物聚集物扣2分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4</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河岸两侧各10米范围无垃圾（有整体绿化外延的保洁范围扩大至整体绿化，具体按红线图为准)</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每发现1处较明显垃圾物扣1分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5</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打捞清理出的漂浮物、垃圾和杂草，做到日产日清；不得任意堆放，要求保持环境卫生；保洁完毕后及时照片反馈整改情况。</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未按规定的每起扣2分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6</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及时发现、阻止或报告河道内有违章设置拦河渔具、沉船和其它有碍行洪畅通情况的；及时发现、阻止或报告管理范围内有违章建筑棚建、设立电杆、种植、倾倒垃圾、排放污水、埋设穿堤管道等其他违章情况的</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未按规定的每起扣2分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7</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遇上级检查，应加强巡查和保洁密度，并服从发包单位安排调度，确保无问题</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20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未服从安排的每起扣3分；被区级督察发现保洁问题，一次扣3分；被区级以上督察发现保洁问题，一次扣5分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9</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确保无因保洁不力发生新闻曝光或群众投诉等造成不良影响的事件</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曝光或投诉查实的，一次扣5分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91" w:type="pct"/>
            <w:vAlign w:val="center"/>
          </w:tcPr>
          <w:p>
            <w:pPr>
              <w:spacing w:line="360" w:lineRule="auto"/>
              <w:jc w:val="center"/>
              <w:rPr>
                <w:rFonts w:ascii="宋体" w:hAnsi="宋体" w:cs="宋体"/>
                <w:highlight w:val="none"/>
              </w:rPr>
            </w:pPr>
            <w:r>
              <w:rPr>
                <w:rFonts w:hint="eastAsia" w:ascii="宋体" w:hAnsi="宋体" w:cs="宋体"/>
                <w:highlight w:val="none"/>
              </w:rPr>
              <w:t>10</w:t>
            </w:r>
          </w:p>
        </w:tc>
        <w:tc>
          <w:tcPr>
            <w:tcW w:w="2352" w:type="pct"/>
            <w:vAlign w:val="center"/>
          </w:tcPr>
          <w:p>
            <w:pPr>
              <w:spacing w:line="360" w:lineRule="auto"/>
              <w:jc w:val="left"/>
              <w:rPr>
                <w:rFonts w:ascii="宋体" w:hAnsi="宋体" w:cs="宋体"/>
                <w:highlight w:val="none"/>
              </w:rPr>
            </w:pPr>
            <w:r>
              <w:rPr>
                <w:rFonts w:hint="eastAsia" w:ascii="宋体" w:hAnsi="宋体" w:cs="宋体"/>
                <w:highlight w:val="none"/>
              </w:rPr>
              <w:t>建立河道保洁养护日志台帐</w:t>
            </w:r>
          </w:p>
        </w:tc>
        <w:tc>
          <w:tcPr>
            <w:tcW w:w="414" w:type="pct"/>
            <w:vAlign w:val="center"/>
          </w:tcPr>
          <w:p>
            <w:pPr>
              <w:spacing w:line="360" w:lineRule="auto"/>
              <w:jc w:val="center"/>
              <w:rPr>
                <w:rFonts w:ascii="宋体" w:hAnsi="宋体" w:cs="宋体"/>
                <w:highlight w:val="none"/>
              </w:rPr>
            </w:pPr>
            <w:r>
              <w:rPr>
                <w:rFonts w:hint="eastAsia" w:ascii="宋体" w:hAnsi="宋体" w:cs="宋体"/>
                <w:highlight w:val="none"/>
              </w:rPr>
              <w:t>8</w:t>
            </w:r>
          </w:p>
        </w:tc>
        <w:tc>
          <w:tcPr>
            <w:tcW w:w="1449" w:type="pct"/>
            <w:vAlign w:val="center"/>
          </w:tcPr>
          <w:p>
            <w:pPr>
              <w:spacing w:line="360" w:lineRule="auto"/>
              <w:jc w:val="left"/>
              <w:rPr>
                <w:rFonts w:ascii="宋体" w:hAnsi="宋体" w:cs="宋体"/>
                <w:highlight w:val="none"/>
              </w:rPr>
            </w:pPr>
            <w:r>
              <w:rPr>
                <w:rFonts w:hint="eastAsia" w:ascii="宋体" w:hAnsi="宋体" w:cs="宋体"/>
                <w:highlight w:val="none"/>
              </w:rPr>
              <w:t>要求记录每天保洁情况，包括船只安排、天气、劳力安排、漂浮物处理及其他相关情况。台账不完整的扣分2分</w:t>
            </w:r>
          </w:p>
        </w:tc>
        <w:tc>
          <w:tcPr>
            <w:tcW w:w="391" w:type="pct"/>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391" w:type="pct"/>
            <w:tcBorders>
              <w:bottom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合计</w:t>
            </w:r>
          </w:p>
        </w:tc>
        <w:tc>
          <w:tcPr>
            <w:tcW w:w="2352" w:type="pct"/>
            <w:tcBorders>
              <w:bottom w:val="single" w:color="auto" w:sz="4" w:space="0"/>
            </w:tcBorders>
            <w:vAlign w:val="center"/>
          </w:tcPr>
          <w:p>
            <w:pPr>
              <w:spacing w:line="360" w:lineRule="auto"/>
              <w:jc w:val="left"/>
              <w:rPr>
                <w:rFonts w:ascii="宋体" w:hAnsi="宋体" w:cs="宋体"/>
                <w:highlight w:val="none"/>
              </w:rPr>
            </w:pPr>
          </w:p>
        </w:tc>
        <w:tc>
          <w:tcPr>
            <w:tcW w:w="414" w:type="pct"/>
            <w:tcBorders>
              <w:bottom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100</w:t>
            </w:r>
          </w:p>
        </w:tc>
        <w:tc>
          <w:tcPr>
            <w:tcW w:w="1449" w:type="pct"/>
            <w:tcBorders>
              <w:bottom w:val="single" w:color="auto" w:sz="4" w:space="0"/>
            </w:tcBorders>
            <w:vAlign w:val="center"/>
          </w:tcPr>
          <w:p>
            <w:pPr>
              <w:spacing w:line="360" w:lineRule="auto"/>
              <w:jc w:val="left"/>
              <w:rPr>
                <w:rFonts w:ascii="宋体" w:hAnsi="宋体" w:cs="宋体"/>
                <w:highlight w:val="none"/>
              </w:rPr>
            </w:pPr>
          </w:p>
        </w:tc>
        <w:tc>
          <w:tcPr>
            <w:tcW w:w="391" w:type="pct"/>
            <w:tcBorders>
              <w:bottom w:val="single" w:color="auto" w:sz="4" w:space="0"/>
            </w:tcBorders>
            <w:vAlign w:val="center"/>
          </w:tcPr>
          <w:p>
            <w:pPr>
              <w:spacing w:line="360" w:lineRule="auto"/>
              <w:jc w:val="center"/>
              <w:rPr>
                <w:rFonts w:ascii="宋体" w:hAnsi="宋体" w:cs="宋体"/>
                <w:highlight w:val="none"/>
              </w:rPr>
            </w:pPr>
          </w:p>
        </w:tc>
      </w:tr>
    </w:tbl>
    <w:p>
      <w:pPr>
        <w:adjustRightInd/>
        <w:spacing w:line="600" w:lineRule="exact"/>
        <w:rPr>
          <w:rFonts w:ascii="宋体" w:hAnsi="宋体" w:cs="宋体"/>
          <w:b/>
          <w:sz w:val="28"/>
          <w:szCs w:val="28"/>
          <w:highlight w:val="none"/>
        </w:rPr>
      </w:pPr>
      <w:r>
        <w:rPr>
          <w:rFonts w:hint="eastAsia" w:ascii="宋体" w:hAnsi="宋体" w:cs="宋体"/>
          <w:b/>
          <w:sz w:val="28"/>
          <w:szCs w:val="28"/>
          <w:highlight w:val="none"/>
        </w:rPr>
        <w:t>七、服务期</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3年。</w:t>
      </w:r>
    </w:p>
    <w:p>
      <w:pPr>
        <w:adjustRightInd/>
        <w:spacing w:line="600" w:lineRule="exact"/>
        <w:rPr>
          <w:rFonts w:ascii="宋体" w:hAnsi="宋体" w:cs="宋体"/>
          <w:b/>
          <w:sz w:val="28"/>
          <w:szCs w:val="28"/>
          <w:highlight w:val="none"/>
        </w:rPr>
      </w:pPr>
      <w:r>
        <w:rPr>
          <w:rFonts w:hint="eastAsia" w:ascii="宋体" w:hAnsi="宋体" w:cs="宋体"/>
          <w:b/>
          <w:sz w:val="28"/>
          <w:szCs w:val="28"/>
          <w:highlight w:val="none"/>
        </w:rPr>
        <w:t>八、绿化养护更新改造费、市政修复支付及结算方式</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绿化养护更新改造费支付方式：工程完工后支付结算价（计算口径套用2018版浙江省现行预算定额及取费规则，最终金额优惠下浮10%）的80%，按改造周期进行结算。剩余20%经审计后30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市政修复费用：每一期市政道路修复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3、若改造工程中涉及到基本审计费，经采购人审核同意后支付。</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4、超出综合养护中的更新改造费以及超出部分审计产生的审计费，由供应商承担。</w:t>
      </w:r>
    </w:p>
    <w:p>
      <w:pPr>
        <w:adjustRightInd/>
        <w:spacing w:line="600" w:lineRule="exact"/>
        <w:rPr>
          <w:rFonts w:ascii="宋体" w:hAnsi="宋体" w:cs="宋体"/>
          <w:b/>
          <w:sz w:val="28"/>
          <w:szCs w:val="28"/>
          <w:highlight w:val="none"/>
        </w:rPr>
      </w:pPr>
      <w:r>
        <w:rPr>
          <w:rFonts w:hint="eastAsia" w:ascii="宋体" w:hAnsi="宋体" w:cs="宋体"/>
          <w:b/>
          <w:sz w:val="28"/>
          <w:szCs w:val="28"/>
          <w:highlight w:val="none"/>
        </w:rPr>
        <w:t>九、</w:t>
      </w:r>
      <w:r>
        <w:rPr>
          <w:rFonts w:hint="eastAsia" w:ascii="宋体" w:hAnsi="宋体" w:cs="宋体"/>
          <w:b/>
          <w:bCs/>
          <w:sz w:val="28"/>
          <w:szCs w:val="28"/>
          <w:highlight w:val="none"/>
        </w:rPr>
        <w:t>付款及扣款方式</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1、甲方对乙方周、月考核扣款（确定为养护范围内发生）：</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①区级件100元一件（含环卫一体化、数字城管、区级行业检查等）</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②市件A类300、B类500、C类800（复核未通过双倍扣款）、如有打分项按1000元一分扣除</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③媒体曝光1000-3000元</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④靓城“红黑榜”及单项通报扣5000元</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⑤区级登报通告后三位（扣10000、8000、6000）</w:t>
      </w:r>
    </w:p>
    <w:p>
      <w:pPr>
        <w:widowControl/>
        <w:snapToGrid w:val="0"/>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2、付款方式：</w:t>
      </w:r>
    </w:p>
    <w:tbl>
      <w:tblPr>
        <w:tblStyle w:val="6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74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vAlign w:val="center"/>
          </w:tcPr>
          <w:p>
            <w:pPr>
              <w:jc w:val="center"/>
              <w:rPr>
                <w:rFonts w:ascii="宋体" w:hAnsi="宋体" w:cs="宋体"/>
                <w:kern w:val="0"/>
                <w:sz w:val="24"/>
                <w:highlight w:val="none"/>
              </w:rPr>
            </w:pPr>
            <w:r>
              <w:rPr>
                <w:rFonts w:hint="eastAsia" w:ascii="宋体" w:hAnsi="宋体" w:cs="宋体"/>
                <w:kern w:val="0"/>
                <w:sz w:val="24"/>
                <w:highlight w:val="none"/>
              </w:rPr>
              <w:t>序号</w:t>
            </w:r>
          </w:p>
        </w:tc>
        <w:tc>
          <w:tcPr>
            <w:tcW w:w="2609" w:type="dxa"/>
            <w:vAlign w:val="center"/>
          </w:tcPr>
          <w:p>
            <w:pPr>
              <w:jc w:val="center"/>
              <w:rPr>
                <w:rFonts w:ascii="宋体" w:hAnsi="宋体" w:cs="宋体"/>
                <w:kern w:val="0"/>
                <w:sz w:val="24"/>
                <w:highlight w:val="none"/>
              </w:rPr>
            </w:pPr>
            <w:r>
              <w:rPr>
                <w:rFonts w:hint="eastAsia" w:ascii="宋体" w:hAnsi="宋体" w:cs="宋体"/>
                <w:kern w:val="0"/>
                <w:sz w:val="24"/>
                <w:highlight w:val="none"/>
              </w:rPr>
              <w:t>付款阶段</w:t>
            </w:r>
          </w:p>
        </w:tc>
        <w:tc>
          <w:tcPr>
            <w:tcW w:w="2742" w:type="dxa"/>
            <w:vAlign w:val="center"/>
          </w:tcPr>
          <w:p>
            <w:pPr>
              <w:jc w:val="center"/>
              <w:rPr>
                <w:rFonts w:ascii="宋体" w:hAnsi="宋体" w:cs="宋体"/>
                <w:kern w:val="0"/>
                <w:sz w:val="24"/>
                <w:highlight w:val="none"/>
              </w:rPr>
            </w:pPr>
            <w:r>
              <w:rPr>
                <w:rFonts w:hint="eastAsia" w:ascii="宋体" w:hAnsi="宋体" w:cs="宋体"/>
                <w:kern w:val="0"/>
                <w:sz w:val="24"/>
                <w:highlight w:val="none"/>
              </w:rPr>
              <w:t>付款时间</w:t>
            </w:r>
          </w:p>
          <w:p>
            <w:pPr>
              <w:jc w:val="center"/>
              <w:rPr>
                <w:rFonts w:ascii="宋体" w:hAnsi="宋体" w:cs="宋体"/>
                <w:kern w:val="0"/>
                <w:sz w:val="24"/>
                <w:highlight w:val="none"/>
              </w:rPr>
            </w:pPr>
            <w:r>
              <w:rPr>
                <w:rFonts w:hint="eastAsia" w:ascii="宋体" w:hAnsi="宋体" w:cs="宋体"/>
                <w:kern w:val="0"/>
                <w:sz w:val="24"/>
                <w:highlight w:val="none"/>
              </w:rPr>
              <w:t>养护企业进场养护</w:t>
            </w:r>
          </w:p>
        </w:tc>
        <w:tc>
          <w:tcPr>
            <w:tcW w:w="2305" w:type="dxa"/>
            <w:vAlign w:val="center"/>
          </w:tcPr>
          <w:p>
            <w:pPr>
              <w:jc w:val="center"/>
              <w:rPr>
                <w:rFonts w:ascii="宋体" w:hAnsi="宋体" w:cs="宋体"/>
                <w:kern w:val="0"/>
                <w:sz w:val="24"/>
                <w:highlight w:val="none"/>
              </w:rPr>
            </w:pPr>
            <w:r>
              <w:rPr>
                <w:rFonts w:hint="eastAsia" w:ascii="宋体" w:hAnsi="宋体" w:cs="宋体"/>
                <w:kern w:val="0"/>
                <w:sz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1</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第一次付款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2022</w:t>
            </w:r>
            <w:r>
              <w:rPr>
                <w:rFonts w:hint="eastAsia" w:ascii="宋体" w:hAnsi="宋体" w:cs="宋体"/>
                <w:kern w:val="0"/>
                <w:sz w:val="24"/>
                <w:szCs w:val="24"/>
                <w:highlight w:val="none"/>
              </w:rPr>
              <w:t>年</w:t>
            </w:r>
            <w:r>
              <w:rPr>
                <w:rFonts w:ascii="宋体" w:hAnsi="宋体" w:cs="宋体"/>
                <w:kern w:val="0"/>
                <w:sz w:val="24"/>
                <w:szCs w:val="24"/>
                <w:highlight w:val="none"/>
              </w:rPr>
              <w:t>7</w:t>
            </w:r>
            <w:r>
              <w:rPr>
                <w:rFonts w:hint="eastAsia" w:ascii="宋体" w:hAnsi="宋体" w:cs="宋体"/>
                <w:kern w:val="0"/>
                <w:sz w:val="24"/>
                <w:szCs w:val="24"/>
                <w:highlight w:val="none"/>
              </w:rPr>
              <w:t>月</w:t>
            </w:r>
            <w:r>
              <w:rPr>
                <w:rFonts w:ascii="宋体" w:hAnsi="宋体" w:cs="宋体"/>
                <w:kern w:val="0"/>
                <w:sz w:val="24"/>
                <w:szCs w:val="24"/>
                <w:highlight w:val="none"/>
              </w:rPr>
              <w:t>-9</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第一年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第二次付款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2022</w:t>
            </w:r>
            <w:r>
              <w:rPr>
                <w:rFonts w:hint="eastAsia" w:ascii="宋体" w:hAnsi="宋体" w:cs="宋体"/>
                <w:kern w:val="0"/>
                <w:sz w:val="24"/>
                <w:szCs w:val="24"/>
                <w:highlight w:val="none"/>
              </w:rPr>
              <w:t>年</w:t>
            </w:r>
            <w:r>
              <w:rPr>
                <w:rFonts w:ascii="宋体" w:hAnsi="宋体" w:cs="宋体"/>
                <w:kern w:val="0"/>
                <w:sz w:val="24"/>
                <w:szCs w:val="24"/>
                <w:highlight w:val="none"/>
              </w:rPr>
              <w:t>10</w:t>
            </w:r>
            <w:r>
              <w:rPr>
                <w:rFonts w:hint="eastAsia" w:ascii="宋体" w:hAnsi="宋体" w:cs="宋体"/>
                <w:kern w:val="0"/>
                <w:sz w:val="24"/>
                <w:szCs w:val="24"/>
                <w:highlight w:val="none"/>
              </w:rPr>
              <w:t>月</w:t>
            </w:r>
            <w:r>
              <w:rPr>
                <w:rFonts w:ascii="宋体" w:hAnsi="宋体" w:cs="宋体"/>
                <w:kern w:val="0"/>
                <w:sz w:val="24"/>
                <w:szCs w:val="24"/>
                <w:highlight w:val="none"/>
              </w:rPr>
              <w:t>-12</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第一年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3</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第三次付款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2023</w:t>
            </w:r>
            <w:r>
              <w:rPr>
                <w:rFonts w:hint="eastAsia" w:ascii="宋体" w:hAnsi="宋体" w:cs="宋体"/>
                <w:kern w:val="0"/>
                <w:sz w:val="24"/>
                <w:szCs w:val="24"/>
                <w:highlight w:val="none"/>
              </w:rPr>
              <w:t>年</w:t>
            </w:r>
            <w:r>
              <w:rPr>
                <w:rFonts w:ascii="宋体" w:hAnsi="宋体" w:cs="宋体"/>
                <w:kern w:val="0"/>
                <w:sz w:val="24"/>
                <w:szCs w:val="24"/>
                <w:highlight w:val="none"/>
              </w:rPr>
              <w:t>1</w:t>
            </w:r>
            <w:r>
              <w:rPr>
                <w:rFonts w:hint="eastAsia" w:ascii="宋体" w:hAnsi="宋体" w:cs="宋体"/>
                <w:kern w:val="0"/>
                <w:sz w:val="24"/>
                <w:szCs w:val="24"/>
                <w:highlight w:val="none"/>
              </w:rPr>
              <w:t>月</w:t>
            </w:r>
            <w:r>
              <w:rPr>
                <w:rFonts w:ascii="宋体" w:hAnsi="宋体" w:cs="宋体"/>
                <w:kern w:val="0"/>
                <w:sz w:val="24"/>
                <w:szCs w:val="24"/>
                <w:highlight w:val="none"/>
              </w:rPr>
              <w:t>-3</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第一年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4</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第四次付款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2023</w:t>
            </w:r>
            <w:r>
              <w:rPr>
                <w:rFonts w:hint="eastAsia" w:ascii="宋体" w:hAnsi="宋体" w:cs="宋体"/>
                <w:kern w:val="0"/>
                <w:sz w:val="24"/>
                <w:szCs w:val="24"/>
                <w:highlight w:val="none"/>
              </w:rPr>
              <w:t>年</w:t>
            </w:r>
            <w:r>
              <w:rPr>
                <w:rFonts w:ascii="宋体" w:hAnsi="宋体" w:cs="宋体"/>
                <w:kern w:val="0"/>
                <w:sz w:val="24"/>
                <w:szCs w:val="24"/>
                <w:highlight w:val="none"/>
              </w:rPr>
              <w:t>4</w:t>
            </w:r>
            <w:r>
              <w:rPr>
                <w:rFonts w:hint="eastAsia" w:ascii="宋体" w:hAnsi="宋体" w:cs="宋体"/>
                <w:kern w:val="0"/>
                <w:sz w:val="24"/>
                <w:szCs w:val="24"/>
                <w:highlight w:val="none"/>
              </w:rPr>
              <w:t>月</w:t>
            </w:r>
            <w:r>
              <w:rPr>
                <w:rFonts w:ascii="宋体" w:hAnsi="宋体" w:cs="宋体"/>
                <w:kern w:val="0"/>
                <w:sz w:val="24"/>
                <w:szCs w:val="24"/>
                <w:highlight w:val="none"/>
              </w:rPr>
              <w:t>-6</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第一年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改造款一年一审计，结清后支付第二年养护款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5</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第五次付款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2023</w:t>
            </w:r>
            <w:r>
              <w:rPr>
                <w:rFonts w:hint="eastAsia" w:ascii="宋体" w:hAnsi="宋体" w:cs="宋体"/>
                <w:kern w:val="0"/>
                <w:sz w:val="24"/>
                <w:szCs w:val="24"/>
                <w:highlight w:val="none"/>
              </w:rPr>
              <w:t>年</w:t>
            </w:r>
            <w:r>
              <w:rPr>
                <w:rFonts w:ascii="宋体" w:hAnsi="宋体" w:cs="宋体"/>
                <w:kern w:val="0"/>
                <w:sz w:val="24"/>
                <w:szCs w:val="24"/>
                <w:highlight w:val="none"/>
              </w:rPr>
              <w:t>7</w:t>
            </w:r>
            <w:r>
              <w:rPr>
                <w:rFonts w:hint="eastAsia" w:ascii="宋体" w:hAnsi="宋体" w:cs="宋体"/>
                <w:kern w:val="0"/>
                <w:sz w:val="24"/>
                <w:szCs w:val="24"/>
                <w:highlight w:val="none"/>
              </w:rPr>
              <w:t>月</w:t>
            </w:r>
            <w:r>
              <w:rPr>
                <w:rFonts w:ascii="宋体" w:hAnsi="宋体" w:cs="宋体"/>
                <w:kern w:val="0"/>
                <w:sz w:val="24"/>
                <w:szCs w:val="24"/>
                <w:highlight w:val="none"/>
              </w:rPr>
              <w:t>-9</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第二年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6</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第六次付款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2023</w:t>
            </w:r>
            <w:r>
              <w:rPr>
                <w:rFonts w:hint="eastAsia" w:ascii="宋体" w:hAnsi="宋体" w:cs="宋体"/>
                <w:kern w:val="0"/>
                <w:sz w:val="24"/>
                <w:szCs w:val="24"/>
                <w:highlight w:val="none"/>
              </w:rPr>
              <w:t>年</w:t>
            </w:r>
            <w:r>
              <w:rPr>
                <w:rFonts w:ascii="宋体" w:hAnsi="宋体" w:cs="宋体"/>
                <w:kern w:val="0"/>
                <w:sz w:val="24"/>
                <w:szCs w:val="24"/>
                <w:highlight w:val="none"/>
              </w:rPr>
              <w:t>10</w:t>
            </w:r>
            <w:r>
              <w:rPr>
                <w:rFonts w:hint="eastAsia" w:ascii="宋体" w:hAnsi="宋体" w:cs="宋体"/>
                <w:kern w:val="0"/>
                <w:sz w:val="24"/>
                <w:szCs w:val="24"/>
                <w:highlight w:val="none"/>
              </w:rPr>
              <w:t>月</w:t>
            </w:r>
            <w:r>
              <w:rPr>
                <w:rFonts w:ascii="宋体" w:hAnsi="宋体" w:cs="宋体"/>
                <w:kern w:val="0"/>
                <w:sz w:val="24"/>
                <w:szCs w:val="24"/>
                <w:highlight w:val="none"/>
              </w:rPr>
              <w:t>-12</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第二年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7</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第七次付款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2024</w:t>
            </w:r>
            <w:r>
              <w:rPr>
                <w:rFonts w:hint="eastAsia" w:ascii="宋体" w:hAnsi="宋体" w:cs="宋体"/>
                <w:kern w:val="0"/>
                <w:sz w:val="24"/>
                <w:szCs w:val="24"/>
                <w:highlight w:val="none"/>
              </w:rPr>
              <w:t>年</w:t>
            </w:r>
            <w:r>
              <w:rPr>
                <w:rFonts w:ascii="宋体" w:hAnsi="宋体" w:cs="宋体"/>
                <w:kern w:val="0"/>
                <w:sz w:val="24"/>
                <w:szCs w:val="24"/>
                <w:highlight w:val="none"/>
              </w:rPr>
              <w:t>1</w:t>
            </w:r>
            <w:r>
              <w:rPr>
                <w:rFonts w:hint="eastAsia" w:ascii="宋体" w:hAnsi="宋体" w:cs="宋体"/>
                <w:kern w:val="0"/>
                <w:sz w:val="24"/>
                <w:szCs w:val="24"/>
                <w:highlight w:val="none"/>
              </w:rPr>
              <w:t>月</w:t>
            </w:r>
            <w:r>
              <w:rPr>
                <w:rFonts w:ascii="宋体" w:hAnsi="宋体" w:cs="宋体"/>
                <w:kern w:val="0"/>
                <w:sz w:val="24"/>
                <w:szCs w:val="24"/>
                <w:highlight w:val="none"/>
              </w:rPr>
              <w:t>-3</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第二年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8</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第八次付款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2024</w:t>
            </w:r>
            <w:r>
              <w:rPr>
                <w:rFonts w:hint="eastAsia" w:ascii="宋体" w:hAnsi="宋体" w:cs="宋体"/>
                <w:kern w:val="0"/>
                <w:sz w:val="24"/>
                <w:szCs w:val="24"/>
                <w:highlight w:val="none"/>
              </w:rPr>
              <w:t>年</w:t>
            </w:r>
            <w:r>
              <w:rPr>
                <w:rFonts w:ascii="宋体" w:hAnsi="宋体" w:cs="宋体"/>
                <w:kern w:val="0"/>
                <w:sz w:val="24"/>
                <w:szCs w:val="24"/>
                <w:highlight w:val="none"/>
              </w:rPr>
              <w:t>4</w:t>
            </w:r>
            <w:r>
              <w:rPr>
                <w:rFonts w:hint="eastAsia" w:ascii="宋体" w:hAnsi="宋体" w:cs="宋体"/>
                <w:kern w:val="0"/>
                <w:sz w:val="24"/>
                <w:szCs w:val="24"/>
                <w:highlight w:val="none"/>
              </w:rPr>
              <w:t>月</w:t>
            </w:r>
            <w:r>
              <w:rPr>
                <w:rFonts w:ascii="宋体" w:hAnsi="宋体" w:cs="宋体"/>
                <w:kern w:val="0"/>
                <w:sz w:val="24"/>
                <w:szCs w:val="24"/>
                <w:highlight w:val="none"/>
              </w:rPr>
              <w:t>-6</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第二年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改造款一年一审计，结清后支付第三年养护款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9</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第九次付款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2024</w:t>
            </w:r>
            <w:r>
              <w:rPr>
                <w:rFonts w:hint="eastAsia" w:ascii="宋体" w:hAnsi="宋体" w:cs="宋体"/>
                <w:kern w:val="0"/>
                <w:sz w:val="24"/>
                <w:szCs w:val="24"/>
                <w:highlight w:val="none"/>
              </w:rPr>
              <w:t>年</w:t>
            </w:r>
            <w:r>
              <w:rPr>
                <w:rFonts w:ascii="宋体" w:hAnsi="宋体" w:cs="宋体"/>
                <w:kern w:val="0"/>
                <w:sz w:val="24"/>
                <w:szCs w:val="24"/>
                <w:highlight w:val="none"/>
              </w:rPr>
              <w:t>7</w:t>
            </w:r>
            <w:r>
              <w:rPr>
                <w:rFonts w:hint="eastAsia" w:ascii="宋体" w:hAnsi="宋体" w:cs="宋体"/>
                <w:kern w:val="0"/>
                <w:sz w:val="24"/>
                <w:szCs w:val="24"/>
                <w:highlight w:val="none"/>
              </w:rPr>
              <w:t>月</w:t>
            </w:r>
            <w:r>
              <w:rPr>
                <w:rFonts w:ascii="宋体" w:hAnsi="宋体" w:cs="宋体"/>
                <w:kern w:val="0"/>
                <w:sz w:val="24"/>
                <w:szCs w:val="24"/>
                <w:highlight w:val="none"/>
              </w:rPr>
              <w:t>-9</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第三年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10</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第十次付款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2024</w:t>
            </w:r>
            <w:r>
              <w:rPr>
                <w:rFonts w:hint="eastAsia" w:ascii="宋体" w:hAnsi="宋体" w:cs="宋体"/>
                <w:kern w:val="0"/>
                <w:sz w:val="24"/>
                <w:szCs w:val="24"/>
                <w:highlight w:val="none"/>
              </w:rPr>
              <w:t>年</w:t>
            </w:r>
            <w:r>
              <w:rPr>
                <w:rFonts w:ascii="宋体" w:hAnsi="宋体" w:cs="宋体"/>
                <w:kern w:val="0"/>
                <w:sz w:val="24"/>
                <w:szCs w:val="24"/>
                <w:highlight w:val="none"/>
              </w:rPr>
              <w:t>10</w:t>
            </w:r>
            <w:r>
              <w:rPr>
                <w:rFonts w:hint="eastAsia" w:ascii="宋体" w:hAnsi="宋体" w:cs="宋体"/>
                <w:kern w:val="0"/>
                <w:sz w:val="24"/>
                <w:szCs w:val="24"/>
                <w:highlight w:val="none"/>
              </w:rPr>
              <w:t>月</w:t>
            </w:r>
            <w:r>
              <w:rPr>
                <w:rFonts w:ascii="宋体" w:hAnsi="宋体" w:cs="宋体"/>
                <w:kern w:val="0"/>
                <w:sz w:val="24"/>
                <w:szCs w:val="24"/>
                <w:highlight w:val="none"/>
              </w:rPr>
              <w:t>-12</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第三年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11</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第十一次付款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2025</w:t>
            </w:r>
            <w:r>
              <w:rPr>
                <w:rFonts w:hint="eastAsia" w:ascii="宋体" w:hAnsi="宋体" w:cs="宋体"/>
                <w:kern w:val="0"/>
                <w:sz w:val="24"/>
                <w:szCs w:val="24"/>
                <w:highlight w:val="none"/>
              </w:rPr>
              <w:t>年</w:t>
            </w:r>
            <w:r>
              <w:rPr>
                <w:rFonts w:ascii="宋体" w:hAnsi="宋体" w:cs="宋体"/>
                <w:kern w:val="0"/>
                <w:sz w:val="24"/>
                <w:szCs w:val="24"/>
                <w:highlight w:val="none"/>
              </w:rPr>
              <w:t>1</w:t>
            </w:r>
            <w:r>
              <w:rPr>
                <w:rFonts w:hint="eastAsia" w:ascii="宋体" w:hAnsi="宋体" w:cs="宋体"/>
                <w:kern w:val="0"/>
                <w:sz w:val="24"/>
                <w:szCs w:val="24"/>
                <w:highlight w:val="none"/>
              </w:rPr>
              <w:t>月</w:t>
            </w:r>
            <w:r>
              <w:rPr>
                <w:rFonts w:ascii="宋体" w:hAnsi="宋体" w:cs="宋体"/>
                <w:kern w:val="0"/>
                <w:sz w:val="24"/>
                <w:szCs w:val="24"/>
                <w:highlight w:val="none"/>
              </w:rPr>
              <w:t>-3</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第三年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12</w:t>
            </w:r>
          </w:p>
        </w:tc>
        <w:tc>
          <w:tcPr>
            <w:tcW w:w="2609"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第十二次付款</w:t>
            </w:r>
          </w:p>
        </w:tc>
        <w:tc>
          <w:tcPr>
            <w:tcW w:w="2742" w:type="dxa"/>
            <w:vAlign w:val="center"/>
          </w:tcPr>
          <w:p>
            <w:pPr>
              <w:spacing w:line="360" w:lineRule="auto"/>
              <w:jc w:val="center"/>
              <w:rPr>
                <w:rFonts w:ascii="宋体" w:hAnsi="宋体" w:cs="宋体"/>
                <w:kern w:val="0"/>
                <w:sz w:val="24"/>
                <w:highlight w:val="none"/>
              </w:rPr>
            </w:pPr>
            <w:r>
              <w:rPr>
                <w:rFonts w:ascii="宋体" w:hAnsi="宋体" w:cs="宋体"/>
                <w:kern w:val="0"/>
                <w:sz w:val="24"/>
                <w:szCs w:val="24"/>
                <w:highlight w:val="none"/>
              </w:rPr>
              <w:t>2025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月</w:t>
            </w:r>
            <w:r>
              <w:rPr>
                <w:rFonts w:ascii="宋体" w:hAnsi="宋体" w:cs="宋体"/>
                <w:kern w:val="0"/>
                <w:sz w:val="24"/>
                <w:szCs w:val="24"/>
                <w:highlight w:val="none"/>
              </w:rPr>
              <w:t>-</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月</w:t>
            </w:r>
          </w:p>
        </w:tc>
        <w:tc>
          <w:tcPr>
            <w:tcW w:w="2305"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第三年</w:t>
            </w:r>
            <w:r>
              <w:rPr>
                <w:rFonts w:ascii="宋体" w:hAnsi="宋体" w:cs="宋体"/>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ascii="宋体" w:hAnsi="宋体" w:cs="宋体"/>
                <w:kern w:val="0"/>
                <w:sz w:val="24"/>
                <w:highlight w:val="none"/>
              </w:rPr>
            </w:pPr>
            <w:r>
              <w:rPr>
                <w:rFonts w:hint="eastAsia" w:ascii="宋体" w:hAnsi="宋体" w:cs="宋体"/>
                <w:kern w:val="0"/>
                <w:sz w:val="24"/>
                <w:szCs w:val="24"/>
                <w:highlight w:val="none"/>
              </w:rPr>
              <w:t>合同到期后，以审计报告支付改造款余款</w:t>
            </w:r>
          </w:p>
        </w:tc>
      </w:tr>
    </w:tbl>
    <w:p>
      <w:pPr>
        <w:adjustRightInd/>
        <w:spacing w:line="600" w:lineRule="exact"/>
        <w:rPr>
          <w:rFonts w:ascii="宋体" w:hAnsi="宋体" w:cs="宋体"/>
          <w:b/>
          <w:bCs/>
          <w:sz w:val="28"/>
          <w:szCs w:val="28"/>
          <w:highlight w:val="none"/>
        </w:rPr>
      </w:pPr>
      <w:r>
        <w:rPr>
          <w:rFonts w:hint="eastAsia" w:ascii="宋体" w:hAnsi="宋体" w:cs="宋体"/>
          <w:b/>
          <w:sz w:val="28"/>
          <w:szCs w:val="28"/>
          <w:highlight w:val="none"/>
        </w:rPr>
        <w:t>十、</w:t>
      </w:r>
      <w:r>
        <w:rPr>
          <w:rFonts w:hint="eastAsia" w:ascii="宋体" w:hAnsi="宋体" w:cs="宋体"/>
          <w:b/>
          <w:bCs/>
          <w:sz w:val="28"/>
          <w:szCs w:val="28"/>
          <w:highlight w:val="none"/>
        </w:rPr>
        <w:t>履约保证金</w:t>
      </w:r>
    </w:p>
    <w:p>
      <w:pPr>
        <w:adjustRightInd/>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在合同签订前，由中标供应商向采购人缴纳中标总额2.5%（</w:t>
      </w:r>
      <w:r>
        <w:rPr>
          <w:rFonts w:hint="eastAsia" w:ascii="宋体" w:hAnsi="宋体" w:cs="宋体"/>
          <w:sz w:val="24"/>
          <w:szCs w:val="20"/>
          <w:highlight w:val="none"/>
        </w:rPr>
        <w:t>采购单位根据杭州市政府采购网公布的供应商履约评价情况减免履约保证金，供应商履约验收评价总分为100分的，采购单位免收履约保证金；评价总分在90分以上的，收取履约保证金为合同金额2%</w:t>
      </w:r>
      <w:r>
        <w:rPr>
          <w:rFonts w:hint="eastAsia" w:ascii="宋体" w:hAnsi="宋体" w:cs="宋体"/>
          <w:kern w:val="0"/>
          <w:sz w:val="24"/>
          <w:highlight w:val="none"/>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ascii="宋体" w:hAnsi="宋体" w:cs="宋体"/>
          <w:b/>
          <w:bCs/>
          <w:sz w:val="28"/>
          <w:szCs w:val="28"/>
          <w:highlight w:val="none"/>
        </w:rPr>
      </w:pPr>
      <w:r>
        <w:rPr>
          <w:rFonts w:hint="eastAsia" w:ascii="宋体" w:hAnsi="宋体" w:cs="宋体"/>
          <w:b/>
          <w:sz w:val="28"/>
          <w:szCs w:val="28"/>
          <w:highlight w:val="none"/>
        </w:rPr>
        <w:t>十一、</w:t>
      </w:r>
      <w:r>
        <w:rPr>
          <w:rFonts w:hint="eastAsia" w:ascii="宋体" w:hAnsi="宋体" w:cs="宋体"/>
          <w:b/>
          <w:bCs/>
          <w:sz w:val="28"/>
          <w:szCs w:val="28"/>
          <w:highlight w:val="none"/>
        </w:rPr>
        <w:t>其他要求</w:t>
      </w:r>
    </w:p>
    <w:p>
      <w:pPr>
        <w:adjustRightInd/>
        <w:spacing w:line="600" w:lineRule="exact"/>
        <w:ind w:firstLine="235" w:firstLineChars="98"/>
        <w:rPr>
          <w:rFonts w:hint="eastAsia" w:ascii="宋体" w:hAnsi="宋体" w:cs="宋体"/>
          <w:kern w:val="0"/>
          <w:sz w:val="24"/>
          <w:highlight w:val="none"/>
        </w:rPr>
      </w:pPr>
      <w:r>
        <w:rPr>
          <w:rFonts w:hint="eastAsia" w:ascii="宋体" w:hAnsi="宋体" w:cs="宋体"/>
          <w:kern w:val="0"/>
          <w:sz w:val="24"/>
          <w:highlight w:val="none"/>
        </w:rPr>
        <w:t>1、供应商中标后15日历天内需在南苑街道、临平街道、东湖街道、乔司街道、临平开发区范围内设置不少于1处固定养护基地，固定基地应包括办公区（≥200平方米）、车辆停放场地（≥1000平方米）、仓库区（≥200平方米）等。</w:t>
      </w:r>
    </w:p>
    <w:p>
      <w:pPr>
        <w:pStyle w:val="2"/>
        <w:ind w:firstLine="240" w:firstLineChars="1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2、乙方在进场养护后1个月内，须向甲方提供一：300套大型乔木快速支撑和300件带扣紧束带，二：毛竹或竹杆500套。以购货发票和甲方入库验收证书为准，否则甲方有权终止合同</w:t>
      </w:r>
    </w:p>
    <w:p>
      <w:pPr>
        <w:adjustRightInd/>
        <w:spacing w:line="600" w:lineRule="exact"/>
        <w:ind w:firstLine="235" w:firstLineChars="98"/>
        <w:rPr>
          <w:rFonts w:ascii="宋体" w:hAnsi="宋体" w:cs="宋体"/>
          <w:kern w:val="0"/>
          <w:sz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highlight w:val="none"/>
        </w:rPr>
        <w:t>、中标供应商所提供资料，经查实为虚假材料的，或经发现中标单位转包给其他企业的，或违规有关养护合同约定的，采购人有权不予签订合同或终止合同。</w:t>
      </w:r>
    </w:p>
    <w:p>
      <w:pPr>
        <w:adjustRightInd/>
        <w:spacing w:line="600" w:lineRule="exact"/>
        <w:ind w:firstLine="354" w:firstLineChars="98"/>
        <w:rPr>
          <w:rFonts w:hint="eastAsia" w:ascii="宋体" w:hAnsi="宋体" w:cs="宋体"/>
          <w:b/>
          <w:sz w:val="36"/>
          <w:szCs w:val="36"/>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600" w:lineRule="exact"/>
        <w:ind w:firstLine="354" w:firstLineChars="98"/>
        <w:jc w:val="center"/>
        <w:rPr>
          <w:rFonts w:ascii="宋体" w:hAnsi="宋体" w:cs="宋体"/>
          <w:b/>
          <w:bCs/>
          <w:sz w:val="28"/>
          <w:szCs w:val="28"/>
          <w:highlight w:val="none"/>
        </w:rPr>
      </w:pPr>
      <w:r>
        <w:rPr>
          <w:rFonts w:hint="eastAsia" w:ascii="宋体" w:hAnsi="宋体" w:cs="宋体"/>
          <w:b/>
          <w:sz w:val="36"/>
          <w:szCs w:val="36"/>
          <w:highlight w:val="none"/>
        </w:rPr>
        <w:t>第四部分</w:t>
      </w:r>
      <w:bookmarkStart w:id="29" w:name="_Toc184310338"/>
      <w:bookmarkEnd w:id="29"/>
      <w:bookmarkStart w:id="30" w:name="_Toc184314434"/>
      <w:bookmarkEnd w:id="30"/>
      <w:bookmarkStart w:id="31" w:name="_Toc184310342"/>
      <w:bookmarkEnd w:id="31"/>
      <w:bookmarkStart w:id="32" w:name="_Toc184314432"/>
      <w:bookmarkEnd w:id="32"/>
      <w:bookmarkStart w:id="33" w:name="_Toc184312114"/>
      <w:bookmarkEnd w:id="33"/>
      <w:bookmarkStart w:id="34" w:name="_Toc184313243"/>
      <w:bookmarkEnd w:id="34"/>
      <w:bookmarkStart w:id="35" w:name="_Toc184312095"/>
      <w:bookmarkEnd w:id="35"/>
      <w:bookmarkStart w:id="36" w:name="_Toc184314474"/>
      <w:bookmarkEnd w:id="36"/>
      <w:bookmarkStart w:id="37" w:name="_Toc184314447"/>
      <w:bookmarkEnd w:id="37"/>
      <w:bookmarkStart w:id="38" w:name="_Toc184314412"/>
      <w:bookmarkEnd w:id="38"/>
      <w:bookmarkStart w:id="39" w:name="_Toc184313241"/>
      <w:bookmarkEnd w:id="39"/>
      <w:bookmarkStart w:id="40" w:name="_Toc184310315"/>
      <w:bookmarkEnd w:id="40"/>
      <w:bookmarkStart w:id="41" w:name="_Toc184308065"/>
      <w:bookmarkEnd w:id="41"/>
      <w:bookmarkStart w:id="42" w:name="_Toc184313300"/>
      <w:bookmarkEnd w:id="42"/>
      <w:bookmarkStart w:id="43" w:name="_Toc184312134"/>
      <w:bookmarkEnd w:id="43"/>
      <w:bookmarkStart w:id="44" w:name="_Toc184308073"/>
      <w:bookmarkEnd w:id="44"/>
      <w:bookmarkStart w:id="45" w:name="_Toc184310301"/>
      <w:bookmarkEnd w:id="45"/>
      <w:bookmarkStart w:id="46" w:name="_Toc184314468"/>
      <w:bookmarkEnd w:id="46"/>
      <w:bookmarkStart w:id="47" w:name="_Toc184310310"/>
      <w:bookmarkEnd w:id="47"/>
      <w:bookmarkStart w:id="48" w:name="_Toc184313262"/>
      <w:bookmarkEnd w:id="48"/>
      <w:bookmarkStart w:id="49" w:name="_Toc184312068"/>
      <w:bookmarkEnd w:id="49"/>
      <w:bookmarkStart w:id="50" w:name="_Toc184312088"/>
      <w:bookmarkEnd w:id="50"/>
      <w:bookmarkStart w:id="51" w:name="_Toc184313246"/>
      <w:bookmarkEnd w:id="51"/>
      <w:bookmarkStart w:id="52" w:name="_Toc184314478"/>
      <w:bookmarkEnd w:id="52"/>
      <w:bookmarkStart w:id="53" w:name="_Toc184313257"/>
      <w:bookmarkEnd w:id="53"/>
      <w:bookmarkStart w:id="54" w:name="_Toc184308047"/>
      <w:bookmarkEnd w:id="54"/>
      <w:bookmarkStart w:id="55" w:name="_Toc184310321"/>
      <w:bookmarkEnd w:id="55"/>
      <w:bookmarkStart w:id="56" w:name="_Toc184314446"/>
      <w:bookmarkEnd w:id="56"/>
      <w:bookmarkStart w:id="57" w:name="_Toc184312121"/>
      <w:bookmarkEnd w:id="57"/>
      <w:bookmarkStart w:id="58" w:name="_Toc184314411"/>
      <w:bookmarkEnd w:id="58"/>
      <w:bookmarkStart w:id="59" w:name="_Toc184308087"/>
      <w:bookmarkEnd w:id="59"/>
      <w:bookmarkStart w:id="60" w:name="_Toc184313253"/>
      <w:bookmarkEnd w:id="60"/>
      <w:bookmarkStart w:id="61" w:name="_Toc184313250"/>
      <w:bookmarkEnd w:id="61"/>
      <w:bookmarkStart w:id="62" w:name="_Toc184314427"/>
      <w:bookmarkEnd w:id="62"/>
      <w:bookmarkStart w:id="63" w:name="_Toc184310325"/>
      <w:bookmarkEnd w:id="63"/>
      <w:bookmarkStart w:id="64" w:name="_Toc184314461"/>
      <w:bookmarkEnd w:id="64"/>
      <w:bookmarkStart w:id="65" w:name="_Toc184308093"/>
      <w:bookmarkEnd w:id="65"/>
      <w:bookmarkStart w:id="66" w:name="_Toc184313273"/>
      <w:bookmarkEnd w:id="66"/>
      <w:bookmarkStart w:id="67" w:name="_Toc184310313"/>
      <w:bookmarkEnd w:id="67"/>
      <w:bookmarkStart w:id="68" w:name="_Toc184310297"/>
      <w:bookmarkEnd w:id="68"/>
      <w:bookmarkStart w:id="69" w:name="_Toc184308077"/>
      <w:bookmarkEnd w:id="69"/>
      <w:bookmarkStart w:id="70" w:name="_Toc184310304"/>
      <w:bookmarkEnd w:id="70"/>
      <w:bookmarkStart w:id="71" w:name="_Toc184310341"/>
      <w:bookmarkEnd w:id="71"/>
      <w:bookmarkStart w:id="72" w:name="_Toc184308103"/>
      <w:bookmarkEnd w:id="72"/>
      <w:bookmarkStart w:id="73" w:name="_Toc184313298"/>
      <w:bookmarkEnd w:id="73"/>
      <w:bookmarkStart w:id="74" w:name="_Toc184312091"/>
      <w:bookmarkEnd w:id="74"/>
      <w:bookmarkStart w:id="75" w:name="_Toc184310333"/>
      <w:bookmarkEnd w:id="75"/>
      <w:bookmarkStart w:id="76" w:name="_Toc184314449"/>
      <w:bookmarkEnd w:id="76"/>
      <w:bookmarkStart w:id="77" w:name="_Toc184314424"/>
      <w:bookmarkEnd w:id="77"/>
      <w:bookmarkStart w:id="78" w:name="_Toc184314467"/>
      <w:bookmarkEnd w:id="78"/>
      <w:bookmarkStart w:id="79" w:name="_Toc184313304"/>
      <w:bookmarkEnd w:id="79"/>
      <w:bookmarkStart w:id="80" w:name="_Toc184314466"/>
      <w:bookmarkEnd w:id="80"/>
      <w:bookmarkStart w:id="81" w:name="_Toc184312132"/>
      <w:bookmarkEnd w:id="81"/>
      <w:bookmarkStart w:id="82" w:name="_Toc184312129"/>
      <w:bookmarkEnd w:id="82"/>
      <w:bookmarkStart w:id="83" w:name="_Toc184314476"/>
      <w:bookmarkEnd w:id="83"/>
      <w:bookmarkStart w:id="84" w:name="_Toc184312127"/>
      <w:bookmarkEnd w:id="84"/>
      <w:bookmarkStart w:id="85" w:name="_Toc184314475"/>
      <w:bookmarkEnd w:id="85"/>
      <w:bookmarkStart w:id="86" w:name="_Toc184310326"/>
      <w:bookmarkEnd w:id="86"/>
      <w:bookmarkStart w:id="87" w:name="_Toc184312103"/>
      <w:bookmarkEnd w:id="87"/>
      <w:bookmarkStart w:id="88" w:name="_Toc184308052"/>
      <w:bookmarkEnd w:id="88"/>
      <w:bookmarkStart w:id="89" w:name="_Toc184314422"/>
      <w:bookmarkEnd w:id="89"/>
      <w:bookmarkStart w:id="90" w:name="_Toc184308088"/>
      <w:bookmarkEnd w:id="90"/>
      <w:bookmarkStart w:id="91" w:name="_Toc184313296"/>
      <w:bookmarkEnd w:id="91"/>
      <w:bookmarkStart w:id="92" w:name="_Toc184314469"/>
      <w:bookmarkEnd w:id="92"/>
      <w:bookmarkStart w:id="93" w:name="_Toc184308094"/>
      <w:bookmarkEnd w:id="93"/>
      <w:bookmarkStart w:id="94" w:name="_Toc184310282"/>
      <w:bookmarkEnd w:id="94"/>
      <w:bookmarkStart w:id="95" w:name="_Toc184308057"/>
      <w:bookmarkEnd w:id="95"/>
      <w:bookmarkStart w:id="96" w:name="_Toc184312112"/>
      <w:bookmarkEnd w:id="96"/>
      <w:bookmarkStart w:id="97" w:name="_Toc184313301"/>
      <w:bookmarkEnd w:id="97"/>
      <w:bookmarkStart w:id="98" w:name="_Toc184314479"/>
      <w:bookmarkEnd w:id="98"/>
      <w:bookmarkStart w:id="99" w:name="_Toc184310327"/>
      <w:bookmarkEnd w:id="99"/>
      <w:bookmarkStart w:id="100" w:name="_Toc184310293"/>
      <w:bookmarkEnd w:id="100"/>
      <w:bookmarkStart w:id="101" w:name="_Toc184308050"/>
      <w:bookmarkEnd w:id="101"/>
      <w:bookmarkStart w:id="102" w:name="_Toc184308049"/>
      <w:bookmarkEnd w:id="102"/>
      <w:bookmarkStart w:id="103" w:name="_Toc184310295"/>
      <w:bookmarkEnd w:id="103"/>
      <w:bookmarkStart w:id="104" w:name="_Toc184313287"/>
      <w:bookmarkEnd w:id="104"/>
      <w:bookmarkStart w:id="105" w:name="_Toc184314477"/>
      <w:bookmarkEnd w:id="105"/>
      <w:bookmarkStart w:id="106" w:name="_Toc184314464"/>
      <w:bookmarkEnd w:id="106"/>
      <w:bookmarkStart w:id="107" w:name="_Toc184313254"/>
      <w:bookmarkEnd w:id="107"/>
      <w:bookmarkStart w:id="108" w:name="_Toc184312080"/>
      <w:bookmarkEnd w:id="108"/>
      <w:bookmarkStart w:id="109" w:name="_Toc184312089"/>
      <w:bookmarkEnd w:id="109"/>
      <w:bookmarkStart w:id="110" w:name="_Toc184308055"/>
      <w:bookmarkEnd w:id="110"/>
      <w:bookmarkStart w:id="111" w:name="_Toc184310287"/>
      <w:bookmarkEnd w:id="111"/>
      <w:bookmarkStart w:id="112" w:name="_Toc184308085"/>
      <w:bookmarkEnd w:id="112"/>
      <w:bookmarkStart w:id="113" w:name="_Toc184314473"/>
      <w:bookmarkEnd w:id="113"/>
      <w:bookmarkStart w:id="114" w:name="_Toc184310311"/>
      <w:bookmarkEnd w:id="114"/>
      <w:bookmarkStart w:id="115" w:name="_Toc184313283"/>
      <w:bookmarkEnd w:id="115"/>
      <w:bookmarkStart w:id="116" w:name="_Toc184314462"/>
      <w:bookmarkEnd w:id="116"/>
      <w:bookmarkStart w:id="117" w:name="_Toc184313302"/>
      <w:bookmarkEnd w:id="117"/>
      <w:bookmarkStart w:id="118" w:name="_Toc184310300"/>
      <w:bookmarkEnd w:id="118"/>
      <w:bookmarkStart w:id="119" w:name="_Toc184313248"/>
      <w:bookmarkEnd w:id="119"/>
      <w:bookmarkStart w:id="120" w:name="_Toc184313284"/>
      <w:bookmarkEnd w:id="120"/>
      <w:bookmarkStart w:id="121" w:name="_Toc184312136"/>
      <w:bookmarkEnd w:id="121"/>
      <w:bookmarkStart w:id="122" w:name="_Toc184312101"/>
      <w:bookmarkEnd w:id="122"/>
      <w:bookmarkStart w:id="123" w:name="_Toc184313270"/>
      <w:bookmarkEnd w:id="123"/>
      <w:bookmarkStart w:id="124" w:name="_Toc184310305"/>
      <w:bookmarkEnd w:id="124"/>
      <w:bookmarkStart w:id="125" w:name="_Toc184313242"/>
      <w:bookmarkEnd w:id="125"/>
      <w:bookmarkStart w:id="126" w:name="_Toc184313275"/>
      <w:bookmarkEnd w:id="126"/>
      <w:bookmarkStart w:id="127" w:name="_Toc184314423"/>
      <w:bookmarkEnd w:id="127"/>
      <w:bookmarkStart w:id="128" w:name="_Toc184308096"/>
      <w:bookmarkEnd w:id="128"/>
      <w:bookmarkStart w:id="129" w:name="_Toc184308060"/>
      <w:bookmarkEnd w:id="129"/>
      <w:bookmarkStart w:id="130" w:name="_Toc184308039"/>
      <w:bookmarkEnd w:id="130"/>
      <w:bookmarkStart w:id="131" w:name="_Toc184314439"/>
      <w:bookmarkEnd w:id="131"/>
      <w:bookmarkStart w:id="132" w:name="_Toc184313291"/>
      <w:bookmarkEnd w:id="132"/>
      <w:bookmarkStart w:id="133" w:name="_Toc184308048"/>
      <w:bookmarkEnd w:id="133"/>
      <w:bookmarkStart w:id="134" w:name="_Toc184312071"/>
      <w:bookmarkEnd w:id="134"/>
      <w:bookmarkStart w:id="135" w:name="_Toc184314413"/>
      <w:bookmarkEnd w:id="135"/>
      <w:bookmarkStart w:id="136" w:name="_Toc184313277"/>
      <w:bookmarkEnd w:id="136"/>
      <w:bookmarkStart w:id="137" w:name="_Toc184310344"/>
      <w:bookmarkEnd w:id="137"/>
      <w:bookmarkStart w:id="138" w:name="_Toc184313252"/>
      <w:bookmarkEnd w:id="138"/>
      <w:bookmarkStart w:id="139" w:name="_Toc184313272"/>
      <w:bookmarkEnd w:id="139"/>
      <w:bookmarkStart w:id="140" w:name="_Toc184313255"/>
      <w:bookmarkEnd w:id="140"/>
      <w:bookmarkStart w:id="141" w:name="_Toc184314458"/>
      <w:bookmarkEnd w:id="141"/>
      <w:bookmarkStart w:id="142" w:name="_Toc184308042"/>
      <w:bookmarkEnd w:id="142"/>
      <w:bookmarkStart w:id="143" w:name="_Toc184313276"/>
      <w:bookmarkEnd w:id="143"/>
      <w:bookmarkStart w:id="144" w:name="_Toc184314450"/>
      <w:bookmarkEnd w:id="144"/>
      <w:bookmarkStart w:id="145" w:name="_Toc184312085"/>
      <w:bookmarkEnd w:id="145"/>
      <w:bookmarkStart w:id="146" w:name="_Toc184314471"/>
      <w:bookmarkEnd w:id="146"/>
      <w:bookmarkStart w:id="147" w:name="_Toc184313306"/>
      <w:bookmarkEnd w:id="147"/>
      <w:bookmarkStart w:id="148" w:name="_Toc184310288"/>
      <w:bookmarkEnd w:id="148"/>
      <w:bookmarkStart w:id="149" w:name="_Toc184308059"/>
      <w:bookmarkEnd w:id="149"/>
      <w:bookmarkStart w:id="150" w:name="_Toc184312069"/>
      <w:bookmarkEnd w:id="150"/>
      <w:bookmarkStart w:id="151" w:name="_Toc184313268"/>
      <w:bookmarkEnd w:id="151"/>
      <w:bookmarkStart w:id="152" w:name="_Toc184308054"/>
      <w:bookmarkEnd w:id="152"/>
      <w:bookmarkStart w:id="153" w:name="_Toc184308083"/>
      <w:bookmarkEnd w:id="153"/>
      <w:bookmarkStart w:id="154" w:name="_Toc184310336"/>
      <w:bookmarkEnd w:id="154"/>
      <w:bookmarkStart w:id="155" w:name="_Toc184314437"/>
      <w:bookmarkEnd w:id="155"/>
      <w:bookmarkStart w:id="156" w:name="_Toc184312110"/>
      <w:bookmarkEnd w:id="156"/>
      <w:bookmarkStart w:id="157" w:name="_Toc184308069"/>
      <w:bookmarkEnd w:id="157"/>
      <w:bookmarkStart w:id="158" w:name="_Toc184308101"/>
      <w:bookmarkEnd w:id="158"/>
      <w:bookmarkStart w:id="159" w:name="_Toc184313278"/>
      <w:bookmarkEnd w:id="159"/>
      <w:bookmarkStart w:id="160" w:name="_Toc184312090"/>
      <w:bookmarkEnd w:id="160"/>
      <w:bookmarkStart w:id="161" w:name="_Toc184312072"/>
      <w:bookmarkEnd w:id="161"/>
      <w:bookmarkStart w:id="162" w:name="_Toc184313309"/>
      <w:bookmarkEnd w:id="162"/>
      <w:bookmarkStart w:id="163" w:name="_Toc184308082"/>
      <w:bookmarkEnd w:id="163"/>
      <w:bookmarkStart w:id="164" w:name="_Toc184308063"/>
      <w:bookmarkEnd w:id="164"/>
      <w:bookmarkStart w:id="165" w:name="_Toc184308036"/>
      <w:bookmarkEnd w:id="165"/>
      <w:bookmarkStart w:id="166" w:name="_Toc184310299"/>
      <w:bookmarkEnd w:id="166"/>
      <w:bookmarkStart w:id="167" w:name="_Toc184313281"/>
      <w:bookmarkEnd w:id="167"/>
      <w:bookmarkStart w:id="168" w:name="_Toc184310286"/>
      <w:bookmarkEnd w:id="168"/>
      <w:bookmarkStart w:id="169" w:name="_Toc184310320"/>
      <w:bookmarkEnd w:id="169"/>
      <w:bookmarkStart w:id="170" w:name="_Toc184310296"/>
      <w:bookmarkEnd w:id="170"/>
      <w:bookmarkStart w:id="171" w:name="_Toc184312093"/>
      <w:bookmarkEnd w:id="171"/>
      <w:bookmarkStart w:id="172" w:name="_Toc184310302"/>
      <w:bookmarkEnd w:id="172"/>
      <w:bookmarkStart w:id="173" w:name="_Toc184312125"/>
      <w:bookmarkEnd w:id="173"/>
      <w:bookmarkStart w:id="174" w:name="_Toc184313265"/>
      <w:bookmarkEnd w:id="174"/>
      <w:bookmarkStart w:id="175" w:name="_Toc184308056"/>
      <w:bookmarkEnd w:id="175"/>
      <w:bookmarkStart w:id="176" w:name="_Toc184312105"/>
      <w:bookmarkEnd w:id="176"/>
      <w:bookmarkStart w:id="177" w:name="_Toc184308078"/>
      <w:bookmarkEnd w:id="177"/>
      <w:bookmarkStart w:id="178" w:name="_Toc184312116"/>
      <w:bookmarkEnd w:id="178"/>
      <w:bookmarkStart w:id="179" w:name="_Toc184310289"/>
      <w:bookmarkEnd w:id="179"/>
      <w:bookmarkStart w:id="180" w:name="_Toc184312067"/>
      <w:bookmarkEnd w:id="180"/>
      <w:bookmarkStart w:id="181" w:name="_Toc184314451"/>
      <w:bookmarkEnd w:id="181"/>
      <w:bookmarkStart w:id="182" w:name="_Toc184310294"/>
      <w:bookmarkEnd w:id="182"/>
      <w:bookmarkStart w:id="183" w:name="_Toc184308045"/>
      <w:bookmarkEnd w:id="183"/>
      <w:bookmarkStart w:id="184" w:name="_Toc184314435"/>
      <w:bookmarkEnd w:id="184"/>
      <w:bookmarkStart w:id="185" w:name="_Toc184314428"/>
      <w:bookmarkEnd w:id="185"/>
      <w:bookmarkStart w:id="186" w:name="_Toc184314480"/>
      <w:bookmarkEnd w:id="186"/>
      <w:bookmarkStart w:id="187" w:name="_Toc184313290"/>
      <w:bookmarkEnd w:id="187"/>
      <w:bookmarkStart w:id="188" w:name="_Toc184310308"/>
      <w:bookmarkEnd w:id="188"/>
      <w:bookmarkStart w:id="189" w:name="_Toc184313267"/>
      <w:bookmarkEnd w:id="189"/>
      <w:bookmarkStart w:id="190" w:name="_Toc184313280"/>
      <w:bookmarkEnd w:id="190"/>
      <w:bookmarkStart w:id="191" w:name="_Toc184312107"/>
      <w:bookmarkEnd w:id="191"/>
      <w:bookmarkStart w:id="192" w:name="_Toc184312098"/>
      <w:bookmarkEnd w:id="192"/>
      <w:bookmarkStart w:id="193" w:name="_Toc184314457"/>
      <w:bookmarkEnd w:id="193"/>
      <w:bookmarkStart w:id="194" w:name="_Toc184308074"/>
      <w:bookmarkEnd w:id="194"/>
      <w:bookmarkStart w:id="195" w:name="_Toc184310335"/>
      <w:bookmarkEnd w:id="195"/>
      <w:bookmarkStart w:id="196" w:name="_Toc184314443"/>
      <w:bookmarkEnd w:id="196"/>
      <w:bookmarkStart w:id="197" w:name="_Toc184312100"/>
      <w:bookmarkEnd w:id="197"/>
      <w:bookmarkStart w:id="198" w:name="_Toc184312083"/>
      <w:bookmarkEnd w:id="198"/>
      <w:bookmarkStart w:id="199" w:name="_Toc184308097"/>
      <w:bookmarkEnd w:id="199"/>
      <w:bookmarkStart w:id="200" w:name="_Toc184314417"/>
      <w:bookmarkEnd w:id="200"/>
      <w:bookmarkStart w:id="201" w:name="_Toc184313260"/>
      <w:bookmarkEnd w:id="201"/>
      <w:bookmarkStart w:id="202" w:name="_Toc184312137"/>
      <w:bookmarkEnd w:id="202"/>
      <w:bookmarkStart w:id="203" w:name="_Toc184310279"/>
      <w:bookmarkEnd w:id="203"/>
      <w:bookmarkStart w:id="204" w:name="_Toc184312120"/>
      <w:bookmarkEnd w:id="204"/>
      <w:bookmarkStart w:id="205" w:name="_Toc184310330"/>
      <w:bookmarkEnd w:id="205"/>
      <w:bookmarkStart w:id="206" w:name="_Toc184310290"/>
      <w:bookmarkEnd w:id="206"/>
      <w:bookmarkStart w:id="207" w:name="_Toc184314418"/>
      <w:bookmarkEnd w:id="207"/>
      <w:bookmarkStart w:id="208" w:name="_Toc184310314"/>
      <w:bookmarkEnd w:id="208"/>
      <w:bookmarkStart w:id="209" w:name="_Toc184308091"/>
      <w:bookmarkEnd w:id="209"/>
      <w:bookmarkStart w:id="210" w:name="_Toc184313244"/>
      <w:bookmarkEnd w:id="210"/>
      <w:bookmarkStart w:id="211" w:name="_Toc184312084"/>
      <w:bookmarkEnd w:id="211"/>
      <w:bookmarkStart w:id="212" w:name="_Toc184312128"/>
      <w:bookmarkEnd w:id="212"/>
      <w:bookmarkStart w:id="213" w:name="_Toc184313256"/>
      <w:bookmarkEnd w:id="213"/>
      <w:bookmarkStart w:id="214" w:name="_Toc184314463"/>
      <w:bookmarkEnd w:id="214"/>
      <w:bookmarkStart w:id="215" w:name="_Toc184313288"/>
      <w:bookmarkEnd w:id="215"/>
      <w:bookmarkStart w:id="216" w:name="_Toc184314452"/>
      <w:bookmarkEnd w:id="216"/>
      <w:bookmarkStart w:id="217" w:name="_Toc184313286"/>
      <w:bookmarkEnd w:id="217"/>
      <w:bookmarkStart w:id="218" w:name="_Toc184312087"/>
      <w:bookmarkEnd w:id="218"/>
      <w:bookmarkStart w:id="219" w:name="_Toc184313299"/>
      <w:bookmarkEnd w:id="219"/>
      <w:bookmarkStart w:id="220" w:name="_Toc184312122"/>
      <w:bookmarkEnd w:id="220"/>
      <w:bookmarkStart w:id="221" w:name="_Toc184312106"/>
      <w:bookmarkEnd w:id="221"/>
      <w:bookmarkStart w:id="222" w:name="_Toc184312130"/>
      <w:bookmarkEnd w:id="222"/>
      <w:bookmarkStart w:id="223" w:name="_Toc184310334"/>
      <w:bookmarkEnd w:id="223"/>
      <w:bookmarkStart w:id="224" w:name="_Toc184313271"/>
      <w:bookmarkEnd w:id="224"/>
      <w:bookmarkStart w:id="225" w:name="_Toc184308068"/>
      <w:bookmarkEnd w:id="225"/>
      <w:bookmarkStart w:id="226" w:name="_Toc184308043"/>
      <w:bookmarkEnd w:id="226"/>
      <w:bookmarkStart w:id="227" w:name="_Toc184312133"/>
      <w:bookmarkEnd w:id="227"/>
      <w:bookmarkStart w:id="228" w:name="_Toc184313238"/>
      <w:bookmarkEnd w:id="228"/>
      <w:bookmarkStart w:id="229" w:name="_Toc184314415"/>
      <w:bookmarkEnd w:id="229"/>
      <w:bookmarkStart w:id="230" w:name="_Toc184314470"/>
      <w:bookmarkEnd w:id="230"/>
      <w:bookmarkStart w:id="231" w:name="_Toc184312096"/>
      <w:bookmarkEnd w:id="231"/>
      <w:bookmarkStart w:id="232" w:name="_Toc184313261"/>
      <w:bookmarkEnd w:id="232"/>
      <w:bookmarkStart w:id="233" w:name="_Toc184314481"/>
      <w:bookmarkEnd w:id="233"/>
      <w:bookmarkStart w:id="234" w:name="_Toc184310331"/>
      <w:bookmarkEnd w:id="234"/>
      <w:bookmarkStart w:id="235" w:name="_Toc184308095"/>
      <w:bookmarkEnd w:id="235"/>
      <w:bookmarkStart w:id="236" w:name="_Toc184313294"/>
      <w:bookmarkEnd w:id="236"/>
      <w:bookmarkStart w:id="237" w:name="_Toc184308064"/>
      <w:bookmarkEnd w:id="237"/>
      <w:bookmarkStart w:id="238" w:name="_Toc184310291"/>
      <w:bookmarkEnd w:id="238"/>
      <w:bookmarkStart w:id="239" w:name="_Toc184310319"/>
      <w:bookmarkEnd w:id="239"/>
      <w:bookmarkStart w:id="240" w:name="_Toc184310283"/>
      <w:bookmarkEnd w:id="240"/>
      <w:bookmarkStart w:id="241" w:name="_Toc184313259"/>
      <w:bookmarkEnd w:id="241"/>
      <w:bookmarkStart w:id="242" w:name="_Toc184314445"/>
      <w:bookmarkEnd w:id="242"/>
      <w:bookmarkStart w:id="243" w:name="_Toc184310329"/>
      <w:bookmarkEnd w:id="243"/>
      <w:bookmarkStart w:id="244" w:name="_Toc184308098"/>
      <w:bookmarkEnd w:id="244"/>
      <w:bookmarkStart w:id="245" w:name="_Toc184312097"/>
      <w:bookmarkEnd w:id="245"/>
      <w:bookmarkStart w:id="246" w:name="_Toc184308076"/>
      <w:bookmarkEnd w:id="246"/>
      <w:bookmarkStart w:id="247" w:name="_Toc184313305"/>
      <w:bookmarkEnd w:id="247"/>
      <w:bookmarkStart w:id="248" w:name="_Toc184310339"/>
      <w:bookmarkEnd w:id="248"/>
      <w:bookmarkStart w:id="249" w:name="_Toc184310312"/>
      <w:bookmarkEnd w:id="249"/>
      <w:bookmarkStart w:id="250" w:name="_Toc184312073"/>
      <w:bookmarkEnd w:id="250"/>
      <w:bookmarkStart w:id="251" w:name="_Toc184314455"/>
      <w:bookmarkEnd w:id="251"/>
      <w:bookmarkStart w:id="252" w:name="_Toc184313303"/>
      <w:bookmarkEnd w:id="252"/>
      <w:bookmarkStart w:id="253" w:name="_Toc184308046"/>
      <w:bookmarkEnd w:id="253"/>
      <w:bookmarkStart w:id="254" w:name="_Toc184312123"/>
      <w:bookmarkEnd w:id="254"/>
      <w:bookmarkStart w:id="255" w:name="_Toc184313285"/>
      <w:bookmarkEnd w:id="255"/>
      <w:bookmarkStart w:id="256" w:name="_Toc184312113"/>
      <w:bookmarkEnd w:id="256"/>
      <w:bookmarkStart w:id="257" w:name="_Toc184313240"/>
      <w:bookmarkEnd w:id="257"/>
      <w:bookmarkStart w:id="258" w:name="_Toc184312086"/>
      <w:bookmarkEnd w:id="258"/>
      <w:bookmarkStart w:id="259" w:name="_Toc184314453"/>
      <w:bookmarkEnd w:id="259"/>
      <w:bookmarkStart w:id="260" w:name="_Toc184312079"/>
      <w:bookmarkEnd w:id="260"/>
      <w:bookmarkStart w:id="261" w:name="_Toc184310278"/>
      <w:bookmarkEnd w:id="261"/>
      <w:bookmarkStart w:id="262" w:name="_Toc184313308"/>
      <w:bookmarkEnd w:id="262"/>
      <w:bookmarkStart w:id="263" w:name="_Toc184312099"/>
      <w:bookmarkEnd w:id="263"/>
      <w:bookmarkStart w:id="264" w:name="_Toc184314456"/>
      <w:bookmarkEnd w:id="264"/>
      <w:bookmarkStart w:id="265" w:name="_Toc184310343"/>
      <w:bookmarkEnd w:id="265"/>
      <w:bookmarkStart w:id="266" w:name="_Toc184314454"/>
      <w:bookmarkEnd w:id="266"/>
      <w:bookmarkStart w:id="267" w:name="_Toc184312092"/>
      <w:bookmarkEnd w:id="267"/>
      <w:bookmarkStart w:id="268" w:name="_Toc184312081"/>
      <w:bookmarkEnd w:id="268"/>
      <w:bookmarkStart w:id="269" w:name="_Toc184308081"/>
      <w:bookmarkEnd w:id="269"/>
      <w:bookmarkStart w:id="270" w:name="_Toc184313307"/>
      <w:bookmarkEnd w:id="270"/>
      <w:bookmarkStart w:id="271" w:name="_Toc184314459"/>
      <w:bookmarkEnd w:id="271"/>
      <w:bookmarkStart w:id="272" w:name="_Toc184310317"/>
      <w:bookmarkEnd w:id="272"/>
      <w:bookmarkStart w:id="273" w:name="_Toc184313269"/>
      <w:bookmarkEnd w:id="273"/>
      <w:bookmarkStart w:id="274" w:name="_Toc184314482"/>
      <w:bookmarkEnd w:id="274"/>
      <w:bookmarkStart w:id="275" w:name="_Toc184312119"/>
      <w:bookmarkEnd w:id="275"/>
      <w:bookmarkStart w:id="276" w:name="_Toc184313263"/>
      <w:bookmarkEnd w:id="276"/>
      <w:bookmarkStart w:id="277" w:name="_Toc184314416"/>
      <w:bookmarkEnd w:id="277"/>
      <w:bookmarkStart w:id="278" w:name="_Toc184312124"/>
      <w:bookmarkEnd w:id="278"/>
      <w:bookmarkStart w:id="279" w:name="_Toc184313292"/>
      <w:bookmarkEnd w:id="279"/>
      <w:bookmarkStart w:id="280" w:name="_Toc184314420"/>
      <w:bookmarkEnd w:id="280"/>
      <w:bookmarkStart w:id="281" w:name="_Toc184310298"/>
      <w:bookmarkEnd w:id="281"/>
      <w:bookmarkStart w:id="282" w:name="_Toc184313293"/>
      <w:bookmarkEnd w:id="282"/>
      <w:bookmarkStart w:id="283" w:name="_Toc184310275"/>
      <w:bookmarkEnd w:id="283"/>
      <w:bookmarkStart w:id="284" w:name="_Toc184312131"/>
      <w:bookmarkEnd w:id="284"/>
      <w:bookmarkStart w:id="285" w:name="_Toc184314410"/>
      <w:bookmarkEnd w:id="285"/>
      <w:bookmarkStart w:id="286" w:name="_Toc184312135"/>
      <w:bookmarkEnd w:id="286"/>
      <w:bookmarkStart w:id="287" w:name="_Toc184314436"/>
      <w:bookmarkEnd w:id="287"/>
      <w:bookmarkStart w:id="288" w:name="_Toc184314421"/>
      <w:bookmarkEnd w:id="288"/>
      <w:bookmarkStart w:id="289" w:name="_Toc184310309"/>
      <w:bookmarkEnd w:id="289"/>
      <w:bookmarkStart w:id="290" w:name="_Toc184312138"/>
      <w:bookmarkEnd w:id="290"/>
      <w:bookmarkStart w:id="291" w:name="_Toc184313239"/>
      <w:bookmarkEnd w:id="291"/>
      <w:bookmarkStart w:id="292" w:name="_Toc184310281"/>
      <w:bookmarkEnd w:id="292"/>
      <w:bookmarkStart w:id="293" w:name="_Toc184312104"/>
      <w:bookmarkEnd w:id="293"/>
      <w:bookmarkStart w:id="294" w:name="_Toc184308075"/>
      <w:bookmarkEnd w:id="294"/>
      <w:bookmarkStart w:id="295" w:name="_Toc184310280"/>
      <w:bookmarkEnd w:id="295"/>
      <w:bookmarkStart w:id="296" w:name="_Toc184308051"/>
      <w:bookmarkEnd w:id="296"/>
      <w:bookmarkStart w:id="297" w:name="_Toc184313245"/>
      <w:bookmarkEnd w:id="297"/>
      <w:bookmarkStart w:id="298" w:name="_Toc184312082"/>
      <w:bookmarkEnd w:id="298"/>
      <w:bookmarkStart w:id="299" w:name="_Toc184314419"/>
      <w:bookmarkEnd w:id="299"/>
      <w:bookmarkStart w:id="300" w:name="_Toc184313282"/>
      <w:bookmarkEnd w:id="300"/>
      <w:bookmarkStart w:id="301" w:name="_Toc184313258"/>
      <w:bookmarkEnd w:id="301"/>
      <w:bookmarkStart w:id="302" w:name="_Toc184312074"/>
      <w:bookmarkEnd w:id="302"/>
      <w:bookmarkStart w:id="303" w:name="_Toc184308084"/>
      <w:bookmarkEnd w:id="303"/>
      <w:bookmarkStart w:id="304" w:name="_Toc184314430"/>
      <w:bookmarkEnd w:id="304"/>
      <w:bookmarkStart w:id="305" w:name="_Toc184310306"/>
      <w:bookmarkEnd w:id="305"/>
      <w:bookmarkStart w:id="306" w:name="_Toc184314429"/>
      <w:bookmarkEnd w:id="306"/>
      <w:bookmarkStart w:id="307" w:name="_Toc184314444"/>
      <w:bookmarkEnd w:id="307"/>
      <w:bookmarkStart w:id="308" w:name="_Toc184314448"/>
      <w:bookmarkEnd w:id="308"/>
      <w:bookmarkStart w:id="309" w:name="_Toc184314433"/>
      <w:bookmarkEnd w:id="309"/>
      <w:bookmarkStart w:id="310" w:name="_Toc184312070"/>
      <w:bookmarkEnd w:id="310"/>
      <w:bookmarkStart w:id="311" w:name="_Toc184310307"/>
      <w:bookmarkEnd w:id="311"/>
      <w:bookmarkStart w:id="312" w:name="_Toc184314465"/>
      <w:bookmarkEnd w:id="312"/>
      <w:bookmarkStart w:id="313" w:name="_Toc184313289"/>
      <w:bookmarkEnd w:id="313"/>
      <w:bookmarkStart w:id="314" w:name="_Toc184310323"/>
      <w:bookmarkEnd w:id="314"/>
      <w:bookmarkStart w:id="315" w:name="_Toc184313310"/>
      <w:bookmarkEnd w:id="315"/>
      <w:bookmarkStart w:id="316" w:name="_Toc184310337"/>
      <w:bookmarkEnd w:id="316"/>
      <w:bookmarkStart w:id="317" w:name="_Toc184314440"/>
      <w:bookmarkEnd w:id="317"/>
      <w:bookmarkStart w:id="318" w:name="_Toc184314460"/>
      <w:bookmarkEnd w:id="318"/>
      <w:bookmarkStart w:id="319" w:name="_Toc184308053"/>
      <w:bookmarkEnd w:id="319"/>
      <w:bookmarkStart w:id="320" w:name="_Toc184312094"/>
      <w:bookmarkEnd w:id="320"/>
      <w:bookmarkStart w:id="321" w:name="_Toc184310284"/>
      <w:bookmarkEnd w:id="321"/>
      <w:bookmarkStart w:id="322" w:name="_Toc184313279"/>
      <w:bookmarkEnd w:id="322"/>
      <w:bookmarkStart w:id="323" w:name="_Toc184314472"/>
      <w:bookmarkEnd w:id="323"/>
      <w:bookmarkStart w:id="324" w:name="_Toc184308066"/>
      <w:bookmarkEnd w:id="324"/>
      <w:bookmarkStart w:id="325" w:name="_Toc184308041"/>
      <w:bookmarkEnd w:id="325"/>
      <w:bookmarkStart w:id="326" w:name="_Toc184313251"/>
      <w:bookmarkEnd w:id="326"/>
      <w:bookmarkStart w:id="327" w:name="_Toc184314442"/>
      <w:bookmarkEnd w:id="327"/>
      <w:bookmarkStart w:id="328" w:name="_Toc184314441"/>
      <w:bookmarkEnd w:id="328"/>
      <w:bookmarkStart w:id="329" w:name="_Toc184314425"/>
      <w:bookmarkEnd w:id="329"/>
      <w:bookmarkStart w:id="330" w:name="_Toc184313247"/>
      <w:bookmarkEnd w:id="330"/>
      <w:bookmarkStart w:id="331" w:name="_Toc184312077"/>
      <w:bookmarkEnd w:id="331"/>
      <w:bookmarkStart w:id="332" w:name="_Toc184313295"/>
      <w:bookmarkEnd w:id="332"/>
      <w:bookmarkStart w:id="333" w:name="_Toc184313274"/>
      <w:bookmarkEnd w:id="333"/>
      <w:bookmarkStart w:id="334" w:name="_Toc184312075"/>
      <w:bookmarkEnd w:id="334"/>
      <w:bookmarkStart w:id="335" w:name="_Toc184310272"/>
      <w:bookmarkEnd w:id="335"/>
      <w:bookmarkStart w:id="336" w:name="_Toc184312111"/>
      <w:bookmarkEnd w:id="336"/>
      <w:bookmarkStart w:id="337" w:name="_Toc184308072"/>
      <w:bookmarkEnd w:id="337"/>
      <w:bookmarkStart w:id="338" w:name="_Toc184312102"/>
      <w:bookmarkEnd w:id="338"/>
      <w:bookmarkStart w:id="339" w:name="_Toc184310276"/>
      <w:bookmarkEnd w:id="339"/>
      <w:bookmarkStart w:id="340" w:name="_Toc184308100"/>
      <w:bookmarkEnd w:id="340"/>
      <w:bookmarkStart w:id="341" w:name="_Toc184310292"/>
      <w:bookmarkEnd w:id="341"/>
      <w:bookmarkStart w:id="342" w:name="_Toc184308086"/>
      <w:bookmarkEnd w:id="342"/>
      <w:bookmarkStart w:id="343" w:name="_Toc184312115"/>
      <w:bookmarkEnd w:id="343"/>
      <w:bookmarkStart w:id="344" w:name="_Toc184310322"/>
      <w:bookmarkEnd w:id="344"/>
      <w:bookmarkStart w:id="345" w:name="_Toc184310285"/>
      <w:bookmarkEnd w:id="345"/>
      <w:bookmarkStart w:id="346" w:name="_Toc184308107"/>
      <w:bookmarkEnd w:id="346"/>
      <w:bookmarkStart w:id="347" w:name="_Toc184310316"/>
      <w:bookmarkEnd w:id="347"/>
      <w:bookmarkStart w:id="348" w:name="_Toc184313249"/>
      <w:bookmarkEnd w:id="348"/>
      <w:bookmarkStart w:id="349" w:name="_Toc184308108"/>
      <w:bookmarkEnd w:id="349"/>
      <w:bookmarkStart w:id="350" w:name="_Toc184312139"/>
      <w:bookmarkEnd w:id="350"/>
      <w:bookmarkStart w:id="351" w:name="_Toc184312126"/>
      <w:bookmarkEnd w:id="351"/>
      <w:bookmarkStart w:id="352" w:name="_Toc184310274"/>
      <w:bookmarkEnd w:id="352"/>
      <w:bookmarkStart w:id="353" w:name="_Toc184312109"/>
      <w:bookmarkEnd w:id="353"/>
      <w:bookmarkStart w:id="354" w:name="_Toc184308067"/>
      <w:bookmarkEnd w:id="354"/>
      <w:bookmarkStart w:id="355" w:name="_Toc184314438"/>
      <w:bookmarkEnd w:id="355"/>
      <w:bookmarkStart w:id="356" w:name="_Toc184308079"/>
      <w:bookmarkEnd w:id="356"/>
      <w:bookmarkStart w:id="357" w:name="_Toc184313264"/>
      <w:bookmarkEnd w:id="357"/>
      <w:bookmarkStart w:id="358" w:name="_Toc184312117"/>
      <w:bookmarkEnd w:id="358"/>
      <w:bookmarkStart w:id="359" w:name="_Toc184312118"/>
      <w:bookmarkEnd w:id="359"/>
      <w:bookmarkStart w:id="360" w:name="_Toc184312078"/>
      <w:bookmarkEnd w:id="360"/>
      <w:bookmarkStart w:id="361" w:name="_Toc184308080"/>
      <w:bookmarkEnd w:id="361"/>
      <w:bookmarkStart w:id="362" w:name="_Toc184314426"/>
      <w:bookmarkEnd w:id="362"/>
      <w:bookmarkStart w:id="363" w:name="_Toc184310318"/>
      <w:bookmarkEnd w:id="363"/>
      <w:bookmarkStart w:id="364" w:name="_Toc184308062"/>
      <w:bookmarkEnd w:id="364"/>
      <w:bookmarkStart w:id="365" w:name="_Toc184308044"/>
      <w:bookmarkEnd w:id="365"/>
      <w:bookmarkStart w:id="366" w:name="_Toc184310303"/>
      <w:bookmarkEnd w:id="366"/>
      <w:bookmarkStart w:id="367" w:name="_Toc184308102"/>
      <w:bookmarkEnd w:id="367"/>
      <w:bookmarkStart w:id="368" w:name="_Toc184310277"/>
      <w:bookmarkEnd w:id="368"/>
      <w:bookmarkStart w:id="369" w:name="_Toc184314414"/>
      <w:bookmarkEnd w:id="369"/>
      <w:bookmarkStart w:id="370" w:name="_Toc184308106"/>
      <w:bookmarkEnd w:id="370"/>
      <w:bookmarkStart w:id="371" w:name="_Toc184308037"/>
      <w:bookmarkEnd w:id="371"/>
      <w:bookmarkStart w:id="372" w:name="_Toc184310328"/>
      <w:bookmarkEnd w:id="372"/>
      <w:bookmarkStart w:id="373" w:name="_Toc184313297"/>
      <w:bookmarkEnd w:id="373"/>
      <w:bookmarkStart w:id="374" w:name="_Toc184312108"/>
      <w:bookmarkEnd w:id="374"/>
      <w:bookmarkStart w:id="375" w:name="_Toc184308071"/>
      <w:bookmarkEnd w:id="375"/>
      <w:bookmarkStart w:id="376" w:name="_Toc184308061"/>
      <w:bookmarkEnd w:id="376"/>
      <w:bookmarkStart w:id="377" w:name="_Toc184310332"/>
      <w:bookmarkEnd w:id="377"/>
      <w:bookmarkStart w:id="378" w:name="_Toc184314431"/>
      <w:bookmarkEnd w:id="378"/>
      <w:bookmarkStart w:id="379" w:name="_Toc184308105"/>
      <w:bookmarkEnd w:id="379"/>
      <w:bookmarkStart w:id="380" w:name="_Toc184308040"/>
      <w:bookmarkEnd w:id="380"/>
      <w:bookmarkStart w:id="381" w:name="_Toc184310324"/>
      <w:bookmarkEnd w:id="381"/>
      <w:bookmarkStart w:id="382" w:name="_Toc184312076"/>
      <w:bookmarkEnd w:id="382"/>
      <w:bookmarkStart w:id="383" w:name="_Toc184308089"/>
      <w:bookmarkEnd w:id="383"/>
      <w:bookmarkStart w:id="384" w:name="_Toc184313266"/>
      <w:bookmarkEnd w:id="384"/>
      <w:bookmarkStart w:id="385" w:name="_Toc184308070"/>
      <w:bookmarkEnd w:id="385"/>
      <w:bookmarkStart w:id="386" w:name="_Toc184310340"/>
      <w:bookmarkEnd w:id="386"/>
      <w:bookmarkStart w:id="387" w:name="_Toc184308092"/>
      <w:bookmarkEnd w:id="387"/>
      <w:bookmarkStart w:id="388" w:name="_Toc184308104"/>
      <w:bookmarkEnd w:id="388"/>
      <w:bookmarkStart w:id="389" w:name="_Toc184308038"/>
      <w:bookmarkEnd w:id="389"/>
      <w:bookmarkStart w:id="390" w:name="_Toc184308090"/>
      <w:bookmarkEnd w:id="390"/>
      <w:bookmarkStart w:id="391" w:name="_Toc184308058"/>
      <w:bookmarkEnd w:id="391"/>
      <w:bookmarkStart w:id="392" w:name="_Toc184308099"/>
      <w:bookmarkEnd w:id="392"/>
      <w:bookmarkStart w:id="393" w:name="_Toc184310273"/>
      <w:bookmarkEnd w:id="393"/>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031"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2"/>
        <w:gridCol w:w="79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912" w:type="dxa"/>
            <w:vAlign w:val="center"/>
          </w:tcPr>
          <w:p>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902" w:type="dxa"/>
            <w:vAlign w:val="center"/>
          </w:tcPr>
          <w:p>
            <w:pPr>
              <w:spacing w:line="360" w:lineRule="auto"/>
              <w:ind w:firstLine="1560" w:firstLineChars="650"/>
              <w:outlineLvl w:val="0"/>
              <w:rPr>
                <w:rFonts w:ascii="宋体" w:hAnsi="宋体" w:cs="宋体"/>
                <w:bCs/>
                <w:color w:val="auto"/>
                <w:sz w:val="24"/>
                <w:highlight w:val="none"/>
              </w:rPr>
            </w:pPr>
            <w:r>
              <w:rPr>
                <w:rFonts w:hint="eastAsia" w:ascii="宋体" w:hAnsi="宋体" w:cs="宋体"/>
                <w:bCs/>
                <w:color w:val="auto"/>
                <w:sz w:val="24"/>
                <w:highlight w:val="none"/>
              </w:rPr>
              <w:t>评标标准</w:t>
            </w:r>
          </w:p>
        </w:tc>
        <w:tc>
          <w:tcPr>
            <w:tcW w:w="795" w:type="dxa"/>
            <w:vAlign w:val="center"/>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6" w:type="dxa"/>
          </w:tcPr>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1</w:t>
            </w:r>
          </w:p>
        </w:tc>
        <w:tc>
          <w:tcPr>
            <w:tcW w:w="5902"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供应商通过质量管理体系认证、环境管理体系认证、生活垃圾分类服务体系认证的、物业服务体系认证，有一个证书得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分。 </w:t>
            </w:r>
          </w:p>
          <w:p>
            <w:pPr>
              <w:spacing w:line="360" w:lineRule="auto"/>
              <w:outlineLvl w:val="0"/>
              <w:rPr>
                <w:rFonts w:ascii="宋体" w:hAnsi="宋体" w:cs="宋体"/>
                <w:color w:val="auto"/>
                <w:sz w:val="24"/>
                <w:highlight w:val="none"/>
              </w:rPr>
            </w:pPr>
            <w:r>
              <w:rPr>
                <w:rFonts w:hint="eastAsia" w:ascii="宋体" w:hAnsi="宋体" w:cs="宋体"/>
                <w:b/>
                <w:color w:val="auto"/>
                <w:sz w:val="24"/>
                <w:highlight w:val="none"/>
              </w:rPr>
              <w:t>注：投标文件中提供有效期内的证书扫描件及全国认证认可信息公共服务平台网站（http://www.cnca.gov.cn/）查询页面截图，否则不得分。</w:t>
            </w:r>
          </w:p>
        </w:tc>
        <w:tc>
          <w:tcPr>
            <w:tcW w:w="795" w:type="dxa"/>
          </w:tcPr>
          <w:p>
            <w:pPr>
              <w:rPr>
                <w:rFonts w:ascii="宋体" w:hAnsi="宋体" w:cs="宋体"/>
                <w:color w:val="auto"/>
                <w:highlight w:val="none"/>
              </w:rPr>
            </w:pPr>
          </w:p>
          <w:p>
            <w:pPr>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2136" w:type="dxa"/>
            <w:vAlign w:val="center"/>
          </w:tcPr>
          <w:p>
            <w:pPr>
              <w:spacing w:line="360" w:lineRule="auto"/>
              <w:jc w:val="center"/>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2</w:t>
            </w:r>
          </w:p>
        </w:tc>
        <w:tc>
          <w:tcPr>
            <w:tcW w:w="5902"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供应商近三年内（自2019年1月1日起至今，以合同签订时间为准）承接过类似综合养护项目（服务内容须包含市政道路保洁或市政养护或绿化养护的），每提供1个业绩得0.5分，本项最多得1分。</w:t>
            </w:r>
          </w:p>
          <w:p>
            <w:pPr>
              <w:spacing w:line="360" w:lineRule="auto"/>
              <w:outlineLvl w:val="0"/>
              <w:rPr>
                <w:rFonts w:ascii="宋体" w:hAnsi="宋体" w:cs="宋体"/>
                <w:color w:val="auto"/>
                <w:sz w:val="24"/>
                <w:highlight w:val="none"/>
              </w:rPr>
            </w:pPr>
            <w:r>
              <w:rPr>
                <w:rFonts w:hint="eastAsia" w:ascii="宋体" w:hAnsi="宋体" w:cs="宋体"/>
                <w:b/>
                <w:color w:val="auto"/>
                <w:sz w:val="24"/>
                <w:highlight w:val="none"/>
              </w:rPr>
              <w:t>注：投标文件中提供合同扫描件，否则不得分。</w:t>
            </w:r>
          </w:p>
        </w:tc>
        <w:tc>
          <w:tcPr>
            <w:tcW w:w="795" w:type="dxa"/>
          </w:tcPr>
          <w:p>
            <w:pPr>
              <w:rPr>
                <w:rFonts w:ascii="宋体" w:hAnsi="宋体" w:cs="宋体"/>
                <w:color w:val="auto"/>
                <w:highlight w:val="none"/>
              </w:rPr>
            </w:pP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1</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3</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企业荣誉：供应商在2019年1月1日（时间以获奖证书或获奖文件时间为准）以来获行政主管部门养护类（保洁或绿化或市政养护类）荣誉：获得区级及以上绿化养护类或道路保洁类或市政养护类荣誉的每个得1分；本项最多得2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注：同一荣誉计分一次；</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投标文件中提供获奖证书或获奖文件扫描件；</w:t>
            </w:r>
          </w:p>
        </w:tc>
        <w:tc>
          <w:tcPr>
            <w:tcW w:w="795" w:type="dxa"/>
          </w:tcPr>
          <w:p>
            <w:pPr>
              <w:rPr>
                <w:rFonts w:ascii="宋体" w:hAnsi="宋体" w:cs="宋体"/>
                <w:color w:val="auto"/>
                <w:highlight w:val="none"/>
              </w:rPr>
            </w:pP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2</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4</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拟派本项目技术人员力量情况：</w:t>
            </w:r>
          </w:p>
          <w:p>
            <w:pPr>
              <w:spacing w:line="360" w:lineRule="auto"/>
              <w:outlineLvl w:val="0"/>
              <w:rPr>
                <w:rFonts w:ascii="宋体" w:hAnsi="宋体" w:cs="宋体"/>
                <w:bCs/>
                <w:color w:val="auto"/>
                <w:sz w:val="24"/>
                <w:highlight w:val="none"/>
              </w:rPr>
            </w:pPr>
            <w:r>
              <w:rPr>
                <w:rFonts w:hint="eastAsia" w:ascii="宋体" w:hAnsi="宋体" w:cs="宋体"/>
                <w:color w:val="auto"/>
                <w:sz w:val="24"/>
                <w:highlight w:val="none"/>
              </w:rPr>
              <w:t>1）项目负责人：具有中级职称的得1分，具有高级及以上职称证书得</w:t>
            </w:r>
            <w:r>
              <w:rPr>
                <w:rFonts w:ascii="宋体" w:hAnsi="宋体" w:cs="宋体"/>
                <w:color w:val="auto"/>
                <w:sz w:val="24"/>
                <w:highlight w:val="none"/>
              </w:rPr>
              <w:t>3</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2）安全员：具有有效的安全员证证书1名得1分，最高得3分；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3）电工：具有年检有效特种作业操作证的电工，1名（含）以上的得3分；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4）绿化养护负责人：具有园林绿化专业中级及以上职称证书的得</w:t>
            </w:r>
            <w:r>
              <w:rPr>
                <w:rFonts w:ascii="宋体" w:hAnsi="宋体" w:cs="宋体"/>
                <w:color w:val="auto"/>
                <w:sz w:val="24"/>
                <w:highlight w:val="none"/>
              </w:rPr>
              <w:t>3</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b/>
                <w:bCs/>
                <w:color w:val="auto"/>
                <w:sz w:val="24"/>
                <w:highlight w:val="none"/>
              </w:rPr>
              <w:t>投标文件中提供相关证书扫描件及相关人员在供应商单位最近一期社保缴纳证明扫描件；人员不重复计分。</w:t>
            </w:r>
          </w:p>
        </w:tc>
        <w:tc>
          <w:tcPr>
            <w:tcW w:w="795" w:type="dxa"/>
          </w:tcPr>
          <w:p>
            <w:pPr>
              <w:jc w:val="center"/>
              <w:rPr>
                <w:rFonts w:ascii="宋体" w:hAnsi="宋体" w:cs="宋体"/>
                <w:color w:val="auto"/>
                <w:highlight w:val="none"/>
              </w:rPr>
            </w:pPr>
            <w:r>
              <w:rPr>
                <w:rFonts w:ascii="宋体" w:hAnsi="宋体" w:cs="宋体"/>
                <w:color w:val="auto"/>
                <w:highlight w:val="none"/>
              </w:rPr>
              <w:t>12</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5</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拟投入本项目供应商自有车辆情况（一）：</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1、洒水车/清洗车：总质量18吨及以上的洒水车/清洗车每辆得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ascii="宋体" w:hAnsi="宋体" w:cs="宋体"/>
                <w:color w:val="auto"/>
                <w:sz w:val="24"/>
                <w:highlight w:val="none"/>
              </w:rPr>
              <w:t>6</w:t>
            </w:r>
            <w:r>
              <w:rPr>
                <w:rFonts w:hint="eastAsia" w:ascii="宋体" w:hAnsi="宋体" w:cs="宋体"/>
                <w:color w:val="auto"/>
                <w:sz w:val="24"/>
                <w:highlight w:val="none"/>
              </w:rPr>
              <w:t>分；总质量25吨（含）以上的洒水车/清洗车每辆得3分，最多得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分；本项最多得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2、洗扫车/三合一洗扫车：总质量18吨及以上洗扫车/三合一洗扫车每辆得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ascii="宋体" w:hAnsi="宋体" w:cs="宋体"/>
                <w:color w:val="auto"/>
                <w:sz w:val="24"/>
                <w:highlight w:val="none"/>
              </w:rPr>
              <w:t>6</w:t>
            </w:r>
            <w:r>
              <w:rPr>
                <w:rFonts w:hint="eastAsia" w:ascii="宋体" w:hAnsi="宋体" w:cs="宋体"/>
                <w:color w:val="auto"/>
                <w:sz w:val="24"/>
                <w:highlight w:val="none"/>
              </w:rPr>
              <w:t>分；本项最多得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3、多功能抑尘车/雾炮车：总质量18吨（含）以上的每辆得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4、扫路车/机械扫地车：总质量4吨（含）以上8吨以下的纯电动扫路车/机械扫地车每辆得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5、压缩式垃圾车：总质量7吨（含）以上的每辆得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360" w:lineRule="auto"/>
              <w:outlineLvl w:val="0"/>
              <w:rPr>
                <w:rFonts w:ascii="宋体" w:hAnsi="宋体" w:cs="宋体"/>
                <w:b w:val="0"/>
                <w:bCs w:val="0"/>
                <w:color w:val="auto"/>
                <w:sz w:val="24"/>
                <w:highlight w:val="none"/>
              </w:rPr>
            </w:pPr>
            <w:r>
              <w:rPr>
                <w:rFonts w:hint="eastAsia" w:ascii="宋体" w:hAnsi="宋体" w:cs="宋体"/>
                <w:color w:val="auto"/>
                <w:sz w:val="24"/>
                <w:highlight w:val="none"/>
              </w:rPr>
              <w:t>6、具有纯电动路面</w:t>
            </w:r>
            <w:r>
              <w:rPr>
                <w:rFonts w:hint="eastAsia" w:ascii="宋体" w:hAnsi="宋体" w:cs="宋体"/>
                <w:b w:val="0"/>
                <w:bCs w:val="0"/>
                <w:color w:val="auto"/>
                <w:sz w:val="24"/>
                <w:highlight w:val="none"/>
              </w:rPr>
              <w:t>养护车：总质量4吨（含）以上的每辆得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分，最多得</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分。</w:t>
            </w:r>
          </w:p>
          <w:p>
            <w:pPr>
              <w:spacing w:line="360" w:lineRule="auto"/>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szCs w:val="24"/>
                <w:highlight w:val="none"/>
              </w:rPr>
              <w:t>上述</w:t>
            </w:r>
            <w:r>
              <w:rPr>
                <w:rFonts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rPr>
              <w:t>项中，提供的车辆为新能源或天然气车辆达到</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辆及以上的得</w:t>
            </w: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分，本项最高得</w:t>
            </w:r>
            <w:r>
              <w:rPr>
                <w:rFonts w:ascii="宋体" w:hAnsi="宋体" w:cs="宋体"/>
                <w:b w:val="0"/>
                <w:bCs w:val="0"/>
                <w:color w:val="auto"/>
                <w:sz w:val="24"/>
                <w:szCs w:val="24"/>
                <w:highlight w:val="none"/>
              </w:rPr>
              <w:t>4</w:t>
            </w:r>
            <w:r>
              <w:rPr>
                <w:rFonts w:hint="eastAsia" w:ascii="宋体" w:hAnsi="宋体" w:cs="宋体"/>
                <w:b w:val="0"/>
                <w:bCs w:val="0"/>
                <w:color w:val="auto"/>
                <w:sz w:val="24"/>
                <w:szCs w:val="24"/>
                <w:highlight w:val="none"/>
              </w:rPr>
              <w:t>分。</w:t>
            </w:r>
          </w:p>
          <w:p>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投标文件中同时提供车辆行驶证扫描件、购车发票扫描件、车辆登记证扫描件、清晰带有车牌号的正面、45度斜侧面的照片、仅用于本项目的书面承诺书（格式自拟）；缺一不可，否则不得分。</w:t>
            </w:r>
          </w:p>
          <w:p>
            <w:pPr>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lang w:val="en-US" w:eastAsia="zh-CN"/>
              </w:rPr>
              <w:t>2、1-6项车辆必须配备GPS（提供轨迹资料图等类似证明材料）未安装GPS或未提供相关证明材料不得分。</w:t>
            </w:r>
          </w:p>
        </w:tc>
        <w:tc>
          <w:tcPr>
            <w:tcW w:w="795" w:type="dxa"/>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6</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拟投入本项目供应商自有车辆情况（二）及自有设备情况：</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1、登高车：每辆得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2、应急抢险车：每辆得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pStyle w:val="6"/>
              <w:rPr>
                <w:rFonts w:eastAsia="宋体"/>
                <w:b w:val="0"/>
                <w:bCs w:val="0"/>
                <w:color w:val="auto"/>
                <w:highlight w:val="none"/>
                <w:lang w:val="en-US"/>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rPr>
              <w:t>、工程车：具有自卸汽车每辆得</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rPr>
              <w:t>分，最多得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rPr>
              <w:t>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、电动三轮保洁车：8辆及以上得</w:t>
            </w:r>
            <w:r>
              <w:rPr>
                <w:rFonts w:ascii="宋体" w:hAnsi="宋体" w:cs="宋体"/>
                <w:color w:val="auto"/>
                <w:sz w:val="24"/>
                <w:highlight w:val="none"/>
              </w:rPr>
              <w:t>2</w:t>
            </w:r>
            <w:r>
              <w:rPr>
                <w:rFonts w:hint="eastAsia" w:ascii="宋体" w:hAnsi="宋体" w:cs="宋体"/>
                <w:color w:val="auto"/>
                <w:sz w:val="24"/>
                <w:highlight w:val="none"/>
              </w:rPr>
              <w:t>分，否则不得分。</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、电动高压冲洗车：2辆及以上得2分，否则不得分。</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电动护栏清洗车：每辆得2分，最多得2分。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、应急推雪、扫雪设备：滑移装载机（如山猫、凯斯、马斯唐等）、加装式铲雪板、加装式滚雪装置、加装式除雪板、铲车等中大型除雪设备，每个（辆）得2分，最多得2分。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、电动四轮音乐线（六桶车）：每辆得1分，最多得1分。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、电动四轮音乐线（八桶车）：每辆得1分，最多得1分。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、发电机：每台得1分，最多得2分。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、绿化树枝粉碎机 1 台及以上、鼓风机 2 台及以上、绿篱机 3 台及以上、园林高压喷药机2台及以上、割灌机2 台及以上、抽水水泵</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台及以上，全部具备得 2 分，少一台扣0.5分，扣完为止，本项最高 2 分。</w:t>
            </w:r>
          </w:p>
          <w:p>
            <w:pPr>
              <w:spacing w:line="360" w:lineRule="auto"/>
              <w:outlineLvl w:val="0"/>
              <w:rPr>
                <w:rFonts w:ascii="宋体" w:hAnsi="宋体" w:cs="宋体"/>
                <w:color w:val="auto"/>
                <w:sz w:val="24"/>
                <w:highlight w:val="none"/>
              </w:rPr>
            </w:pPr>
            <w:r>
              <w:rPr>
                <w:rFonts w:hint="eastAsia" w:ascii="宋体" w:hAnsi="宋体" w:cs="宋体"/>
                <w:b/>
                <w:color w:val="auto"/>
                <w:sz w:val="24"/>
                <w:highlight w:val="none"/>
              </w:rPr>
              <w:t>注：按国家规定必须上牌的车辆在投标文件中同时提供车辆行驶证扫描件、购车发票扫描件、车辆登记证扫描件、清晰带有车牌号的正面、45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795" w:type="dxa"/>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7</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投标人对现有综合养护现状了解全面、存在问题的分析到位，符合实际，对本项目养护难点、要点等问题进行调查剖析，调查剖析到位、科学得3分，投标人对现有综合养护现状了解较为全面、存在问题的分析较为到位，对本项目养护难点、要点等问题进行调查剖析，调查剖析较为到位、科学得2分，投标人对现有综合养护现状了解一般、存在问题的分析一般，对本项目养护难点、要点等问题进行调查剖析，调查剖析一般得1分，方案不合理或未提供方案不得分。</w:t>
            </w:r>
          </w:p>
        </w:tc>
        <w:tc>
          <w:tcPr>
            <w:tcW w:w="795" w:type="dxa"/>
            <w:vAlign w:val="center"/>
          </w:tcPr>
          <w:p>
            <w:pPr>
              <w:jc w:val="center"/>
              <w:rPr>
                <w:rFonts w:ascii="宋体" w:hAnsi="宋体" w:cs="宋体"/>
                <w:color w:val="auto"/>
                <w:highlight w:val="none"/>
              </w:rPr>
            </w:pPr>
            <w:r>
              <w:rPr>
                <w:rFonts w:hint="eastAsia" w:ascii="宋体" w:hAnsi="宋体" w:cs="宋体"/>
                <w:color w:val="auto"/>
                <w:sz w:val="24"/>
                <w:highlight w:val="none"/>
              </w:rPr>
              <w:t>3</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8</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投标人针对本项目养护内容（道路保洁、绿化养护、市政修复、路灯养护、牛皮癣清理）提出克服难点和要点的技术措施，技术措施、对策科学、合理、可操作性强得3分，投标人针对本项目养护内容（道路保洁、绿化养护、市政修复、路灯养护、牛皮癣清理）提出克服难点和要点的技术措施，技术措施对策较为科学、合理、可操作性较好得2分，投标人针对本项目养护内容（道路保洁、绿化养护、市政修复、路灯养护、牛皮癣清理）提出克服难点和要点的技术措施，技术措施对策科学性、合理性、可操作性一般得1分，方案不合理或未提供方案不得分。</w:t>
            </w:r>
          </w:p>
        </w:tc>
        <w:tc>
          <w:tcPr>
            <w:tcW w:w="795" w:type="dxa"/>
            <w:vAlign w:val="center"/>
          </w:tcPr>
          <w:p>
            <w:pPr>
              <w:jc w:val="center"/>
              <w:rPr>
                <w:rFonts w:ascii="宋体" w:hAnsi="宋体" w:cs="宋体"/>
                <w:color w:val="auto"/>
                <w:highlight w:val="none"/>
              </w:rPr>
            </w:pPr>
            <w:r>
              <w:rPr>
                <w:rFonts w:hint="eastAsia" w:ascii="宋体" w:hAnsi="宋体" w:cs="宋体"/>
                <w:color w:val="auto"/>
                <w:sz w:val="24"/>
                <w:highlight w:val="none"/>
              </w:rPr>
              <w:t>3</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9</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kern w:val="0"/>
                <w:sz w:val="24"/>
                <w:highlight w:val="none"/>
              </w:rPr>
              <w:t>道路保洁组织方案切合本项目采购需求，针对性、操作性强，计划安排科学合理，</w:t>
            </w:r>
            <w:r>
              <w:rPr>
                <w:rFonts w:hint="eastAsia" w:ascii="宋体" w:hAnsi="宋体" w:cs="宋体"/>
                <w:color w:val="auto"/>
                <w:sz w:val="24"/>
                <w:highlight w:val="none"/>
              </w:rPr>
              <w:t>制定垃圾清理、清运工作方案，并承诺在垃圾清理、清运工作中配备垃圾分类巡查员，协助开展垃圾分类相关工作并建立完善的考核机制得3分，</w:t>
            </w:r>
            <w:r>
              <w:rPr>
                <w:rFonts w:hint="eastAsia" w:ascii="宋体" w:hAnsi="宋体" w:cs="宋体"/>
                <w:color w:val="auto"/>
                <w:kern w:val="0"/>
                <w:sz w:val="24"/>
                <w:highlight w:val="none"/>
              </w:rPr>
              <w:t>道路保洁方案较为切合本项目采购需求，针对性、操作性较强，计划安排较为科学合理，</w:t>
            </w:r>
            <w:r>
              <w:rPr>
                <w:rFonts w:hint="eastAsia" w:ascii="宋体" w:hAnsi="宋体" w:cs="宋体"/>
                <w:color w:val="auto"/>
                <w:sz w:val="24"/>
                <w:highlight w:val="none"/>
              </w:rPr>
              <w:t>制定垃圾清理、清运工作方案，并承诺在垃圾清理、清运工作中配备垃圾分类巡查员，协助开展垃圾分类相关工作并建立较为完善的考核机制得2分，</w:t>
            </w:r>
            <w:r>
              <w:rPr>
                <w:rFonts w:hint="eastAsia" w:ascii="宋体" w:hAnsi="宋体" w:cs="宋体"/>
                <w:color w:val="auto"/>
                <w:kern w:val="0"/>
                <w:sz w:val="24"/>
                <w:highlight w:val="none"/>
              </w:rPr>
              <w:t>道路保洁方案与本项目采购需求切合度一般，针对性、操作性一般，计划安排一般，</w:t>
            </w:r>
            <w:r>
              <w:rPr>
                <w:rFonts w:hint="eastAsia" w:ascii="宋体" w:hAnsi="宋体" w:cs="宋体"/>
                <w:color w:val="auto"/>
                <w:sz w:val="24"/>
                <w:highlight w:val="none"/>
              </w:rPr>
              <w:t>制定垃圾清理、清运工作方案，并承诺在垃圾清理、清运工作中配备垃圾分类巡查员，协助开展垃圾分类相关工作并建立完善的考核机制得1分，方案不合理或不承诺在垃圾清理、清运工作中配备垃圾分类巡查员，协助开展垃圾分类相关工作并建立完善的考核机制或未提供方案不得分</w:t>
            </w:r>
            <w:r>
              <w:rPr>
                <w:rFonts w:hint="eastAsia" w:ascii="宋体" w:hAnsi="宋体" w:cs="宋体"/>
                <w:color w:val="auto"/>
                <w:kern w:val="0"/>
                <w:sz w:val="24"/>
                <w:highlight w:val="none"/>
              </w:rPr>
              <w:t>。</w:t>
            </w:r>
          </w:p>
        </w:tc>
        <w:tc>
          <w:tcPr>
            <w:tcW w:w="795" w:type="dxa"/>
            <w:vAlign w:val="center"/>
          </w:tcPr>
          <w:p>
            <w:pPr>
              <w:jc w:val="center"/>
              <w:rPr>
                <w:rFonts w:ascii="宋体" w:hAnsi="宋体" w:cs="宋体"/>
                <w:color w:val="auto"/>
                <w:highlight w:val="none"/>
              </w:rPr>
            </w:pPr>
            <w:r>
              <w:rPr>
                <w:rFonts w:hint="eastAsia" w:ascii="宋体" w:hAnsi="宋体" w:cs="宋体"/>
                <w:color w:val="auto"/>
                <w:sz w:val="24"/>
                <w:highlight w:val="none"/>
              </w:rPr>
              <w:t>3</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10</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得3分，方案针对本项目的实际情况进行具体制定，较为全面、详细、合理，针对性较好得2分，方案与本项目的实际情况针对性一般，重点要点表述一般得1分，方案有缺项或不合理或未提供方案不得分。</w:t>
            </w:r>
          </w:p>
        </w:tc>
        <w:tc>
          <w:tcPr>
            <w:tcW w:w="795" w:type="dxa"/>
            <w:vAlign w:val="center"/>
          </w:tcPr>
          <w:p>
            <w:pPr>
              <w:jc w:val="center"/>
              <w:rPr>
                <w:rFonts w:ascii="宋体" w:hAnsi="宋体" w:cs="宋体"/>
                <w:color w:val="auto"/>
                <w:highlight w:val="none"/>
              </w:rPr>
            </w:pPr>
            <w:r>
              <w:rPr>
                <w:rFonts w:hint="eastAsia" w:ascii="宋体" w:hAnsi="宋体" w:cs="宋体"/>
                <w:color w:val="auto"/>
                <w:sz w:val="24"/>
                <w:highlight w:val="none"/>
              </w:rPr>
              <w:t>3</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2" w:type="dxa"/>
            <w:vAlign w:val="center"/>
          </w:tcPr>
          <w:p>
            <w:pPr>
              <w:spacing w:line="360" w:lineRule="auto"/>
              <w:ind w:firstLine="360" w:firstLineChars="150"/>
              <w:jc w:val="left"/>
              <w:outlineLvl w:val="0"/>
              <w:rPr>
                <w:rFonts w:ascii="宋体" w:hAnsi="宋体" w:cs="宋体"/>
                <w:color w:val="auto"/>
                <w:sz w:val="24"/>
                <w:highlight w:val="none"/>
              </w:rPr>
            </w:pPr>
            <w:r>
              <w:rPr>
                <w:rFonts w:hint="eastAsia" w:ascii="宋体" w:hAnsi="宋体" w:cs="宋体"/>
                <w:color w:val="auto"/>
                <w:sz w:val="24"/>
                <w:highlight w:val="none"/>
              </w:rPr>
              <w:t>11</w:t>
            </w:r>
          </w:p>
        </w:tc>
        <w:tc>
          <w:tcPr>
            <w:tcW w:w="5902" w:type="dxa"/>
            <w:vAlign w:val="center"/>
          </w:tcPr>
          <w:p>
            <w:pPr>
              <w:spacing w:line="360" w:lineRule="auto"/>
              <w:outlineLvl w:val="0"/>
              <w:rPr>
                <w:rFonts w:ascii="宋体" w:hAnsi="宋体" w:cs="宋体"/>
                <w:color w:val="auto"/>
                <w:sz w:val="24"/>
                <w:highlight w:val="none"/>
              </w:rPr>
            </w:pPr>
            <w:r>
              <w:rPr>
                <w:rFonts w:hint="eastAsia" w:ascii="宋体" w:hAnsi="宋体" w:cs="宋体"/>
                <w:color w:val="auto"/>
                <w:kern w:val="0"/>
                <w:sz w:val="24"/>
                <w:highlight w:val="none"/>
              </w:rPr>
              <w:t>有完善的重大活动保障方案，方案科学合理，具有针对性及可操作性，能圆满完成大型活动、节庆假日、创优评优等重大活动保障任务情况的得3分，有较为完善的重大活动保障方案，方案较为科学合理，针对性及可操作性较好，能较为圆满完成大型活动、节庆假日、创优评优等重大活动保障任务情况的得2分，重大活动保障方案一般，针对性及可操作性一般，对大型活动、节庆假日、创优评优等重大活动保障任务保障的可靠性一般得1分。</w:t>
            </w:r>
          </w:p>
        </w:tc>
        <w:tc>
          <w:tcPr>
            <w:tcW w:w="795" w:type="dxa"/>
            <w:vAlign w:val="center"/>
          </w:tcPr>
          <w:p>
            <w:pPr>
              <w:jc w:val="center"/>
              <w:rPr>
                <w:rFonts w:ascii="宋体" w:hAnsi="宋体" w:cs="宋体"/>
                <w:color w:val="auto"/>
                <w:highlight w:val="none"/>
              </w:rPr>
            </w:pPr>
            <w:r>
              <w:rPr>
                <w:rFonts w:hint="eastAsia" w:ascii="宋体" w:hAnsi="宋体" w:cs="宋体"/>
                <w:color w:val="auto"/>
                <w:sz w:val="24"/>
                <w:highlight w:val="none"/>
              </w:rPr>
              <w:t>3</w:t>
            </w:r>
          </w:p>
        </w:tc>
        <w:tc>
          <w:tcPr>
            <w:tcW w:w="2136" w:type="dxa"/>
          </w:tcPr>
          <w:p>
            <w:pPr>
              <w:spacing w:line="360" w:lineRule="auto"/>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912" w:type="dxa"/>
            <w:vAlign w:val="center"/>
          </w:tcPr>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12</w:t>
            </w:r>
          </w:p>
        </w:tc>
        <w:tc>
          <w:tcPr>
            <w:tcW w:w="5902" w:type="dxa"/>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795" w:type="dxa"/>
            <w:vAlign w:val="center"/>
          </w:tcPr>
          <w:p>
            <w:pPr>
              <w:spacing w:line="360" w:lineRule="auto"/>
              <w:ind w:firstLine="120" w:firstLineChars="50"/>
              <w:outlineLvl w:val="0"/>
              <w:rPr>
                <w:rFonts w:ascii="宋体" w:hAnsi="宋体" w:cs="宋体"/>
                <w:color w:val="auto"/>
                <w:sz w:val="24"/>
                <w:highlight w:val="none"/>
              </w:rPr>
            </w:pPr>
            <w:r>
              <w:rPr>
                <w:rFonts w:hint="eastAsia" w:ascii="宋体" w:hAnsi="宋体" w:cs="宋体"/>
                <w:color w:val="auto"/>
                <w:sz w:val="24"/>
                <w:highlight w:val="none"/>
              </w:rPr>
              <w:t>10</w:t>
            </w:r>
          </w:p>
        </w:tc>
        <w:tc>
          <w:tcPr>
            <w:tcW w:w="2136" w:type="dxa"/>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r>
        <w:rPr>
          <w:rFonts w:hint="eastAsia" w:ascii="宋体" w:hAnsi="宋体" w:cs="宋体"/>
          <w:b/>
          <w:kern w:val="0"/>
          <w:sz w:val="24"/>
          <w:highlight w:val="none"/>
        </w:rPr>
        <w:t>（评标委员会各成员评分的算术平均值，保留两位小数，后一位四舍五入）</w:t>
      </w:r>
      <w:r>
        <w:rPr>
          <w:rFonts w:hint="eastAsia" w:ascii="宋体" w:hAnsi="宋体" w:cs="宋体"/>
          <w:kern w:val="0"/>
          <w:sz w:val="24"/>
          <w:highlight w:val="none"/>
        </w:rPr>
        <w:t>。</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电子交易平台客户端里开标一览表录入的投标报价信息与扫描上传的报价文件不一致的，以扫描上传的报价文件中的报价为准。</w:t>
      </w:r>
    </w:p>
    <w:p>
      <w:pPr>
        <w:pStyle w:val="8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8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有下列情况之一的，投标无效：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4.2.12投标人仅提交备份投标文件，没有在电子交易平台传输递交投标文件的，投标无效；</w:t>
      </w:r>
    </w:p>
    <w:p>
      <w:pPr>
        <w:pStyle w:val="6"/>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6"/>
        <w:snapToGrid w:val="0"/>
        <w:spacing w:line="360" w:lineRule="auto"/>
        <w:rPr>
          <w:rFonts w:cs="宋体"/>
          <w:highlight w:val="none"/>
        </w:rPr>
      </w:pPr>
      <w:r>
        <w:rPr>
          <w:rFonts w:hint="eastAsia" w:cs="宋体"/>
          <w:highlight w:val="none"/>
        </w:rPr>
        <w:t>5.2出现影响采购公正的违法、违规行为的；</w:t>
      </w:r>
    </w:p>
    <w:p>
      <w:pPr>
        <w:pStyle w:val="26"/>
        <w:snapToGrid w:val="0"/>
        <w:spacing w:line="360" w:lineRule="auto"/>
        <w:rPr>
          <w:rFonts w:cs="宋体"/>
          <w:highlight w:val="none"/>
        </w:rPr>
      </w:pPr>
      <w:r>
        <w:rPr>
          <w:rFonts w:hint="eastAsia" w:cs="宋体"/>
          <w:highlight w:val="none"/>
        </w:rPr>
        <w:t>5.3投标人的报价均超过了采购预算，采购人不能支付的；</w:t>
      </w:r>
    </w:p>
    <w:p>
      <w:pPr>
        <w:pStyle w:val="26"/>
        <w:snapToGrid w:val="0"/>
        <w:spacing w:line="360" w:lineRule="auto"/>
        <w:rPr>
          <w:rFonts w:cs="宋体"/>
          <w:highlight w:val="none"/>
        </w:rPr>
      </w:pPr>
      <w:r>
        <w:rPr>
          <w:rFonts w:hint="eastAsia" w:cs="宋体"/>
          <w:highlight w:val="none"/>
        </w:rPr>
        <w:t>5.4因重大变故，采购任务取消的。</w:t>
      </w:r>
    </w:p>
    <w:p>
      <w:pPr>
        <w:pStyle w:val="26"/>
        <w:snapToGrid w:val="0"/>
        <w:spacing w:line="360" w:lineRule="auto"/>
        <w:rPr>
          <w:rFonts w:cs="宋体"/>
          <w:highlight w:val="none"/>
        </w:rPr>
      </w:pPr>
      <w:r>
        <w:rPr>
          <w:rFonts w:hint="eastAsia" w:cs="宋体"/>
          <w:highlight w:val="none"/>
        </w:rPr>
        <w:t>废标后，采购机构应当将废标理由通知所有投标人。</w:t>
      </w:r>
    </w:p>
    <w:p>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highlight w:val="none"/>
        </w:rPr>
      </w:pPr>
      <w:r>
        <w:rPr>
          <w:rFonts w:hint="eastAsia" w:cs="宋体"/>
          <w:highlight w:val="none"/>
        </w:rPr>
        <w:t>7.1未确定中标或者中标人的，终止本次政府采购活动，重新开展政府采购活动。</w:t>
      </w:r>
    </w:p>
    <w:p>
      <w:pPr>
        <w:pStyle w:val="26"/>
        <w:snapToGrid w:val="0"/>
        <w:spacing w:line="360" w:lineRule="auto"/>
        <w:ind w:firstLine="600" w:firstLineChars="250"/>
        <w:rPr>
          <w:rFonts w:cs="宋体"/>
          <w:highlight w:val="none"/>
        </w:rPr>
      </w:pPr>
      <w:r>
        <w:rPr>
          <w:rFonts w:hint="eastAsia"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highlight w:val="none"/>
        </w:rPr>
      </w:pPr>
      <w:r>
        <w:rPr>
          <w:rFonts w:hint="eastAsia" w:cs="宋体"/>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6"/>
        <w:snapToGrid w:val="0"/>
        <w:spacing w:line="360" w:lineRule="auto"/>
        <w:rPr>
          <w:rFonts w:cs="宋体"/>
          <w:highlight w:val="none"/>
        </w:rPr>
      </w:pPr>
      <w:r>
        <w:rPr>
          <w:rFonts w:hint="eastAsia" w:cs="宋体"/>
          <w:highlight w:val="none"/>
        </w:rPr>
        <w:t>7.5政府采购当事人有其他违反政府采购法</w:t>
      </w:r>
      <w:r>
        <w:rPr>
          <w:rFonts w:hint="eastAsia" w:cs="宋体"/>
          <w:kern w:val="0"/>
          <w:highlight w:val="none"/>
        </w:rPr>
        <w:t>或者政府采购法实施条例等法律法规规定</w:t>
      </w:r>
      <w:r>
        <w:rPr>
          <w:rFonts w:hint="eastAsia" w:cs="宋体"/>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cs="宋体"/>
          <w:highlight w:val="none"/>
        </w:rPr>
      </w:pPr>
    </w:p>
    <w:bookmarkEnd w:id="25"/>
    <w:p>
      <w:pPr>
        <w:spacing w:line="360" w:lineRule="auto"/>
        <w:ind w:left="720" w:leftChars="343" w:firstLine="1084" w:firstLineChars="300"/>
        <w:outlineLvl w:val="0"/>
        <w:rPr>
          <w:rFonts w:ascii="宋体" w:hAnsi="宋体" w:cs="宋体"/>
          <w:b/>
          <w:sz w:val="36"/>
          <w:szCs w:val="36"/>
          <w:highlight w:val="none"/>
        </w:rPr>
      </w:pPr>
      <w:bookmarkStart w:id="394" w:name="_Toc86217003"/>
      <w:bookmarkStart w:id="395" w:name="第五部分"/>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第五部分拟签订的合同文本</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jc w:val="center"/>
        <w:rPr>
          <w:rFonts w:ascii="宋体" w:hAnsi="宋体" w:cs="宋体"/>
          <w:sz w:val="24"/>
          <w:highlight w:val="none"/>
        </w:rPr>
      </w:pPr>
      <w:r>
        <w:rPr>
          <w:rFonts w:hint="eastAsia" w:ascii="宋体" w:hAnsi="宋体" w:cs="宋体"/>
          <w:sz w:val="24"/>
          <w:highlight w:val="none"/>
        </w:rPr>
        <w:t>第一部分合同书</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项目名称：</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甲方：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乙方：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签订地：</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签订日期：年月日</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年月日，（政府采购方式）  对  </w:t>
      </w:r>
      <w:r>
        <w:rPr>
          <w:rFonts w:hint="eastAsia" w:ascii="宋体" w:hAnsi="宋体" w:cs="宋体"/>
          <w:sz w:val="24"/>
          <w:highlight w:val="none"/>
          <w:u w:val="single"/>
        </w:rPr>
        <w:t xml:space="preserve"> （同前页项目名称）</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 xml:space="preserve"> 评定</w:t>
      </w:r>
      <w:r>
        <w:rPr>
          <w:rFonts w:hint="eastAsia" w:ascii="宋体" w:hAnsi="宋体" w:cs="宋体"/>
          <w:sz w:val="24"/>
          <w:highlight w:val="none"/>
          <w:u w:val="single"/>
        </w:rPr>
        <w:t>，   （中标供应商名称）</w:t>
      </w:r>
      <w:r>
        <w:rPr>
          <w:rFonts w:hint="eastAsia" w:ascii="宋体" w:hAnsi="宋体" w:cs="宋体"/>
          <w:sz w:val="24"/>
          <w:highlight w:val="none"/>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根据《中华人民共和国民法典》、《中华人民共和国政府采购法》等相关法律法规之规定，按照平等、自愿、公平、诚实信用和绿色的原则，经(以下简称：甲方)和 </w:t>
      </w:r>
      <w:r>
        <w:rPr>
          <w:rFonts w:hint="eastAsia" w:ascii="宋体" w:hAnsi="宋体" w:cs="宋体"/>
          <w:sz w:val="24"/>
          <w:highlight w:val="none"/>
          <w:u w:val="single"/>
        </w:rPr>
        <w:t xml:space="preserve">  （中标供应商名称）  </w:t>
      </w:r>
      <w:r>
        <w:rPr>
          <w:rFonts w:hint="eastAsia" w:ascii="宋体" w:hAnsi="宋体" w:cs="宋体"/>
          <w:sz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 合同组成部分</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1.1.2 中标通知书；</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1.1.5 其他相关招标文件。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1.2 标的</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1.2.1 标的名称：；</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1.2.2 标的数量：；</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1.2.3 标的质量：</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1.3 价款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本合同总价为：￥元（大写：元人民币）。</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分项价格： </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Ansi="宋体" w:cs="宋体"/>
                <w:kern w:val="2"/>
                <w:sz w:val="24"/>
                <w:szCs w:val="24"/>
                <w:highlight w:val="none"/>
              </w:rPr>
            </w:pPr>
            <w:r>
              <w:rPr>
                <w:rFonts w:hint="eastAsia" w:hAnsi="宋体" w:cs="宋体"/>
                <w:kern w:val="2"/>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kern w:val="2"/>
                <w:sz w:val="24"/>
                <w:szCs w:val="24"/>
                <w:highlight w:val="none"/>
              </w:rPr>
            </w:pPr>
            <w:r>
              <w:rPr>
                <w:rFonts w:hint="eastAsia" w:hAnsi="宋体" w:cs="宋体"/>
                <w:kern w:val="2"/>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Ansi="宋体" w:cs="宋体"/>
                <w:kern w:val="2"/>
                <w:sz w:val="24"/>
                <w:szCs w:val="24"/>
                <w:highlight w:val="none"/>
              </w:rPr>
            </w:pPr>
            <w:r>
              <w:rPr>
                <w:rFonts w:hint="eastAsia" w:hAnsi="宋体" w:cs="宋体"/>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r>
              <w:rPr>
                <w:rFonts w:hint="eastAsia" w:hAnsi="宋体" w:cs="宋体"/>
                <w:kern w:val="2"/>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Ansi="宋体" w:cs="宋体"/>
                <w:sz w:val="24"/>
                <w:szCs w:val="24"/>
                <w:highlight w:val="none"/>
              </w:rPr>
            </w:pPr>
          </w:p>
        </w:tc>
      </w:tr>
    </w:tbl>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 付款方式、时间和条件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1.4.4资金支付的方式、时间和条件详见合同专用条款。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1.5 服务期限、地点和方式</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1.5.1 服务期限：详见合同专用条款；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1.5.2 服务地点：合同专用条款；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1.5.3 服务方式：合同专用条款。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 违约责任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1.6.7违约责任合同专用条款另有约定的，从其约定。</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1.7 合同争议的解决</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1.7.2 向合同专用条款人民法院起诉。</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1.8 合同生效</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本合同自双方当事人盖章或者签字时生效。</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甲方：      乙方：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统一社会信用代码：统一社会信用代码或身份证号码：</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住所：住所：</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法定代表人或法定代表人</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授权代表（签字）：                        或授权代表（签字）: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联系人：联系人：</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约定送达地址：约定送达地址：</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邮政编码：邮政编码：</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电话:                                    电话: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传真:                                    传真:</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电子邮箱：电子邮箱：</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开户名称：                               开户名称：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开户账号：开户账号：</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2" w:firstLineChars="200"/>
        <w:jc w:val="center"/>
        <w:rPr>
          <w:rFonts w:ascii="宋体" w:hAnsi="宋体" w:cs="宋体"/>
          <w:b/>
          <w:sz w:val="24"/>
          <w:highlight w:val="none"/>
        </w:rPr>
      </w:pPr>
      <w:r>
        <w:rPr>
          <w:rFonts w:hint="eastAsia" w:ascii="宋体" w:hAnsi="宋体" w:cs="宋体"/>
          <w:b/>
          <w:sz w:val="24"/>
          <w:highlight w:val="none"/>
        </w:rPr>
        <w:t>第二部分合同一般条款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 定义</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2.1.6 “现场”系指合同约定提供服务的地点。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2.2 技术规范</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2.3 知识产权</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2.3.2具有知识产权的计算机软件等标的的知识产权归属，详见合同专用条款。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2.4履约检查和问题反馈</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2.5技术资料和保密义务</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2.5.2 乙方有义务妥善保管和保护由甲方提供的前款信息和资料等；</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2.6质量保证</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2.7延迟履行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2.8合同变更</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2.9合同转让和分包</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2.9.2乙方采取分包方式履行合同的，甲方可直接向分包供应商支付款项。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2.10不可抗力</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2.10.2 因不可抗力致使不能实现合同目的的，当事人可以解除合同；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2.11税费</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2.12乙方破产</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2.13合同中止、终止</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2.13.1 双方当事人不得擅自中止或者终止合同；</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2.14检验和验收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2.15通知和送达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2.16合同使用的文字和适用的法律</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2.16.1 合同使用汉语书就、变更和解释；</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2.16.2 合同适用中华人民共和国法律。</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2.17履约保证金</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2.19合同份数</w:t>
      </w: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合同份数按合同专用条款规定，每份均具有同等法律效力。</w:t>
      </w: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2" w:firstLineChars="200"/>
        <w:jc w:val="center"/>
        <w:rPr>
          <w:rFonts w:ascii="宋体" w:hAnsi="宋体" w:cs="宋体"/>
          <w:b/>
          <w:sz w:val="24"/>
          <w:highlight w:val="none"/>
        </w:rPr>
      </w:pPr>
      <w:r>
        <w:rPr>
          <w:rFonts w:hint="eastAsia" w:ascii="宋体" w:hAnsi="宋体" w:cs="宋体"/>
          <w:b/>
          <w:sz w:val="24"/>
          <w:highlight w:val="none"/>
        </w:rPr>
        <w:t>第三部分合同专用条款</w:t>
      </w:r>
    </w:p>
    <w:p>
      <w:pPr>
        <w:pStyle w:val="385"/>
        <w:spacing w:line="560" w:lineRule="exact"/>
        <w:ind w:firstLine="482"/>
        <w:jc w:val="center"/>
        <w:rPr>
          <w:rFonts w:ascii="宋体" w:hAnsi="宋体" w:cs="宋体"/>
          <w:b/>
          <w:szCs w:val="24"/>
          <w:highlight w:val="none"/>
        </w:rPr>
      </w:pPr>
      <w:r>
        <w:rPr>
          <w:rFonts w:hint="eastAsia" w:ascii="宋体" w:hAnsi="宋体" w:cs="宋体"/>
          <w:b/>
          <w:szCs w:val="24"/>
          <w:highlight w:val="none"/>
        </w:rPr>
        <w:t>第三部分合同专用条款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2.4.1</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8275" w:type="dxa"/>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2.12.4</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2.20.1</w:t>
            </w:r>
          </w:p>
        </w:tc>
        <w:tc>
          <w:tcPr>
            <w:tcW w:w="8275" w:type="dxa"/>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2.20.2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2.22</w:t>
            </w:r>
          </w:p>
        </w:tc>
        <w:tc>
          <w:tcPr>
            <w:tcW w:w="8275" w:type="dxa"/>
            <w:vAlign w:val="center"/>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宋体" w:hAnsi="宋体" w:cs="宋体"/>
          <w:sz w:val="24"/>
          <w:highlight w:val="none"/>
        </w:rPr>
      </w:pPr>
    </w:p>
    <w:p>
      <w:pPr>
        <w:pStyle w:val="6"/>
        <w:rPr>
          <w:rFonts w:ascii="宋体" w:hAnsi="宋体" w:eastAsia="宋体" w:cs="宋体"/>
          <w:highlight w:val="none"/>
          <w:lang w:val="en-US"/>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4"/>
      <w:bookmarkEnd w:id="395"/>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（2）落实政府采购政策需满足的资格要求………………………………（页码）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（3）本项目的特定资格要求………………………………………………（页码）</w:t>
      </w:r>
    </w:p>
    <w:p>
      <w:pPr>
        <w:snapToGrid w:val="0"/>
        <w:spacing w:line="360" w:lineRule="auto"/>
        <w:rPr>
          <w:rFonts w:ascii="宋体" w:hAnsi="宋体" w:cs="宋体"/>
          <w:sz w:val="24"/>
          <w:highlight w:val="none"/>
        </w:rPr>
      </w:pPr>
      <w:r>
        <w:rPr>
          <w:rFonts w:hint="eastAsia" w:ascii="宋体" w:hAnsi="宋体" w:cs="宋体"/>
          <w:sz w:val="24"/>
          <w:highlight w:val="none"/>
        </w:rPr>
        <w:t>（4）联合协议（单独投标无需提供）……………………………………（页码）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投标人（或联合体牵头人）名称 (电子签名)：</w:t>
      </w: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三、本项目的特定资格要求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四、联合协议</w:t>
      </w:r>
    </w:p>
    <w:p>
      <w:pPr>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hAnsi="宋体" w:cs="宋体"/>
          <w:sz w:val="24"/>
          <w:highlight w:val="none"/>
          <w:u w:val="single"/>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u w:val="single"/>
        </w:rPr>
        <w:t>【招标编号：】</w:t>
      </w:r>
    </w:p>
    <w:p>
      <w:pPr>
        <w:snapToGrid w:val="0"/>
        <w:spacing w:line="440" w:lineRule="exact"/>
        <w:ind w:left="1740" w:hanging="1740" w:hangingChars="725"/>
        <w:rPr>
          <w:rFonts w:ascii="宋体" w:hAnsi="宋体" w:cs="宋体"/>
          <w:kern w:val="0"/>
          <w:sz w:val="24"/>
          <w:highlight w:val="none"/>
          <w:lang w:val="zh-CN"/>
        </w:rPr>
      </w:pPr>
      <w:r>
        <w:rPr>
          <w:rFonts w:hint="eastAsia" w:ascii="宋体" w:hAnsi="宋体" w:cs="宋体"/>
          <w:kern w:val="0"/>
          <w:sz w:val="24"/>
          <w:highlight w:val="none"/>
          <w:u w:val="single"/>
        </w:rPr>
        <w:t>（项目名称：       ）（标项：      ）</w:t>
      </w:r>
      <w:r>
        <w:rPr>
          <w:rFonts w:hint="eastAsia" w:ascii="宋体" w:hAnsi="宋体" w:cs="宋体"/>
          <w:kern w:val="0"/>
          <w:sz w:val="24"/>
          <w:highlight w:val="none"/>
          <w:lang w:val="zh-CN"/>
        </w:rPr>
        <w:t>投标。</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w:t>
      </w:r>
      <w:r>
        <w:rPr>
          <w:rFonts w:hint="eastAsia" w:ascii="宋体" w:hAnsi="宋体" w:cs="宋体"/>
          <w:kern w:val="0"/>
          <w:sz w:val="24"/>
          <w:highlight w:val="none"/>
          <w:lang w:val="zh-CN"/>
        </w:rPr>
        <w:t>承担的工作和义务为： ；</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w:t>
      </w:r>
      <w:r>
        <w:rPr>
          <w:rFonts w:hint="eastAsia" w:ascii="宋体" w:hAnsi="宋体" w:cs="宋体"/>
          <w:kern w:val="0"/>
          <w:sz w:val="24"/>
          <w:highlight w:val="none"/>
          <w:lang w:val="zh-CN"/>
        </w:rPr>
        <w:t>承担的工作和义务为：……。</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四、</w:t>
      </w: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宋体" w:hAnsi="宋体" w:cs="宋体"/>
          <w:kern w:val="0"/>
          <w:sz w:val="24"/>
          <w:highlight w:val="none"/>
          <w:lang w:val="zh-CN"/>
        </w:rPr>
      </w:pP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联合体牵头人名称(电子签名/公章)：</w:t>
      </w: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44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jc w:val="center"/>
        <w:outlineLvl w:val="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hint="eastAsia" w:ascii="宋体" w:hAnsi="宋体" w:cs="宋体"/>
          <w:b/>
          <w:kern w:val="0"/>
          <w:sz w:val="36"/>
          <w:szCs w:val="36"/>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（3）联合协议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（4）分包意向协议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（5）符合性审查资料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（6）评标标准相应的商务技术资料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（7）商务技术偏离表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2.1.3本项目的特定资格要求（如果有）。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2.1.4联合协议（如果有）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投标人（或联合体牵头人）名称 (电子签名)：</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lang w:val="zh-CN"/>
        </w:rPr>
      </w:pPr>
    </w:p>
    <w:p>
      <w:pPr>
        <w:snapToGrid w:val="0"/>
        <w:spacing w:line="360" w:lineRule="auto"/>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hint="eastAsia" w:ascii="宋体" w:hAnsi="宋体" w:cs="宋体"/>
          <w:b/>
          <w:kern w:val="0"/>
          <w:sz w:val="32"/>
          <w:szCs w:val="32"/>
          <w:highlight w:val="none"/>
          <w:lang w:val="zh-CN"/>
        </w:rPr>
      </w:pPr>
    </w:p>
    <w:p>
      <w:pPr>
        <w:jc w:val="center"/>
        <w:rPr>
          <w:rFonts w:hint="eastAsia" w:ascii="宋体" w:hAnsi="宋体" w:cs="宋体"/>
          <w:b/>
          <w:kern w:val="0"/>
          <w:sz w:val="32"/>
          <w:szCs w:val="32"/>
          <w:highlight w:val="none"/>
          <w:lang w:val="zh-CN"/>
        </w:rPr>
      </w:pPr>
    </w:p>
    <w:p>
      <w:pPr>
        <w:jc w:val="center"/>
        <w:rPr>
          <w:rFonts w:hint="eastAsia"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联合体成员名称(电子签名或公章)：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联合体成员名称(电子签名或公章)：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87"/>
        <w:spacing w:line="360" w:lineRule="auto"/>
        <w:rPr>
          <w:rFonts w:hAnsi="宋体" w:cs="宋体"/>
          <w:bCs/>
          <w:sz w:val="24"/>
          <w:highlight w:val="none"/>
        </w:rPr>
      </w:pPr>
      <w:r>
        <w:rPr>
          <w:rFonts w:hint="eastAsia" w:hAnsi="宋体" w:cs="宋体"/>
          <w:bCs/>
          <w:sz w:val="24"/>
          <w:highlight w:val="none"/>
        </w:rPr>
        <w:t>身份证件扫描件：（联合体投标的，提供联合体牵头人相关证明即可）</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hAnsi="宋体" w:cs="宋体"/>
                <w:bCs/>
                <w:sz w:val="24"/>
                <w:highlight w:val="none"/>
              </w:rPr>
            </w:pPr>
            <w:r>
              <w:rPr>
                <w:rFonts w:hint="eastAsia" w:hAnsi="宋体" w:cs="宋体"/>
                <w:bCs/>
                <w:sz w:val="24"/>
                <w:highlight w:val="none"/>
              </w:rPr>
              <w:t>正面：反面：</w:t>
            </w:r>
          </w:p>
          <w:p>
            <w:pPr>
              <w:pStyle w:val="87"/>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 xml:space="preserve">投标人（或联合体牵头人）名称 (电子签名)：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rPr>
        <w:t>三、</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kern w:val="0"/>
          <w:sz w:val="32"/>
          <w:szCs w:val="32"/>
          <w:highlight w:val="none"/>
          <w:lang w:val="zh-CN"/>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hAnsi="宋体" w:cs="宋体"/>
          <w:sz w:val="24"/>
          <w:highlight w:val="none"/>
          <w:u w:val="single"/>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u w:val="single"/>
        </w:rPr>
        <w:t>【招标编号：】</w:t>
      </w:r>
    </w:p>
    <w:p>
      <w:pPr>
        <w:snapToGrid w:val="0"/>
        <w:spacing w:line="440" w:lineRule="exact"/>
        <w:ind w:left="1740" w:hanging="1740" w:hangingChars="725"/>
        <w:rPr>
          <w:rFonts w:ascii="宋体" w:hAnsi="宋体" w:cs="宋体"/>
          <w:kern w:val="0"/>
          <w:sz w:val="24"/>
          <w:highlight w:val="none"/>
          <w:lang w:val="zh-CN"/>
        </w:rPr>
      </w:pPr>
      <w:r>
        <w:rPr>
          <w:rFonts w:hint="eastAsia" w:ascii="宋体" w:hAnsi="宋体" w:cs="宋体"/>
          <w:kern w:val="0"/>
          <w:sz w:val="24"/>
          <w:highlight w:val="none"/>
          <w:u w:val="single"/>
        </w:rPr>
        <w:t>（项目名称：       ）（标项：      ）</w:t>
      </w:r>
      <w:r>
        <w:rPr>
          <w:rFonts w:hint="eastAsia" w:ascii="宋体" w:hAnsi="宋体" w:cs="宋体"/>
          <w:kern w:val="0"/>
          <w:sz w:val="24"/>
          <w:highlight w:val="none"/>
          <w:lang w:val="zh-CN"/>
        </w:rPr>
        <w:t>投标。</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w:t>
      </w:r>
      <w:r>
        <w:rPr>
          <w:rFonts w:hint="eastAsia" w:ascii="宋体" w:hAnsi="宋体" w:cs="宋体"/>
          <w:kern w:val="0"/>
          <w:sz w:val="24"/>
          <w:highlight w:val="none"/>
          <w:lang w:val="zh-CN"/>
        </w:rPr>
        <w:t>承担的工作和义务为： ；</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本公司为：（</w:t>
      </w:r>
      <w:r>
        <w:rPr>
          <w:rFonts w:hint="eastAsia" w:ascii="宋体" w:hAnsi="宋体" w:cs="宋体"/>
          <w:kern w:val="0"/>
          <w:sz w:val="24"/>
          <w:highlight w:val="none"/>
          <w:u w:val="single"/>
          <w:lang w:val="zh-CN"/>
        </w:rPr>
        <w:t>大型/中型/小型/微型</w:t>
      </w:r>
      <w:r>
        <w:rPr>
          <w:rFonts w:hint="eastAsia" w:ascii="宋体" w:hAnsi="宋体" w:cs="宋体"/>
          <w:kern w:val="0"/>
          <w:sz w:val="24"/>
          <w:highlight w:val="none"/>
          <w:lang w:val="zh-CN"/>
        </w:rPr>
        <w:t>）企业</w:t>
      </w:r>
      <w:r>
        <w:rPr>
          <w:rFonts w:hint="eastAsia" w:ascii="宋体" w:hAnsi="宋体" w:cs="宋体"/>
          <w:sz w:val="24"/>
          <w:highlight w:val="none"/>
        </w:rPr>
        <w:t>，</w:t>
      </w:r>
      <w:r>
        <w:rPr>
          <w:rFonts w:hint="eastAsia" w:ascii="宋体" w:hAnsi="宋体" w:cs="宋体"/>
          <w:kern w:val="0"/>
          <w:sz w:val="24"/>
          <w:highlight w:val="none"/>
          <w:lang w:val="zh-CN"/>
        </w:rPr>
        <w:t>承担的工作和义务为：……。</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四、</w:t>
      </w: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宋体" w:hAnsi="宋体" w:cs="宋体"/>
          <w:kern w:val="0"/>
          <w:sz w:val="24"/>
          <w:highlight w:val="none"/>
          <w:lang w:val="zh-CN"/>
        </w:rPr>
      </w:pP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联合体牵头人名称(电子签名/公章)：</w:t>
      </w: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440" w:lineRule="exact"/>
        <w:jc w:val="right"/>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440" w:lineRule="exact"/>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right="480"/>
        <w:rPr>
          <w:rFonts w:ascii="宋体" w:hAnsi="宋体" w:cs="宋体"/>
          <w:b/>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四、分包意向协议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6"/>
        <w:ind w:left="664" w:leftChars="316" w:firstLine="229" w:firstLineChars="95"/>
        <w:rPr>
          <w:rFonts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二、分包工作履行期限、地点、方式</w:t>
      </w:r>
    </w:p>
    <w:p>
      <w:pPr>
        <w:snapToGrid w:val="0"/>
        <w:spacing w:line="360" w:lineRule="auto"/>
        <w:ind w:firstLine="576"/>
        <w:rPr>
          <w:rFonts w:ascii="宋体" w:hAnsi="宋体" w:cs="宋体"/>
          <w:highlight w:val="none"/>
          <w:u w:val="single"/>
        </w:rPr>
      </w:pP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三、质量</w:t>
      </w:r>
    </w:p>
    <w:p>
      <w:pPr>
        <w:snapToGrid w:val="0"/>
        <w:spacing w:line="360" w:lineRule="auto"/>
        <w:ind w:firstLine="576"/>
        <w:rPr>
          <w:rFonts w:ascii="宋体" w:hAnsi="宋体" w:cs="宋体"/>
          <w:kern w:val="0"/>
          <w:sz w:val="24"/>
          <w:highlight w:val="none"/>
          <w:lang w:val="zh-CN"/>
        </w:rPr>
      </w:pP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四、价款或者报酬</w:t>
      </w:r>
    </w:p>
    <w:p>
      <w:pPr>
        <w:snapToGrid w:val="0"/>
        <w:spacing w:line="360" w:lineRule="auto"/>
        <w:ind w:left="573" w:leftChars="273"/>
        <w:rPr>
          <w:rFonts w:ascii="宋体" w:hAnsi="宋体" w:cs="宋体"/>
          <w:kern w:val="0"/>
          <w:sz w:val="24"/>
          <w:highlight w:val="none"/>
          <w:lang w:val="zh-CN"/>
        </w:rPr>
      </w:pP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五、违约责任</w:t>
      </w:r>
    </w:p>
    <w:p>
      <w:pPr>
        <w:snapToGrid w:val="0"/>
        <w:spacing w:line="360" w:lineRule="auto"/>
        <w:ind w:firstLine="576"/>
        <w:rPr>
          <w:rFonts w:ascii="宋体" w:hAnsi="宋体" w:cs="宋体"/>
          <w:kern w:val="0"/>
          <w:sz w:val="24"/>
          <w:highlight w:val="none"/>
          <w:lang w:val="zh-CN"/>
        </w:rPr>
      </w:pP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六、争议解决的办法</w:t>
      </w:r>
    </w:p>
    <w:p>
      <w:pPr>
        <w:snapToGrid w:val="0"/>
        <w:spacing w:line="360" w:lineRule="auto"/>
        <w:ind w:firstLine="576"/>
        <w:rPr>
          <w:rFonts w:ascii="宋体" w:hAnsi="宋体" w:cs="宋体"/>
          <w:kern w:val="0"/>
          <w:sz w:val="24"/>
          <w:highlight w:val="none"/>
          <w:lang w:val="zh-CN"/>
        </w:rPr>
      </w:pP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七、其他</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u w:val="single"/>
        </w:rPr>
        <w:t>（分包供应商名称）提供的货物全部由小微企业制造，</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投标人（或联合体牵头人）名称 (电子签名)：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hint="eastAsia" w:ascii="宋体" w:hAnsi="宋体" w:cs="宋体"/>
          <w:b/>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五、符合性审查资料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tcPr>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pStyle w:val="6"/>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见投标文件第页</w:t>
            </w:r>
          </w:p>
        </w:tc>
      </w:tr>
    </w:tbl>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六、评标标准相应的商务技术资料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八、</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投标人（或联合体牵头人）名称 (电子签名)：</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76"/>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94"/>
        <w:gridCol w:w="2400"/>
        <w:gridCol w:w="1985"/>
        <w:gridCol w:w="1559"/>
        <w:gridCol w:w="155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994"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面积/盏</w:t>
            </w:r>
          </w:p>
        </w:tc>
        <w:tc>
          <w:tcPr>
            <w:tcW w:w="240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具体服务</w:t>
            </w:r>
          </w:p>
        </w:tc>
        <w:tc>
          <w:tcPr>
            <w:tcW w:w="198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1年报价</w:t>
            </w:r>
          </w:p>
          <w:p>
            <w:pPr>
              <w:spacing w:line="360" w:lineRule="auto"/>
              <w:jc w:val="center"/>
              <w:rPr>
                <w:rFonts w:ascii="宋体" w:hAnsi="宋体" w:cs="宋体"/>
                <w:b/>
                <w:sz w:val="24"/>
                <w:highlight w:val="none"/>
              </w:rPr>
            </w:pPr>
            <w:r>
              <w:rPr>
                <w:rFonts w:hint="eastAsia" w:ascii="宋体" w:hAnsi="宋体" w:cs="宋体"/>
                <w:b/>
                <w:sz w:val="24"/>
                <w:highlight w:val="none"/>
              </w:rPr>
              <w:t>（万元）</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3年报价</w:t>
            </w:r>
          </w:p>
          <w:p>
            <w:pPr>
              <w:spacing w:line="360" w:lineRule="auto"/>
              <w:jc w:val="center"/>
              <w:rPr>
                <w:rFonts w:ascii="宋体" w:hAnsi="宋体" w:cs="宋体"/>
                <w:b/>
                <w:sz w:val="24"/>
                <w:highlight w:val="none"/>
              </w:rPr>
            </w:pPr>
            <w:r>
              <w:rPr>
                <w:rFonts w:hint="eastAsia" w:ascii="宋体" w:hAnsi="宋体" w:cs="宋体"/>
                <w:b/>
                <w:sz w:val="24"/>
                <w:highlight w:val="none"/>
              </w:rPr>
              <w:t>（万元）</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服务要求（年限）及备注</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34"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Merge w:val="restart"/>
            <w:vAlign w:val="center"/>
          </w:tcPr>
          <w:p>
            <w:pPr>
              <w:widowControl/>
              <w:jc w:val="center"/>
              <w:textAlignment w:val="center"/>
              <w:rPr>
                <w:rFonts w:ascii="宋体" w:hAnsi="宋体" w:cs="宋体"/>
                <w:color w:val="000000"/>
                <w:sz w:val="20"/>
                <w:szCs w:val="20"/>
                <w:highlight w:val="none"/>
              </w:rPr>
            </w:pPr>
            <w:r>
              <w:rPr>
                <w:rFonts w:hint="eastAsia" w:ascii="宋体" w:hAnsi="宋体" w:cs="宋体"/>
                <w:sz w:val="24"/>
                <w:highlight w:val="none"/>
              </w:rPr>
              <w:t>道路保洁</w:t>
            </w:r>
          </w:p>
        </w:tc>
        <w:tc>
          <w:tcPr>
            <w:tcW w:w="19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273650</w:t>
            </w:r>
          </w:p>
          <w:p>
            <w:pPr>
              <w:keepNext w:val="0"/>
              <w:keepLines w:val="0"/>
              <w:widowControl/>
              <w:suppressLineNumbers w:val="0"/>
              <w:jc w:val="center"/>
              <w:textAlignment w:val="center"/>
              <w:rPr>
                <w:rFonts w:ascii="宋体" w:hAnsi="宋体" w:cs="宋体"/>
                <w:sz w:val="24"/>
                <w:highlight w:val="none"/>
              </w:rPr>
            </w:pPr>
            <w:r>
              <w:rPr>
                <w:rFonts w:hint="eastAsia" w:ascii="宋体" w:hAnsi="宋体" w:cs="宋体"/>
                <w:sz w:val="24"/>
                <w:highlight w:val="none"/>
                <w:lang w:val="en-US" w:eastAsia="zh-CN"/>
              </w:rPr>
              <w:t>(道路等级</w:t>
            </w:r>
            <w:r>
              <w:rPr>
                <w:rFonts w:hint="eastAsia" w:ascii="宋体" w:hAnsi="宋体" w:eastAsia="宋体" w:cs="宋体"/>
                <w:i w:val="0"/>
                <w:iCs w:val="0"/>
                <w:color w:val="000000"/>
                <w:kern w:val="0"/>
                <w:sz w:val="24"/>
                <w:szCs w:val="24"/>
                <w:highlight w:val="none"/>
                <w:u w:val="none"/>
                <w:lang w:val="en-US" w:eastAsia="zh-CN" w:bidi="ar"/>
              </w:rPr>
              <w:t>一类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元/㎡·年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34" w:type="dxa"/>
            <w:vMerge w:val="continue"/>
            <w:vAlign w:val="center"/>
          </w:tcPr>
          <w:p>
            <w:pPr>
              <w:spacing w:line="360" w:lineRule="auto"/>
              <w:jc w:val="center"/>
              <w:rPr>
                <w:rFonts w:hint="eastAsia" w:ascii="宋体" w:hAnsi="宋体" w:cs="宋体"/>
                <w:sz w:val="24"/>
                <w:highlight w:val="none"/>
              </w:rPr>
            </w:pPr>
          </w:p>
        </w:tc>
        <w:tc>
          <w:tcPr>
            <w:tcW w:w="1417" w:type="dxa"/>
            <w:vMerge w:val="continue"/>
            <w:vAlign w:val="center"/>
          </w:tcPr>
          <w:p>
            <w:pPr>
              <w:widowControl/>
              <w:jc w:val="center"/>
              <w:textAlignment w:val="center"/>
              <w:rPr>
                <w:rFonts w:hint="eastAsia" w:ascii="宋体" w:hAnsi="宋体" w:cs="宋体"/>
                <w:sz w:val="24"/>
                <w:highlight w:val="none"/>
              </w:rPr>
            </w:pPr>
          </w:p>
        </w:tc>
        <w:tc>
          <w:tcPr>
            <w:tcW w:w="19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122004</w:t>
            </w:r>
          </w:p>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cs="宋体"/>
                <w:sz w:val="24"/>
                <w:highlight w:val="none"/>
                <w:lang w:val="en-US" w:eastAsia="zh-CN"/>
              </w:rPr>
              <w:t>(道路等级二</w:t>
            </w:r>
            <w:r>
              <w:rPr>
                <w:rFonts w:hint="eastAsia" w:ascii="宋体" w:hAnsi="宋体" w:eastAsia="宋体" w:cs="宋体"/>
                <w:i w:val="0"/>
                <w:iCs w:val="0"/>
                <w:color w:val="000000"/>
                <w:kern w:val="0"/>
                <w:sz w:val="24"/>
                <w:szCs w:val="24"/>
                <w:highlight w:val="none"/>
                <w:u w:val="none"/>
                <w:lang w:val="en-US" w:eastAsia="zh-CN" w:bidi="ar"/>
              </w:rPr>
              <w:t>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元/㎡·年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Merge w:val="continue"/>
            <w:vAlign w:val="center"/>
          </w:tcPr>
          <w:p>
            <w:pPr>
              <w:spacing w:line="360" w:lineRule="auto"/>
              <w:jc w:val="center"/>
              <w:rPr>
                <w:rFonts w:hint="eastAsia" w:ascii="宋体" w:hAnsi="宋体" w:cs="宋体"/>
                <w:sz w:val="24"/>
                <w:highlight w:val="none"/>
              </w:rPr>
            </w:pPr>
          </w:p>
        </w:tc>
        <w:tc>
          <w:tcPr>
            <w:tcW w:w="1417" w:type="dxa"/>
            <w:vMerge w:val="continue"/>
            <w:vAlign w:val="center"/>
          </w:tcPr>
          <w:p>
            <w:pPr>
              <w:widowControl/>
              <w:jc w:val="center"/>
              <w:textAlignment w:val="center"/>
              <w:rPr>
                <w:rFonts w:hint="eastAsia" w:ascii="宋体" w:hAnsi="宋体" w:cs="宋体"/>
                <w:sz w:val="24"/>
                <w:highlight w:val="none"/>
              </w:rPr>
            </w:pPr>
          </w:p>
        </w:tc>
        <w:tc>
          <w:tcPr>
            <w:tcW w:w="19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1740</w:t>
            </w:r>
          </w:p>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cs="宋体"/>
                <w:sz w:val="24"/>
                <w:highlight w:val="none"/>
                <w:lang w:val="en-US" w:eastAsia="zh-CN"/>
              </w:rPr>
              <w:t>(道路等级三</w:t>
            </w:r>
            <w:r>
              <w:rPr>
                <w:rFonts w:hint="eastAsia" w:ascii="宋体" w:hAnsi="宋体" w:eastAsia="宋体" w:cs="宋体"/>
                <w:i w:val="0"/>
                <w:iCs w:val="0"/>
                <w:color w:val="000000"/>
                <w:kern w:val="0"/>
                <w:sz w:val="24"/>
                <w:szCs w:val="24"/>
                <w:highlight w:val="none"/>
                <w:u w:val="none"/>
                <w:lang w:val="en-US" w:eastAsia="zh-CN" w:bidi="ar"/>
              </w:rPr>
              <w:t>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元/㎡·年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4"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Merge w:val="restart"/>
            <w:vAlign w:val="center"/>
          </w:tcPr>
          <w:p>
            <w:pPr>
              <w:widowControl/>
              <w:jc w:val="center"/>
              <w:textAlignment w:val="center"/>
              <w:rPr>
                <w:rFonts w:ascii="宋体" w:hAnsi="宋体" w:cs="宋体"/>
                <w:color w:val="000000"/>
                <w:sz w:val="20"/>
                <w:szCs w:val="20"/>
                <w:highlight w:val="none"/>
              </w:rPr>
            </w:pPr>
            <w:r>
              <w:rPr>
                <w:rFonts w:hint="eastAsia" w:ascii="宋体" w:hAnsi="宋体" w:cs="宋体"/>
                <w:sz w:val="24"/>
                <w:highlight w:val="none"/>
              </w:rPr>
              <w:t>绿化养护</w:t>
            </w:r>
          </w:p>
        </w:tc>
        <w:tc>
          <w:tcPr>
            <w:tcW w:w="1994"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50831</w:t>
            </w:r>
          </w:p>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(道路等级</w:t>
            </w:r>
            <w:r>
              <w:rPr>
                <w:rFonts w:hint="eastAsia" w:ascii="宋体" w:hAnsi="宋体" w:eastAsia="宋体" w:cs="宋体"/>
                <w:i w:val="0"/>
                <w:iCs w:val="0"/>
                <w:color w:val="000000"/>
                <w:kern w:val="0"/>
                <w:sz w:val="24"/>
                <w:szCs w:val="24"/>
                <w:highlight w:val="none"/>
                <w:u w:val="none"/>
                <w:lang w:val="en-US" w:eastAsia="zh-CN" w:bidi="ar"/>
              </w:rPr>
              <w:t>一类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按采购文件要求</w:t>
            </w:r>
          </w:p>
        </w:tc>
        <w:tc>
          <w:tcPr>
            <w:tcW w:w="1985"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元/㎡·年</w:t>
            </w: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3119"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3年，绿化养护报价中：日常养护费占70%，更新改造费占30%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vMerge w:val="continue"/>
            <w:vAlign w:val="center"/>
          </w:tcPr>
          <w:p>
            <w:pPr>
              <w:spacing w:line="360" w:lineRule="auto"/>
              <w:jc w:val="center"/>
              <w:rPr>
                <w:rFonts w:hint="eastAsia" w:ascii="宋体" w:hAnsi="宋体" w:cs="宋体"/>
                <w:sz w:val="24"/>
                <w:highlight w:val="none"/>
              </w:rPr>
            </w:pPr>
          </w:p>
        </w:tc>
        <w:tc>
          <w:tcPr>
            <w:tcW w:w="1417" w:type="dxa"/>
            <w:vMerge w:val="continue"/>
            <w:vAlign w:val="center"/>
          </w:tcPr>
          <w:p>
            <w:pPr>
              <w:widowControl/>
              <w:jc w:val="center"/>
              <w:textAlignment w:val="center"/>
              <w:rPr>
                <w:rFonts w:hint="eastAsia" w:ascii="宋体" w:hAnsi="宋体" w:cs="宋体"/>
                <w:sz w:val="24"/>
                <w:highlight w:val="none"/>
              </w:rPr>
            </w:pPr>
          </w:p>
        </w:tc>
        <w:tc>
          <w:tcPr>
            <w:tcW w:w="1994"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34323</w:t>
            </w:r>
          </w:p>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(道路等级二</w:t>
            </w:r>
            <w:r>
              <w:rPr>
                <w:rFonts w:hint="eastAsia" w:ascii="宋体" w:hAnsi="宋体" w:eastAsia="宋体" w:cs="宋体"/>
                <w:i w:val="0"/>
                <w:iCs w:val="0"/>
                <w:color w:val="000000"/>
                <w:kern w:val="0"/>
                <w:sz w:val="24"/>
                <w:szCs w:val="24"/>
                <w:highlight w:val="none"/>
                <w:u w:val="none"/>
                <w:lang w:val="en-US" w:eastAsia="zh-CN" w:bidi="ar"/>
              </w:rPr>
              <w:t>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元/㎡·年</w:t>
            </w: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3119"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3年，绿化养护报价中：日常养护费占70%，更新改造费占30%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vMerge w:val="continue"/>
            <w:vAlign w:val="center"/>
          </w:tcPr>
          <w:p>
            <w:pPr>
              <w:spacing w:line="360" w:lineRule="auto"/>
              <w:jc w:val="center"/>
              <w:rPr>
                <w:rFonts w:hint="eastAsia" w:ascii="宋体" w:hAnsi="宋体" w:cs="宋体"/>
                <w:sz w:val="24"/>
                <w:highlight w:val="none"/>
              </w:rPr>
            </w:pPr>
          </w:p>
        </w:tc>
        <w:tc>
          <w:tcPr>
            <w:tcW w:w="1417" w:type="dxa"/>
            <w:vMerge w:val="continue"/>
            <w:vAlign w:val="center"/>
          </w:tcPr>
          <w:p>
            <w:pPr>
              <w:widowControl/>
              <w:jc w:val="center"/>
              <w:textAlignment w:val="center"/>
              <w:rPr>
                <w:rFonts w:hint="eastAsia" w:ascii="宋体" w:hAnsi="宋体" w:cs="宋体"/>
                <w:sz w:val="24"/>
                <w:highlight w:val="none"/>
              </w:rPr>
            </w:pPr>
          </w:p>
        </w:tc>
        <w:tc>
          <w:tcPr>
            <w:tcW w:w="1994"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300</w:t>
            </w:r>
          </w:p>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(道路等级三</w:t>
            </w:r>
            <w:r>
              <w:rPr>
                <w:rFonts w:hint="eastAsia" w:ascii="宋体" w:hAnsi="宋体" w:eastAsia="宋体" w:cs="宋体"/>
                <w:i w:val="0"/>
                <w:iCs w:val="0"/>
                <w:color w:val="000000"/>
                <w:kern w:val="0"/>
                <w:sz w:val="24"/>
                <w:szCs w:val="24"/>
                <w:highlight w:val="none"/>
                <w:u w:val="none"/>
                <w:lang w:val="en-US" w:eastAsia="zh-CN" w:bidi="ar"/>
              </w:rPr>
              <w:t>类</w:t>
            </w:r>
            <w:r>
              <w:rPr>
                <w:rFonts w:hint="eastAsia" w:ascii="宋体" w:hAnsi="宋体" w:cs="宋体"/>
                <w:sz w:val="24"/>
                <w:highlight w:val="none"/>
                <w:lang w:val="en-US" w:eastAsia="zh-CN"/>
              </w:rPr>
              <w:t>)</w:t>
            </w:r>
          </w:p>
        </w:tc>
        <w:tc>
          <w:tcPr>
            <w:tcW w:w="2400"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元/㎡·年</w:t>
            </w: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1559" w:type="dxa"/>
            <w:vAlign w:val="center"/>
          </w:tcPr>
          <w:p>
            <w:pPr>
              <w:snapToGrid w:val="0"/>
              <w:spacing w:line="360" w:lineRule="auto"/>
              <w:jc w:val="center"/>
              <w:rPr>
                <w:rFonts w:hint="eastAsia" w:ascii="宋体" w:hAnsi="宋体" w:cs="宋体"/>
                <w:sz w:val="24"/>
                <w:highlight w:val="none"/>
                <w:lang w:val="en-US" w:eastAsia="zh-CN"/>
              </w:rPr>
            </w:pPr>
          </w:p>
        </w:tc>
        <w:tc>
          <w:tcPr>
            <w:tcW w:w="3119" w:type="dxa"/>
            <w:vAlign w:val="center"/>
          </w:tcPr>
          <w:p>
            <w:pPr>
              <w:snapToGrid w:val="0"/>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3年，绿化养护报价中：日常养护费占70%，更新改造费占30%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417" w:type="dxa"/>
            <w:vAlign w:val="center"/>
          </w:tcPr>
          <w:p>
            <w:pPr>
              <w:widowControl/>
              <w:jc w:val="center"/>
              <w:textAlignment w:val="center"/>
              <w:rPr>
                <w:rFonts w:ascii="宋体" w:hAnsi="宋体" w:cs="宋体"/>
                <w:color w:val="000000"/>
                <w:sz w:val="20"/>
                <w:szCs w:val="20"/>
                <w:highlight w:val="none"/>
              </w:rPr>
            </w:pPr>
            <w:r>
              <w:rPr>
                <w:rFonts w:hint="eastAsia" w:ascii="宋体" w:hAnsi="宋体" w:cs="宋体"/>
                <w:sz w:val="24"/>
                <w:highlight w:val="none"/>
              </w:rPr>
              <w:t>市政</w:t>
            </w:r>
          </w:p>
        </w:tc>
        <w:tc>
          <w:tcPr>
            <w:tcW w:w="199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334407.5</w:t>
            </w:r>
            <w:r>
              <w:rPr>
                <w:rFonts w:hint="eastAsia" w:ascii="宋体" w:hAnsi="宋体" w:cs="宋体"/>
                <w:sz w:val="24"/>
                <w:highlight w:val="none"/>
              </w:rPr>
              <w:t>㎡</w:t>
            </w:r>
          </w:p>
        </w:tc>
        <w:tc>
          <w:tcPr>
            <w:tcW w:w="2400"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元/㎡·年</w:t>
            </w:r>
          </w:p>
        </w:tc>
        <w:tc>
          <w:tcPr>
            <w:tcW w:w="1559"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200</w:t>
            </w:r>
          </w:p>
        </w:tc>
        <w:tc>
          <w:tcPr>
            <w:tcW w:w="1559"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600</w:t>
            </w:r>
          </w:p>
        </w:tc>
        <w:tc>
          <w:tcPr>
            <w:tcW w:w="3119" w:type="dxa"/>
            <w:vAlign w:val="center"/>
          </w:tcPr>
          <w:p>
            <w:pPr>
              <w:spacing w:line="360" w:lineRule="auto"/>
              <w:jc w:val="center"/>
              <w:rPr>
                <w:rFonts w:ascii="宋体" w:hAnsi="宋体" w:cs="宋体"/>
                <w:sz w:val="24"/>
                <w:highlight w:val="none"/>
              </w:rPr>
            </w:pPr>
            <w:r>
              <w:rPr>
                <w:rFonts w:hint="eastAsia" w:ascii="宋体"/>
                <w:sz w:val="22"/>
                <w:szCs w:val="22"/>
                <w:highlight w:val="none"/>
              </w:rPr>
              <w:t>3年，▲不作竞争性报价。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417"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路灯养护</w:t>
            </w:r>
          </w:p>
        </w:tc>
        <w:tc>
          <w:tcPr>
            <w:tcW w:w="1994"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lang w:val="en-US" w:eastAsia="zh-CN"/>
              </w:rPr>
              <w:t>383</w:t>
            </w:r>
            <w:r>
              <w:rPr>
                <w:rFonts w:hint="eastAsia" w:ascii="宋体" w:hAnsi="宋体" w:cs="宋体"/>
                <w:sz w:val="24"/>
                <w:highlight w:val="none"/>
              </w:rPr>
              <w:t>盏</w:t>
            </w:r>
          </w:p>
        </w:tc>
        <w:tc>
          <w:tcPr>
            <w:tcW w:w="2400"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元/盏·年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1417" w:type="dxa"/>
            <w:vAlign w:val="center"/>
          </w:tcPr>
          <w:p>
            <w:pPr>
              <w:widowControl/>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时花更换及养护</w:t>
            </w:r>
          </w:p>
        </w:tc>
        <w:tc>
          <w:tcPr>
            <w:tcW w:w="1994"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lang w:val="en-US" w:eastAsia="zh-CN"/>
              </w:rPr>
              <w:t>1500</w:t>
            </w:r>
            <w:r>
              <w:rPr>
                <w:rFonts w:hint="eastAsia" w:ascii="宋体" w:hAnsi="宋体" w:cs="宋体"/>
                <w:sz w:val="24"/>
                <w:highlight w:val="none"/>
              </w:rPr>
              <w:t>㎡</w:t>
            </w:r>
          </w:p>
        </w:tc>
        <w:tc>
          <w:tcPr>
            <w:tcW w:w="2400"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按采购文件要求</w:t>
            </w:r>
          </w:p>
        </w:tc>
        <w:tc>
          <w:tcPr>
            <w:tcW w:w="1985"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元/m·年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1417" w:type="dxa"/>
          </w:tcPr>
          <w:p>
            <w:pPr>
              <w:widowControl/>
              <w:jc w:val="center"/>
              <w:textAlignment w:val="center"/>
              <w:rPr>
                <w:rFonts w:ascii="宋体" w:hAnsi="宋体" w:cs="宋体"/>
                <w:sz w:val="24"/>
                <w:highlight w:val="none"/>
              </w:rPr>
            </w:pPr>
            <w:r>
              <w:rPr>
                <w:rFonts w:hint="eastAsia" w:ascii="宋体" w:hAnsi="宋体" w:cs="宋体"/>
                <w:sz w:val="24"/>
                <w:highlight w:val="none"/>
              </w:rPr>
              <w:t>河道保洁</w:t>
            </w:r>
          </w:p>
        </w:tc>
        <w:tc>
          <w:tcPr>
            <w:tcW w:w="1994"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6095m</w:t>
            </w:r>
          </w:p>
        </w:tc>
        <w:tc>
          <w:tcPr>
            <w:tcW w:w="2400"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按采购人、采购文件要求</w:t>
            </w:r>
          </w:p>
        </w:tc>
        <w:tc>
          <w:tcPr>
            <w:tcW w:w="1985"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元/m·年</w:t>
            </w:r>
          </w:p>
        </w:tc>
        <w:tc>
          <w:tcPr>
            <w:tcW w:w="1559" w:type="dxa"/>
            <w:vAlign w:val="center"/>
          </w:tcPr>
          <w:p>
            <w:pPr>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7</w:t>
            </w:r>
          </w:p>
        </w:tc>
        <w:tc>
          <w:tcPr>
            <w:tcW w:w="1417" w:type="dxa"/>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应急资金</w:t>
            </w:r>
            <w:r>
              <w:rPr>
                <w:rFonts w:hint="eastAsia" w:ascii="宋体" w:hAnsi="宋体" w:cs="宋体"/>
                <w:sz w:val="24"/>
                <w:highlight w:val="none"/>
                <w:lang w:eastAsia="zh-CN"/>
              </w:rPr>
              <w:t>（</w:t>
            </w:r>
            <w:r>
              <w:rPr>
                <w:rFonts w:hint="eastAsia" w:ascii="宋体" w:hAnsi="宋体" w:cs="宋体"/>
                <w:sz w:val="24"/>
                <w:highlight w:val="none"/>
              </w:rPr>
              <w:t>偷倒垃圾清运处置、有奖举报</w:t>
            </w:r>
            <w:r>
              <w:rPr>
                <w:rFonts w:hint="eastAsia" w:ascii="宋体" w:hAnsi="宋体" w:cs="宋体"/>
                <w:sz w:val="24"/>
                <w:highlight w:val="none"/>
                <w:lang w:eastAsia="zh-CN"/>
              </w:rPr>
              <w:t>）</w:t>
            </w:r>
            <w:r>
              <w:rPr>
                <w:rFonts w:hint="eastAsia" w:ascii="宋体" w:hAnsi="宋体" w:cs="宋体"/>
                <w:sz w:val="24"/>
                <w:highlight w:val="none"/>
              </w:rPr>
              <w:t>等</w:t>
            </w:r>
          </w:p>
        </w:tc>
        <w:tc>
          <w:tcPr>
            <w:tcW w:w="199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项</w:t>
            </w:r>
          </w:p>
        </w:tc>
        <w:tc>
          <w:tcPr>
            <w:tcW w:w="2400"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按采购人、采购文件要求</w:t>
            </w:r>
          </w:p>
        </w:tc>
        <w:tc>
          <w:tcPr>
            <w:tcW w:w="1985"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u w:val="single"/>
              </w:rPr>
              <w:t>/</w:t>
            </w:r>
          </w:p>
        </w:tc>
        <w:tc>
          <w:tcPr>
            <w:tcW w:w="1559"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50</w:t>
            </w:r>
          </w:p>
        </w:tc>
        <w:tc>
          <w:tcPr>
            <w:tcW w:w="1559"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150</w:t>
            </w:r>
          </w:p>
        </w:tc>
        <w:tc>
          <w:tcPr>
            <w:tcW w:w="31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3年。▲不作竞争性报价。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45"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投标报价（1+2+3+4+5+6+7）（小写）</w:t>
            </w:r>
          </w:p>
        </w:tc>
        <w:tc>
          <w:tcPr>
            <w:tcW w:w="8222"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45"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投标报价（1+2+3+4+5+6+7）（大写）</w:t>
            </w:r>
          </w:p>
        </w:tc>
        <w:tc>
          <w:tcPr>
            <w:tcW w:w="8222"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1、投标人需按本表格式填写，不得自行更改。</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投标文件含有采购人不能接受的附加条件的，投标无效</w:t>
      </w:r>
      <w:r>
        <w:rPr>
          <w:rFonts w:hint="eastAsia" w:ascii="宋体" w:hAnsi="宋体" w:cs="宋体"/>
          <w:b/>
          <w:kern w:val="0"/>
          <w:sz w:val="24"/>
          <w:highlight w:val="none"/>
          <w:lang w:val="zh-CN"/>
        </w:rPr>
        <w:t>。</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4、特别提示：采购机构将对项目名称和项目编号，中标供应商名称、地址和中标金额，主要中标标的的名称等予以公示。</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5、</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6、报价保留至元，后一位四舍五入。</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投标人（或联合体牵头人）名称 (电子签名)：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w:t>
      </w:r>
    </w:p>
    <w:p>
      <w:pPr>
        <w:pStyle w:val="376"/>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6"/>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一、适用对象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二、相关信息获取方式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三、　政府采购信用融资操作流程：</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（一）线上融资模式：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2.供应商中标后，可通过杭州市政府采购网或“浙里办”测算授信额度；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4.审批通过后，在线办理放贷手续。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（二）线下融资模式：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4.审批通过后，合作银行应按照合作备忘录中约定的审批放款期限和优惠利率及时予以放款。</w:t>
      </w:r>
    </w:p>
    <w:p>
      <w:pPr>
        <w:pStyle w:val="6"/>
        <w:ind w:left="0"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6"/>
        <w:ind w:left="0"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四、注意事项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highlight w:val="none"/>
        </w:rPr>
      </w:pPr>
    </w:p>
    <w:p>
      <w:pPr>
        <w:pStyle w:val="5"/>
        <w:pageBreakBefore/>
        <w:widowControl/>
        <w:spacing w:before="100" w:beforeAutospacing="1" w:after="100" w:afterAutospacing="1" w:line="360" w:lineRule="auto"/>
        <w:ind w:left="1290" w:firstLine="3092" w:firstLineChars="700"/>
        <w:rPr>
          <w:rFonts w:ascii="宋体" w:hAnsi="宋体" w:cs="宋体"/>
          <w:highlight w:val="none"/>
        </w:rPr>
      </w:pPr>
      <w:bookmarkStart w:id="396" w:name="_Toc465665161"/>
      <w:r>
        <w:rPr>
          <w:rFonts w:hint="eastAsia" w:ascii="宋体" w:hAnsi="宋体" w:cs="宋体"/>
          <w:highlight w:val="none"/>
        </w:rPr>
        <w:t>附件</w:t>
      </w:r>
      <w:bookmarkEnd w:id="396"/>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397" w:name="OLE_LINK13"/>
      <w:bookmarkStart w:id="398" w:name="OLE_LINK14"/>
      <w:r>
        <w:rPr>
          <w:rFonts w:hint="eastAsia" w:ascii="宋体" w:hAnsi="宋体" w:cs="宋体"/>
          <w:b/>
          <w:spacing w:val="6"/>
          <w:sz w:val="32"/>
          <w:szCs w:val="32"/>
          <w:highlight w:val="none"/>
        </w:rPr>
        <w:t>残疾人福利性单位声明函</w:t>
      </w:r>
    </w:p>
    <w:bookmarkEnd w:id="397"/>
    <w:bookmarkEnd w:id="398"/>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pPr>
        <w:snapToGrid w:val="0"/>
        <w:spacing w:line="360" w:lineRule="auto"/>
        <w:rPr>
          <w:rFonts w:ascii="宋体" w:hAnsi="宋体" w:cs="宋体"/>
          <w:sz w:val="24"/>
          <w:highlight w:val="none"/>
          <w:u w:val="dotted"/>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日期：</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w:t>
      </w:r>
    </w:p>
    <w:p>
      <w:pPr>
        <w:spacing w:line="360" w:lineRule="auto"/>
        <w:rPr>
          <w:rFonts w:ascii="宋体" w:hAnsi="宋体" w:cs="宋体"/>
          <w:sz w:val="24"/>
          <w:highlight w:val="none"/>
          <w:u w:val="dotted"/>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被投诉人1：</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p>
    <w:p>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pPr>
        <w:spacing w:line="360" w:lineRule="auto"/>
        <w:rPr>
          <w:rFonts w:ascii="宋体" w:hAnsi="宋体" w:cs="宋体"/>
          <w:sz w:val="24"/>
          <w:highlight w:val="none"/>
        </w:rPr>
      </w:pPr>
      <w:r>
        <w:rPr>
          <w:rFonts w:hint="eastAsia" w:ascii="宋体" w:hAnsi="宋体" w:cs="宋体"/>
          <w:sz w:val="24"/>
          <w:highlight w:val="none"/>
        </w:rPr>
        <w:t>采购人名称：</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pPr>
        <w:spacing w:line="360" w:lineRule="auto"/>
        <w:rPr>
          <w:rFonts w:ascii="宋体" w:hAnsi="宋体" w:cs="宋体"/>
          <w:sz w:val="24"/>
          <w:highlight w:val="none"/>
          <w:u w:val="dotted"/>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p>
    <w:p>
      <w:pPr>
        <w:spacing w:line="360" w:lineRule="auto"/>
        <w:rPr>
          <w:rFonts w:ascii="宋体" w:hAnsi="宋体" w:cs="宋体"/>
          <w:sz w:val="24"/>
          <w:highlight w:val="none"/>
        </w:rPr>
      </w:pPr>
      <w:r>
        <w:rPr>
          <w:rFonts w:hint="eastAsia" w:ascii="宋体" w:hAnsi="宋体" w:cs="宋体"/>
          <w:sz w:val="24"/>
          <w:highlight w:val="none"/>
        </w:rPr>
        <w:t>事实依据：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u w:val="single"/>
        </w:rPr>
      </w:pPr>
      <w:r>
        <w:rPr>
          <w:rFonts w:hint="eastAsia" w:ascii="宋体" w:hAnsi="宋体" w:cs="宋体"/>
          <w:sz w:val="24"/>
          <w:highlight w:val="none"/>
        </w:rPr>
        <w:t>法律依据：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日期：</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hint="eastAsia"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你方组织的（项目名称）项目【招标编号：（采购编号）】</w:t>
      </w:r>
      <w:r>
        <w:rPr>
          <w:rFonts w:hint="eastAsia" w:ascii="宋体" w:hAnsi="宋体" w:cs="宋体"/>
          <w:bCs/>
          <w:sz w:val="24"/>
          <w:highlight w:val="none"/>
        </w:rPr>
        <w:t>投标活动中作如下说明：</w:t>
      </w:r>
      <w:r>
        <w:rPr>
          <w:rFonts w:hint="eastAsia" w:ascii="宋体" w:hAnsi="宋体" w:cs="宋体"/>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txbxContent>
                </v:textbox>
              </v:rect>
            </w:pict>
          </mc:Fallback>
        </mc:AlternateContent>
      </w:r>
      <w:r>
        <w:rPr>
          <w:rFonts w:hint="eastAsia" w:ascii="宋体" w:hAnsi="宋体" w:cs="宋体"/>
          <w:sz w:val="24"/>
          <w:highlight w:val="none"/>
        </w:rPr>
        <w:t>投标单位法定名称章（印模）投标单位“XX专用章”（印模）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sz w:val="32"/>
          <w:szCs w:val="32"/>
          <w:highlight w:val="none"/>
        </w:rPr>
        <w:t>中小企业声明函</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中小企业声明函（工程、服务）</w:t>
      </w:r>
    </w:p>
    <w:p>
      <w:pPr>
        <w:spacing w:line="360" w:lineRule="auto"/>
        <w:rPr>
          <w:rFonts w:ascii="宋体" w:hAnsi="宋体" w:cs="宋体"/>
          <w:highlight w:val="none"/>
        </w:rPr>
      </w:pP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综合养护项目</w:t>
      </w:r>
      <w:r>
        <w:rPr>
          <w:rFonts w:hint="eastAsia" w:ascii="宋体" w:hAnsi="宋体" w:cs="宋体"/>
          <w:sz w:val="24"/>
          <w:highlight w:val="none"/>
        </w:rPr>
        <w:t>，属于</w:t>
      </w:r>
      <w:r>
        <w:rPr>
          <w:rFonts w:hint="eastAsia" w:ascii="宋体" w:hAnsi="宋体" w:cs="宋体"/>
          <w:sz w:val="24"/>
          <w:highlight w:val="none"/>
          <w:u w:val="single"/>
        </w:rPr>
        <w:t>（其他未列明行业）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综合养护项目</w:t>
      </w:r>
      <w:r>
        <w:rPr>
          <w:rFonts w:hint="eastAsia" w:ascii="宋体" w:hAnsi="宋体" w:cs="宋体"/>
          <w:sz w:val="24"/>
          <w:highlight w:val="none"/>
        </w:rPr>
        <w:t>，属于</w:t>
      </w:r>
      <w:r>
        <w:rPr>
          <w:rFonts w:hint="eastAsia" w:ascii="宋体" w:hAnsi="宋体" w:cs="宋体"/>
          <w:sz w:val="24"/>
          <w:highlight w:val="none"/>
          <w:u w:val="single"/>
        </w:rPr>
        <w:t>（其他未列明行业）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投标人（或联合体牵头人）名称 (电子签名)：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highlight w:val="none"/>
          <w:lang w:val="en-US"/>
        </w:rPr>
      </w:pPr>
    </w:p>
    <w:p>
      <w:pPr>
        <w:spacing w:line="360" w:lineRule="auto"/>
        <w:ind w:right="420"/>
        <w:rPr>
          <w:rFonts w:ascii="宋体" w:hAnsi="宋体" w:cs="宋体"/>
          <w:highlight w:val="none"/>
        </w:rPr>
      </w:pPr>
    </w:p>
    <w:p>
      <w:pPr>
        <w:pStyle w:val="3"/>
        <w:ind w:firstLine="0"/>
        <w:rPr>
          <w:rFonts w:hAnsi="宋体" w:cs="宋体"/>
          <w:b/>
          <w:szCs w:val="21"/>
          <w:highlight w:val="none"/>
          <w:lang w:val="en-US"/>
        </w:rPr>
      </w:pPr>
      <w:r>
        <w:rPr>
          <w:rFonts w:hint="eastAsia" w:hAnsi="宋体" w:cs="宋体"/>
          <w:b/>
          <w:szCs w:val="21"/>
          <w:highlight w:val="none"/>
        </w:rPr>
        <w:t>附件</w:t>
      </w:r>
      <w:r>
        <w:rPr>
          <w:rFonts w:hint="eastAsia" w:hAnsi="宋体" w:cs="宋体"/>
          <w:b/>
          <w:szCs w:val="21"/>
          <w:highlight w:val="none"/>
          <w:lang w:val="en-US"/>
        </w:rPr>
        <w:t>：</w:t>
      </w:r>
      <w:r>
        <w:rPr>
          <w:rFonts w:hint="eastAsia" w:hAnsi="宋体" w:cs="宋体"/>
          <w:b/>
          <w:szCs w:val="21"/>
          <w:highlight w:val="none"/>
        </w:rPr>
        <w:t>中小企业划</w:t>
      </w:r>
    </w:p>
    <w:p>
      <w:pPr>
        <w:pStyle w:val="618"/>
        <w:spacing w:line="500" w:lineRule="exact"/>
        <w:rPr>
          <w:rFonts w:ascii="宋体" w:hAnsi="宋体" w:eastAsia="宋体" w:cs="宋体"/>
          <w:b/>
          <w:sz w:val="28"/>
          <w:szCs w:val="28"/>
          <w:highlight w:val="none"/>
        </w:rPr>
      </w:pPr>
      <w:r>
        <w:rPr>
          <w:rFonts w:hint="eastAsia" w:ascii="宋体" w:hAnsi="宋体" w:eastAsia="宋体"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ascii="宋体" w:hAnsi="宋体" w:eastAsia="宋体" w:cs="宋体"/>
          <w:b/>
          <w:sz w:val="28"/>
          <w:szCs w:val="28"/>
          <w:highlight w:val="none"/>
        </w:rPr>
      </w:pPr>
    </w:p>
    <w:p>
      <w:pPr>
        <w:pStyle w:val="618"/>
        <w:spacing w:line="500" w:lineRule="exact"/>
        <w:jc w:val="center"/>
        <w:rPr>
          <w:rFonts w:ascii="宋体" w:hAnsi="宋体" w:eastAsia="宋体" w:cs="宋体"/>
          <w:b/>
          <w:sz w:val="28"/>
          <w:szCs w:val="28"/>
          <w:highlight w:val="none"/>
        </w:rPr>
      </w:pPr>
      <w:r>
        <w:rPr>
          <w:rFonts w:hint="eastAsia" w:ascii="宋体" w:hAnsi="宋体" w:eastAsia="宋体" w:cs="宋体"/>
          <w:b/>
          <w:sz w:val="28"/>
          <w:szCs w:val="28"/>
          <w:highlight w:val="none"/>
        </w:rPr>
        <w:t>中小企业划型标准规定</w:t>
      </w:r>
    </w:p>
    <w:p>
      <w:pPr>
        <w:pStyle w:val="618"/>
        <w:adjustRightInd w:val="0"/>
        <w:spacing w:line="360" w:lineRule="auto"/>
        <w:ind w:firstLine="444" w:firstLineChars="200"/>
        <w:jc w:val="both"/>
        <w:rPr>
          <w:rFonts w:ascii="宋体" w:hAnsi="宋体" w:eastAsia="宋体" w:cs="宋体"/>
          <w:spacing w:val="6"/>
          <w:szCs w:val="21"/>
          <w:highlight w:val="none"/>
        </w:rPr>
      </w:pP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宋体" w:hAnsi="宋体" w:eastAsia="宋体" w:cs="宋体"/>
          <w:spacing w:val="6"/>
          <w:szCs w:val="21"/>
          <w:highlight w:val="none"/>
        </w:rPr>
        <w:t>国务院关于进一步促进中小企业发展的若干意见</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宋体" w:hAnsi="宋体" w:eastAsia="宋体" w:cs="宋体"/>
          <w:spacing w:val="6"/>
          <w:szCs w:val="21"/>
          <w:highlight w:val="none"/>
        </w:rPr>
        <w:t>国发〔2009〕36号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)，制定本规定。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四、各行业划型标准为：</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Ansi="宋体" w:cs="宋体"/>
          <w:b/>
          <w:szCs w:val="21"/>
          <w:highlight w:val="none"/>
        </w:rPr>
      </w:pPr>
      <w:r>
        <w:rPr>
          <w:rFonts w:hint="eastAsia" w:hAnsi="宋体" w:cs="宋体"/>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五、企业类型的划分以统计部门的统计数据为依据。</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九、本规定由工业和信息化部、国家统计局会同有关部门负责解释。</w:t>
      </w:r>
    </w:p>
    <w:p>
      <w:pPr>
        <w:pStyle w:val="618"/>
        <w:adjustRightInd w:val="0"/>
        <w:spacing w:line="360" w:lineRule="auto"/>
        <w:ind w:firstLine="444" w:firstLineChars="200"/>
        <w:jc w:val="both"/>
        <w:rPr>
          <w:rFonts w:ascii="宋体" w:hAnsi="宋体" w:eastAsia="宋体" w:cs="宋体"/>
          <w:spacing w:val="6"/>
          <w:szCs w:val="21"/>
          <w:highlight w:val="none"/>
        </w:rPr>
      </w:pPr>
      <w:r>
        <w:rPr>
          <w:rFonts w:hint="eastAsia" w:ascii="宋体" w:hAnsi="宋体" w:eastAsia="宋体"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宋体" w:hAnsi="宋体" w:eastAsia="宋体" w:cs="宋体"/>
          <w:spacing w:val="6"/>
          <w:szCs w:val="21"/>
          <w:highlight w:val="none"/>
        </w:rPr>
        <w:t>中小企业标准暂行规定</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宋体" w:hAnsi="宋体" w:eastAsia="宋体" w:cs="宋体"/>
          <w:spacing w:val="6"/>
          <w:szCs w:val="21"/>
          <w:highlight w:val="none"/>
        </w:rPr>
        <w:t>国经贸中小企[2003]143号</w:t>
      </w:r>
      <w:r>
        <w:rPr>
          <w:rFonts w:hint="eastAsia" w:ascii="宋体" w:hAnsi="宋体" w:eastAsia="宋体" w:cs="宋体"/>
          <w:spacing w:val="6"/>
          <w:szCs w:val="21"/>
          <w:highlight w:val="none"/>
        </w:rPr>
        <w:fldChar w:fldCharType="end"/>
      </w:r>
      <w:r>
        <w:rPr>
          <w:rFonts w:hint="eastAsia" w:ascii="宋体" w:hAnsi="宋体" w:eastAsia="宋体" w:cs="宋体"/>
          <w:spacing w:val="6"/>
          <w:szCs w:val="21"/>
          <w:highlight w:val="none"/>
        </w:rPr>
        <w:t>同时废止。</w:t>
      </w:r>
    </w:p>
    <w:p>
      <w:pPr>
        <w:spacing w:line="360" w:lineRule="auto"/>
        <w:rPr>
          <w:rFonts w:ascii="宋体" w:hAnsi="宋体" w:cs="宋体"/>
          <w:bCs/>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altName w:val="NumberOnly"/>
    <w:panose1 w:val="020B0602030504020204"/>
    <w:charset w:val="00"/>
    <w:family w:val="swiss"/>
    <w:pitch w:val="default"/>
    <w:sig w:usb0="00000000" w:usb1="00000000" w:usb2="00000000" w:usb3="00000000" w:csb0="20000001" w:csb1="0000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399" w:name="_Toc164085800"/>
    <w:bookmarkStart w:id="400" w:name="_Toc36110187"/>
    <w:bookmarkStart w:id="401" w:name="_Toc91899912"/>
    <w:bookmarkStart w:id="402" w:name="_Toc13184514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FB001493"/>
    <w:multiLevelType w:val="singleLevel"/>
    <w:tmpl w:val="FB001493"/>
    <w:lvl w:ilvl="0" w:tentative="0">
      <w:start w:val="4"/>
      <w:numFmt w:val="decimal"/>
      <w:suff w:val="nothing"/>
      <w:lvlText w:val="%1、"/>
      <w:lvlJc w:val="left"/>
    </w:lvl>
  </w:abstractNum>
  <w:abstractNum w:abstractNumId="2">
    <w:nsid w:val="50760D19"/>
    <w:multiLevelType w:val="multilevel"/>
    <w:tmpl w:val="50760D1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0BB5"/>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2B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405"/>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6010"/>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4E7"/>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F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5381C"/>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107940"/>
    <w:rsid w:val="09335624"/>
    <w:rsid w:val="0944690F"/>
    <w:rsid w:val="09535675"/>
    <w:rsid w:val="095F057D"/>
    <w:rsid w:val="09642282"/>
    <w:rsid w:val="09733572"/>
    <w:rsid w:val="09772C16"/>
    <w:rsid w:val="098353B5"/>
    <w:rsid w:val="09A92330"/>
    <w:rsid w:val="09B06B87"/>
    <w:rsid w:val="09C13146"/>
    <w:rsid w:val="09E04166"/>
    <w:rsid w:val="0A1C0718"/>
    <w:rsid w:val="0A234AF0"/>
    <w:rsid w:val="0A3E7710"/>
    <w:rsid w:val="0A5B7E63"/>
    <w:rsid w:val="0AA374A5"/>
    <w:rsid w:val="0AAB7649"/>
    <w:rsid w:val="0ABC5606"/>
    <w:rsid w:val="0ABC7BF2"/>
    <w:rsid w:val="0B30404E"/>
    <w:rsid w:val="0B4C6C14"/>
    <w:rsid w:val="0B5F21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53191"/>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B54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B69B6"/>
    <w:rsid w:val="150536C3"/>
    <w:rsid w:val="150C1963"/>
    <w:rsid w:val="151447A0"/>
    <w:rsid w:val="151C0144"/>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F0AF9"/>
    <w:rsid w:val="19932372"/>
    <w:rsid w:val="19A20DD5"/>
    <w:rsid w:val="19AE03F1"/>
    <w:rsid w:val="19BE2B43"/>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75CA4"/>
    <w:rsid w:val="1D266CE1"/>
    <w:rsid w:val="1D375715"/>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737F8A"/>
    <w:rsid w:val="22BE6801"/>
    <w:rsid w:val="22D9209E"/>
    <w:rsid w:val="22FC1B5E"/>
    <w:rsid w:val="233500BF"/>
    <w:rsid w:val="23377FF7"/>
    <w:rsid w:val="236B425F"/>
    <w:rsid w:val="236F2A07"/>
    <w:rsid w:val="23836192"/>
    <w:rsid w:val="23901F29"/>
    <w:rsid w:val="239C0061"/>
    <w:rsid w:val="23B908A4"/>
    <w:rsid w:val="23E95BEF"/>
    <w:rsid w:val="23FD0064"/>
    <w:rsid w:val="245375B0"/>
    <w:rsid w:val="24642C0A"/>
    <w:rsid w:val="24B22173"/>
    <w:rsid w:val="24B95AD9"/>
    <w:rsid w:val="24BE24DA"/>
    <w:rsid w:val="24CD76F9"/>
    <w:rsid w:val="24CF5825"/>
    <w:rsid w:val="24D663E6"/>
    <w:rsid w:val="24D77F2B"/>
    <w:rsid w:val="25063C67"/>
    <w:rsid w:val="251D38B6"/>
    <w:rsid w:val="255404D0"/>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777E9F"/>
    <w:rsid w:val="289F7086"/>
    <w:rsid w:val="28C32028"/>
    <w:rsid w:val="28C96277"/>
    <w:rsid w:val="28CC490F"/>
    <w:rsid w:val="28DE40AA"/>
    <w:rsid w:val="29084B3C"/>
    <w:rsid w:val="29345E77"/>
    <w:rsid w:val="294C65AD"/>
    <w:rsid w:val="29806583"/>
    <w:rsid w:val="298B3C4C"/>
    <w:rsid w:val="29F26D24"/>
    <w:rsid w:val="2A15033F"/>
    <w:rsid w:val="2A1662C1"/>
    <w:rsid w:val="2A1C7367"/>
    <w:rsid w:val="2A2815FA"/>
    <w:rsid w:val="2A6D6092"/>
    <w:rsid w:val="2A7D76B4"/>
    <w:rsid w:val="2B437463"/>
    <w:rsid w:val="2B7807EE"/>
    <w:rsid w:val="2BB37C7E"/>
    <w:rsid w:val="2BBF00EC"/>
    <w:rsid w:val="2BC37CFD"/>
    <w:rsid w:val="2BD5237F"/>
    <w:rsid w:val="2BE536CE"/>
    <w:rsid w:val="2BE758D9"/>
    <w:rsid w:val="2C09049E"/>
    <w:rsid w:val="2C0A653C"/>
    <w:rsid w:val="2C191F85"/>
    <w:rsid w:val="2C302A4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7E2405"/>
    <w:rsid w:val="319C6071"/>
    <w:rsid w:val="31AC537E"/>
    <w:rsid w:val="31DD40E4"/>
    <w:rsid w:val="31E3679B"/>
    <w:rsid w:val="31E732FD"/>
    <w:rsid w:val="32517576"/>
    <w:rsid w:val="32BE5C2C"/>
    <w:rsid w:val="32FB6478"/>
    <w:rsid w:val="33263B3F"/>
    <w:rsid w:val="3358590A"/>
    <w:rsid w:val="336963EB"/>
    <w:rsid w:val="33816EEB"/>
    <w:rsid w:val="33B421B0"/>
    <w:rsid w:val="33EB55CD"/>
    <w:rsid w:val="33EC4C02"/>
    <w:rsid w:val="340D2360"/>
    <w:rsid w:val="3410665D"/>
    <w:rsid w:val="34211214"/>
    <w:rsid w:val="342E63AB"/>
    <w:rsid w:val="34950E68"/>
    <w:rsid w:val="34986E94"/>
    <w:rsid w:val="34AF62C9"/>
    <w:rsid w:val="34CB4388"/>
    <w:rsid w:val="34FA6E12"/>
    <w:rsid w:val="35102382"/>
    <w:rsid w:val="358D5588"/>
    <w:rsid w:val="35AC645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9E51DD"/>
    <w:rsid w:val="38BC0149"/>
    <w:rsid w:val="38D87D1C"/>
    <w:rsid w:val="39636459"/>
    <w:rsid w:val="396B7F6C"/>
    <w:rsid w:val="39875C71"/>
    <w:rsid w:val="39B417A9"/>
    <w:rsid w:val="39FC5695"/>
    <w:rsid w:val="3A006D8E"/>
    <w:rsid w:val="3A3651E5"/>
    <w:rsid w:val="3A744481"/>
    <w:rsid w:val="3A8C7BEF"/>
    <w:rsid w:val="3A906246"/>
    <w:rsid w:val="3B2349B7"/>
    <w:rsid w:val="3B616CFF"/>
    <w:rsid w:val="3B6259F6"/>
    <w:rsid w:val="3B976654"/>
    <w:rsid w:val="3BC01EFC"/>
    <w:rsid w:val="3BCA786A"/>
    <w:rsid w:val="3BCB62E9"/>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B3D7E"/>
    <w:rsid w:val="4019356B"/>
    <w:rsid w:val="403F19DF"/>
    <w:rsid w:val="40592157"/>
    <w:rsid w:val="406E1CAE"/>
    <w:rsid w:val="40A0133A"/>
    <w:rsid w:val="40AA77F1"/>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15E78"/>
    <w:rsid w:val="44DE1391"/>
    <w:rsid w:val="451B225C"/>
    <w:rsid w:val="452410C9"/>
    <w:rsid w:val="45317DFB"/>
    <w:rsid w:val="456D3CE4"/>
    <w:rsid w:val="4579042C"/>
    <w:rsid w:val="457F0571"/>
    <w:rsid w:val="45851176"/>
    <w:rsid w:val="45C63B94"/>
    <w:rsid w:val="460220F5"/>
    <w:rsid w:val="460E7DA5"/>
    <w:rsid w:val="461B60BF"/>
    <w:rsid w:val="46422483"/>
    <w:rsid w:val="4659254A"/>
    <w:rsid w:val="465B0637"/>
    <w:rsid w:val="465E3F0D"/>
    <w:rsid w:val="466A16E6"/>
    <w:rsid w:val="46893F2B"/>
    <w:rsid w:val="46C4686E"/>
    <w:rsid w:val="4757089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37242"/>
    <w:rsid w:val="495F5B3E"/>
    <w:rsid w:val="496F77D7"/>
    <w:rsid w:val="497654FD"/>
    <w:rsid w:val="49B64211"/>
    <w:rsid w:val="49C95D67"/>
    <w:rsid w:val="49F6167F"/>
    <w:rsid w:val="4A064FA0"/>
    <w:rsid w:val="4A16615C"/>
    <w:rsid w:val="4A4424D7"/>
    <w:rsid w:val="4A9329EA"/>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B93F49"/>
    <w:rsid w:val="4E793892"/>
    <w:rsid w:val="4E800872"/>
    <w:rsid w:val="4EC569ED"/>
    <w:rsid w:val="4ED50EA1"/>
    <w:rsid w:val="4EEC050C"/>
    <w:rsid w:val="4F104EC3"/>
    <w:rsid w:val="4F47354A"/>
    <w:rsid w:val="4F911C54"/>
    <w:rsid w:val="4FE625E0"/>
    <w:rsid w:val="50121112"/>
    <w:rsid w:val="5021480F"/>
    <w:rsid w:val="50962ECB"/>
    <w:rsid w:val="50A42E38"/>
    <w:rsid w:val="50A4577F"/>
    <w:rsid w:val="50B73D1F"/>
    <w:rsid w:val="50BD5BC9"/>
    <w:rsid w:val="50C11EEE"/>
    <w:rsid w:val="50E97CFC"/>
    <w:rsid w:val="50FA4028"/>
    <w:rsid w:val="510D65B7"/>
    <w:rsid w:val="511157AB"/>
    <w:rsid w:val="512B480A"/>
    <w:rsid w:val="5142540C"/>
    <w:rsid w:val="51881D4D"/>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E3187"/>
    <w:rsid w:val="5397158E"/>
    <w:rsid w:val="54013861"/>
    <w:rsid w:val="54487265"/>
    <w:rsid w:val="544D6070"/>
    <w:rsid w:val="545522E3"/>
    <w:rsid w:val="54605E1E"/>
    <w:rsid w:val="54993378"/>
    <w:rsid w:val="54B3506A"/>
    <w:rsid w:val="54CA0D16"/>
    <w:rsid w:val="54CF5102"/>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6377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F17D5"/>
    <w:rsid w:val="59F80043"/>
    <w:rsid w:val="5A09252F"/>
    <w:rsid w:val="5A0B2778"/>
    <w:rsid w:val="5A2A7C7B"/>
    <w:rsid w:val="5A3E2560"/>
    <w:rsid w:val="5A5D3B6E"/>
    <w:rsid w:val="5A637A76"/>
    <w:rsid w:val="5A6971FD"/>
    <w:rsid w:val="5A6D33BA"/>
    <w:rsid w:val="5A792B1F"/>
    <w:rsid w:val="5A874767"/>
    <w:rsid w:val="5AAD6F28"/>
    <w:rsid w:val="5AD63A24"/>
    <w:rsid w:val="5B2E1A1D"/>
    <w:rsid w:val="5B843A1C"/>
    <w:rsid w:val="5B873E3F"/>
    <w:rsid w:val="5C014A74"/>
    <w:rsid w:val="5C02690E"/>
    <w:rsid w:val="5C196DA7"/>
    <w:rsid w:val="5C2A048C"/>
    <w:rsid w:val="5C80234E"/>
    <w:rsid w:val="5C8A680C"/>
    <w:rsid w:val="5D0C4701"/>
    <w:rsid w:val="5D0F0395"/>
    <w:rsid w:val="5D221076"/>
    <w:rsid w:val="5D397964"/>
    <w:rsid w:val="5D5A391C"/>
    <w:rsid w:val="5D5F10C0"/>
    <w:rsid w:val="5D8559C7"/>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E156E2"/>
    <w:rsid w:val="60F27F20"/>
    <w:rsid w:val="60FA2EE8"/>
    <w:rsid w:val="61054A27"/>
    <w:rsid w:val="610A52BC"/>
    <w:rsid w:val="611D2366"/>
    <w:rsid w:val="61421856"/>
    <w:rsid w:val="615227C4"/>
    <w:rsid w:val="61654E3F"/>
    <w:rsid w:val="6182292A"/>
    <w:rsid w:val="619F7F92"/>
    <w:rsid w:val="61F94C26"/>
    <w:rsid w:val="62000E56"/>
    <w:rsid w:val="62116833"/>
    <w:rsid w:val="624F3E49"/>
    <w:rsid w:val="62632286"/>
    <w:rsid w:val="62885958"/>
    <w:rsid w:val="62F40B65"/>
    <w:rsid w:val="62FC2CFE"/>
    <w:rsid w:val="63024505"/>
    <w:rsid w:val="635B1DB5"/>
    <w:rsid w:val="636A1CD7"/>
    <w:rsid w:val="63711FED"/>
    <w:rsid w:val="63880DDC"/>
    <w:rsid w:val="638D750D"/>
    <w:rsid w:val="63AC6CC0"/>
    <w:rsid w:val="64055776"/>
    <w:rsid w:val="64240056"/>
    <w:rsid w:val="643E143A"/>
    <w:rsid w:val="648B6EEF"/>
    <w:rsid w:val="64C158BF"/>
    <w:rsid w:val="64CE2EAA"/>
    <w:rsid w:val="64F30678"/>
    <w:rsid w:val="653C3090"/>
    <w:rsid w:val="65643CE2"/>
    <w:rsid w:val="65854376"/>
    <w:rsid w:val="658767BE"/>
    <w:rsid w:val="65892531"/>
    <w:rsid w:val="6589396E"/>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282D"/>
    <w:rsid w:val="69FD55B8"/>
    <w:rsid w:val="6A0B1C62"/>
    <w:rsid w:val="6A2406C8"/>
    <w:rsid w:val="6ADE0BD1"/>
    <w:rsid w:val="6AE96859"/>
    <w:rsid w:val="6B147746"/>
    <w:rsid w:val="6B24787C"/>
    <w:rsid w:val="6B573233"/>
    <w:rsid w:val="6B5B6274"/>
    <w:rsid w:val="6B6C68F1"/>
    <w:rsid w:val="6B935D53"/>
    <w:rsid w:val="6C196F71"/>
    <w:rsid w:val="6C226FCB"/>
    <w:rsid w:val="6C31226F"/>
    <w:rsid w:val="6C552F0B"/>
    <w:rsid w:val="6C8C67B7"/>
    <w:rsid w:val="6C9D744C"/>
    <w:rsid w:val="6D167928"/>
    <w:rsid w:val="6D26299B"/>
    <w:rsid w:val="6D4772EC"/>
    <w:rsid w:val="6D9078AF"/>
    <w:rsid w:val="6DAA3FEF"/>
    <w:rsid w:val="6DC0172B"/>
    <w:rsid w:val="6DC36570"/>
    <w:rsid w:val="6DCB690C"/>
    <w:rsid w:val="6DD41A5B"/>
    <w:rsid w:val="6DF43C2E"/>
    <w:rsid w:val="6DF51CA3"/>
    <w:rsid w:val="6E8335BD"/>
    <w:rsid w:val="6E8E12EF"/>
    <w:rsid w:val="6E972936"/>
    <w:rsid w:val="6ED446C5"/>
    <w:rsid w:val="6F2A7D94"/>
    <w:rsid w:val="6F8331F1"/>
    <w:rsid w:val="6FAE1A09"/>
    <w:rsid w:val="6FD75BF8"/>
    <w:rsid w:val="707723D0"/>
    <w:rsid w:val="709B4D00"/>
    <w:rsid w:val="70F5661B"/>
    <w:rsid w:val="71360107"/>
    <w:rsid w:val="713B688E"/>
    <w:rsid w:val="71D43752"/>
    <w:rsid w:val="71F1796A"/>
    <w:rsid w:val="72154626"/>
    <w:rsid w:val="72262B5D"/>
    <w:rsid w:val="72283FF7"/>
    <w:rsid w:val="722E7212"/>
    <w:rsid w:val="723A0474"/>
    <w:rsid w:val="725923E4"/>
    <w:rsid w:val="72864BF7"/>
    <w:rsid w:val="729023FC"/>
    <w:rsid w:val="72D100F6"/>
    <w:rsid w:val="73214D0C"/>
    <w:rsid w:val="73C0646E"/>
    <w:rsid w:val="742222F5"/>
    <w:rsid w:val="742C7C46"/>
    <w:rsid w:val="74476126"/>
    <w:rsid w:val="74706664"/>
    <w:rsid w:val="747F3682"/>
    <w:rsid w:val="749C4185"/>
    <w:rsid w:val="74DD5642"/>
    <w:rsid w:val="75067759"/>
    <w:rsid w:val="752E6DCD"/>
    <w:rsid w:val="7551380D"/>
    <w:rsid w:val="75600BE5"/>
    <w:rsid w:val="7564475C"/>
    <w:rsid w:val="7583797F"/>
    <w:rsid w:val="75B90985"/>
    <w:rsid w:val="75D20F1D"/>
    <w:rsid w:val="75DA2C18"/>
    <w:rsid w:val="75F54412"/>
    <w:rsid w:val="760F431B"/>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F0B7F"/>
    <w:rsid w:val="797E66A9"/>
    <w:rsid w:val="79A97383"/>
    <w:rsid w:val="79E27E8B"/>
    <w:rsid w:val="79F850CE"/>
    <w:rsid w:val="79FD443C"/>
    <w:rsid w:val="7A1D1975"/>
    <w:rsid w:val="7A3E5150"/>
    <w:rsid w:val="7A4670D6"/>
    <w:rsid w:val="7A534B63"/>
    <w:rsid w:val="7A615382"/>
    <w:rsid w:val="7A67303B"/>
    <w:rsid w:val="7AAB1D04"/>
    <w:rsid w:val="7ABA4368"/>
    <w:rsid w:val="7AD05746"/>
    <w:rsid w:val="7AE069B4"/>
    <w:rsid w:val="7AFC7554"/>
    <w:rsid w:val="7B257FFD"/>
    <w:rsid w:val="7B343476"/>
    <w:rsid w:val="7B3D658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C7738"/>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2"/>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5"/>
    <w:qFormat/>
    <w:uiPriority w:val="0"/>
    <w:pPr>
      <w:shd w:val="clear" w:color="auto" w:fill="000080"/>
    </w:pPr>
  </w:style>
  <w:style w:type="paragraph" w:styleId="22">
    <w:name w:val="annotation text"/>
    <w:basedOn w:val="1"/>
    <w:link w:val="853"/>
    <w:qFormat/>
    <w:uiPriority w:val="99"/>
    <w:pPr>
      <w:jc w:val="left"/>
    </w:pPr>
  </w:style>
  <w:style w:type="paragraph" w:styleId="23">
    <w:name w:val="Salutation"/>
    <w:basedOn w:val="1"/>
    <w:next w:val="1"/>
    <w:link w:val="813"/>
    <w:qFormat/>
    <w:uiPriority w:val="0"/>
    <w:rPr>
      <w:rFonts w:ascii="仿宋_GB2312" w:eastAsia="仿宋_GB2312"/>
      <w:sz w:val="28"/>
      <w:szCs w:val="20"/>
    </w:rPr>
  </w:style>
  <w:style w:type="paragraph" w:styleId="24">
    <w:name w:val="Body Text 3"/>
    <w:basedOn w:val="1"/>
    <w:link w:val="84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1"/>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line="259" w:lineRule="auto"/>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82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0"/>
    <w:qFormat/>
    <w:uiPriority w:val="0"/>
    <w:rPr>
      <w:b/>
      <w:bCs/>
    </w:rPr>
  </w:style>
  <w:style w:type="paragraph" w:styleId="62">
    <w:name w:val="Body Text First Indent 2"/>
    <w:basedOn w:val="26"/>
    <w:link w:val="65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line="259" w:lineRule="auto"/>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after="160" w:line="300" w:lineRule="auto"/>
    </w:pPr>
    <w:rPr>
      <w:rFonts w:ascii="Arial" w:hAnsi="Arial" w:eastAsia="宋体" w:cs="Times New Roman"/>
      <w:sz w:val="21"/>
      <w:szCs w:val="21"/>
      <w:lang w:val="en-US" w:eastAsia="zh-CN" w:bidi="ar-SA"/>
    </w:rPr>
  </w:style>
  <w:style w:type="paragraph" w:customStyle="1" w:styleId="90">
    <w:name w:val="表格名称"/>
    <w:basedOn w:val="6"/>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9"/>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spacing w:after="160" w:line="259" w:lineRule="auto"/>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9"/>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99"/>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8"/>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9"/>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pPr>
      <w:spacing w:after="160" w:line="259" w:lineRule="auto"/>
    </w:pPr>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160" w:afterLines="100" w:line="259" w:lineRule="auto"/>
      <w:jc w:val="center"/>
    </w:pPr>
    <w:rPr>
      <w:rFonts w:ascii="Arial" w:hAnsi="Arial" w:eastAsia="黑体" w:cs="宋体"/>
      <w:bCs/>
      <w:kern w:val="2"/>
      <w:sz w:val="52"/>
      <w:lang w:val="en-US" w:eastAsia="zh-CN" w:bidi="ar-SA"/>
    </w:rPr>
  </w:style>
  <w:style w:type="paragraph" w:customStyle="1" w:styleId="134">
    <w:name w:val="封面公司名"/>
    <w:qFormat/>
    <w:uiPriority w:val="0"/>
    <w:pPr>
      <w:spacing w:after="160" w:line="259" w:lineRule="auto"/>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line="259" w:lineRule="auto"/>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spacing w:after="160" w:line="259" w:lineRule="auto"/>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7"/>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0"/>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pPr>
      <w:spacing w:after="160" w:line="259" w:lineRule="auto"/>
    </w:pPr>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7"/>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line="259" w:lineRule="auto"/>
      <w:ind w:left="840" w:hanging="420"/>
      <w:jc w:val="both"/>
    </w:pPr>
    <w:rPr>
      <w:rFonts w:ascii="Arial" w:hAnsi="Arial" w:eastAsia="宋体" w:cs="Arial"/>
      <w:sz w:val="18"/>
      <w:szCs w:val="18"/>
      <w:lang w:val="en-US" w:eastAsia="zh-CN" w:bidi="ar-SA"/>
    </w:rPr>
  </w:style>
  <w:style w:type="paragraph" w:customStyle="1" w:styleId="200">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9"/>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spacing w:after="160" w:line="259" w:lineRule="auto"/>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60"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line="259" w:lineRule="auto"/>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line="259"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5"/>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spacing w:after="160" w:line="259" w:lineRule="auto"/>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line="259" w:lineRule="auto"/>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160" w:afterLines="50" w:line="259" w:lineRule="auto"/>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spacing w:after="160" w:line="259" w:lineRule="auto"/>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spacing w:after="160" w:line="259" w:lineRule="auto"/>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9"/>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line="259"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pPr>
      <w:spacing w:after="160" w:line="259" w:lineRule="auto"/>
    </w:pPr>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7"/>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51">
    <w:name w:val="修订3"/>
    <w:qFormat/>
    <w:uiPriority w:val="0"/>
    <w:pPr>
      <w:spacing w:after="160" w:line="259" w:lineRule="auto"/>
    </w:pPr>
    <w:rPr>
      <w:rFonts w:ascii="Times New Roman" w:hAnsi="Times New Roman" w:eastAsia="宋体" w:cs="Times New Roman"/>
      <w:kern w:val="2"/>
      <w:sz w:val="21"/>
      <w:lang w:val="en-US" w:eastAsia="zh-CN" w:bidi="ar-SA"/>
    </w:rPr>
  </w:style>
  <w:style w:type="paragraph" w:customStyle="1" w:styleId="452">
    <w:name w:val="CSS1级正文 Char"/>
    <w:basedOn w:val="2"/>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pPr>
      <w:spacing w:after="160" w:line="259" w:lineRule="auto"/>
    </w:pPr>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line="259" w:lineRule="auto"/>
      <w:jc w:val="right"/>
    </w:pPr>
    <w:rPr>
      <w:rFonts w:ascii="Times New Roman" w:hAnsi="Times New Roman" w:eastAsia="宋体" w:cs="Times New Roman"/>
      <w:sz w:val="21"/>
      <w:lang w:val="en-US" w:eastAsia="zh-CN" w:bidi="ar-SA"/>
    </w:rPr>
  </w:style>
  <w:style w:type="paragraph" w:customStyle="1" w:styleId="464">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spacing w:after="160" w:line="259" w:lineRule="auto"/>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1">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line="259" w:lineRule="auto"/>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1"/>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spacing w:after="160" w:line="259"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0"/>
    <w:next w:val="1"/>
    <w:qFormat/>
    <w:uiPriority w:val="0"/>
    <w:pPr>
      <w:tabs>
        <w:tab w:val="left" w:pos="1080"/>
        <w:tab w:val="clear" w:pos="1008"/>
      </w:tabs>
      <w:ind w:left="1080" w:hanging="1080"/>
    </w:pPr>
  </w:style>
  <w:style w:type="paragraph" w:customStyle="1" w:styleId="580">
    <w:name w:val="数字标题1"/>
    <w:basedOn w:val="5"/>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spacing w:after="160" w:line="259" w:lineRule="auto"/>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spacing w:after="160" w:line="259" w:lineRule="auto"/>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6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0"/>
    <w:qFormat/>
    <w:uiPriority w:val="0"/>
    <w:rPr>
      <w:rFonts w:ascii="Arial" w:hAnsi="Arial" w:eastAsia="黑体" w:cs="Arial"/>
      <w:snapToGrid w:val="0"/>
      <w:kern w:val="0"/>
      <w:szCs w:val="21"/>
    </w:rPr>
  </w:style>
  <w:style w:type="character" w:customStyle="1" w:styleId="65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11"/>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8"/>
    <w:qFormat/>
    <w:uiPriority w:val="0"/>
    <w:rPr>
      <w:rFonts w:ascii="宋体"/>
      <w:kern w:val="2"/>
      <w:sz w:val="24"/>
      <w:szCs w:val="21"/>
      <w:lang w:val="zh-CN"/>
    </w:rPr>
  </w:style>
  <w:style w:type="character" w:customStyle="1" w:styleId="708">
    <w:name w:val="标题 9 字符"/>
    <w:link w:val="14"/>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字符2"/>
    <w:link w:val="8"/>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21"/>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0"/>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9"/>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5"/>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10"/>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3"/>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8"/>
    <w:qFormat/>
    <w:uiPriority w:val="0"/>
    <w:rPr>
      <w:rFonts w:ascii="黑体" w:hAnsi="Courier New" w:eastAsia="黑体"/>
    </w:rPr>
  </w:style>
  <w:style w:type="character" w:customStyle="1" w:styleId="817">
    <w:name w:val="正文文本 2 字符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12"/>
    <w:qFormat/>
    <w:uiPriority w:val="0"/>
    <w:rPr>
      <w:b/>
      <w:bCs/>
      <w:kern w:val="2"/>
      <w:sz w:val="24"/>
      <w:szCs w:val="24"/>
    </w:rPr>
  </w:style>
  <w:style w:type="character" w:customStyle="1" w:styleId="821">
    <w:name w:val="正文文本缩进 2 字符"/>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99"/>
    <w:rPr>
      <w:rFonts w:ascii="宋体" w:hAnsi="Courier New"/>
    </w:rPr>
  </w:style>
  <w:style w:type="character" w:customStyle="1" w:styleId="832">
    <w:name w:val="正文文本首行缩进 字符"/>
    <w:link w:val="3"/>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9"/>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4"/>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22"/>
    <w:qFormat/>
    <w:uiPriority w:val="99"/>
    <w:rPr>
      <w:kern w:val="2"/>
      <w:sz w:val="21"/>
      <w:szCs w:val="24"/>
    </w:rPr>
  </w:style>
  <w:style w:type="character" w:customStyle="1" w:styleId="854">
    <w:name w:val="签名 字符"/>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字符"/>
    <w:link w:val="13"/>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0"/>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1">
    <w:name w:val="gray6"/>
    <w:basedOn w:val="70"/>
    <w:qFormat/>
    <w:uiPriority w:val="0"/>
    <w:rPr>
      <w:rFonts w:ascii="Arial" w:hAnsi="Arial" w:eastAsia="黑体" w:cs="Arial"/>
      <w:snapToGrid w:val="0"/>
      <w:kern w:val="0"/>
      <w:szCs w:val="21"/>
    </w:rPr>
  </w:style>
  <w:style w:type="character" w:customStyle="1" w:styleId="932">
    <w:name w:val="hui"/>
    <w:basedOn w:val="70"/>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40"/>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0"/>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94DCB-7536-4506-BDDE-182A032350B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129</Pages>
  <Words>57052</Words>
  <Characters>61225</Characters>
  <Lines>446</Lines>
  <Paragraphs>125</Paragraphs>
  <TotalTime>45</TotalTime>
  <ScaleCrop>false</ScaleCrop>
  <LinksUpToDate>false</LinksUpToDate>
  <CharactersWithSpaces>62432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杭州瑞拓工程咨询有限公司</cp:lastModifiedBy>
  <cp:lastPrinted>2021-12-27T03:06:00Z</cp:lastPrinted>
  <dcterms:modified xsi:type="dcterms:W3CDTF">2022-05-23T07:56:15Z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CA897B8260C24DABA99BA9A03AD383CB</vt:lpwstr>
  </property>
</Properties>
</file>