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jc w:val="center"/>
        <w:rPr>
          <w:rFonts w:hint="eastAsia" w:ascii="宋体" w:hAnsi="宋体" w:eastAsia="宋体" w:cs="宋体"/>
          <w:b/>
          <w:bCs/>
          <w:color w:val="auto"/>
          <w:spacing w:val="6"/>
          <w:sz w:val="44"/>
          <w:szCs w:val="44"/>
          <w:highlight w:val="none"/>
          <w:lang w:eastAsia="zh-CN"/>
        </w:rPr>
      </w:pPr>
      <w:r>
        <w:rPr>
          <w:rFonts w:hint="eastAsia" w:ascii="宋体" w:hAnsi="宋体" w:cs="宋体"/>
          <w:b/>
          <w:bCs/>
          <w:color w:val="auto"/>
          <w:sz w:val="44"/>
          <w:szCs w:val="44"/>
          <w:highlight w:val="none"/>
          <w:lang w:eastAsia="zh-CN"/>
        </w:rPr>
        <w:t>临平区教育系统护眼灯光改造项目</w:t>
      </w:r>
    </w:p>
    <w:p>
      <w:pPr>
        <w:widowControl w:val="0"/>
        <w:wordWrap/>
        <w:adjustRightInd/>
        <w:snapToGrid/>
        <w:spacing w:line="800" w:lineRule="exact"/>
        <w:jc w:val="center"/>
        <w:textAlignment w:val="auto"/>
        <w:rPr>
          <w:rFonts w:ascii="宋体" w:hAnsi="宋体" w:cs="宋体"/>
          <w:b/>
          <w:bCs/>
          <w:color w:val="auto"/>
          <w:spacing w:val="6"/>
          <w:sz w:val="44"/>
          <w:szCs w:val="44"/>
          <w:highlight w:val="none"/>
        </w:rPr>
      </w:pPr>
    </w:p>
    <w:p>
      <w:pPr>
        <w:pStyle w:val="27"/>
        <w:widowControl w:val="0"/>
        <w:wordWrap/>
        <w:adjustRightInd/>
        <w:snapToGrid/>
        <w:spacing w:after="0" w:line="800" w:lineRule="exact"/>
        <w:ind w:left="0" w:leftChars="0" w:firstLine="0" w:firstLineChars="0"/>
        <w:jc w:val="center"/>
        <w:textAlignment w:val="auto"/>
        <w:rPr>
          <w:rFonts w:cs="宋体"/>
          <w:color w:val="auto"/>
          <w:highlight w:val="none"/>
        </w:rPr>
      </w:pPr>
    </w:p>
    <w:p>
      <w:pPr>
        <w:widowControl w:val="0"/>
        <w:wordWrap/>
        <w:adjustRightInd/>
        <w:snapToGrid/>
        <w:spacing w:line="800" w:lineRule="exact"/>
        <w:jc w:val="center"/>
        <w:textAlignment w:val="auto"/>
        <w:rPr>
          <w:rFonts w:ascii="宋体" w:hAnsi="宋体" w:cs="宋体"/>
          <w:b/>
          <w:bCs/>
          <w:color w:val="auto"/>
          <w:spacing w:val="6"/>
          <w:sz w:val="44"/>
          <w:szCs w:val="44"/>
          <w:highlight w:val="none"/>
        </w:rPr>
      </w:pPr>
    </w:p>
    <w:p>
      <w:pPr>
        <w:widowControl w:val="0"/>
        <w:wordWrap/>
        <w:adjustRightInd/>
        <w:snapToGrid/>
        <w:spacing w:line="800" w:lineRule="exact"/>
        <w:jc w:val="center"/>
        <w:textAlignment w:val="auto"/>
        <w:rPr>
          <w:rFonts w:ascii="宋体" w:hAnsi="宋体" w:cs="宋体"/>
          <w:b/>
          <w:bCs/>
          <w:color w:val="auto"/>
          <w:spacing w:val="6"/>
          <w:sz w:val="44"/>
          <w:szCs w:val="44"/>
          <w:highlight w:val="none"/>
        </w:rPr>
      </w:pPr>
    </w:p>
    <w:p>
      <w:pPr>
        <w:pStyle w:val="27"/>
        <w:widowControl w:val="0"/>
        <w:wordWrap/>
        <w:adjustRightInd/>
        <w:snapToGrid/>
        <w:spacing w:after="0" w:line="800" w:lineRule="exact"/>
        <w:ind w:left="0" w:leftChars="0" w:firstLine="0" w:firstLineChars="0"/>
        <w:jc w:val="center"/>
        <w:textAlignment w:val="auto"/>
        <w:rPr>
          <w:rFonts w:cs="宋体"/>
          <w:color w:val="auto"/>
          <w:highlight w:val="none"/>
        </w:rPr>
      </w:pPr>
    </w:p>
    <w:p>
      <w:pPr>
        <w:jc w:val="center"/>
        <w:rPr>
          <w:rFonts w:ascii="宋体" w:hAnsi="宋体" w:cs="宋体"/>
          <w:b/>
          <w:bCs/>
          <w:color w:val="auto"/>
          <w:sz w:val="84"/>
          <w:szCs w:val="84"/>
          <w:highlight w:val="none"/>
        </w:rPr>
      </w:pPr>
      <w:r>
        <w:rPr>
          <w:rFonts w:hint="eastAsia" w:ascii="宋体" w:hAnsi="宋体" w:cs="宋体"/>
          <w:b/>
          <w:bCs/>
          <w:color w:val="auto"/>
          <w:sz w:val="84"/>
          <w:szCs w:val="84"/>
          <w:highlight w:val="none"/>
        </w:rPr>
        <w:t>招</w:t>
      </w:r>
      <w:r>
        <w:rPr>
          <w:rFonts w:hint="eastAsia" w:ascii="宋体" w:hAnsi="宋体" w:cs="宋体"/>
          <w:b/>
          <w:bCs/>
          <w:color w:val="auto"/>
          <w:sz w:val="84"/>
          <w:szCs w:val="84"/>
          <w:highlight w:val="none"/>
          <w:lang w:val="en-US" w:eastAsia="zh-CN"/>
        </w:rPr>
        <w:t xml:space="preserve"> </w:t>
      </w:r>
      <w:r>
        <w:rPr>
          <w:rFonts w:hint="eastAsia" w:ascii="宋体" w:hAnsi="宋体" w:cs="宋体"/>
          <w:b/>
          <w:bCs/>
          <w:color w:val="auto"/>
          <w:sz w:val="84"/>
          <w:szCs w:val="84"/>
          <w:highlight w:val="none"/>
        </w:rPr>
        <w:t>标</w:t>
      </w:r>
      <w:r>
        <w:rPr>
          <w:rFonts w:hint="eastAsia" w:ascii="宋体" w:hAnsi="宋体" w:cs="宋体"/>
          <w:b/>
          <w:bCs/>
          <w:color w:val="auto"/>
          <w:sz w:val="84"/>
          <w:szCs w:val="84"/>
          <w:highlight w:val="none"/>
          <w:lang w:val="en-US" w:eastAsia="zh-CN"/>
        </w:rPr>
        <w:t xml:space="preserve"> </w:t>
      </w:r>
      <w:r>
        <w:rPr>
          <w:rFonts w:hint="eastAsia" w:ascii="宋体" w:hAnsi="宋体" w:cs="宋体"/>
          <w:b/>
          <w:bCs/>
          <w:color w:val="auto"/>
          <w:sz w:val="84"/>
          <w:szCs w:val="84"/>
          <w:highlight w:val="none"/>
        </w:rPr>
        <w:t>文</w:t>
      </w:r>
      <w:r>
        <w:rPr>
          <w:rFonts w:hint="eastAsia" w:ascii="宋体" w:hAnsi="宋体" w:cs="宋体"/>
          <w:b/>
          <w:bCs/>
          <w:color w:val="auto"/>
          <w:sz w:val="84"/>
          <w:szCs w:val="84"/>
          <w:highlight w:val="none"/>
          <w:lang w:val="en-US" w:eastAsia="zh-CN"/>
        </w:rPr>
        <w:t xml:space="preserve"> </w:t>
      </w:r>
      <w:r>
        <w:rPr>
          <w:rFonts w:hint="eastAsia" w:ascii="宋体" w:hAnsi="宋体" w:cs="宋体"/>
          <w:b/>
          <w:bCs/>
          <w:color w:val="auto"/>
          <w:sz w:val="84"/>
          <w:szCs w:val="84"/>
          <w:highlight w:val="none"/>
        </w:rPr>
        <w:t>件</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（电子招投标）</w:t>
      </w: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编号：RTZFCG-2022-012</w:t>
      </w:r>
      <w:r>
        <w:rPr>
          <w:rFonts w:hint="eastAsia" w:ascii="宋体" w:hAnsi="宋体" w:cs="宋体"/>
          <w:b/>
          <w:bCs/>
          <w:color w:val="auto"/>
          <w:sz w:val="32"/>
          <w:szCs w:val="32"/>
          <w:highlight w:val="none"/>
          <w:lang w:val="en-US" w:eastAsia="zh-CN"/>
        </w:rPr>
        <w:t xml:space="preserve">   </w:t>
      </w:r>
    </w:p>
    <w:p>
      <w:pPr>
        <w:widowControl w:val="0"/>
        <w:wordWrap/>
        <w:adjustRightInd/>
        <w:snapToGrid/>
        <w:spacing w:line="800" w:lineRule="exact"/>
        <w:jc w:val="center"/>
        <w:textAlignment w:val="auto"/>
        <w:rPr>
          <w:rFonts w:ascii="宋体" w:hAnsi="宋体" w:cs="宋体"/>
          <w:b/>
          <w:bCs/>
          <w:color w:val="auto"/>
          <w:spacing w:val="6"/>
          <w:sz w:val="44"/>
          <w:szCs w:val="44"/>
          <w:highlight w:val="none"/>
        </w:rPr>
      </w:pPr>
    </w:p>
    <w:p>
      <w:pPr>
        <w:pStyle w:val="27"/>
        <w:widowControl w:val="0"/>
        <w:wordWrap/>
        <w:adjustRightInd/>
        <w:snapToGrid/>
        <w:spacing w:after="0" w:line="800" w:lineRule="exact"/>
        <w:ind w:left="0" w:leftChars="0" w:firstLine="0" w:firstLineChars="0"/>
        <w:jc w:val="center"/>
        <w:textAlignment w:val="auto"/>
        <w:rPr>
          <w:rFonts w:cs="宋体"/>
          <w:color w:val="auto"/>
          <w:highlight w:val="none"/>
        </w:rPr>
      </w:pPr>
    </w:p>
    <w:p>
      <w:pPr>
        <w:widowControl w:val="0"/>
        <w:wordWrap/>
        <w:adjustRightInd/>
        <w:snapToGrid/>
        <w:spacing w:line="800" w:lineRule="exact"/>
        <w:jc w:val="center"/>
        <w:textAlignment w:val="auto"/>
        <w:rPr>
          <w:rFonts w:ascii="宋体" w:hAnsi="宋体" w:cs="宋体"/>
          <w:b/>
          <w:bCs/>
          <w:color w:val="auto"/>
          <w:spacing w:val="6"/>
          <w:sz w:val="44"/>
          <w:szCs w:val="44"/>
          <w:highlight w:val="none"/>
        </w:rPr>
      </w:pPr>
    </w:p>
    <w:p>
      <w:pPr>
        <w:widowControl w:val="0"/>
        <w:wordWrap/>
        <w:adjustRightInd/>
        <w:snapToGrid/>
        <w:spacing w:line="800" w:lineRule="exact"/>
        <w:jc w:val="center"/>
        <w:textAlignment w:val="auto"/>
        <w:rPr>
          <w:rFonts w:ascii="宋体" w:hAnsi="宋体" w:cs="宋体"/>
          <w:b/>
          <w:bCs/>
          <w:color w:val="auto"/>
          <w:spacing w:val="6"/>
          <w:sz w:val="44"/>
          <w:szCs w:val="44"/>
          <w:highlight w:val="none"/>
        </w:rPr>
      </w:pPr>
    </w:p>
    <w:p>
      <w:pPr>
        <w:pStyle w:val="27"/>
        <w:widowControl w:val="0"/>
        <w:wordWrap/>
        <w:adjustRightInd/>
        <w:snapToGrid/>
        <w:spacing w:after="0" w:line="800" w:lineRule="exact"/>
        <w:ind w:left="0" w:leftChars="0" w:firstLine="0" w:firstLineChars="0"/>
        <w:jc w:val="center"/>
        <w:textAlignment w:val="auto"/>
        <w:rPr>
          <w:rFonts w:cs="宋体"/>
          <w:color w:val="auto"/>
          <w:highlight w:val="none"/>
        </w:rPr>
      </w:pPr>
    </w:p>
    <w:p>
      <w:pPr>
        <w:jc w:val="center"/>
        <w:rPr>
          <w:rFonts w:hint="eastAsia" w:ascii="宋体" w:hAnsi="宋体" w:eastAsia="宋体" w:cs="宋体"/>
          <w:b/>
          <w:bCs/>
          <w:color w:val="auto"/>
          <w:sz w:val="28"/>
          <w:szCs w:val="28"/>
          <w:highlight w:val="none"/>
          <w:lang w:eastAsia="zh-CN"/>
        </w:rPr>
      </w:pPr>
      <w:r>
        <w:rPr>
          <w:rFonts w:hint="eastAsia" w:ascii="宋体" w:hAnsi="宋体" w:cs="宋体"/>
          <w:b/>
          <w:bCs/>
          <w:color w:val="auto"/>
          <w:sz w:val="28"/>
          <w:szCs w:val="28"/>
          <w:highlight w:val="none"/>
        </w:rPr>
        <w:t>采购人：</w:t>
      </w:r>
      <w:r>
        <w:rPr>
          <w:rFonts w:hint="eastAsia" w:ascii="宋体" w:hAnsi="宋体" w:cs="宋体"/>
          <w:b/>
          <w:bCs/>
          <w:color w:val="auto"/>
          <w:sz w:val="28"/>
          <w:szCs w:val="28"/>
          <w:highlight w:val="none"/>
          <w:lang w:eastAsia="zh-CN"/>
        </w:rPr>
        <w:t>杭州市临平区教育综合服务中心</w:t>
      </w:r>
    </w:p>
    <w:p>
      <w:pPr>
        <w:jc w:val="center"/>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采购代理机构：杭州瑞拓工程咨询有限公司</w:t>
      </w:r>
    </w:p>
    <w:p>
      <w:pPr>
        <w:jc w:val="center"/>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二〇二二年</w:t>
      </w:r>
      <w:r>
        <w:rPr>
          <w:rFonts w:hint="eastAsia" w:ascii="宋体" w:hAnsi="宋体" w:cs="宋体"/>
          <w:b/>
          <w:bCs/>
          <w:color w:val="auto"/>
          <w:sz w:val="28"/>
          <w:szCs w:val="28"/>
          <w:highlight w:val="none"/>
          <w:lang w:val="en-US" w:eastAsia="zh-CN"/>
        </w:rPr>
        <w:t>三</w:t>
      </w:r>
      <w:r>
        <w:rPr>
          <w:rFonts w:hint="eastAsia" w:ascii="宋体" w:hAnsi="宋体" w:cs="宋体"/>
          <w:b/>
          <w:bCs/>
          <w:color w:val="auto"/>
          <w:sz w:val="28"/>
          <w:szCs w:val="28"/>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jc w:val="center"/>
        <w:rPr>
          <w:b/>
          <w:bCs/>
          <w:color w:val="auto"/>
          <w:sz w:val="44"/>
          <w:szCs w:val="44"/>
          <w:highlight w:val="none"/>
        </w:rPr>
      </w:pPr>
      <w:r>
        <w:rPr>
          <w:rFonts w:hint="eastAsia"/>
          <w:b/>
          <w:bCs/>
          <w:color w:val="auto"/>
          <w:sz w:val="44"/>
          <w:szCs w:val="44"/>
          <w:highlight w:val="none"/>
        </w:rPr>
        <w:t>目  录</w:t>
      </w:r>
    </w:p>
    <w:p>
      <w:pPr>
        <w:spacing w:line="360" w:lineRule="auto"/>
        <w:rPr>
          <w:rFonts w:ascii="宋体" w:hAnsi="宋体" w:cs="宋体"/>
          <w:color w:val="auto"/>
          <w:sz w:val="32"/>
          <w:szCs w:val="32"/>
          <w:highlight w:val="none"/>
        </w:rPr>
      </w:pPr>
    </w:p>
    <w:p>
      <w:pPr>
        <w:spacing w:line="600" w:lineRule="atLeast"/>
        <w:rPr>
          <w:color w:val="auto"/>
          <w:sz w:val="24"/>
          <w:highlight w:val="none"/>
        </w:rPr>
      </w:pPr>
      <w:r>
        <w:rPr>
          <w:rFonts w:hint="eastAsia"/>
          <w:color w:val="auto"/>
          <w:sz w:val="24"/>
          <w:highlight w:val="none"/>
        </w:rPr>
        <w:t>第一部分      招标公告</w:t>
      </w:r>
    </w:p>
    <w:p>
      <w:pPr>
        <w:spacing w:line="600" w:lineRule="atLeast"/>
        <w:rPr>
          <w:color w:val="auto"/>
          <w:sz w:val="24"/>
          <w:highlight w:val="none"/>
        </w:rPr>
      </w:pPr>
      <w:r>
        <w:rPr>
          <w:rFonts w:hint="eastAsia"/>
          <w:color w:val="auto"/>
          <w:sz w:val="24"/>
          <w:highlight w:val="none"/>
        </w:rPr>
        <w:t>第二部分      投标人须知</w:t>
      </w:r>
    </w:p>
    <w:p>
      <w:pPr>
        <w:spacing w:line="600" w:lineRule="atLeast"/>
        <w:rPr>
          <w:color w:val="auto"/>
          <w:sz w:val="24"/>
          <w:highlight w:val="none"/>
        </w:rPr>
      </w:pPr>
      <w:r>
        <w:rPr>
          <w:rFonts w:hint="eastAsia"/>
          <w:color w:val="auto"/>
          <w:sz w:val="24"/>
          <w:highlight w:val="none"/>
        </w:rPr>
        <w:t>第三部分      采购需求</w:t>
      </w:r>
    </w:p>
    <w:p>
      <w:pPr>
        <w:spacing w:line="600" w:lineRule="atLeast"/>
        <w:rPr>
          <w:color w:val="auto"/>
          <w:sz w:val="24"/>
          <w:highlight w:val="none"/>
        </w:rPr>
      </w:pPr>
      <w:r>
        <w:rPr>
          <w:rFonts w:hint="eastAsia"/>
          <w:color w:val="auto"/>
          <w:sz w:val="24"/>
          <w:highlight w:val="none"/>
        </w:rPr>
        <w:t>第四部分      评标办法</w:t>
      </w:r>
    </w:p>
    <w:p>
      <w:pPr>
        <w:spacing w:line="600" w:lineRule="atLeast"/>
        <w:rPr>
          <w:color w:val="auto"/>
          <w:sz w:val="24"/>
          <w:highlight w:val="none"/>
        </w:rPr>
      </w:pPr>
      <w:r>
        <w:rPr>
          <w:rFonts w:hint="eastAsia"/>
          <w:color w:val="auto"/>
          <w:sz w:val="24"/>
          <w:highlight w:val="none"/>
        </w:rPr>
        <w:t>第五部分      拟签订的合同文本</w:t>
      </w:r>
    </w:p>
    <w:p>
      <w:pPr>
        <w:spacing w:line="600" w:lineRule="atLeast"/>
        <w:rPr>
          <w:color w:val="auto"/>
          <w:sz w:val="24"/>
          <w:highlight w:val="none"/>
        </w:rPr>
      </w:pPr>
      <w:r>
        <w:rPr>
          <w:rFonts w:hint="eastAsia"/>
          <w:color w:val="auto"/>
          <w:sz w:val="24"/>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bookmarkEnd w:id="2"/>
    <w:p>
      <w:pPr>
        <w:adjustRightInd/>
        <w:jc w:val="center"/>
        <w:outlineLvl w:val="0"/>
        <w:rPr>
          <w:rFonts w:ascii="宋体" w:hAnsi="宋体" w:cs="宋体"/>
          <w:b/>
          <w:color w:val="auto"/>
          <w:sz w:val="28"/>
          <w:szCs w:val="28"/>
          <w:highlight w:val="none"/>
        </w:rPr>
      </w:pPr>
      <w:bookmarkStart w:id="3" w:name="第二部分"/>
      <w:bookmarkStart w:id="4" w:name="_Toc91899870"/>
      <w:bookmarkStart w:id="5" w:name="_Toc91899871"/>
    </w:p>
    <w:p>
      <w:pPr>
        <w:pStyle w:val="26"/>
        <w:ind w:firstLine="562"/>
        <w:rPr>
          <w:rFonts w:cs="宋体"/>
          <w:b/>
          <w:color w:val="auto"/>
          <w:sz w:val="28"/>
          <w:szCs w:val="28"/>
          <w:highlight w:val="none"/>
        </w:rPr>
      </w:pPr>
    </w:p>
    <w:p>
      <w:pPr>
        <w:pStyle w:val="27"/>
        <w:ind w:firstLine="562"/>
        <w:rPr>
          <w:rFonts w:cs="宋体"/>
          <w:b/>
          <w:color w:val="auto"/>
          <w:sz w:val="28"/>
          <w:szCs w:val="28"/>
          <w:highlight w:val="none"/>
        </w:rPr>
      </w:pPr>
    </w:p>
    <w:p>
      <w:pPr>
        <w:pStyle w:val="27"/>
        <w:ind w:firstLine="562"/>
        <w:rPr>
          <w:rFonts w:cs="宋体"/>
          <w:b/>
          <w:color w:val="auto"/>
          <w:sz w:val="28"/>
          <w:szCs w:val="28"/>
          <w:highlight w:val="none"/>
        </w:rPr>
      </w:pPr>
    </w:p>
    <w:p>
      <w:pPr>
        <w:adjustRightInd/>
        <w:jc w:val="center"/>
        <w:outlineLvl w:val="0"/>
        <w:rPr>
          <w:rFonts w:ascii="宋体" w:hAnsi="宋体" w:cs="宋体"/>
          <w:b/>
          <w:color w:val="auto"/>
          <w:sz w:val="28"/>
          <w:szCs w:val="28"/>
          <w:highlight w:val="none"/>
        </w:rPr>
      </w:pPr>
    </w:p>
    <w:p>
      <w:pPr>
        <w:adjustRightInd/>
        <w:jc w:val="center"/>
        <w:outlineLvl w:val="0"/>
        <w:rPr>
          <w:rFonts w:ascii="宋体" w:hAnsi="宋体" w:cs="宋体"/>
          <w:b/>
          <w:color w:val="auto"/>
          <w:sz w:val="28"/>
          <w:szCs w:val="28"/>
          <w:highlight w:val="none"/>
        </w:rPr>
      </w:pPr>
    </w:p>
    <w:p>
      <w:pPr>
        <w:adjustRightInd/>
        <w:jc w:val="center"/>
        <w:outlineLvl w:val="0"/>
        <w:rPr>
          <w:rFonts w:ascii="宋体" w:hAnsi="宋体" w:cs="宋体"/>
          <w:b/>
          <w:color w:val="auto"/>
          <w:sz w:val="28"/>
          <w:szCs w:val="28"/>
          <w:highlight w:val="none"/>
        </w:rPr>
      </w:pPr>
    </w:p>
    <w:p>
      <w:pPr>
        <w:adjustRightInd/>
        <w:jc w:val="center"/>
        <w:outlineLvl w:val="0"/>
        <w:rPr>
          <w:rFonts w:ascii="宋体" w:hAnsi="宋体" w:cs="宋体"/>
          <w:b/>
          <w:color w:val="auto"/>
          <w:sz w:val="28"/>
          <w:szCs w:val="28"/>
          <w:highlight w:val="none"/>
        </w:rPr>
      </w:pPr>
    </w:p>
    <w:p>
      <w:pPr>
        <w:adjustRightInd/>
        <w:jc w:val="center"/>
        <w:outlineLvl w:val="0"/>
        <w:rPr>
          <w:rFonts w:ascii="宋体" w:hAnsi="宋体" w:cs="宋体"/>
          <w:b/>
          <w:color w:val="auto"/>
          <w:sz w:val="36"/>
          <w:szCs w:val="20"/>
          <w:highlight w:val="none"/>
        </w:rPr>
      </w:pPr>
      <w:r>
        <w:rPr>
          <w:rFonts w:hint="eastAsia" w:ascii="宋体" w:hAnsi="宋体" w:cs="宋体"/>
          <w:b/>
          <w:color w:val="auto"/>
          <w:sz w:val="28"/>
          <w:szCs w:val="28"/>
          <w:highlight w:val="none"/>
        </w:rPr>
        <w:t>第一部分 招标公告</w:t>
      </w:r>
    </w:p>
    <w:p>
      <w:pPr>
        <w:pBdr>
          <w:top w:val="single" w:color="auto" w:sz="4" w:space="1"/>
          <w:left w:val="single" w:color="auto" w:sz="4" w:space="4"/>
          <w:bottom w:val="single" w:color="auto" w:sz="4" w:space="1"/>
          <w:right w:val="single" w:color="auto" w:sz="4" w:space="4"/>
        </w:pBdr>
        <w:spacing w:line="600" w:lineRule="atLeast"/>
        <w:ind w:firstLine="4320" w:firstLineChars="18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600" w:lineRule="atLeast"/>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u w:val="single"/>
          <w:lang w:eastAsia="zh-CN"/>
        </w:rPr>
        <w:t>临平区教育系统护眼灯光改造项目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w:t>
      </w:r>
      <w:r>
        <w:rPr>
          <w:rFonts w:hint="eastAsia" w:ascii="宋体" w:hAnsi="宋体" w:cs="宋体"/>
          <w:color w:val="auto"/>
          <w:sz w:val="24"/>
          <w:szCs w:val="24"/>
          <w:highlight w:val="none"/>
          <w:u w:val="single"/>
          <w:lang w:eastAsia="zh-CN"/>
        </w:rPr>
        <w:t>2022年</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25</w:t>
      </w:r>
      <w:r>
        <w:rPr>
          <w:rFonts w:hint="eastAsia" w:ascii="宋体" w:hAnsi="宋体" w:cs="宋体"/>
          <w:color w:val="auto"/>
          <w:sz w:val="24"/>
          <w:szCs w:val="24"/>
          <w:highlight w:val="none"/>
          <w:u w:val="single"/>
          <w:lang w:eastAsia="zh-CN"/>
        </w:rPr>
        <w:t>日</w:t>
      </w:r>
      <w:r>
        <w:rPr>
          <w:rFonts w:hint="eastAsia" w:ascii="宋体" w:hAnsi="宋体" w:cs="宋体"/>
          <w:color w:val="auto"/>
          <w:sz w:val="24"/>
          <w:szCs w:val="24"/>
          <w:highlight w:val="none"/>
          <w:u w:val="single"/>
          <w:lang w:val="en-US" w:eastAsia="zh-CN"/>
        </w:rPr>
        <w:t>9</w:t>
      </w:r>
      <w:r>
        <w:rPr>
          <w:rFonts w:hint="eastAsia" w:ascii="宋体" w:hAnsi="宋体" w:cs="宋体"/>
          <w:color w:val="auto"/>
          <w:sz w:val="24"/>
          <w:szCs w:val="24"/>
          <w:highlight w:val="none"/>
          <w:u w:val="single"/>
          <w:lang w:eastAsia="zh-CN"/>
        </w:rPr>
        <w:t>点</w:t>
      </w:r>
      <w:r>
        <w:rPr>
          <w:rFonts w:hint="eastAsia" w:ascii="宋体" w:hAnsi="宋体" w:cs="宋体"/>
          <w:color w:val="auto"/>
          <w:sz w:val="24"/>
          <w:szCs w:val="24"/>
          <w:highlight w:val="none"/>
          <w:u w:val="single"/>
          <w:lang w:val="en-US" w:eastAsia="zh-CN"/>
        </w:rPr>
        <w:t>30</w:t>
      </w:r>
      <w:r>
        <w:rPr>
          <w:rFonts w:hint="eastAsia" w:ascii="宋体" w:hAnsi="宋体" w:cs="宋体"/>
          <w:color w:val="auto"/>
          <w:sz w:val="24"/>
          <w:szCs w:val="24"/>
          <w:highlight w:val="none"/>
          <w:u w:val="single"/>
          <w:lang w:eastAsia="zh-CN"/>
        </w:rPr>
        <w:t>分</w:t>
      </w:r>
      <w:r>
        <w:rPr>
          <w:rFonts w:hint="eastAsia" w:ascii="宋体" w:hAnsi="宋体" w:cs="宋体"/>
          <w:color w:val="auto"/>
          <w:sz w:val="24"/>
          <w:szCs w:val="24"/>
          <w:highlight w:val="none"/>
          <w:u w:val="single"/>
          <w:lang w:val="en-US" w:eastAsia="zh-CN"/>
        </w:rPr>
        <w:t>00</w:t>
      </w:r>
      <w:r>
        <w:rPr>
          <w:rFonts w:hint="eastAsia" w:ascii="宋体" w:hAnsi="宋体" w:cs="宋体"/>
          <w:color w:val="auto"/>
          <w:sz w:val="24"/>
          <w:szCs w:val="24"/>
          <w:highlight w:val="none"/>
          <w:u w:val="single"/>
          <w:lang w:eastAsia="zh-CN"/>
        </w:rPr>
        <w:t>秒</w:t>
      </w:r>
      <w:r>
        <w:rPr>
          <w:rFonts w:hint="eastAsia" w:ascii="宋体" w:hAnsi="宋体" w:cs="宋体"/>
          <w:bCs/>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600" w:lineRule="exact"/>
        <w:ind w:firstLine="482" w:firstLineChars="200"/>
        <w:rPr>
          <w:rFonts w:hint="default" w:ascii="宋体" w:hAnsi="宋体" w:eastAsia="宋体" w:cs="宋体"/>
          <w:color w:val="auto"/>
          <w:sz w:val="24"/>
          <w:highlight w:val="none"/>
          <w:lang w:val="en-US" w:eastAsia="zh-CN"/>
        </w:rPr>
      </w:pPr>
      <w:r>
        <w:rPr>
          <w:rFonts w:hint="eastAsia" w:ascii="宋体" w:hAnsi="宋体" w:cs="宋体"/>
          <w:b/>
          <w:color w:val="auto"/>
          <w:sz w:val="24"/>
          <w:highlight w:val="none"/>
        </w:rPr>
        <w:t>项目编号：</w:t>
      </w:r>
      <w:r>
        <w:rPr>
          <w:rFonts w:hint="eastAsia" w:ascii="宋体" w:hAnsi="宋体" w:cs="宋体"/>
          <w:color w:val="auto"/>
          <w:kern w:val="0"/>
          <w:sz w:val="24"/>
          <w:highlight w:val="none"/>
          <w:u w:val="single"/>
        </w:rPr>
        <w:t>RTZFCG-2022-012</w:t>
      </w:r>
    </w:p>
    <w:p>
      <w:pPr>
        <w:spacing w:line="600" w:lineRule="exact"/>
        <w:ind w:firstLine="482" w:firstLineChars="200"/>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color w:val="auto"/>
          <w:kern w:val="0"/>
          <w:sz w:val="24"/>
          <w:highlight w:val="none"/>
          <w:u w:val="single"/>
          <w:lang w:eastAsia="zh-CN"/>
        </w:rPr>
        <w:t>临平区教育系统护眼灯光改造项目</w:t>
      </w:r>
    </w:p>
    <w:p>
      <w:pPr>
        <w:spacing w:line="600" w:lineRule="exact"/>
        <w:ind w:firstLine="482" w:firstLineChars="200"/>
        <w:rPr>
          <w:rFonts w:hint="eastAsia" w:ascii="宋体" w:hAnsi="宋体" w:eastAsia="宋体" w:cs="宋体"/>
          <w:color w:val="auto"/>
          <w:sz w:val="24"/>
          <w:highlight w:val="none"/>
          <w:lang w:val="en-US" w:eastAsia="zh-CN"/>
        </w:rPr>
      </w:pPr>
      <w:r>
        <w:rPr>
          <w:rFonts w:hint="eastAsia" w:ascii="宋体" w:hAnsi="宋体" w:cs="宋体"/>
          <w:b/>
          <w:color w:val="auto"/>
          <w:sz w:val="24"/>
          <w:highlight w:val="none"/>
        </w:rPr>
        <w:t>预算金额（元）：</w:t>
      </w:r>
      <w:r>
        <w:rPr>
          <w:rFonts w:hint="eastAsia" w:ascii="宋体" w:hAnsi="宋体" w:cs="宋体"/>
          <w:color w:val="auto"/>
          <w:sz w:val="24"/>
          <w:highlight w:val="none"/>
        </w:rPr>
        <w:t xml:space="preserve"> </w:t>
      </w:r>
      <w:r>
        <w:rPr>
          <w:rFonts w:hint="eastAsia" w:ascii="宋体" w:hAnsi="宋体" w:cs="宋体"/>
          <w:color w:val="auto"/>
          <w:sz w:val="24"/>
          <w:highlight w:val="none"/>
          <w:u w:val="single"/>
          <w:lang w:eastAsia="zh-CN"/>
        </w:rPr>
        <w:t>19630000</w:t>
      </w:r>
      <w:r>
        <w:rPr>
          <w:rFonts w:hint="eastAsia" w:ascii="宋体" w:hAnsi="宋体" w:cs="宋体"/>
          <w:color w:val="auto"/>
          <w:sz w:val="24"/>
          <w:highlight w:val="none"/>
          <w:u w:val="single"/>
        </w:rPr>
        <w:t>元</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lang w:eastAsia="zh-CN"/>
        </w:rPr>
        <w:t>标项一：</w:t>
      </w:r>
      <w:r>
        <w:rPr>
          <w:rFonts w:hint="eastAsia" w:ascii="宋体" w:hAnsi="宋体" w:cs="宋体"/>
          <w:color w:val="auto"/>
          <w:sz w:val="24"/>
          <w:highlight w:val="none"/>
          <w:u w:val="single"/>
          <w:lang w:val="en-US" w:eastAsia="zh-CN"/>
        </w:rPr>
        <w:t>5820000</w:t>
      </w:r>
      <w:r>
        <w:rPr>
          <w:rFonts w:hint="eastAsia" w:ascii="宋体" w:hAnsi="宋体" w:cs="宋体"/>
          <w:color w:val="auto"/>
          <w:sz w:val="24"/>
          <w:highlight w:val="none"/>
          <w:u w:val="single"/>
          <w:lang w:val="en-US" w:eastAsia="zh-CN"/>
        </w:rPr>
        <w:tab/>
      </w:r>
      <w:r>
        <w:rPr>
          <w:rFonts w:hint="eastAsia" w:ascii="宋体" w:hAnsi="宋体" w:cs="宋体"/>
          <w:color w:val="auto"/>
          <w:sz w:val="24"/>
          <w:highlight w:val="none"/>
          <w:u w:val="single"/>
          <w:lang w:val="en-US" w:eastAsia="zh-CN"/>
        </w:rPr>
        <w:t>元</w:t>
      </w:r>
      <w:r>
        <w:rPr>
          <w:rFonts w:hint="eastAsia" w:ascii="宋体" w:hAnsi="宋体" w:cs="宋体"/>
          <w:color w:val="auto"/>
          <w:sz w:val="24"/>
          <w:highlight w:val="none"/>
          <w:u w:val="single"/>
          <w:lang w:eastAsia="zh-CN"/>
        </w:rPr>
        <w:t>；标项二：</w:t>
      </w:r>
      <w:r>
        <w:rPr>
          <w:rFonts w:hint="eastAsia" w:ascii="宋体" w:hAnsi="宋体" w:cs="宋体"/>
          <w:color w:val="auto"/>
          <w:sz w:val="24"/>
          <w:highlight w:val="none"/>
          <w:u w:val="single"/>
          <w:lang w:val="en-US" w:eastAsia="zh-CN"/>
        </w:rPr>
        <w:t>5030000元</w:t>
      </w:r>
      <w:r>
        <w:rPr>
          <w:rFonts w:hint="eastAsia" w:ascii="宋体" w:hAnsi="宋体" w:cs="宋体"/>
          <w:color w:val="auto"/>
          <w:sz w:val="24"/>
          <w:highlight w:val="none"/>
          <w:u w:val="single"/>
          <w:lang w:eastAsia="zh-CN"/>
        </w:rPr>
        <w:t>；标项三：</w:t>
      </w:r>
      <w:r>
        <w:rPr>
          <w:rFonts w:hint="eastAsia" w:ascii="宋体" w:hAnsi="宋体" w:cs="宋体"/>
          <w:color w:val="auto"/>
          <w:sz w:val="24"/>
          <w:highlight w:val="none"/>
          <w:u w:val="single"/>
          <w:lang w:val="en-US" w:eastAsia="zh-CN"/>
        </w:rPr>
        <w:t>5120000元</w:t>
      </w:r>
      <w:r>
        <w:rPr>
          <w:rFonts w:hint="eastAsia" w:ascii="宋体" w:hAnsi="宋体" w:cs="宋体"/>
          <w:color w:val="auto"/>
          <w:sz w:val="24"/>
          <w:highlight w:val="none"/>
          <w:u w:val="single"/>
          <w:lang w:eastAsia="zh-CN"/>
        </w:rPr>
        <w:t>；标项四：</w:t>
      </w:r>
      <w:r>
        <w:rPr>
          <w:rFonts w:hint="eastAsia" w:ascii="宋体" w:hAnsi="宋体" w:cs="宋体"/>
          <w:color w:val="auto"/>
          <w:sz w:val="24"/>
          <w:highlight w:val="none"/>
          <w:u w:val="single"/>
          <w:lang w:val="en-US" w:eastAsia="zh-CN"/>
        </w:rPr>
        <w:t>3660000元）</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w:t>
      </w:r>
    </w:p>
    <w:p>
      <w:pPr>
        <w:spacing w:line="600" w:lineRule="exact"/>
        <w:ind w:firstLine="482" w:firstLineChars="200"/>
        <w:rPr>
          <w:rFonts w:ascii="宋体" w:hAnsi="宋体" w:cs="宋体"/>
          <w:color w:val="auto"/>
          <w:sz w:val="24"/>
          <w:highlight w:val="none"/>
          <w:u w:val="single"/>
        </w:rPr>
      </w:pPr>
      <w:r>
        <w:rPr>
          <w:rFonts w:hint="eastAsia" w:ascii="宋体" w:hAnsi="宋体" w:cs="宋体"/>
          <w:b/>
          <w:color w:val="auto"/>
          <w:sz w:val="24"/>
          <w:highlight w:val="none"/>
        </w:rPr>
        <w:t>最高限价（元）：</w:t>
      </w:r>
      <w:r>
        <w:rPr>
          <w:rFonts w:hint="eastAsia" w:ascii="宋体" w:hAnsi="宋体" w:cs="宋体"/>
          <w:color w:val="auto"/>
          <w:sz w:val="24"/>
          <w:highlight w:val="none"/>
        </w:rPr>
        <w:t xml:space="preserve"> </w:t>
      </w:r>
      <w:r>
        <w:rPr>
          <w:rFonts w:hint="eastAsia" w:ascii="宋体" w:hAnsi="宋体" w:cs="宋体"/>
          <w:color w:val="auto"/>
          <w:sz w:val="24"/>
          <w:highlight w:val="none"/>
          <w:u w:val="single"/>
          <w:lang w:eastAsia="zh-CN"/>
        </w:rPr>
        <w:t>标项一：</w:t>
      </w:r>
      <w:r>
        <w:rPr>
          <w:rFonts w:hint="eastAsia" w:ascii="宋体" w:hAnsi="宋体" w:cs="宋体"/>
          <w:color w:val="auto"/>
          <w:sz w:val="24"/>
          <w:highlight w:val="none"/>
          <w:u w:val="single"/>
          <w:lang w:val="en-US" w:eastAsia="zh-CN"/>
        </w:rPr>
        <w:t>5820000元</w:t>
      </w:r>
      <w:r>
        <w:rPr>
          <w:rFonts w:hint="eastAsia" w:ascii="宋体" w:hAnsi="宋体" w:cs="宋体"/>
          <w:color w:val="auto"/>
          <w:sz w:val="24"/>
          <w:highlight w:val="none"/>
          <w:u w:val="single"/>
          <w:lang w:eastAsia="zh-CN"/>
        </w:rPr>
        <w:t>；标项二：</w:t>
      </w:r>
      <w:r>
        <w:rPr>
          <w:rFonts w:hint="eastAsia" w:ascii="宋体" w:hAnsi="宋体" w:cs="宋体"/>
          <w:color w:val="auto"/>
          <w:sz w:val="24"/>
          <w:highlight w:val="none"/>
          <w:u w:val="single"/>
          <w:lang w:val="en-US" w:eastAsia="zh-CN"/>
        </w:rPr>
        <w:t>5030000元</w:t>
      </w:r>
      <w:r>
        <w:rPr>
          <w:rFonts w:hint="eastAsia" w:ascii="宋体" w:hAnsi="宋体" w:cs="宋体"/>
          <w:color w:val="auto"/>
          <w:sz w:val="24"/>
          <w:highlight w:val="none"/>
          <w:u w:val="single"/>
          <w:lang w:eastAsia="zh-CN"/>
        </w:rPr>
        <w:t>；标项三：</w:t>
      </w:r>
      <w:r>
        <w:rPr>
          <w:rFonts w:hint="eastAsia" w:ascii="宋体" w:hAnsi="宋体" w:cs="宋体"/>
          <w:color w:val="auto"/>
          <w:sz w:val="24"/>
          <w:highlight w:val="none"/>
          <w:u w:val="single"/>
          <w:lang w:val="en-US" w:eastAsia="zh-CN"/>
        </w:rPr>
        <w:t>5120000元</w:t>
      </w:r>
      <w:r>
        <w:rPr>
          <w:rFonts w:hint="eastAsia" w:ascii="宋体" w:hAnsi="宋体" w:cs="宋体"/>
          <w:color w:val="auto"/>
          <w:sz w:val="24"/>
          <w:highlight w:val="none"/>
          <w:u w:val="single"/>
          <w:lang w:eastAsia="zh-CN"/>
        </w:rPr>
        <w:t>；标项四：</w:t>
      </w:r>
      <w:r>
        <w:rPr>
          <w:rFonts w:hint="eastAsia" w:ascii="宋体" w:hAnsi="宋体" w:cs="宋体"/>
          <w:color w:val="auto"/>
          <w:sz w:val="24"/>
          <w:highlight w:val="none"/>
          <w:u w:val="single"/>
          <w:lang w:val="en-US" w:eastAsia="zh-CN"/>
        </w:rPr>
        <w:t>3660000元</w:t>
      </w:r>
      <w:r>
        <w:rPr>
          <w:rFonts w:hint="eastAsia" w:ascii="宋体" w:hAnsi="宋体" w:cs="宋体"/>
          <w:color w:val="auto"/>
          <w:sz w:val="24"/>
          <w:highlight w:val="none"/>
          <w:u w:val="single"/>
          <w:lang w:eastAsia="zh-CN"/>
        </w:rPr>
        <w:t>；</w:t>
      </w:r>
    </w:p>
    <w:p>
      <w:pPr>
        <w:spacing w:line="600" w:lineRule="exact"/>
        <w:ind w:firstLine="482" w:firstLineChars="200"/>
        <w:rPr>
          <w:rFonts w:ascii="宋体" w:hAnsi="宋体" w:cs="宋体"/>
          <w:bCs/>
          <w:color w:val="auto"/>
          <w:sz w:val="24"/>
          <w:highlight w:val="none"/>
        </w:rPr>
      </w:pPr>
      <w:r>
        <w:rPr>
          <w:rFonts w:hint="eastAsia" w:ascii="宋体" w:hAnsi="宋体" w:cs="宋体"/>
          <w:b/>
          <w:color w:val="auto"/>
          <w:sz w:val="24"/>
          <w:highlight w:val="none"/>
        </w:rPr>
        <w:t>采购需求：</w:t>
      </w:r>
      <w:r>
        <w:rPr>
          <w:rFonts w:hint="eastAsia" w:ascii="宋体" w:hAnsi="宋体" w:cs="宋体"/>
          <w:color w:val="auto"/>
          <w:sz w:val="24"/>
          <w:highlight w:val="none"/>
          <w:u w:val="single"/>
        </w:rPr>
        <w:t>本项目采购内容为</w:t>
      </w:r>
      <w:r>
        <w:rPr>
          <w:rFonts w:hint="eastAsia" w:ascii="宋体" w:hAnsi="宋体" w:cs="宋体"/>
          <w:color w:val="auto"/>
          <w:kern w:val="0"/>
          <w:sz w:val="24"/>
          <w:highlight w:val="none"/>
          <w:u w:val="single"/>
          <w:lang w:eastAsia="zh-CN"/>
        </w:rPr>
        <w:t>临平区教育系统护眼灯光改造的采购、运输、安装、调试、培训和相关维护等</w:t>
      </w:r>
      <w:r>
        <w:rPr>
          <w:rFonts w:hint="eastAsia" w:ascii="宋体" w:hAnsi="宋体" w:cs="宋体"/>
          <w:color w:val="auto"/>
          <w:sz w:val="24"/>
          <w:highlight w:val="none"/>
          <w:u w:val="single"/>
        </w:rPr>
        <w:t>；</w:t>
      </w:r>
      <w:r>
        <w:rPr>
          <w:rFonts w:hint="eastAsia" w:ascii="宋体" w:hAnsi="宋体" w:cs="宋体"/>
          <w:bCs/>
          <w:color w:val="auto"/>
          <w:sz w:val="24"/>
          <w:highlight w:val="none"/>
          <w:u w:val="single"/>
        </w:rPr>
        <w:t>详见招标文件第三部分采购需求。</w:t>
      </w:r>
    </w:p>
    <w:p>
      <w:pPr>
        <w:pStyle w:val="87"/>
        <w:spacing w:before="0" w:line="600" w:lineRule="exact"/>
        <w:ind w:firstLine="482"/>
        <w:outlineLvl w:val="2"/>
        <w:rPr>
          <w:rFonts w:ascii="宋体" w:hAnsi="宋体" w:cs="宋体"/>
          <w:color w:val="auto"/>
          <w:szCs w:val="24"/>
          <w:highlight w:val="none"/>
        </w:rPr>
      </w:pPr>
      <w:r>
        <w:rPr>
          <w:rFonts w:hint="eastAsia" w:ascii="宋体" w:hAnsi="宋体" w:cs="宋体"/>
          <w:b/>
          <w:color w:val="auto"/>
          <w:szCs w:val="24"/>
          <w:highlight w:val="none"/>
        </w:rPr>
        <w:t>合同履约期限：</w:t>
      </w:r>
      <w:r>
        <w:rPr>
          <w:rFonts w:hint="eastAsia" w:ascii="宋体" w:hAnsi="宋体" w:cs="宋体"/>
          <w:b w:val="0"/>
          <w:bCs/>
          <w:color w:val="auto"/>
          <w:szCs w:val="24"/>
          <w:highlight w:val="none"/>
          <w:u w:val="single"/>
          <w:lang w:eastAsia="zh-CN"/>
        </w:rPr>
        <w:t>202</w:t>
      </w:r>
      <w:r>
        <w:rPr>
          <w:rFonts w:hint="eastAsia" w:ascii="宋体" w:hAnsi="宋体" w:cs="宋体"/>
          <w:b w:val="0"/>
          <w:bCs/>
          <w:color w:val="auto"/>
          <w:szCs w:val="24"/>
          <w:highlight w:val="none"/>
          <w:u w:val="single"/>
          <w:lang w:val="en-US" w:eastAsia="zh-CN"/>
        </w:rPr>
        <w:t>2</w:t>
      </w:r>
      <w:r>
        <w:rPr>
          <w:rFonts w:hint="eastAsia" w:ascii="宋体" w:hAnsi="宋体" w:cs="宋体"/>
          <w:b w:val="0"/>
          <w:bCs/>
          <w:color w:val="auto"/>
          <w:szCs w:val="24"/>
          <w:highlight w:val="none"/>
          <w:u w:val="single"/>
          <w:lang w:eastAsia="zh-CN"/>
        </w:rPr>
        <w:t>年</w:t>
      </w:r>
      <w:r>
        <w:rPr>
          <w:rFonts w:hint="eastAsia" w:ascii="宋体" w:hAnsi="宋体" w:cs="宋体"/>
          <w:b w:val="0"/>
          <w:bCs/>
          <w:color w:val="auto"/>
          <w:szCs w:val="24"/>
          <w:highlight w:val="none"/>
          <w:u w:val="single"/>
          <w:lang w:val="en-US" w:eastAsia="zh-CN"/>
        </w:rPr>
        <w:t>8</w:t>
      </w:r>
      <w:r>
        <w:rPr>
          <w:rFonts w:hint="eastAsia" w:ascii="宋体" w:hAnsi="宋体" w:cs="宋体"/>
          <w:b w:val="0"/>
          <w:bCs/>
          <w:color w:val="auto"/>
          <w:szCs w:val="24"/>
          <w:highlight w:val="none"/>
          <w:u w:val="single"/>
          <w:lang w:eastAsia="zh-CN"/>
        </w:rPr>
        <w:t>月</w:t>
      </w:r>
      <w:r>
        <w:rPr>
          <w:rFonts w:hint="eastAsia" w:ascii="宋体" w:hAnsi="宋体" w:cs="宋体"/>
          <w:b w:val="0"/>
          <w:bCs/>
          <w:color w:val="auto"/>
          <w:szCs w:val="24"/>
          <w:highlight w:val="none"/>
          <w:u w:val="single"/>
          <w:lang w:val="en-US" w:eastAsia="zh-CN"/>
        </w:rPr>
        <w:t>15</w:t>
      </w:r>
      <w:r>
        <w:rPr>
          <w:rFonts w:hint="eastAsia" w:ascii="宋体" w:hAnsi="宋体" w:cs="宋体"/>
          <w:b w:val="0"/>
          <w:bCs/>
          <w:color w:val="auto"/>
          <w:szCs w:val="24"/>
          <w:highlight w:val="none"/>
          <w:u w:val="single"/>
          <w:lang w:eastAsia="zh-CN"/>
        </w:rPr>
        <w:t>日前完成施工，第二次检测合格之日起</w:t>
      </w:r>
      <w:r>
        <w:rPr>
          <w:rFonts w:hint="eastAsia" w:ascii="宋体" w:hAnsi="宋体" w:cs="宋体"/>
          <w:b w:val="0"/>
          <w:bCs/>
          <w:color w:val="auto"/>
          <w:szCs w:val="24"/>
          <w:highlight w:val="none"/>
          <w:u w:val="single"/>
          <w:lang w:val="en-US" w:eastAsia="zh-CN"/>
        </w:rPr>
        <w:t>5年为设备维护保养期</w:t>
      </w:r>
      <w:r>
        <w:rPr>
          <w:rFonts w:hint="eastAsia" w:ascii="宋体" w:hAnsi="宋体" w:cs="宋体"/>
          <w:b w:val="0"/>
          <w:bCs/>
          <w:color w:val="auto"/>
          <w:szCs w:val="24"/>
          <w:highlight w:val="none"/>
          <w:u w:val="single"/>
          <w:lang w:val="zh-CN"/>
        </w:rPr>
        <w:t>；</w:t>
      </w:r>
    </w:p>
    <w:p>
      <w:pPr>
        <w:pStyle w:val="18"/>
        <w:spacing w:line="600" w:lineRule="exact"/>
        <w:ind w:firstLine="480"/>
        <w:rPr>
          <w:rFonts w:hint="eastAsia" w:hAnsi="宋体" w:cs="宋体"/>
          <w:color w:val="auto"/>
          <w:kern w:val="0"/>
          <w:sz w:val="24"/>
          <w:szCs w:val="24"/>
          <w:highlight w:val="none"/>
        </w:rPr>
      </w:pPr>
      <w:r>
        <w:rPr>
          <w:rFonts w:hint="eastAsia" w:hAnsi="宋体" w:cs="宋体"/>
          <w:b/>
          <w:color w:val="auto"/>
          <w:sz w:val="24"/>
          <w:szCs w:val="24"/>
          <w:highlight w:val="none"/>
        </w:rPr>
        <w:t>本项目接受联合体投标：</w:t>
      </w:r>
      <w:r>
        <w:rPr>
          <w:rFonts w:hint="eastAsia" w:hAnsi="宋体" w:cs="宋体"/>
          <w:color w:val="auto"/>
          <w:kern w:val="0"/>
          <w:sz w:val="24"/>
          <w:szCs w:val="24"/>
          <w:highlight w:val="none"/>
        </w:rPr>
        <w:sym w:font="Wingdings" w:char="00FE"/>
      </w:r>
      <w:r>
        <w:rPr>
          <w:rFonts w:hint="eastAsia" w:hAnsi="宋体" w:cs="宋体"/>
          <w:b/>
          <w:color w:val="auto"/>
          <w:sz w:val="24"/>
          <w:szCs w:val="24"/>
          <w:highlight w:val="none"/>
        </w:rPr>
        <w:t>是，</w:t>
      </w:r>
      <w:r>
        <w:rPr>
          <w:rFonts w:hint="eastAsia" w:hAnsi="宋体" w:cs="宋体"/>
          <w:color w:val="auto"/>
          <w:kern w:val="0"/>
          <w:sz w:val="24"/>
          <w:szCs w:val="24"/>
          <w:highlight w:val="none"/>
        </w:rPr>
        <w:t>☐</w:t>
      </w:r>
      <w:r>
        <w:rPr>
          <w:rFonts w:hint="eastAsia" w:hAnsi="宋体" w:cs="宋体"/>
          <w:b/>
          <w:color w:val="auto"/>
          <w:sz w:val="24"/>
          <w:szCs w:val="24"/>
          <w:highlight w:val="none"/>
        </w:rPr>
        <w:t>否</w:t>
      </w:r>
      <w:r>
        <w:rPr>
          <w:rFonts w:hint="eastAsia" w:hAnsi="宋体" w:cs="宋体"/>
          <w:color w:val="auto"/>
          <w:kern w:val="0"/>
          <w:sz w:val="24"/>
          <w:szCs w:val="24"/>
          <w:highlight w:val="none"/>
        </w:rPr>
        <w:t>。</w:t>
      </w:r>
    </w:p>
    <w:tbl>
      <w:tblPr>
        <w:tblStyle w:val="62"/>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07"/>
        <w:gridCol w:w="3199"/>
        <w:gridCol w:w="1023"/>
        <w:gridCol w:w="1350"/>
        <w:gridCol w:w="233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907"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标项序号</w:t>
            </w:r>
          </w:p>
        </w:tc>
        <w:tc>
          <w:tcPr>
            <w:tcW w:w="3199"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标项名称</w:t>
            </w:r>
          </w:p>
        </w:tc>
        <w:tc>
          <w:tcPr>
            <w:tcW w:w="1023"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eastAsia="zh-CN"/>
              </w:rPr>
              <w:t>（批）</w:t>
            </w:r>
          </w:p>
        </w:tc>
        <w:tc>
          <w:tcPr>
            <w:tcW w:w="1350"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预算价 （元）</w:t>
            </w:r>
          </w:p>
        </w:tc>
        <w:tc>
          <w:tcPr>
            <w:tcW w:w="2331"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简要规格描述</w:t>
            </w:r>
          </w:p>
        </w:tc>
        <w:tc>
          <w:tcPr>
            <w:tcW w:w="791"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907"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标项1</w:t>
            </w:r>
          </w:p>
        </w:tc>
        <w:tc>
          <w:tcPr>
            <w:tcW w:w="3199"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临平街道、运河街道、乔司街道、星桥街道学校项目</w:t>
            </w:r>
          </w:p>
        </w:tc>
        <w:tc>
          <w:tcPr>
            <w:tcW w:w="1023" w:type="dxa"/>
            <w:shd w:val="clear" w:color="auto" w:fill="F7F7F7"/>
            <w:tcMar>
              <w:top w:w="75" w:type="dxa"/>
              <w:left w:w="150" w:type="dxa"/>
              <w:bottom w:w="75" w:type="dxa"/>
              <w:right w:w="150" w:type="dxa"/>
            </w:tcMar>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1批</w:t>
            </w:r>
          </w:p>
        </w:tc>
        <w:tc>
          <w:tcPr>
            <w:tcW w:w="1350" w:type="dxa"/>
            <w:shd w:val="clear" w:color="auto" w:fill="F7F7F7"/>
            <w:tcMar>
              <w:top w:w="75" w:type="dxa"/>
              <w:left w:w="150" w:type="dxa"/>
              <w:bottom w:w="75" w:type="dxa"/>
              <w:right w:w="150" w:type="dxa"/>
            </w:tcMar>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r>
              <w:rPr>
                <w:rFonts w:hint="eastAsia" w:ascii="宋体" w:hAnsi="宋体" w:cs="宋体"/>
                <w:sz w:val="21"/>
                <w:szCs w:val="21"/>
                <w:highlight w:val="none"/>
                <w:lang w:val="en-US" w:eastAsia="zh-CN"/>
              </w:rPr>
              <w:t>82</w:t>
            </w:r>
            <w:r>
              <w:rPr>
                <w:rFonts w:hint="eastAsia" w:ascii="宋体" w:hAnsi="宋体" w:eastAsia="宋体" w:cs="宋体"/>
                <w:sz w:val="21"/>
                <w:szCs w:val="21"/>
                <w:highlight w:val="none"/>
                <w:lang w:val="en-US" w:eastAsia="zh-CN"/>
              </w:rPr>
              <w:t>0000元</w:t>
            </w:r>
          </w:p>
        </w:tc>
        <w:tc>
          <w:tcPr>
            <w:tcW w:w="2331" w:type="dxa"/>
            <w:vMerge w:val="restart"/>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本项目采购内容为临平区教育系统护眼灯光改造的采购、运输、安装、调试、培训和相关维护等；详见招标文件第三部分采购需求。</w:t>
            </w:r>
          </w:p>
        </w:tc>
        <w:tc>
          <w:tcPr>
            <w:tcW w:w="791" w:type="dxa"/>
            <w:shd w:val="clear" w:color="auto" w:fill="F7F7F7"/>
            <w:tcMar>
              <w:top w:w="75" w:type="dxa"/>
              <w:left w:w="150" w:type="dxa"/>
              <w:bottom w:w="75" w:type="dxa"/>
              <w:right w:w="150" w:type="dxa"/>
            </w:tcMar>
            <w:vAlign w:val="center"/>
          </w:tcPr>
          <w:p>
            <w:pPr>
              <w:jc w:val="center"/>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907"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标项2</w:t>
            </w:r>
          </w:p>
        </w:tc>
        <w:tc>
          <w:tcPr>
            <w:tcW w:w="3199"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塘栖镇、崇贤街道学校项目</w:t>
            </w:r>
          </w:p>
        </w:tc>
        <w:tc>
          <w:tcPr>
            <w:tcW w:w="1023"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1批</w:t>
            </w:r>
          </w:p>
        </w:tc>
        <w:tc>
          <w:tcPr>
            <w:tcW w:w="1350"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r>
              <w:rPr>
                <w:rFonts w:hint="eastAsia" w:ascii="宋体" w:hAnsi="宋体" w:cs="宋体"/>
                <w:sz w:val="21"/>
                <w:szCs w:val="21"/>
                <w:highlight w:val="none"/>
                <w:lang w:val="en-US" w:eastAsia="zh-CN"/>
              </w:rPr>
              <w:t>03</w:t>
            </w:r>
            <w:r>
              <w:rPr>
                <w:rFonts w:hint="eastAsia" w:ascii="宋体" w:hAnsi="宋体" w:eastAsia="宋体" w:cs="宋体"/>
                <w:sz w:val="21"/>
                <w:szCs w:val="21"/>
                <w:highlight w:val="none"/>
                <w:lang w:val="en-US" w:eastAsia="zh-CN"/>
              </w:rPr>
              <w:t>0000元</w:t>
            </w:r>
          </w:p>
        </w:tc>
        <w:tc>
          <w:tcPr>
            <w:tcW w:w="2331" w:type="dxa"/>
            <w:vMerge w:val="continue"/>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p>
        </w:tc>
        <w:tc>
          <w:tcPr>
            <w:tcW w:w="791" w:type="dxa"/>
            <w:shd w:val="clear" w:color="auto" w:fill="F7F7F7"/>
            <w:tcMar>
              <w:top w:w="75" w:type="dxa"/>
              <w:left w:w="150" w:type="dxa"/>
              <w:bottom w:w="75" w:type="dxa"/>
              <w:right w:w="150" w:type="dxa"/>
            </w:tcMar>
            <w:vAlign w:val="center"/>
          </w:tcPr>
          <w:p>
            <w:pPr>
              <w:jc w:val="center"/>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907"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标项3</w:t>
            </w:r>
          </w:p>
        </w:tc>
        <w:tc>
          <w:tcPr>
            <w:tcW w:w="3199"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南苑街道学校项目</w:t>
            </w:r>
          </w:p>
        </w:tc>
        <w:tc>
          <w:tcPr>
            <w:tcW w:w="1023"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1批</w:t>
            </w:r>
          </w:p>
        </w:tc>
        <w:tc>
          <w:tcPr>
            <w:tcW w:w="1350"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0000元</w:t>
            </w:r>
          </w:p>
        </w:tc>
        <w:tc>
          <w:tcPr>
            <w:tcW w:w="2331" w:type="dxa"/>
            <w:vMerge w:val="continue"/>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p>
        </w:tc>
        <w:tc>
          <w:tcPr>
            <w:tcW w:w="791" w:type="dxa"/>
            <w:shd w:val="clear" w:color="auto" w:fill="F7F7F7"/>
            <w:tcMar>
              <w:top w:w="75" w:type="dxa"/>
              <w:left w:w="150" w:type="dxa"/>
              <w:bottom w:w="75" w:type="dxa"/>
              <w:right w:w="150" w:type="dxa"/>
            </w:tcMar>
            <w:vAlign w:val="center"/>
          </w:tcPr>
          <w:p>
            <w:pPr>
              <w:jc w:val="center"/>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907"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标项4</w:t>
            </w:r>
          </w:p>
        </w:tc>
        <w:tc>
          <w:tcPr>
            <w:tcW w:w="3199"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东湖街道学校项目</w:t>
            </w:r>
          </w:p>
        </w:tc>
        <w:tc>
          <w:tcPr>
            <w:tcW w:w="1023" w:type="dxa"/>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1批</w:t>
            </w:r>
          </w:p>
        </w:tc>
        <w:tc>
          <w:tcPr>
            <w:tcW w:w="1350" w:type="dxa"/>
            <w:shd w:val="clear" w:color="auto" w:fill="F7F7F7"/>
            <w:tcMar>
              <w:top w:w="75" w:type="dxa"/>
              <w:left w:w="150" w:type="dxa"/>
              <w:bottom w:w="75" w:type="dxa"/>
              <w:right w:w="150" w:type="dxa"/>
            </w:tcMar>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366</w:t>
            </w:r>
            <w:r>
              <w:rPr>
                <w:rFonts w:hint="eastAsia" w:ascii="宋体" w:hAnsi="宋体" w:eastAsia="宋体" w:cs="宋体"/>
                <w:sz w:val="21"/>
                <w:szCs w:val="21"/>
                <w:highlight w:val="none"/>
                <w:lang w:val="en-US" w:eastAsia="zh-CN"/>
              </w:rPr>
              <w:t>0000元</w:t>
            </w:r>
          </w:p>
        </w:tc>
        <w:tc>
          <w:tcPr>
            <w:tcW w:w="2331" w:type="dxa"/>
            <w:vMerge w:val="continue"/>
            <w:shd w:val="clear" w:color="auto" w:fill="F7F7F7"/>
            <w:tcMar>
              <w:top w:w="75" w:type="dxa"/>
              <w:left w:w="150" w:type="dxa"/>
              <w:bottom w:w="75" w:type="dxa"/>
              <w:right w:w="150" w:type="dxa"/>
            </w:tcMar>
            <w:vAlign w:val="center"/>
          </w:tcPr>
          <w:p>
            <w:pPr>
              <w:jc w:val="center"/>
              <w:rPr>
                <w:rFonts w:hint="eastAsia" w:ascii="宋体" w:hAnsi="宋体" w:eastAsia="宋体" w:cs="宋体"/>
                <w:sz w:val="21"/>
                <w:szCs w:val="21"/>
                <w:highlight w:val="none"/>
              </w:rPr>
            </w:pPr>
          </w:p>
        </w:tc>
        <w:tc>
          <w:tcPr>
            <w:tcW w:w="791" w:type="dxa"/>
            <w:shd w:val="clear" w:color="auto" w:fill="F7F7F7"/>
            <w:tcMar>
              <w:top w:w="75" w:type="dxa"/>
              <w:left w:w="150" w:type="dxa"/>
              <w:bottom w:w="75" w:type="dxa"/>
              <w:right w:w="150" w:type="dxa"/>
            </w:tcMar>
            <w:vAlign w:val="center"/>
          </w:tcPr>
          <w:p>
            <w:pPr>
              <w:jc w:val="center"/>
              <w:rPr>
                <w:rFonts w:hint="default" w:ascii="宋体" w:hAnsi="宋体" w:eastAsia="宋体" w:cs="宋体"/>
                <w:sz w:val="21"/>
                <w:szCs w:val="21"/>
                <w:highlight w:val="none"/>
                <w:lang w:val="en-US" w:eastAsia="zh-CN"/>
              </w:rPr>
            </w:pPr>
          </w:p>
        </w:tc>
      </w:tr>
    </w:tbl>
    <w:p>
      <w:pPr>
        <w:spacing w:line="600" w:lineRule="exact"/>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600" w:lineRule="exact"/>
        <w:ind w:firstLine="48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1</w:t>
      </w:r>
      <w:r>
        <w:rPr>
          <w:rFonts w:hint="eastAsia" w:ascii="宋体" w:hAnsi="宋体" w:cs="宋体"/>
          <w:snapToGrid w:val="0"/>
          <w:color w:val="auto"/>
          <w:kern w:val="28"/>
          <w:sz w:val="24"/>
          <w:highlight w:val="none"/>
          <w:lang w:eastAsia="zh-CN"/>
        </w:rPr>
        <w:t>、</w:t>
      </w:r>
      <w:r>
        <w:rPr>
          <w:rFonts w:hint="eastAsia" w:ascii="宋体" w:hAnsi="宋体" w:cs="宋体"/>
          <w:snapToGrid w:val="0"/>
          <w:color w:val="auto"/>
          <w:kern w:val="28"/>
          <w:sz w:val="24"/>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600" w:lineRule="exact"/>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2</w:t>
      </w:r>
      <w:r>
        <w:rPr>
          <w:rFonts w:hint="eastAsia" w:ascii="宋体" w:hAnsi="宋体" w:cs="宋体"/>
          <w:snapToGrid w:val="0"/>
          <w:color w:val="auto"/>
          <w:kern w:val="28"/>
          <w:sz w:val="24"/>
          <w:highlight w:val="none"/>
          <w:lang w:eastAsia="zh-CN"/>
        </w:rPr>
        <w:t>、</w:t>
      </w:r>
      <w:r>
        <w:rPr>
          <w:rFonts w:hint="eastAsia" w:ascii="宋体" w:hAnsi="宋体" w:cs="宋体"/>
          <w:snapToGrid w:val="0"/>
          <w:color w:val="auto"/>
          <w:kern w:val="28"/>
          <w:sz w:val="24"/>
          <w:highlight w:val="none"/>
        </w:rPr>
        <w:t>落实政府采购政策需满足的资格要求：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00FE"/>
      </w:r>
      <w:r>
        <w:rPr>
          <w:rFonts w:hint="eastAsia" w:ascii="宋体" w:hAnsi="宋体" w:cs="宋体"/>
          <w:color w:val="auto"/>
          <w:sz w:val="24"/>
          <w:highlight w:val="none"/>
        </w:rPr>
        <w:t>无；</w:t>
      </w:r>
    </w:p>
    <w:p>
      <w:pPr>
        <w:spacing w:line="6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600" w:lineRule="exact"/>
        <w:ind w:firstLine="897" w:firstLineChars="374"/>
        <w:rPr>
          <w:rFonts w:ascii="宋体" w:hAnsi="宋体" w:cs="宋体"/>
          <w:color w:val="auto"/>
          <w:sz w:val="24"/>
          <w:highlight w:val="none"/>
          <w:u w:val="single"/>
        </w:rPr>
      </w:pPr>
      <w:r>
        <w:rPr>
          <w:rFonts w:hint="eastAsia" w:ascii="宋体" w:hAnsi="宋体" w:cs="宋体"/>
          <w:color w:val="auto"/>
          <w:kern w:val="0"/>
          <w:sz w:val="24"/>
          <w:highlight w:val="none"/>
        </w:rPr>
        <w:t>☐</w:t>
      </w:r>
      <w:r>
        <w:rPr>
          <w:rFonts w:hint="eastAsia" w:ascii="宋体" w:hAnsi="宋体" w:cs="宋体"/>
          <w:color w:val="auto"/>
          <w:sz w:val="24"/>
          <w:highlight w:val="none"/>
        </w:rPr>
        <w:t>货物全部由符合政策要求的中小企业制造，提供中小企业声明函；</w:t>
      </w:r>
    </w:p>
    <w:p>
      <w:pPr>
        <w:spacing w:line="600" w:lineRule="exact"/>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货物全部由符合政策要求的小微企业制造，提供中小企业声明函；</w:t>
      </w:r>
    </w:p>
    <w:p>
      <w:pPr>
        <w:spacing w:line="600" w:lineRule="exact"/>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服务全部由符合政策要求的中小企业承接，提供中小企业声明函；</w:t>
      </w:r>
    </w:p>
    <w:p>
      <w:pPr>
        <w:spacing w:line="600" w:lineRule="exact"/>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spacing w:line="6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本项目的特定资格要求：无；</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2022年</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，每天上午00：00至12：00，下午12：00至23：59（北京时间，线上获取法定节假日均可，线下获取文件法定节假日除外）</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val="0"/>
          <w:bCs/>
          <w:color w:val="auto"/>
          <w:sz w:val="24"/>
          <w:highlight w:val="none"/>
          <w:u w:val="single"/>
          <w:lang w:eastAsia="zh-CN"/>
        </w:rPr>
        <w:t>2022年</w:t>
      </w:r>
      <w:r>
        <w:rPr>
          <w:rFonts w:hint="eastAsia" w:ascii="宋体" w:hAnsi="宋体" w:cs="宋体"/>
          <w:b w:val="0"/>
          <w:bCs/>
          <w:color w:val="auto"/>
          <w:sz w:val="24"/>
          <w:highlight w:val="none"/>
          <w:u w:val="single"/>
          <w:lang w:val="en-US" w:eastAsia="zh-CN"/>
        </w:rPr>
        <w:t>3</w:t>
      </w:r>
      <w:r>
        <w:rPr>
          <w:rFonts w:hint="eastAsia" w:ascii="宋体" w:hAnsi="宋体" w:cs="宋体"/>
          <w:b w:val="0"/>
          <w:bCs/>
          <w:color w:val="auto"/>
          <w:sz w:val="24"/>
          <w:highlight w:val="none"/>
          <w:u w:val="single"/>
          <w:lang w:eastAsia="zh-CN"/>
        </w:rPr>
        <w:t>月</w:t>
      </w:r>
      <w:r>
        <w:rPr>
          <w:rFonts w:hint="eastAsia" w:ascii="宋体" w:hAnsi="宋体" w:cs="宋体"/>
          <w:b w:val="0"/>
          <w:bCs/>
          <w:color w:val="auto"/>
          <w:sz w:val="24"/>
          <w:highlight w:val="none"/>
          <w:u w:val="single"/>
          <w:lang w:val="en-US" w:eastAsia="zh-CN"/>
        </w:rPr>
        <w:t>25</w:t>
      </w:r>
      <w:r>
        <w:rPr>
          <w:rFonts w:hint="eastAsia" w:ascii="宋体" w:hAnsi="宋体" w:cs="宋体"/>
          <w:b w:val="0"/>
          <w:bCs/>
          <w:color w:val="auto"/>
          <w:sz w:val="24"/>
          <w:highlight w:val="none"/>
          <w:u w:val="single"/>
          <w:lang w:eastAsia="zh-CN"/>
        </w:rPr>
        <w:t>日</w:t>
      </w:r>
      <w:r>
        <w:rPr>
          <w:rFonts w:hint="eastAsia" w:ascii="宋体" w:hAnsi="宋体" w:cs="宋体"/>
          <w:b w:val="0"/>
          <w:bCs/>
          <w:color w:val="auto"/>
          <w:sz w:val="24"/>
          <w:highlight w:val="none"/>
          <w:u w:val="single"/>
          <w:lang w:val="en-US" w:eastAsia="zh-CN"/>
        </w:rPr>
        <w:t>9</w:t>
      </w:r>
      <w:r>
        <w:rPr>
          <w:rFonts w:hint="eastAsia" w:ascii="宋体" w:hAnsi="宋体" w:cs="宋体"/>
          <w:b w:val="0"/>
          <w:bCs/>
          <w:color w:val="auto"/>
          <w:sz w:val="24"/>
          <w:highlight w:val="none"/>
          <w:u w:val="single"/>
          <w:lang w:eastAsia="zh-CN"/>
        </w:rPr>
        <w:t>点</w:t>
      </w:r>
      <w:r>
        <w:rPr>
          <w:rFonts w:hint="eastAsia" w:ascii="宋体" w:hAnsi="宋体" w:cs="宋体"/>
          <w:b w:val="0"/>
          <w:bCs/>
          <w:color w:val="auto"/>
          <w:sz w:val="24"/>
          <w:highlight w:val="none"/>
          <w:u w:val="single"/>
          <w:lang w:val="en-US" w:eastAsia="zh-CN"/>
        </w:rPr>
        <w:t>30</w:t>
      </w:r>
      <w:r>
        <w:rPr>
          <w:rFonts w:hint="eastAsia" w:ascii="宋体" w:hAnsi="宋体" w:cs="宋体"/>
          <w:b w:val="0"/>
          <w:bCs/>
          <w:color w:val="auto"/>
          <w:sz w:val="24"/>
          <w:highlight w:val="none"/>
          <w:u w:val="single"/>
          <w:lang w:eastAsia="zh-CN"/>
        </w:rPr>
        <w:t>分</w:t>
      </w:r>
      <w:r>
        <w:rPr>
          <w:rFonts w:hint="eastAsia" w:ascii="宋体" w:hAnsi="宋体" w:cs="宋体"/>
          <w:color w:val="auto"/>
          <w:sz w:val="24"/>
          <w:highlight w:val="none"/>
        </w:rPr>
        <w:t>（北京时间）</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600" w:lineRule="exact"/>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val="0"/>
          <w:bCs/>
          <w:color w:val="auto"/>
          <w:sz w:val="24"/>
          <w:highlight w:val="none"/>
          <w:u w:val="single"/>
          <w:lang w:eastAsia="zh-CN"/>
        </w:rPr>
        <w:t>2022年</w:t>
      </w:r>
      <w:r>
        <w:rPr>
          <w:rFonts w:hint="eastAsia" w:ascii="宋体" w:hAnsi="宋体" w:cs="宋体"/>
          <w:b w:val="0"/>
          <w:bCs/>
          <w:color w:val="auto"/>
          <w:sz w:val="24"/>
          <w:highlight w:val="none"/>
          <w:u w:val="single"/>
          <w:lang w:val="en-US" w:eastAsia="zh-CN"/>
        </w:rPr>
        <w:t>3</w:t>
      </w:r>
      <w:r>
        <w:rPr>
          <w:rFonts w:hint="eastAsia" w:ascii="宋体" w:hAnsi="宋体" w:cs="宋体"/>
          <w:b w:val="0"/>
          <w:bCs/>
          <w:color w:val="auto"/>
          <w:sz w:val="24"/>
          <w:highlight w:val="none"/>
          <w:u w:val="single"/>
          <w:lang w:eastAsia="zh-CN"/>
        </w:rPr>
        <w:t>月</w:t>
      </w:r>
      <w:r>
        <w:rPr>
          <w:rFonts w:hint="eastAsia" w:ascii="宋体" w:hAnsi="宋体" w:cs="宋体"/>
          <w:b w:val="0"/>
          <w:bCs/>
          <w:color w:val="auto"/>
          <w:sz w:val="24"/>
          <w:highlight w:val="none"/>
          <w:u w:val="single"/>
          <w:lang w:val="en-US" w:eastAsia="zh-CN"/>
        </w:rPr>
        <w:t>25</w:t>
      </w:r>
      <w:r>
        <w:rPr>
          <w:rFonts w:hint="eastAsia" w:ascii="宋体" w:hAnsi="宋体" w:cs="宋体"/>
          <w:b w:val="0"/>
          <w:bCs/>
          <w:color w:val="auto"/>
          <w:sz w:val="24"/>
          <w:highlight w:val="none"/>
          <w:u w:val="single"/>
          <w:lang w:eastAsia="zh-CN"/>
        </w:rPr>
        <w:t>日</w:t>
      </w:r>
      <w:r>
        <w:rPr>
          <w:rFonts w:hint="eastAsia" w:ascii="宋体" w:hAnsi="宋体" w:cs="宋体"/>
          <w:b w:val="0"/>
          <w:bCs/>
          <w:color w:val="auto"/>
          <w:sz w:val="24"/>
          <w:highlight w:val="none"/>
          <w:u w:val="single"/>
          <w:lang w:val="en-US" w:eastAsia="zh-CN"/>
        </w:rPr>
        <w:t>9</w:t>
      </w:r>
      <w:r>
        <w:rPr>
          <w:rFonts w:hint="eastAsia" w:ascii="宋体" w:hAnsi="宋体" w:cs="宋体"/>
          <w:b w:val="0"/>
          <w:bCs/>
          <w:color w:val="auto"/>
          <w:sz w:val="24"/>
          <w:highlight w:val="none"/>
          <w:u w:val="single"/>
          <w:lang w:eastAsia="zh-CN"/>
        </w:rPr>
        <w:t>点</w:t>
      </w:r>
      <w:r>
        <w:rPr>
          <w:rFonts w:hint="eastAsia" w:ascii="宋体" w:hAnsi="宋体" w:cs="宋体"/>
          <w:b w:val="0"/>
          <w:bCs/>
          <w:color w:val="auto"/>
          <w:sz w:val="24"/>
          <w:highlight w:val="none"/>
          <w:u w:val="single"/>
          <w:lang w:val="en-US" w:eastAsia="zh-CN"/>
        </w:rPr>
        <w:t>30</w:t>
      </w:r>
      <w:r>
        <w:rPr>
          <w:rFonts w:hint="eastAsia" w:ascii="宋体" w:hAnsi="宋体" w:cs="宋体"/>
          <w:b w:val="0"/>
          <w:bCs/>
          <w:color w:val="auto"/>
          <w:sz w:val="24"/>
          <w:highlight w:val="none"/>
          <w:u w:val="single"/>
          <w:lang w:eastAsia="zh-CN"/>
        </w:rPr>
        <w:t>分</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600" w:lineRule="exact"/>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pacing w:line="600" w:lineRule="exact"/>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杭州市临平区教育综合服务中心</w:t>
      </w:r>
    </w:p>
    <w:p>
      <w:pPr>
        <w:spacing w:line="600" w:lineRule="exact"/>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    址：</w:t>
      </w:r>
      <w:r>
        <w:rPr>
          <w:rFonts w:hint="eastAsia" w:ascii="宋体" w:hAnsi="宋体" w:cs="宋体"/>
          <w:color w:val="auto"/>
          <w:sz w:val="24"/>
          <w:highlight w:val="none"/>
          <w:lang w:val="en-US" w:eastAsia="zh-CN"/>
        </w:rPr>
        <w:t>杭州市临平区世纪大道西928号</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胡晓刚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0571-86229103</w:t>
      </w:r>
    </w:p>
    <w:p>
      <w:pPr>
        <w:spacing w:line="600" w:lineRule="exact"/>
        <w:ind w:firstLine="480"/>
        <w:rPr>
          <w:rFonts w:hint="eastAsia"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高水军</w:t>
      </w:r>
    </w:p>
    <w:p>
      <w:pPr>
        <w:spacing w:line="600" w:lineRule="exact"/>
        <w:ind w:firstLine="480"/>
        <w:rPr>
          <w:rFonts w:hint="eastAsia"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0571-</w:t>
      </w:r>
      <w:r>
        <w:rPr>
          <w:rFonts w:hint="eastAsia" w:ascii="宋体" w:hAnsi="宋体" w:cs="宋体"/>
          <w:sz w:val="24"/>
          <w:highlight w:val="none"/>
        </w:rPr>
        <w:t>86163956</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名    称：杭州瑞拓工程咨询有限公司</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地    址：杭州市临平</w:t>
      </w:r>
      <w:r>
        <w:rPr>
          <w:rFonts w:hint="eastAsia" w:ascii="宋体" w:hAnsi="宋体" w:cs="宋体"/>
          <w:color w:val="auto"/>
          <w:sz w:val="24"/>
          <w:highlight w:val="none"/>
          <w:lang w:eastAsia="zh-CN"/>
        </w:rPr>
        <w:t>区</w:t>
      </w:r>
      <w:r>
        <w:rPr>
          <w:rFonts w:hint="eastAsia" w:ascii="宋体" w:hAnsi="宋体" w:cs="宋体"/>
          <w:color w:val="auto"/>
          <w:sz w:val="24"/>
          <w:highlight w:val="none"/>
        </w:rPr>
        <w:t xml:space="preserve">新丰路199号余杭商会大厦4号楼25楼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传    真：0571-86243788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eastAsia="zh-CN"/>
        </w:rPr>
        <w:t>张诗佳</w:t>
      </w:r>
      <w:r>
        <w:rPr>
          <w:rFonts w:hint="eastAsia" w:ascii="宋体" w:hAnsi="宋体" w:cs="宋体"/>
          <w:color w:val="auto"/>
          <w:sz w:val="24"/>
          <w:highlight w:val="none"/>
        </w:rPr>
        <w:t xml:space="preserve">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项目联系方式（询问）：0571-89282811</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质疑联系人：石敏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质疑联系方式：0571-86243788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3.同级政府采购监督管理部门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名称：</w:t>
      </w:r>
      <w:r>
        <w:rPr>
          <w:rFonts w:hint="eastAsia" w:ascii="宋体" w:hAnsi="宋体" w:eastAsia="宋体" w:cs="宋体"/>
          <w:sz w:val="24"/>
          <w:highlight w:val="none"/>
          <w:lang w:val="en-US" w:eastAsia="zh-CN"/>
        </w:rPr>
        <w:t>临平</w:t>
      </w:r>
      <w:r>
        <w:rPr>
          <w:rFonts w:hint="eastAsia" w:ascii="宋体" w:hAnsi="宋体" w:eastAsia="宋体" w:cs="宋体"/>
          <w:sz w:val="24"/>
          <w:highlight w:val="none"/>
        </w:rPr>
        <w:t>区政府采购办公室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地址：</w:t>
      </w:r>
      <w:r>
        <w:rPr>
          <w:rFonts w:hint="eastAsia" w:ascii="宋体" w:hAnsi="宋体" w:cs="宋体"/>
          <w:sz w:val="24"/>
          <w:highlight w:val="none"/>
        </w:rPr>
        <w:t>杭州市临平区东湖中路236号</w:t>
      </w:r>
      <w:r>
        <w:rPr>
          <w:rFonts w:hint="eastAsia" w:ascii="宋体" w:hAnsi="宋体" w:cs="宋体"/>
          <w:sz w:val="24"/>
          <w:highlight w:val="none"/>
          <w:lang w:eastAsia="zh-CN"/>
        </w:rPr>
        <w:t>临平</w:t>
      </w:r>
      <w:r>
        <w:rPr>
          <w:rFonts w:hint="eastAsia" w:ascii="宋体" w:hAnsi="宋体" w:cs="宋体"/>
          <w:sz w:val="24"/>
          <w:highlight w:val="none"/>
        </w:rPr>
        <w:t>财税大楼</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传真：</w:t>
      </w:r>
      <w:r>
        <w:rPr>
          <w:rFonts w:hint="eastAsia" w:ascii="宋体" w:hAnsi="宋体" w:cs="宋体"/>
          <w:sz w:val="24"/>
          <w:highlight w:val="none"/>
          <w:lang w:val="en-US" w:eastAsia="zh-CN"/>
        </w:rPr>
        <w:t>0571—</w:t>
      </w:r>
      <w:r>
        <w:rPr>
          <w:rFonts w:hint="eastAsia" w:ascii="宋体" w:hAnsi="宋体" w:cs="宋体"/>
          <w:sz w:val="24"/>
          <w:highlight w:val="none"/>
        </w:rPr>
        <w:t>89185312            </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lang w:eastAsia="zh-CN"/>
        </w:rPr>
        <w:t>俞征</w:t>
      </w:r>
      <w:r>
        <w:rPr>
          <w:rFonts w:hint="eastAsia" w:ascii="宋体" w:hAnsi="宋体" w:cs="宋体"/>
          <w:sz w:val="24"/>
          <w:highlight w:val="none"/>
        </w:rPr>
        <w:t>         </w:t>
      </w:r>
    </w:p>
    <w:p>
      <w:pPr>
        <w:spacing w:line="600" w:lineRule="exact"/>
        <w:ind w:firstLine="480" w:firstLineChars="200"/>
        <w:rPr>
          <w:rFonts w:ascii="宋体" w:hAnsi="宋体" w:cs="宋体"/>
          <w:color w:val="auto"/>
          <w:sz w:val="24"/>
          <w:highlight w:val="none"/>
        </w:rPr>
      </w:pPr>
      <w:r>
        <w:rPr>
          <w:rFonts w:hint="eastAsia" w:ascii="宋体" w:hAnsi="宋体" w:cs="宋体"/>
          <w:sz w:val="24"/>
          <w:highlight w:val="none"/>
        </w:rPr>
        <w:t>监督投诉电话：</w:t>
      </w:r>
      <w:r>
        <w:rPr>
          <w:rFonts w:hint="eastAsia" w:ascii="宋体" w:hAnsi="宋体" w:cs="宋体"/>
          <w:sz w:val="24"/>
          <w:highlight w:val="none"/>
          <w:lang w:val="en-US" w:eastAsia="zh-CN"/>
        </w:rPr>
        <w:t>0571—</w:t>
      </w:r>
      <w:r>
        <w:rPr>
          <w:rFonts w:hint="eastAsia" w:ascii="宋体" w:hAnsi="宋体" w:cs="宋体"/>
          <w:sz w:val="24"/>
          <w:highlight w:val="none"/>
        </w:rPr>
        <w:t>89185312</w:t>
      </w:r>
      <w:r>
        <w:rPr>
          <w:rFonts w:hint="eastAsia" w:ascii="宋体" w:hAnsi="宋体" w:cs="宋体"/>
          <w:color w:val="auto"/>
          <w:sz w:val="24"/>
          <w:highlight w:val="none"/>
        </w:rPr>
        <w:t xml:space="preserve">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highlight w:val="none"/>
        </w:rPr>
        <w:t xml:space="preserve">                              </w:t>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br w:type="page"/>
      </w:r>
      <w:r>
        <w:rPr>
          <w:rFonts w:hint="eastAsia" w:ascii="宋体" w:hAnsi="宋体" w:cs="宋体"/>
          <w:b/>
          <w:color w:val="auto"/>
          <w:sz w:val="28"/>
          <w:szCs w:val="28"/>
          <w:highlight w:val="none"/>
        </w:rPr>
        <w:t>第二部分</w:t>
      </w:r>
      <w:bookmarkEnd w:id="3"/>
      <w:r>
        <w:rPr>
          <w:rFonts w:hint="eastAsia" w:ascii="宋体" w:hAnsi="宋体" w:cs="宋体"/>
          <w:b/>
          <w:color w:val="auto"/>
          <w:sz w:val="28"/>
          <w:szCs w:val="28"/>
          <w:highlight w:val="none"/>
        </w:rPr>
        <w:t xml:space="preserve"> 投标人须知</w:t>
      </w:r>
      <w:bookmarkEnd w:id="4"/>
    </w:p>
    <w:p>
      <w:pPr>
        <w:adjustRightInd/>
        <w:spacing w:line="360" w:lineRule="auto"/>
        <w:jc w:val="center"/>
        <w:outlineLvl w:val="0"/>
        <w:rPr>
          <w:rFonts w:ascii="宋体" w:hAnsi="宋体" w:cs="宋体"/>
          <w:b/>
          <w:color w:val="auto"/>
          <w:sz w:val="28"/>
          <w:szCs w:val="28"/>
          <w:highlight w:val="none"/>
        </w:rPr>
      </w:pPr>
      <w:r>
        <w:rPr>
          <w:rFonts w:hint="eastAsia" w:ascii="宋体" w:hAnsi="宋体" w:cs="宋体"/>
          <w:b/>
          <w:color w:val="auto"/>
          <w:sz w:val="28"/>
          <w:szCs w:val="28"/>
          <w:highlight w:val="none"/>
        </w:rPr>
        <w:t>前附表</w:t>
      </w:r>
    </w:p>
    <w:tbl>
      <w:tblPr>
        <w:tblStyle w:val="62"/>
        <w:tblW w:w="952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4"/>
        <w:gridCol w:w="1881"/>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b/>
                <w:bCs/>
                <w:sz w:val="24"/>
                <w:szCs w:val="24"/>
                <w:highlight w:val="none"/>
              </w:rPr>
            </w:pPr>
            <w:r>
              <w:rPr>
                <w:rFonts w:hint="eastAsia"/>
                <w:b/>
                <w:bCs/>
                <w:sz w:val="24"/>
                <w:szCs w:val="24"/>
                <w:highlight w:val="none"/>
              </w:rPr>
              <w:t>序号</w:t>
            </w:r>
          </w:p>
        </w:tc>
        <w:tc>
          <w:tcPr>
            <w:tcW w:w="1881" w:type="dxa"/>
            <w:vAlign w:val="center"/>
          </w:tcPr>
          <w:p>
            <w:pPr>
              <w:jc w:val="center"/>
              <w:rPr>
                <w:b/>
                <w:bCs/>
                <w:sz w:val="24"/>
                <w:szCs w:val="24"/>
                <w:highlight w:val="none"/>
              </w:rPr>
            </w:pPr>
            <w:r>
              <w:rPr>
                <w:rFonts w:hint="eastAsia"/>
                <w:b/>
                <w:bCs/>
                <w:sz w:val="24"/>
                <w:szCs w:val="24"/>
                <w:highlight w:val="none"/>
              </w:rPr>
              <w:t>事项</w:t>
            </w:r>
          </w:p>
        </w:tc>
        <w:tc>
          <w:tcPr>
            <w:tcW w:w="6861" w:type="dxa"/>
            <w:vAlign w:val="center"/>
          </w:tcPr>
          <w:p>
            <w:pPr>
              <w:jc w:val="center"/>
              <w:rPr>
                <w:b/>
                <w:bCs/>
                <w:sz w:val="24"/>
                <w:szCs w:val="24"/>
                <w:highlight w:val="none"/>
              </w:rPr>
            </w:pPr>
            <w:r>
              <w:rPr>
                <w:rFonts w:hint="eastAsia"/>
                <w:b/>
                <w:bCs/>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1</w:t>
            </w:r>
          </w:p>
        </w:tc>
        <w:tc>
          <w:tcPr>
            <w:tcW w:w="1881" w:type="dxa"/>
            <w:vAlign w:val="center"/>
          </w:tcPr>
          <w:p>
            <w:pPr>
              <w:jc w:val="center"/>
              <w:rPr>
                <w:sz w:val="24"/>
                <w:szCs w:val="24"/>
                <w:highlight w:val="none"/>
              </w:rPr>
            </w:pPr>
            <w:r>
              <w:rPr>
                <w:rFonts w:hint="eastAsia"/>
                <w:sz w:val="24"/>
                <w:szCs w:val="24"/>
                <w:highlight w:val="none"/>
              </w:rPr>
              <w:t>报价要求</w:t>
            </w:r>
          </w:p>
        </w:tc>
        <w:tc>
          <w:tcPr>
            <w:tcW w:w="6861" w:type="dxa"/>
            <w:vAlign w:val="center"/>
          </w:tcPr>
          <w:p>
            <w:pPr>
              <w:jc w:val="left"/>
              <w:rPr>
                <w:rFonts w:hint="eastAsia"/>
                <w:color w:val="auto"/>
                <w:sz w:val="24"/>
                <w:szCs w:val="24"/>
                <w:highlight w:val="none"/>
                <w:lang w:val="zh-CN"/>
              </w:rPr>
            </w:pPr>
            <w:r>
              <w:rPr>
                <w:rFonts w:hint="eastAsia"/>
                <w:sz w:val="24"/>
                <w:szCs w:val="24"/>
                <w:highlight w:val="none"/>
                <w:lang w:val="zh-CN"/>
              </w:rPr>
              <w:t>有关本项目实施所需的所</w:t>
            </w:r>
            <w:r>
              <w:rPr>
                <w:rFonts w:hint="eastAsia"/>
                <w:color w:val="auto"/>
                <w:sz w:val="24"/>
                <w:szCs w:val="24"/>
                <w:highlight w:val="none"/>
                <w:lang w:val="zh-CN"/>
              </w:rPr>
              <w:t>有费用（含税费）均计入报价。</w:t>
            </w:r>
            <w:r>
              <w:rPr>
                <w:rFonts w:hint="eastAsia"/>
                <w:color w:val="auto"/>
                <w:sz w:val="24"/>
                <w:szCs w:val="24"/>
                <w:highlight w:val="none"/>
              </w:rPr>
              <w:t>开标一览表（报价表）是报价的唯一载体</w:t>
            </w:r>
            <w:r>
              <w:rPr>
                <w:rFonts w:hint="eastAsia"/>
                <w:color w:val="auto"/>
                <w:sz w:val="24"/>
                <w:szCs w:val="24"/>
                <w:highlight w:val="none"/>
                <w:lang w:val="zh-CN"/>
              </w:rPr>
              <w:t>。投标文件中价格全部采用人民币报价。招标文件未列明，而投标人认为必需的费用也需列入报价。提醒：检测费用由</w:t>
            </w:r>
            <w:r>
              <w:rPr>
                <w:rFonts w:hint="eastAsia"/>
                <w:color w:val="auto"/>
                <w:sz w:val="24"/>
                <w:szCs w:val="24"/>
                <w:highlight w:val="none"/>
                <w:lang w:val="en-US" w:eastAsia="zh-CN"/>
              </w:rPr>
              <w:t>中标方</w:t>
            </w:r>
            <w:r>
              <w:rPr>
                <w:rFonts w:hint="eastAsia"/>
                <w:color w:val="auto"/>
                <w:sz w:val="24"/>
                <w:szCs w:val="24"/>
                <w:highlight w:val="none"/>
                <w:lang w:val="zh-CN"/>
              </w:rPr>
              <w:t>承担，包含在投标总价中，</w:t>
            </w:r>
            <w:r>
              <w:rPr>
                <w:rFonts w:hint="eastAsia"/>
                <w:color w:val="auto"/>
                <w:sz w:val="24"/>
                <w:szCs w:val="24"/>
                <w:highlight w:val="none"/>
                <w:lang w:val="en-US" w:eastAsia="zh-CN"/>
              </w:rPr>
              <w:t>具体见第三部分商务要求第1条项目检测要求</w:t>
            </w:r>
            <w:r>
              <w:rPr>
                <w:rFonts w:hint="eastAsia"/>
                <w:color w:val="auto"/>
                <w:sz w:val="24"/>
                <w:szCs w:val="24"/>
                <w:highlight w:val="none"/>
                <w:lang w:val="zh-CN"/>
              </w:rPr>
              <w:t>。</w:t>
            </w:r>
          </w:p>
          <w:p>
            <w:pPr>
              <w:jc w:val="left"/>
              <w:rPr>
                <w:rFonts w:hint="eastAsia"/>
                <w:color w:val="auto"/>
                <w:sz w:val="24"/>
                <w:szCs w:val="24"/>
                <w:highlight w:val="none"/>
                <w:lang w:val="zh-CN"/>
              </w:rPr>
            </w:pPr>
            <w:r>
              <w:rPr>
                <w:rFonts w:hint="eastAsia"/>
                <w:color w:val="auto"/>
                <w:sz w:val="24"/>
                <w:szCs w:val="24"/>
                <w:highlight w:val="none"/>
                <w:lang w:val="zh-CN"/>
              </w:rPr>
              <w:t>投标报价出现下列情形的，投标无效：</w:t>
            </w:r>
          </w:p>
          <w:p>
            <w:pPr>
              <w:jc w:val="left"/>
              <w:rPr>
                <w:sz w:val="24"/>
                <w:szCs w:val="24"/>
                <w:highlight w:val="none"/>
                <w:lang w:val="zh-CN"/>
              </w:rPr>
            </w:pPr>
            <w:r>
              <w:rPr>
                <w:rFonts w:hint="eastAsia"/>
                <w:sz w:val="24"/>
                <w:szCs w:val="24"/>
                <w:highlight w:val="none"/>
              </w:rPr>
              <w:t>1）</w:t>
            </w:r>
            <w:r>
              <w:rPr>
                <w:rFonts w:hint="eastAsia"/>
                <w:sz w:val="24"/>
                <w:szCs w:val="24"/>
                <w:highlight w:val="none"/>
                <w:lang w:val="zh-CN"/>
              </w:rPr>
              <w:t>投标文件出现不是唯一的、有选择性投标报价的；</w:t>
            </w:r>
          </w:p>
          <w:p>
            <w:pPr>
              <w:jc w:val="left"/>
              <w:rPr>
                <w:sz w:val="24"/>
                <w:szCs w:val="24"/>
                <w:highlight w:val="none"/>
                <w:lang w:val="zh-CN"/>
              </w:rPr>
            </w:pPr>
            <w:r>
              <w:rPr>
                <w:rFonts w:hint="eastAsia"/>
                <w:sz w:val="24"/>
                <w:szCs w:val="24"/>
                <w:highlight w:val="none"/>
              </w:rPr>
              <w:t>2）</w:t>
            </w:r>
            <w:r>
              <w:rPr>
                <w:rFonts w:hint="eastAsia"/>
                <w:sz w:val="24"/>
                <w:szCs w:val="24"/>
                <w:highlight w:val="none"/>
                <w:lang w:val="zh-CN"/>
              </w:rPr>
              <w:t>投标报价超过招标文件中规定的预算金额或者最高限价的;</w:t>
            </w:r>
          </w:p>
          <w:p>
            <w:pPr>
              <w:jc w:val="left"/>
              <w:rPr>
                <w:sz w:val="24"/>
                <w:szCs w:val="24"/>
                <w:highlight w:val="none"/>
              </w:rPr>
            </w:pPr>
            <w:r>
              <w:rPr>
                <w:rFonts w:hint="eastAsia"/>
                <w:sz w:val="24"/>
                <w:szCs w:val="24"/>
                <w:highlight w:val="none"/>
              </w:rPr>
              <w:t>3）报价明显低于其他通过符合性审查投标人的报价，有可能影响产品质量或者不能诚信履约的，未能按要求提供书面说明或者提交相关证明材料证明其报价合理性的;</w:t>
            </w:r>
          </w:p>
          <w:p>
            <w:pPr>
              <w:jc w:val="left"/>
              <w:rPr>
                <w:sz w:val="24"/>
                <w:szCs w:val="24"/>
                <w:highlight w:val="none"/>
              </w:rPr>
            </w:pPr>
            <w:r>
              <w:rPr>
                <w:rFonts w:hint="eastAsia"/>
                <w:sz w:val="24"/>
                <w:szCs w:val="24"/>
                <w:highlight w:val="none"/>
              </w:rPr>
              <w:t>4）投标人对根据修正原则修正后的报价不确认的。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2</w:t>
            </w:r>
          </w:p>
        </w:tc>
        <w:tc>
          <w:tcPr>
            <w:tcW w:w="1881" w:type="dxa"/>
            <w:vAlign w:val="center"/>
          </w:tcPr>
          <w:p>
            <w:pPr>
              <w:jc w:val="center"/>
              <w:rPr>
                <w:sz w:val="24"/>
                <w:szCs w:val="24"/>
                <w:highlight w:val="none"/>
              </w:rPr>
            </w:pPr>
            <w:r>
              <w:rPr>
                <w:rFonts w:hint="eastAsia"/>
                <w:sz w:val="24"/>
                <w:szCs w:val="24"/>
                <w:highlight w:val="none"/>
              </w:rPr>
              <w:t>分包</w:t>
            </w:r>
          </w:p>
        </w:tc>
        <w:tc>
          <w:tcPr>
            <w:tcW w:w="6861" w:type="dxa"/>
            <w:vAlign w:val="center"/>
          </w:tcPr>
          <w:p>
            <w:pPr>
              <w:jc w:val="left"/>
              <w:rPr>
                <w:sz w:val="24"/>
                <w:szCs w:val="24"/>
                <w:highlight w:val="none"/>
              </w:rPr>
            </w:pPr>
            <w:r>
              <w:rPr>
                <w:rFonts w:hint="eastAsia"/>
                <w:sz w:val="24"/>
                <w:szCs w:val="24"/>
                <w:highlight w:val="none"/>
              </w:rPr>
              <w:sym w:font="Wingdings" w:char="F0FE"/>
            </w:r>
            <w:r>
              <w:rPr>
                <w:rFonts w:hint="eastAsia"/>
                <w:sz w:val="24"/>
                <w:szCs w:val="24"/>
                <w:highlight w:val="none"/>
              </w:rPr>
              <w:t xml:space="preserve"> 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Merge w:val="restart"/>
            <w:vAlign w:val="center"/>
          </w:tcPr>
          <w:p>
            <w:pPr>
              <w:jc w:val="center"/>
              <w:rPr>
                <w:sz w:val="24"/>
                <w:szCs w:val="24"/>
                <w:highlight w:val="none"/>
              </w:rPr>
            </w:pPr>
          </w:p>
          <w:p>
            <w:pPr>
              <w:jc w:val="center"/>
              <w:rPr>
                <w:sz w:val="24"/>
                <w:szCs w:val="24"/>
                <w:highlight w:val="none"/>
              </w:rPr>
            </w:pPr>
          </w:p>
          <w:p>
            <w:pPr>
              <w:jc w:val="center"/>
              <w:rPr>
                <w:sz w:val="24"/>
                <w:szCs w:val="24"/>
                <w:highlight w:val="none"/>
              </w:rPr>
            </w:pPr>
            <w:r>
              <w:rPr>
                <w:rFonts w:hint="eastAsia"/>
                <w:sz w:val="24"/>
                <w:szCs w:val="24"/>
                <w:highlight w:val="none"/>
              </w:rPr>
              <w:t>3</w:t>
            </w:r>
          </w:p>
        </w:tc>
        <w:tc>
          <w:tcPr>
            <w:tcW w:w="1881" w:type="dxa"/>
            <w:vMerge w:val="restart"/>
            <w:vAlign w:val="center"/>
          </w:tcPr>
          <w:p>
            <w:pPr>
              <w:jc w:val="center"/>
              <w:rPr>
                <w:sz w:val="24"/>
                <w:szCs w:val="24"/>
                <w:highlight w:val="none"/>
              </w:rPr>
            </w:pPr>
            <w:r>
              <w:rPr>
                <w:rFonts w:hint="eastAsia"/>
                <w:sz w:val="24"/>
                <w:szCs w:val="24"/>
                <w:highlight w:val="none"/>
              </w:rPr>
              <w:t>投标人应当提供的资格、资信证明文件</w:t>
            </w:r>
          </w:p>
        </w:tc>
        <w:tc>
          <w:tcPr>
            <w:tcW w:w="6861" w:type="dxa"/>
            <w:vAlign w:val="center"/>
          </w:tcPr>
          <w:p>
            <w:pPr>
              <w:jc w:val="left"/>
              <w:rPr>
                <w:sz w:val="24"/>
                <w:szCs w:val="24"/>
                <w:highlight w:val="none"/>
              </w:rPr>
            </w:pPr>
            <w:r>
              <w:rPr>
                <w:rFonts w:hint="eastAsia"/>
                <w:sz w:val="24"/>
                <w:szCs w:val="24"/>
                <w:highlight w:val="none"/>
              </w:rPr>
              <w:t>（1）资格证明文件：见招标文件第二部分11.1。</w:t>
            </w:r>
          </w:p>
          <w:p>
            <w:pPr>
              <w:jc w:val="left"/>
              <w:rPr>
                <w:sz w:val="24"/>
                <w:szCs w:val="24"/>
                <w:highlight w:val="none"/>
              </w:rPr>
            </w:pPr>
            <w:r>
              <w:rPr>
                <w:rFonts w:hint="eastAsia"/>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Merge w:val="continue"/>
            <w:vAlign w:val="center"/>
          </w:tcPr>
          <w:p>
            <w:pPr>
              <w:jc w:val="center"/>
              <w:rPr>
                <w:sz w:val="24"/>
                <w:szCs w:val="24"/>
                <w:highlight w:val="none"/>
              </w:rPr>
            </w:pPr>
          </w:p>
        </w:tc>
        <w:tc>
          <w:tcPr>
            <w:tcW w:w="1881" w:type="dxa"/>
            <w:vMerge w:val="continue"/>
            <w:vAlign w:val="center"/>
          </w:tcPr>
          <w:p>
            <w:pPr>
              <w:jc w:val="center"/>
              <w:rPr>
                <w:sz w:val="24"/>
                <w:szCs w:val="24"/>
                <w:highlight w:val="none"/>
              </w:rPr>
            </w:pPr>
          </w:p>
        </w:tc>
        <w:tc>
          <w:tcPr>
            <w:tcW w:w="6861" w:type="dxa"/>
            <w:vAlign w:val="center"/>
          </w:tcPr>
          <w:p>
            <w:pPr>
              <w:jc w:val="left"/>
              <w:rPr>
                <w:sz w:val="24"/>
                <w:szCs w:val="24"/>
                <w:highlight w:val="none"/>
              </w:rPr>
            </w:pPr>
            <w:r>
              <w:rPr>
                <w:rFonts w:hint="eastAsia"/>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p>
          <w:p>
            <w:pPr>
              <w:jc w:val="center"/>
              <w:rPr>
                <w:sz w:val="24"/>
                <w:szCs w:val="24"/>
                <w:highlight w:val="none"/>
              </w:rPr>
            </w:pPr>
            <w:r>
              <w:rPr>
                <w:rFonts w:hint="eastAsia"/>
                <w:sz w:val="24"/>
                <w:szCs w:val="24"/>
                <w:highlight w:val="none"/>
              </w:rPr>
              <w:t>4</w:t>
            </w:r>
          </w:p>
        </w:tc>
        <w:tc>
          <w:tcPr>
            <w:tcW w:w="1881" w:type="dxa"/>
            <w:vAlign w:val="center"/>
          </w:tcPr>
          <w:p>
            <w:pPr>
              <w:jc w:val="center"/>
              <w:rPr>
                <w:sz w:val="24"/>
                <w:szCs w:val="24"/>
                <w:highlight w:val="none"/>
              </w:rPr>
            </w:pPr>
            <w:r>
              <w:rPr>
                <w:rFonts w:hint="eastAsia"/>
                <w:sz w:val="24"/>
                <w:szCs w:val="24"/>
                <w:highlight w:val="none"/>
              </w:rPr>
              <w:t>开标前答疑会或现场考察</w:t>
            </w:r>
          </w:p>
        </w:tc>
        <w:tc>
          <w:tcPr>
            <w:tcW w:w="6861" w:type="dxa"/>
            <w:vAlign w:val="center"/>
          </w:tcPr>
          <w:p>
            <w:pPr>
              <w:jc w:val="left"/>
              <w:rPr>
                <w:sz w:val="24"/>
                <w:szCs w:val="24"/>
                <w:highlight w:val="none"/>
              </w:rPr>
            </w:pPr>
            <w:r>
              <w:rPr>
                <w:rFonts w:hint="eastAsia"/>
                <w:sz w:val="24"/>
                <w:szCs w:val="24"/>
                <w:highlight w:val="none"/>
              </w:rPr>
              <w:sym w:font="Wingdings" w:char="F0FE"/>
            </w:r>
            <w:r>
              <w:rPr>
                <w:rFonts w:hint="eastAsia"/>
                <w:sz w:val="24"/>
                <w:szCs w:val="24"/>
                <w:highlight w:val="none"/>
              </w:rPr>
              <w:t>A不组织</w:t>
            </w:r>
            <w:r>
              <w:rPr>
                <w:rFonts w:hint="eastAsia"/>
                <w:sz w:val="24"/>
                <w:szCs w:val="24"/>
                <w:highlight w:val="none"/>
                <w:lang w:eastAsia="zh-CN"/>
              </w:rPr>
              <w:t>：</w:t>
            </w:r>
            <w:r>
              <w:rPr>
                <w:rFonts w:hint="eastAsia"/>
                <w:b/>
                <w:bCs/>
                <w:sz w:val="24"/>
                <w:szCs w:val="24"/>
                <w:highlight w:val="none"/>
                <w:lang w:eastAsia="zh-CN"/>
              </w:rPr>
              <w:t>本项目不组织集体踏勘，投标单位可自行现场踏勘</w:t>
            </w:r>
            <w:r>
              <w:rPr>
                <w:rFonts w:hint="eastAsia"/>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5</w:t>
            </w:r>
          </w:p>
        </w:tc>
        <w:tc>
          <w:tcPr>
            <w:tcW w:w="1881" w:type="dxa"/>
            <w:vAlign w:val="center"/>
          </w:tcPr>
          <w:p>
            <w:pPr>
              <w:jc w:val="center"/>
              <w:rPr>
                <w:sz w:val="24"/>
                <w:szCs w:val="24"/>
                <w:highlight w:val="none"/>
              </w:rPr>
            </w:pPr>
            <w:r>
              <w:rPr>
                <w:rFonts w:hint="eastAsia"/>
                <w:sz w:val="24"/>
                <w:szCs w:val="24"/>
                <w:highlight w:val="none"/>
              </w:rPr>
              <w:t>样品提供</w:t>
            </w:r>
          </w:p>
        </w:tc>
        <w:tc>
          <w:tcPr>
            <w:tcW w:w="6861" w:type="dxa"/>
            <w:vAlign w:val="center"/>
          </w:tcPr>
          <w:p>
            <w:pPr>
              <w:jc w:val="left"/>
              <w:rPr>
                <w:rFonts w:hint="eastAsia"/>
                <w:sz w:val="24"/>
                <w:szCs w:val="24"/>
                <w:highlight w:val="none"/>
              </w:rPr>
            </w:pPr>
            <w:r>
              <w:rPr>
                <w:rFonts w:hint="eastAsia"/>
                <w:sz w:val="24"/>
                <w:szCs w:val="24"/>
                <w:highlight w:val="none"/>
              </w:rPr>
              <w:sym w:font="Wingdings" w:char="00FE"/>
            </w:r>
            <w:r>
              <w:rPr>
                <w:rFonts w:hint="eastAsia"/>
                <w:sz w:val="24"/>
                <w:szCs w:val="24"/>
                <w:highlight w:val="none"/>
              </w:rPr>
              <w:t>B要求提供，</w:t>
            </w:r>
          </w:p>
          <w:p>
            <w:pPr>
              <w:jc w:val="left"/>
              <w:rPr>
                <w:rFonts w:hint="eastAsia"/>
                <w:sz w:val="24"/>
                <w:szCs w:val="24"/>
                <w:highlight w:val="none"/>
              </w:rPr>
            </w:pPr>
            <w:r>
              <w:rPr>
                <w:rFonts w:hint="eastAsia"/>
                <w:sz w:val="24"/>
                <w:szCs w:val="24"/>
                <w:highlight w:val="none"/>
              </w:rPr>
              <w:t>（1）样品：</w:t>
            </w:r>
            <w:r>
              <w:rPr>
                <w:rFonts w:hint="eastAsia"/>
                <w:b/>
                <w:bCs/>
                <w:sz w:val="24"/>
                <w:szCs w:val="24"/>
                <w:highlight w:val="none"/>
                <w:lang w:eastAsia="zh-CN"/>
              </w:rPr>
              <w:t>教室灯与黑板灯各一</w:t>
            </w:r>
            <w:r>
              <w:rPr>
                <w:rFonts w:hint="eastAsia"/>
                <w:b/>
                <w:bCs/>
                <w:sz w:val="24"/>
                <w:szCs w:val="24"/>
                <w:highlight w:val="none"/>
                <w:lang w:val="en-US" w:eastAsia="zh-CN"/>
              </w:rPr>
              <w:t>盏（</w:t>
            </w:r>
            <w:r>
              <w:rPr>
                <w:rFonts w:hint="eastAsia"/>
                <w:b/>
                <w:bCs/>
                <w:sz w:val="24"/>
                <w:szCs w:val="24"/>
                <w:highlight w:val="none"/>
              </w:rPr>
              <w:t>为拆解开的灯具，含灯具、光源、驱动控制装置和插头、电线、线槽、固定支架、膨胀螺栓、接线端子、智能控制装置等相关拆解件）</w:t>
            </w:r>
            <w:r>
              <w:rPr>
                <w:rFonts w:hint="eastAsia"/>
                <w:sz w:val="24"/>
                <w:szCs w:val="24"/>
                <w:highlight w:val="none"/>
              </w:rPr>
              <w:t>；</w:t>
            </w:r>
          </w:p>
          <w:p>
            <w:pPr>
              <w:jc w:val="left"/>
              <w:rPr>
                <w:rFonts w:hint="eastAsia"/>
                <w:sz w:val="24"/>
                <w:szCs w:val="24"/>
                <w:highlight w:val="none"/>
              </w:rPr>
            </w:pPr>
            <w:r>
              <w:rPr>
                <w:rFonts w:hint="eastAsia"/>
                <w:sz w:val="24"/>
                <w:szCs w:val="24"/>
                <w:highlight w:val="none"/>
              </w:rPr>
              <w:t>（2）样品制作的标准和要求：详见第三部分</w:t>
            </w:r>
            <w:r>
              <w:rPr>
                <w:rFonts w:hint="eastAsia"/>
                <w:sz w:val="24"/>
                <w:szCs w:val="24"/>
                <w:highlight w:val="none"/>
                <w:lang w:val="en-US" w:eastAsia="zh-CN"/>
              </w:rPr>
              <w:t xml:space="preserve"> </w:t>
            </w:r>
            <w:r>
              <w:rPr>
                <w:rFonts w:hint="eastAsia"/>
                <w:sz w:val="24"/>
                <w:szCs w:val="24"/>
                <w:highlight w:val="none"/>
                <w:lang w:eastAsia="zh-CN"/>
              </w:rPr>
              <w:t>采购需求</w:t>
            </w:r>
            <w:r>
              <w:rPr>
                <w:rFonts w:hint="eastAsia"/>
                <w:sz w:val="24"/>
                <w:szCs w:val="24"/>
                <w:highlight w:val="none"/>
              </w:rPr>
              <w:t>；</w:t>
            </w:r>
          </w:p>
          <w:p>
            <w:pPr>
              <w:jc w:val="left"/>
              <w:rPr>
                <w:rFonts w:hint="eastAsia"/>
                <w:sz w:val="24"/>
                <w:szCs w:val="24"/>
                <w:highlight w:val="none"/>
              </w:rPr>
            </w:pPr>
            <w:r>
              <w:rPr>
                <w:rFonts w:hint="eastAsia"/>
                <w:sz w:val="24"/>
                <w:szCs w:val="24"/>
                <w:highlight w:val="none"/>
              </w:rPr>
              <w:t>（3）样品的评审方法以及评审标准：详见评标办法；</w:t>
            </w:r>
          </w:p>
          <w:p>
            <w:pPr>
              <w:jc w:val="left"/>
              <w:rPr>
                <w:rFonts w:hint="eastAsia"/>
                <w:sz w:val="24"/>
                <w:szCs w:val="24"/>
                <w:highlight w:val="none"/>
              </w:rPr>
            </w:pPr>
            <w:r>
              <w:rPr>
                <w:rFonts w:hint="eastAsia"/>
                <w:sz w:val="24"/>
                <w:szCs w:val="24"/>
                <w:highlight w:val="none"/>
              </w:rPr>
              <w:t>（4）是否需要随样品提交检测报告：</w:t>
            </w:r>
            <w:r>
              <w:rPr>
                <w:rFonts w:hint="eastAsia"/>
                <w:sz w:val="24"/>
                <w:szCs w:val="24"/>
                <w:highlight w:val="none"/>
              </w:rPr>
              <w:sym w:font="Wingdings" w:char="00FE"/>
            </w:r>
            <w:r>
              <w:rPr>
                <w:rFonts w:hint="eastAsia"/>
                <w:sz w:val="24"/>
                <w:szCs w:val="24"/>
                <w:highlight w:val="none"/>
              </w:rPr>
              <w:t>否；</w:t>
            </w:r>
          </w:p>
          <w:p>
            <w:pPr>
              <w:jc w:val="left"/>
              <w:rPr>
                <w:rFonts w:hint="eastAsia"/>
                <w:sz w:val="24"/>
                <w:szCs w:val="24"/>
                <w:highlight w:val="none"/>
              </w:rPr>
            </w:pPr>
            <w:r>
              <w:rPr>
                <w:rFonts w:hint="eastAsia"/>
                <w:sz w:val="24"/>
                <w:szCs w:val="24"/>
                <w:highlight w:val="none"/>
              </w:rPr>
              <w:t>（5）提供样品的时间：投</w:t>
            </w:r>
            <w:bookmarkStart w:id="553" w:name="_GoBack"/>
            <w:bookmarkEnd w:id="553"/>
            <w:r>
              <w:rPr>
                <w:rFonts w:hint="eastAsia"/>
                <w:sz w:val="24"/>
                <w:szCs w:val="24"/>
                <w:highlight w:val="none"/>
              </w:rPr>
              <w:t>标人必须在202</w:t>
            </w:r>
            <w:r>
              <w:rPr>
                <w:rFonts w:hint="eastAsia"/>
                <w:sz w:val="24"/>
                <w:szCs w:val="24"/>
                <w:highlight w:val="none"/>
                <w:lang w:val="en-US" w:eastAsia="zh-CN"/>
              </w:rPr>
              <w:t>2</w:t>
            </w:r>
            <w:r>
              <w:rPr>
                <w:rFonts w:hint="eastAsia"/>
                <w:sz w:val="24"/>
                <w:szCs w:val="24"/>
                <w:highlight w:val="none"/>
              </w:rPr>
              <w:t>年</w:t>
            </w:r>
            <w:r>
              <w:rPr>
                <w:rFonts w:hint="eastAsia"/>
                <w:sz w:val="24"/>
                <w:szCs w:val="24"/>
                <w:highlight w:val="none"/>
                <w:lang w:val="en-US" w:eastAsia="zh-CN"/>
              </w:rPr>
              <w:t>3</w:t>
            </w:r>
            <w:r>
              <w:rPr>
                <w:rFonts w:hint="eastAsia"/>
                <w:sz w:val="24"/>
                <w:szCs w:val="24"/>
                <w:highlight w:val="none"/>
              </w:rPr>
              <w:t>月</w:t>
            </w:r>
            <w:r>
              <w:rPr>
                <w:rFonts w:hint="eastAsia"/>
                <w:sz w:val="24"/>
                <w:szCs w:val="24"/>
                <w:highlight w:val="none"/>
                <w:lang w:val="en-US" w:eastAsia="zh-CN"/>
              </w:rPr>
              <w:t>24</w:t>
            </w:r>
            <w:r>
              <w:rPr>
                <w:rFonts w:hint="eastAsia"/>
                <w:sz w:val="24"/>
                <w:szCs w:val="24"/>
                <w:highlight w:val="none"/>
              </w:rPr>
              <w:t>日9时00分至12时00分期间内，将样品递交至</w:t>
            </w:r>
            <w:r>
              <w:rPr>
                <w:rFonts w:hint="eastAsia"/>
                <w:sz w:val="24"/>
                <w:szCs w:val="24"/>
                <w:highlight w:val="none"/>
                <w:lang w:eastAsia="zh-CN"/>
              </w:rPr>
              <w:t>杭州市临平区新丰路</w:t>
            </w:r>
            <w:r>
              <w:rPr>
                <w:rFonts w:hint="eastAsia"/>
                <w:sz w:val="24"/>
                <w:szCs w:val="24"/>
                <w:highlight w:val="none"/>
              </w:rPr>
              <w:t>199号余杭商会大厦</w:t>
            </w:r>
            <w:r>
              <w:rPr>
                <w:rFonts w:hint="eastAsia"/>
                <w:sz w:val="24"/>
                <w:szCs w:val="24"/>
                <w:highlight w:val="none"/>
                <w:lang w:val="en-US" w:eastAsia="zh-CN"/>
              </w:rPr>
              <w:t>D座</w:t>
            </w:r>
            <w:r>
              <w:rPr>
                <w:rFonts w:hint="eastAsia"/>
                <w:sz w:val="24"/>
                <w:szCs w:val="24"/>
                <w:highlight w:val="none"/>
              </w:rPr>
              <w:t>负三层C区1048号车位附近储藏室，并办理样品送达登记手续，投标人原则上仅限派1名授权代表到场递交样品，递交完毕后立即离场。（联系人：</w:t>
            </w:r>
            <w:r>
              <w:rPr>
                <w:rFonts w:hint="eastAsia"/>
                <w:sz w:val="24"/>
                <w:szCs w:val="24"/>
                <w:highlight w:val="none"/>
                <w:lang w:eastAsia="zh-CN"/>
              </w:rPr>
              <w:t>张诗佳</w:t>
            </w:r>
            <w:r>
              <w:rPr>
                <w:rFonts w:hint="eastAsia"/>
                <w:sz w:val="24"/>
                <w:szCs w:val="24"/>
                <w:highlight w:val="none"/>
              </w:rPr>
              <w:t>，联系电话：</w:t>
            </w:r>
            <w:r>
              <w:rPr>
                <w:rFonts w:hint="eastAsia"/>
                <w:sz w:val="24"/>
                <w:szCs w:val="24"/>
                <w:highlight w:val="none"/>
                <w:lang w:val="en-US" w:eastAsia="zh-CN"/>
              </w:rPr>
              <w:t>13456280842</w:t>
            </w:r>
            <w:r>
              <w:rPr>
                <w:rFonts w:hint="eastAsia"/>
                <w:sz w:val="24"/>
                <w:szCs w:val="24"/>
                <w:highlight w:val="none"/>
              </w:rPr>
              <w:t>）。拒绝接收逾期送达的样品。请投标人在上述时间内提供样品。超过截止时间的，采购人或采购代理机构将不予接收，并将清场并封闭样品现场。</w:t>
            </w:r>
          </w:p>
          <w:p>
            <w:pPr>
              <w:jc w:val="left"/>
              <w:rPr>
                <w:rFonts w:hint="eastAsia"/>
                <w:sz w:val="24"/>
                <w:szCs w:val="24"/>
                <w:highlight w:val="none"/>
              </w:rPr>
            </w:pPr>
            <w:r>
              <w:rPr>
                <w:rFonts w:hint="eastAsia"/>
                <w:sz w:val="24"/>
                <w:szCs w:val="24"/>
                <w:highlight w:val="none"/>
                <w:lang w:eastAsia="zh-CN"/>
              </w:rPr>
              <w:t>（</w:t>
            </w:r>
            <w:r>
              <w:rPr>
                <w:rFonts w:hint="eastAsia"/>
                <w:sz w:val="24"/>
                <w:szCs w:val="24"/>
                <w:highlight w:val="none"/>
                <w:lang w:val="en-US" w:eastAsia="zh-CN"/>
              </w:rPr>
              <w:t>6</w:t>
            </w:r>
            <w:r>
              <w:rPr>
                <w:rFonts w:hint="eastAsia"/>
                <w:sz w:val="24"/>
                <w:szCs w:val="24"/>
                <w:highlight w:val="none"/>
                <w:lang w:eastAsia="zh-CN"/>
              </w:rPr>
              <w:t>）</w:t>
            </w:r>
            <w:r>
              <w:rPr>
                <w:rFonts w:hint="eastAsia"/>
                <w:sz w:val="24"/>
                <w:szCs w:val="24"/>
                <w:highlight w:val="none"/>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jc w:val="left"/>
              <w:rPr>
                <w:rFonts w:hint="eastAsia"/>
                <w:sz w:val="24"/>
                <w:szCs w:val="24"/>
                <w:highlight w:val="none"/>
              </w:rPr>
            </w:pPr>
            <w:r>
              <w:rPr>
                <w:rFonts w:hint="eastAsia"/>
                <w:sz w:val="24"/>
                <w:szCs w:val="24"/>
                <w:highlight w:val="none"/>
              </w:rPr>
              <w:t>（7）制作、运输、安装和保管样品所发生的一切费用由投标人自理。</w:t>
            </w:r>
          </w:p>
          <w:p>
            <w:pPr>
              <w:jc w:val="left"/>
              <w:rPr>
                <w:rFonts w:hint="eastAsia"/>
                <w:sz w:val="24"/>
                <w:szCs w:val="24"/>
                <w:highlight w:val="none"/>
              </w:rPr>
            </w:pPr>
            <w:r>
              <w:rPr>
                <w:rFonts w:hint="eastAsia"/>
                <w:sz w:val="24"/>
                <w:szCs w:val="24"/>
                <w:highlight w:val="none"/>
                <w:lang w:val="en-US" w:eastAsia="zh-CN"/>
              </w:rPr>
              <w:t>（8</w:t>
            </w:r>
            <w:r>
              <w:rPr>
                <w:rFonts w:hint="eastAsia"/>
                <w:sz w:val="24"/>
                <w:szCs w:val="24"/>
                <w:highlight w:val="none"/>
              </w:rPr>
              <w:t>）</w:t>
            </w:r>
            <w:r>
              <w:rPr>
                <w:rFonts w:hint="eastAsia" w:ascii="宋体" w:hAnsi="宋体" w:eastAsia="宋体" w:cs="宋体"/>
                <w:b/>
                <w:bCs/>
                <w:color w:val="000000"/>
                <w:sz w:val="24"/>
                <w:highlight w:val="none"/>
              </w:rPr>
              <w:t>本项目样品采用暗标评审的方式；</w:t>
            </w:r>
          </w:p>
          <w:p>
            <w:pPr>
              <w:jc w:val="left"/>
              <w:rPr>
                <w:rFonts w:hint="eastAsia"/>
                <w:sz w:val="24"/>
                <w:szCs w:val="24"/>
                <w:highlight w:val="none"/>
              </w:rPr>
            </w:pPr>
            <w:r>
              <w:rPr>
                <w:rFonts w:hint="eastAsia"/>
                <w:sz w:val="24"/>
                <w:szCs w:val="24"/>
                <w:highlight w:val="none"/>
                <w:lang w:val="en-US" w:eastAsia="zh-CN"/>
              </w:rPr>
              <w:t>（9</w:t>
            </w:r>
            <w:r>
              <w:rPr>
                <w:rFonts w:hint="eastAsia"/>
                <w:sz w:val="24"/>
                <w:szCs w:val="24"/>
                <w:highlight w:val="none"/>
              </w:rPr>
              <w:t>）</w:t>
            </w:r>
            <w:r>
              <w:rPr>
                <w:rFonts w:hint="eastAsia" w:ascii="宋体" w:hAnsi="宋体" w:eastAsia="宋体" w:cs="宋体"/>
                <w:b/>
                <w:bCs/>
                <w:sz w:val="24"/>
                <w:szCs w:val="24"/>
                <w:highlight w:val="none"/>
                <w:lang w:eastAsia="zh-CN"/>
              </w:rPr>
              <w:t>投标人不提供样品则视其投标无效，样品提供不全或样品中出现投标单位名称</w:t>
            </w:r>
            <w:r>
              <w:rPr>
                <w:rFonts w:hint="eastAsia" w:ascii="宋体" w:hAnsi="宋体" w:cs="宋体"/>
                <w:b/>
                <w:bCs/>
                <w:sz w:val="24"/>
                <w:szCs w:val="24"/>
                <w:highlight w:val="none"/>
                <w:lang w:eastAsia="zh-CN"/>
              </w:rPr>
              <w:t>或厂家名称或厂家</w:t>
            </w:r>
            <w:r>
              <w:rPr>
                <w:rFonts w:hint="eastAsia" w:ascii="宋体" w:hAnsi="宋体" w:cs="宋体"/>
                <w:b/>
                <w:bCs/>
                <w:sz w:val="24"/>
                <w:szCs w:val="24"/>
                <w:highlight w:val="none"/>
                <w:lang w:val="en-US" w:eastAsia="zh-CN"/>
              </w:rPr>
              <w:t>LOGO或品牌LOGO</w:t>
            </w:r>
            <w:r>
              <w:rPr>
                <w:rFonts w:hint="eastAsia" w:ascii="宋体" w:hAnsi="宋体" w:eastAsia="宋体" w:cs="宋体"/>
                <w:b/>
                <w:bCs/>
                <w:sz w:val="24"/>
                <w:szCs w:val="24"/>
                <w:highlight w:val="none"/>
                <w:lang w:eastAsia="zh-CN"/>
              </w:rPr>
              <w:t>或外观尺寸或技术参数明显不符合招标文件要求的则样品分为</w:t>
            </w:r>
            <w:r>
              <w:rPr>
                <w:rFonts w:hint="eastAsia" w:ascii="宋体" w:hAnsi="宋体" w:eastAsia="宋体" w:cs="宋体"/>
                <w:b/>
                <w:bCs/>
                <w:sz w:val="24"/>
                <w:szCs w:val="24"/>
                <w:highlight w:val="none"/>
                <w:lang w:val="en-US" w:eastAsia="zh-CN"/>
              </w:rPr>
              <w:t>0分</w:t>
            </w:r>
            <w:r>
              <w:rPr>
                <w:rFonts w:hint="eastAsia" w:ascii="宋体" w:hAnsi="宋体" w:eastAsia="宋体" w:cs="宋体"/>
                <w:b/>
                <w:bCs/>
                <w:color w:val="000000"/>
                <w:sz w:val="24"/>
                <w:highlight w:val="none"/>
              </w:rPr>
              <w:t>；</w:t>
            </w:r>
          </w:p>
          <w:p>
            <w:pPr>
              <w:jc w:val="left"/>
              <w:rPr>
                <w:rFonts w:hint="eastAsia"/>
                <w:sz w:val="24"/>
                <w:szCs w:val="24"/>
                <w:highlight w:val="none"/>
                <w:lang w:eastAsia="zh-CN"/>
              </w:rPr>
            </w:pPr>
            <w:r>
              <w:rPr>
                <w:rFonts w:hint="eastAsia"/>
                <w:sz w:val="24"/>
                <w:szCs w:val="24"/>
                <w:highlight w:val="none"/>
                <w:lang w:eastAsia="zh-CN"/>
              </w:rPr>
              <w:t>（</w:t>
            </w:r>
            <w:r>
              <w:rPr>
                <w:rFonts w:hint="eastAsia"/>
                <w:sz w:val="24"/>
                <w:szCs w:val="24"/>
                <w:highlight w:val="none"/>
                <w:lang w:val="en-US" w:eastAsia="zh-CN"/>
              </w:rPr>
              <w:t>10</w:t>
            </w:r>
            <w:r>
              <w:rPr>
                <w:rFonts w:hint="eastAsia"/>
                <w:sz w:val="24"/>
                <w:szCs w:val="24"/>
                <w:highlight w:val="none"/>
                <w:lang w:eastAsia="zh-CN"/>
              </w:rPr>
              <w:t>）各投标人拟投</w:t>
            </w:r>
            <w:r>
              <w:rPr>
                <w:rFonts w:hint="eastAsia"/>
                <w:sz w:val="24"/>
                <w:szCs w:val="24"/>
                <w:highlight w:val="none"/>
                <w:lang w:val="en-US" w:eastAsia="zh-CN"/>
              </w:rPr>
              <w:t>多个</w:t>
            </w:r>
            <w:r>
              <w:rPr>
                <w:rFonts w:hint="eastAsia"/>
                <w:sz w:val="24"/>
                <w:szCs w:val="24"/>
                <w:highlight w:val="none"/>
                <w:lang w:eastAsia="zh-CN"/>
              </w:rPr>
              <w:t>标项，提供</w:t>
            </w:r>
            <w:r>
              <w:rPr>
                <w:rFonts w:hint="eastAsia"/>
                <w:sz w:val="24"/>
                <w:szCs w:val="24"/>
                <w:highlight w:val="none"/>
                <w:lang w:val="en-US" w:eastAsia="zh-CN"/>
              </w:rPr>
              <w:t>一份</w:t>
            </w:r>
            <w:r>
              <w:rPr>
                <w:rFonts w:hint="eastAsia"/>
                <w:sz w:val="24"/>
                <w:szCs w:val="24"/>
                <w:highlight w:val="none"/>
                <w:lang w:eastAsia="zh-CN"/>
              </w:rPr>
              <w:t>样品</w:t>
            </w:r>
            <w:r>
              <w:rPr>
                <w:rFonts w:hint="eastAsia"/>
                <w:sz w:val="24"/>
                <w:szCs w:val="24"/>
                <w:highlight w:val="none"/>
                <w:lang w:val="en-US" w:eastAsia="zh-CN"/>
              </w:rPr>
              <w:t>即可</w:t>
            </w:r>
            <w:r>
              <w:rPr>
                <w:rFonts w:hint="eastAsia"/>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6</w:t>
            </w:r>
          </w:p>
        </w:tc>
        <w:tc>
          <w:tcPr>
            <w:tcW w:w="1881" w:type="dxa"/>
            <w:vAlign w:val="center"/>
          </w:tcPr>
          <w:p>
            <w:pPr>
              <w:jc w:val="center"/>
              <w:rPr>
                <w:sz w:val="24"/>
                <w:szCs w:val="24"/>
                <w:highlight w:val="none"/>
              </w:rPr>
            </w:pPr>
            <w:r>
              <w:rPr>
                <w:rFonts w:hint="eastAsia"/>
                <w:sz w:val="24"/>
                <w:szCs w:val="24"/>
                <w:highlight w:val="none"/>
              </w:rPr>
              <w:t>方案讲解演示</w:t>
            </w:r>
          </w:p>
        </w:tc>
        <w:tc>
          <w:tcPr>
            <w:tcW w:w="6861" w:type="dxa"/>
            <w:vAlign w:val="center"/>
          </w:tcPr>
          <w:p>
            <w:pPr>
              <w:jc w:val="left"/>
              <w:rPr>
                <w:sz w:val="24"/>
                <w:szCs w:val="24"/>
                <w:highlight w:val="none"/>
                <w:lang w:val="zh-CN"/>
              </w:rPr>
            </w:pPr>
            <w:r>
              <w:rPr>
                <w:rFonts w:hint="eastAsia"/>
                <w:sz w:val="24"/>
                <w:szCs w:val="24"/>
                <w:highlight w:val="none"/>
              </w:rPr>
              <w:sym w:font="Wingdings" w:char="F0FE"/>
            </w:r>
            <w:r>
              <w:rPr>
                <w:rFonts w:hint="eastAsia"/>
                <w:sz w:val="24"/>
                <w:szCs w:val="24"/>
                <w:highlight w:val="none"/>
              </w:rPr>
              <w:t>A不组织。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7</w:t>
            </w:r>
          </w:p>
        </w:tc>
        <w:tc>
          <w:tcPr>
            <w:tcW w:w="1881" w:type="dxa"/>
            <w:vAlign w:val="center"/>
          </w:tcPr>
          <w:p>
            <w:pPr>
              <w:jc w:val="center"/>
              <w:rPr>
                <w:sz w:val="24"/>
                <w:szCs w:val="24"/>
                <w:highlight w:val="none"/>
              </w:rPr>
            </w:pPr>
            <w:r>
              <w:rPr>
                <w:rFonts w:hint="eastAsia"/>
                <w:sz w:val="24"/>
                <w:szCs w:val="24"/>
                <w:highlight w:val="none"/>
              </w:rPr>
              <w:t>是否允许采购进口产品</w:t>
            </w:r>
          </w:p>
        </w:tc>
        <w:tc>
          <w:tcPr>
            <w:tcW w:w="6861" w:type="dxa"/>
            <w:vAlign w:val="center"/>
          </w:tcPr>
          <w:p>
            <w:pPr>
              <w:jc w:val="left"/>
              <w:rPr>
                <w:rFonts w:hint="eastAsia"/>
                <w:sz w:val="24"/>
                <w:szCs w:val="24"/>
                <w:highlight w:val="none"/>
                <w:lang w:eastAsia="zh-CN"/>
              </w:rPr>
            </w:pPr>
            <w:r>
              <w:rPr>
                <w:rFonts w:hint="eastAsia"/>
                <w:sz w:val="24"/>
                <w:szCs w:val="24"/>
                <w:highlight w:val="none"/>
              </w:rPr>
              <w:sym w:font="Wingdings" w:char="F0FE"/>
            </w:r>
            <w:r>
              <w:rPr>
                <w:rFonts w:hint="eastAsia"/>
                <w:sz w:val="24"/>
                <w:szCs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8</w:t>
            </w:r>
          </w:p>
        </w:tc>
        <w:tc>
          <w:tcPr>
            <w:tcW w:w="1881" w:type="dxa"/>
            <w:vAlign w:val="center"/>
          </w:tcPr>
          <w:p>
            <w:pPr>
              <w:jc w:val="center"/>
              <w:rPr>
                <w:sz w:val="24"/>
                <w:szCs w:val="24"/>
                <w:highlight w:val="none"/>
              </w:rPr>
            </w:pPr>
            <w:r>
              <w:rPr>
                <w:rFonts w:hint="eastAsia"/>
                <w:sz w:val="24"/>
                <w:szCs w:val="24"/>
                <w:highlight w:val="none"/>
              </w:rPr>
              <w:t>项目属性与核心产品</w:t>
            </w:r>
          </w:p>
        </w:tc>
        <w:tc>
          <w:tcPr>
            <w:tcW w:w="6861" w:type="dxa"/>
            <w:vAlign w:val="center"/>
          </w:tcPr>
          <w:p>
            <w:pPr>
              <w:jc w:val="left"/>
              <w:rPr>
                <w:sz w:val="24"/>
                <w:szCs w:val="24"/>
                <w:highlight w:val="none"/>
              </w:rPr>
            </w:pPr>
            <w:r>
              <w:rPr>
                <w:rFonts w:hint="eastAsia"/>
                <w:sz w:val="24"/>
                <w:szCs w:val="24"/>
                <w:highlight w:val="none"/>
              </w:rPr>
              <w:sym w:font="Wingdings" w:char="F0FE"/>
            </w:r>
            <w:r>
              <w:rPr>
                <w:rFonts w:hint="eastAsia"/>
                <w:sz w:val="24"/>
                <w:szCs w:val="24"/>
                <w:highlight w:val="none"/>
              </w:rPr>
              <w:t>A货物类，核心产品为：</w:t>
            </w:r>
            <w:r>
              <w:rPr>
                <w:rFonts w:hint="eastAsia"/>
                <w:sz w:val="24"/>
                <w:szCs w:val="24"/>
                <w:highlight w:val="none"/>
                <w:lang w:val="en-US"/>
              </w:rPr>
              <w:t>LED教室灯</w:t>
            </w:r>
            <w:r>
              <w:rPr>
                <w:rFonts w:hint="eastAsia"/>
                <w:sz w:val="24"/>
                <w:szCs w:val="24"/>
                <w:highlight w:val="none"/>
                <w:lang w:val="en-US" w:eastAsia="zh-CN"/>
              </w:rPr>
              <w:t>和LED黑板灯</w:t>
            </w:r>
            <w:r>
              <w:rPr>
                <w:rFonts w:hint="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9</w:t>
            </w:r>
          </w:p>
        </w:tc>
        <w:tc>
          <w:tcPr>
            <w:tcW w:w="1881" w:type="dxa"/>
            <w:vAlign w:val="center"/>
          </w:tcPr>
          <w:p>
            <w:pPr>
              <w:jc w:val="center"/>
              <w:rPr>
                <w:sz w:val="24"/>
                <w:szCs w:val="24"/>
                <w:highlight w:val="none"/>
              </w:rPr>
            </w:pPr>
            <w:r>
              <w:rPr>
                <w:rFonts w:hint="eastAsia"/>
                <w:sz w:val="24"/>
                <w:szCs w:val="24"/>
                <w:highlight w:val="none"/>
              </w:rPr>
              <w:t>采购标的对应的中小企业划分标准所属行业</w:t>
            </w:r>
          </w:p>
        </w:tc>
        <w:tc>
          <w:tcPr>
            <w:tcW w:w="6861" w:type="dxa"/>
            <w:vAlign w:val="center"/>
          </w:tcPr>
          <w:p>
            <w:pPr>
              <w:jc w:val="left"/>
              <w:rPr>
                <w:sz w:val="24"/>
                <w:szCs w:val="24"/>
                <w:highlight w:val="none"/>
              </w:rPr>
            </w:pPr>
            <w:r>
              <w:rPr>
                <w:rFonts w:hint="eastAsia"/>
                <w:sz w:val="24"/>
                <w:szCs w:val="24"/>
                <w:highlight w:val="none"/>
              </w:rPr>
              <w:t xml:space="preserve">（1）标的： </w:t>
            </w:r>
            <w:r>
              <w:rPr>
                <w:rFonts w:hint="eastAsia"/>
                <w:sz w:val="24"/>
                <w:szCs w:val="24"/>
                <w:highlight w:val="none"/>
                <w:lang w:val="en-US" w:eastAsia="zh-CN"/>
              </w:rPr>
              <w:t>灯光改造项目</w:t>
            </w:r>
            <w:r>
              <w:rPr>
                <w:rFonts w:hint="eastAsia"/>
                <w:sz w:val="24"/>
                <w:szCs w:val="24"/>
                <w:highlight w:val="none"/>
              </w:rPr>
              <w:t xml:space="preserve"> ，属于（</w:t>
            </w:r>
            <w:r>
              <w:rPr>
                <w:rFonts w:hint="eastAsia"/>
                <w:sz w:val="24"/>
                <w:szCs w:val="24"/>
                <w:highlight w:val="none"/>
                <w:lang w:eastAsia="zh-CN"/>
              </w:rPr>
              <w:t>二</w:t>
            </w:r>
            <w:r>
              <w:rPr>
                <w:rFonts w:hint="eastAsia"/>
                <w:sz w:val="24"/>
                <w:szCs w:val="24"/>
                <w:highlight w:val="none"/>
              </w:rPr>
              <w:t>）</w:t>
            </w:r>
            <w:r>
              <w:rPr>
                <w:rFonts w:hint="eastAsia"/>
                <w:sz w:val="24"/>
                <w:szCs w:val="24"/>
                <w:highlight w:val="none"/>
                <w:lang w:eastAsia="zh-CN"/>
              </w:rPr>
              <w:t>工业</w:t>
            </w:r>
            <w:r>
              <w:rPr>
                <w:rFonts w:hint="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10</w:t>
            </w:r>
          </w:p>
        </w:tc>
        <w:tc>
          <w:tcPr>
            <w:tcW w:w="1881" w:type="dxa"/>
            <w:vAlign w:val="center"/>
          </w:tcPr>
          <w:p>
            <w:pPr>
              <w:jc w:val="center"/>
              <w:rPr>
                <w:sz w:val="24"/>
                <w:szCs w:val="24"/>
                <w:highlight w:val="none"/>
              </w:rPr>
            </w:pPr>
            <w:r>
              <w:rPr>
                <w:rFonts w:hint="eastAsia"/>
                <w:sz w:val="24"/>
                <w:szCs w:val="24"/>
                <w:highlight w:val="none"/>
              </w:rPr>
              <w:t>节能产品、环境标志产品</w:t>
            </w:r>
          </w:p>
        </w:tc>
        <w:tc>
          <w:tcPr>
            <w:tcW w:w="6861" w:type="dxa"/>
            <w:vAlign w:val="center"/>
          </w:tcPr>
          <w:p>
            <w:pPr>
              <w:jc w:val="left"/>
              <w:rPr>
                <w:rFonts w:hint="eastAsia"/>
                <w:sz w:val="24"/>
                <w:szCs w:val="24"/>
                <w:highlight w:val="none"/>
                <w:lang w:val="en-US" w:eastAsia="zh-CN"/>
              </w:rPr>
            </w:pPr>
            <w:r>
              <w:rPr>
                <w:rFonts w:hint="eastAsia"/>
                <w:sz w:val="24"/>
                <w:szCs w:val="24"/>
                <w:highlight w:val="none"/>
                <w:lang w:val="en-US" w:eastAsia="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Merge w:val="restart"/>
            <w:vAlign w:val="center"/>
          </w:tcPr>
          <w:p>
            <w:pPr>
              <w:jc w:val="center"/>
              <w:rPr>
                <w:sz w:val="24"/>
                <w:szCs w:val="24"/>
                <w:highlight w:val="none"/>
              </w:rPr>
            </w:pPr>
          </w:p>
          <w:p>
            <w:pPr>
              <w:jc w:val="center"/>
              <w:rPr>
                <w:sz w:val="24"/>
                <w:szCs w:val="24"/>
                <w:highlight w:val="none"/>
              </w:rPr>
            </w:pPr>
            <w:r>
              <w:rPr>
                <w:rFonts w:hint="eastAsia"/>
                <w:sz w:val="24"/>
                <w:szCs w:val="24"/>
                <w:highlight w:val="none"/>
              </w:rPr>
              <w:t>11</w:t>
            </w:r>
          </w:p>
        </w:tc>
        <w:tc>
          <w:tcPr>
            <w:tcW w:w="1881" w:type="dxa"/>
            <w:vMerge w:val="restart"/>
            <w:vAlign w:val="center"/>
          </w:tcPr>
          <w:p>
            <w:pPr>
              <w:jc w:val="center"/>
              <w:rPr>
                <w:sz w:val="24"/>
                <w:szCs w:val="24"/>
                <w:highlight w:val="none"/>
              </w:rPr>
            </w:pPr>
            <w:r>
              <w:rPr>
                <w:rFonts w:hint="eastAsia"/>
                <w:sz w:val="24"/>
                <w:szCs w:val="24"/>
                <w:highlight w:val="none"/>
              </w:rPr>
              <w:t>中小企业信用融资</w:t>
            </w:r>
          </w:p>
        </w:tc>
        <w:tc>
          <w:tcPr>
            <w:tcW w:w="6861" w:type="dxa"/>
            <w:vAlign w:val="center"/>
          </w:tcPr>
          <w:p>
            <w:pPr>
              <w:jc w:val="left"/>
              <w:rPr>
                <w:rFonts w:hint="eastAsia"/>
                <w:sz w:val="24"/>
                <w:szCs w:val="24"/>
                <w:highlight w:val="none"/>
                <w:lang w:val="en-US" w:eastAsia="zh-CN"/>
              </w:rPr>
            </w:pPr>
            <w:r>
              <w:rPr>
                <w:rFonts w:hint="eastAsia"/>
                <w:sz w:val="24"/>
                <w:szCs w:val="24"/>
                <w:highlight w:val="none"/>
                <w:lang w:val="en-US" w:eastAsia="zh-CN"/>
              </w:rPr>
              <w:t>在政府采购活动中，供应商提供的货物、工程或者服务符合</w:t>
            </w:r>
            <w:r>
              <w:rPr>
                <w:rFonts w:hint="eastAsia"/>
                <w:sz w:val="24"/>
                <w:szCs w:val="24"/>
                <w:highlight w:val="none"/>
                <w:lang w:val="zh-CN" w:eastAsia="zh-CN"/>
              </w:rPr>
              <w:t>《政府采购促进中小企业发展管理办法》（财库〔2020〕46号）</w:t>
            </w:r>
            <w:r>
              <w:rPr>
                <w:rFonts w:hint="eastAsia"/>
                <w:sz w:val="24"/>
                <w:szCs w:val="24"/>
                <w:highlight w:val="none"/>
                <w:lang w:val="en-US" w:eastAsia="zh-CN"/>
              </w:rPr>
              <w:t>的要求，享受中小企业扶持政策。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Merge w:val="continue"/>
            <w:vAlign w:val="center"/>
          </w:tcPr>
          <w:p>
            <w:pPr>
              <w:jc w:val="center"/>
              <w:rPr>
                <w:rFonts w:hint="eastAsia"/>
                <w:sz w:val="24"/>
                <w:szCs w:val="24"/>
                <w:highlight w:val="none"/>
              </w:rPr>
            </w:pPr>
          </w:p>
        </w:tc>
        <w:tc>
          <w:tcPr>
            <w:tcW w:w="1881" w:type="dxa"/>
            <w:vMerge w:val="continue"/>
            <w:vAlign w:val="center"/>
          </w:tcPr>
          <w:p>
            <w:pPr>
              <w:jc w:val="center"/>
              <w:rPr>
                <w:rFonts w:hint="eastAsia"/>
                <w:sz w:val="24"/>
                <w:szCs w:val="24"/>
                <w:highlight w:val="none"/>
              </w:rPr>
            </w:pPr>
          </w:p>
        </w:tc>
        <w:tc>
          <w:tcPr>
            <w:tcW w:w="6861" w:type="dxa"/>
            <w:vAlign w:val="center"/>
          </w:tcPr>
          <w:p>
            <w:pPr>
              <w:jc w:val="left"/>
              <w:rPr>
                <w:rFonts w:hint="eastAsia"/>
                <w:sz w:val="24"/>
                <w:szCs w:val="24"/>
                <w:highlight w:val="none"/>
                <w:lang w:val="en-US" w:eastAsia="zh-CN"/>
              </w:rPr>
            </w:pPr>
            <w:r>
              <w:rPr>
                <w:rFonts w:hint="eastAsia"/>
                <w:sz w:val="24"/>
                <w:szCs w:val="24"/>
                <w:highlight w:val="none"/>
                <w:lang w:val="en-US" w:eastAsia="zh-CN"/>
              </w:rPr>
              <w:t>中小企业</w:t>
            </w:r>
          </w:p>
          <w:p>
            <w:pPr>
              <w:jc w:val="left"/>
              <w:rPr>
                <w:rFonts w:hint="eastAsia"/>
                <w:sz w:val="24"/>
                <w:szCs w:val="24"/>
                <w:highlight w:val="none"/>
                <w:lang w:val="en-US" w:eastAsia="zh-CN"/>
              </w:rPr>
            </w:pPr>
            <w:r>
              <w:rPr>
                <w:rFonts w:hint="eastAsia"/>
                <w:sz w:val="24"/>
                <w:szCs w:val="24"/>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jc w:val="left"/>
              <w:rPr>
                <w:rFonts w:hint="eastAsia"/>
                <w:sz w:val="24"/>
                <w:szCs w:val="24"/>
                <w:highlight w:val="none"/>
                <w:lang w:val="en-US" w:eastAsia="zh-CN"/>
              </w:rPr>
            </w:pPr>
            <w:r>
              <w:rPr>
                <w:rFonts w:hint="eastAsia"/>
                <w:sz w:val="24"/>
                <w:szCs w:val="24"/>
                <w:highlight w:val="none"/>
                <w:lang w:val="en-US" w:eastAsia="zh-CN"/>
              </w:rPr>
              <w:t>符合中小企业划分标准的个体工商户，在政府采购活动中视同中小企业。</w:t>
            </w:r>
          </w:p>
          <w:p>
            <w:pPr>
              <w:jc w:val="left"/>
              <w:rPr>
                <w:sz w:val="24"/>
                <w:szCs w:val="24"/>
                <w:highlight w:val="none"/>
              </w:rPr>
            </w:pPr>
            <w:r>
              <w:rPr>
                <w:rFonts w:hint="eastAsia"/>
                <w:sz w:val="24"/>
                <w:szCs w:val="24"/>
                <w:highlight w:val="none"/>
                <w:lang w:val="zh-CN"/>
              </w:rPr>
              <w:t>监狱企业、残疾人福利性单位</w:t>
            </w:r>
            <w:r>
              <w:rPr>
                <w:rFonts w:hint="eastAsia"/>
                <w:sz w:val="24"/>
                <w:szCs w:val="24"/>
                <w:highlight w:val="none"/>
                <w:lang w:val="en-US" w:eastAsia="zh-CN"/>
              </w:rPr>
              <w:t>视同小微企业。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Merge w:val="continue"/>
            <w:vAlign w:val="center"/>
          </w:tcPr>
          <w:p>
            <w:pPr>
              <w:jc w:val="center"/>
              <w:rPr>
                <w:rFonts w:hint="eastAsia"/>
                <w:sz w:val="24"/>
                <w:szCs w:val="24"/>
                <w:highlight w:val="none"/>
              </w:rPr>
            </w:pPr>
          </w:p>
        </w:tc>
        <w:tc>
          <w:tcPr>
            <w:tcW w:w="1881" w:type="dxa"/>
            <w:vMerge w:val="continue"/>
            <w:vAlign w:val="center"/>
          </w:tcPr>
          <w:p>
            <w:pPr>
              <w:jc w:val="center"/>
              <w:rPr>
                <w:rFonts w:hint="eastAsia"/>
                <w:sz w:val="24"/>
                <w:szCs w:val="24"/>
                <w:highlight w:val="none"/>
              </w:rPr>
            </w:pPr>
          </w:p>
        </w:tc>
        <w:tc>
          <w:tcPr>
            <w:tcW w:w="6861" w:type="dxa"/>
            <w:vAlign w:val="center"/>
          </w:tcPr>
          <w:p>
            <w:pPr>
              <w:jc w:val="left"/>
              <w:rPr>
                <w:rFonts w:hint="eastAsia"/>
                <w:sz w:val="24"/>
                <w:szCs w:val="24"/>
                <w:highlight w:val="none"/>
              </w:rPr>
            </w:pPr>
            <w:r>
              <w:rPr>
                <w:rFonts w:hint="eastAsia"/>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Merge w:val="continue"/>
            <w:vAlign w:val="center"/>
          </w:tcPr>
          <w:p>
            <w:pPr>
              <w:jc w:val="center"/>
              <w:rPr>
                <w:sz w:val="24"/>
                <w:szCs w:val="24"/>
                <w:highlight w:val="none"/>
              </w:rPr>
            </w:pPr>
          </w:p>
        </w:tc>
        <w:tc>
          <w:tcPr>
            <w:tcW w:w="1881" w:type="dxa"/>
            <w:vMerge w:val="continue"/>
            <w:vAlign w:val="center"/>
          </w:tcPr>
          <w:p>
            <w:pPr>
              <w:jc w:val="center"/>
              <w:rPr>
                <w:sz w:val="24"/>
                <w:szCs w:val="24"/>
                <w:highlight w:val="none"/>
              </w:rPr>
            </w:pPr>
          </w:p>
        </w:tc>
        <w:tc>
          <w:tcPr>
            <w:tcW w:w="6861" w:type="dxa"/>
            <w:vAlign w:val="center"/>
          </w:tcPr>
          <w:p>
            <w:pPr>
              <w:jc w:val="left"/>
              <w:rPr>
                <w:sz w:val="24"/>
                <w:szCs w:val="24"/>
                <w:highlight w:val="none"/>
              </w:rPr>
            </w:pPr>
            <w:r>
              <w:rPr>
                <w:rFonts w:hint="eastAsia"/>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12</w:t>
            </w:r>
          </w:p>
        </w:tc>
        <w:tc>
          <w:tcPr>
            <w:tcW w:w="1881" w:type="dxa"/>
            <w:vAlign w:val="center"/>
          </w:tcPr>
          <w:p>
            <w:pPr>
              <w:jc w:val="center"/>
              <w:rPr>
                <w:sz w:val="24"/>
                <w:szCs w:val="24"/>
                <w:highlight w:val="none"/>
              </w:rPr>
            </w:pPr>
            <w:r>
              <w:rPr>
                <w:rFonts w:hint="eastAsia"/>
                <w:sz w:val="24"/>
                <w:szCs w:val="24"/>
                <w:highlight w:val="none"/>
              </w:rPr>
              <w:t>备份投标文件送达地点和签收人员</w:t>
            </w:r>
          </w:p>
        </w:tc>
        <w:tc>
          <w:tcPr>
            <w:tcW w:w="6861" w:type="dxa"/>
            <w:vAlign w:val="center"/>
          </w:tcPr>
          <w:p>
            <w:pPr>
              <w:jc w:val="left"/>
              <w:rPr>
                <w:sz w:val="24"/>
                <w:szCs w:val="24"/>
                <w:highlight w:val="none"/>
              </w:rPr>
            </w:pPr>
            <w:r>
              <w:rPr>
                <w:rFonts w:hint="eastAsia"/>
                <w:sz w:val="24"/>
                <w:szCs w:val="24"/>
                <w:highlight w:val="none"/>
              </w:rPr>
              <w:t>备份投标文件送达地点：杭州瑞拓工程咨询有限公司</w:t>
            </w:r>
            <w:r>
              <w:rPr>
                <w:rFonts w:hint="eastAsia"/>
                <w:sz w:val="24"/>
                <w:szCs w:val="24"/>
                <w:highlight w:val="none"/>
                <w:lang w:eastAsia="zh-CN"/>
              </w:rPr>
              <w:t>（</w:t>
            </w:r>
            <w:r>
              <w:rPr>
                <w:rFonts w:hint="eastAsia"/>
                <w:sz w:val="24"/>
                <w:szCs w:val="24"/>
                <w:highlight w:val="none"/>
              </w:rPr>
              <w:t>杭州市临平</w:t>
            </w:r>
            <w:r>
              <w:rPr>
                <w:rFonts w:hint="eastAsia"/>
                <w:sz w:val="24"/>
                <w:szCs w:val="24"/>
                <w:highlight w:val="none"/>
                <w:lang w:eastAsia="zh-CN"/>
              </w:rPr>
              <w:t>区</w:t>
            </w:r>
            <w:r>
              <w:rPr>
                <w:rFonts w:hint="eastAsia"/>
                <w:sz w:val="24"/>
                <w:szCs w:val="24"/>
                <w:highlight w:val="none"/>
              </w:rPr>
              <w:t>新丰路199号余杭商会大厦4号楼25楼</w:t>
            </w:r>
            <w:r>
              <w:rPr>
                <w:rFonts w:hint="eastAsia"/>
                <w:sz w:val="24"/>
                <w:szCs w:val="24"/>
                <w:highlight w:val="none"/>
                <w:lang w:eastAsia="zh-CN"/>
              </w:rPr>
              <w:t>招标代理部）</w:t>
            </w:r>
            <w:r>
              <w:rPr>
                <w:rFonts w:hint="eastAsia"/>
                <w:sz w:val="24"/>
                <w:szCs w:val="24"/>
                <w:highlight w:val="none"/>
              </w:rPr>
              <w:t>；备份投标文件签收人员联系电话：13456280842。</w:t>
            </w:r>
          </w:p>
          <w:p>
            <w:pPr>
              <w:jc w:val="left"/>
              <w:rPr>
                <w:sz w:val="24"/>
                <w:szCs w:val="24"/>
                <w:highlight w:val="none"/>
              </w:rPr>
            </w:pPr>
            <w:r>
              <w:rPr>
                <w:rFonts w:hint="eastAsia"/>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sz w:val="24"/>
                <w:szCs w:val="24"/>
                <w:highlight w:val="none"/>
              </w:rPr>
            </w:pPr>
            <w:r>
              <w:rPr>
                <w:rFonts w:hint="eastAsia"/>
                <w:sz w:val="24"/>
                <w:szCs w:val="24"/>
                <w:highlight w:val="none"/>
              </w:rPr>
              <w:t>13</w:t>
            </w:r>
          </w:p>
        </w:tc>
        <w:tc>
          <w:tcPr>
            <w:tcW w:w="1881" w:type="dxa"/>
            <w:vAlign w:val="center"/>
          </w:tcPr>
          <w:p>
            <w:pPr>
              <w:jc w:val="center"/>
              <w:rPr>
                <w:sz w:val="24"/>
                <w:szCs w:val="24"/>
                <w:highlight w:val="none"/>
              </w:rPr>
            </w:pPr>
            <w:r>
              <w:rPr>
                <w:rFonts w:hint="eastAsia"/>
                <w:sz w:val="24"/>
                <w:szCs w:val="24"/>
                <w:highlight w:val="none"/>
              </w:rPr>
              <w:t>招标代理服务费</w:t>
            </w:r>
          </w:p>
        </w:tc>
        <w:tc>
          <w:tcPr>
            <w:tcW w:w="6861" w:type="dxa"/>
            <w:vAlign w:val="center"/>
          </w:tcPr>
          <w:p>
            <w:pPr>
              <w:jc w:val="left"/>
              <w:rPr>
                <w:rFonts w:hint="eastAsia"/>
                <w:sz w:val="24"/>
                <w:szCs w:val="24"/>
                <w:highlight w:val="none"/>
              </w:rPr>
            </w:pPr>
            <w:r>
              <w:rPr>
                <w:rFonts w:hint="eastAsia"/>
                <w:sz w:val="24"/>
                <w:szCs w:val="24"/>
                <w:highlight w:val="none"/>
              </w:rPr>
              <w:t>本次代理服务费由各标项中标人支付，代理服务费按照国家计委印发的《招标代理服务收费管理暂行办法》计价格[2002]1980号、发改办价格[2003]857号和《关于规范</w:t>
            </w:r>
            <w:r>
              <w:rPr>
                <w:rFonts w:hint="eastAsia"/>
                <w:sz w:val="24"/>
                <w:szCs w:val="24"/>
                <w:highlight w:val="none"/>
                <w:lang w:val="en-US" w:eastAsia="zh-CN"/>
              </w:rPr>
              <w:t>余杭</w:t>
            </w:r>
            <w:r>
              <w:rPr>
                <w:rFonts w:hint="eastAsia"/>
                <w:sz w:val="24"/>
                <w:szCs w:val="24"/>
                <w:highlight w:val="none"/>
                <w:lang w:eastAsia="zh-CN"/>
              </w:rPr>
              <w:t>区</w:t>
            </w:r>
            <w:r>
              <w:rPr>
                <w:rFonts w:hint="eastAsia"/>
                <w:sz w:val="24"/>
                <w:szCs w:val="24"/>
                <w:highlight w:val="none"/>
              </w:rPr>
              <w:t>政府投资项目中介服务付费限额标准的通知》余财政〔2018〕24号规定收费。各</w:t>
            </w:r>
            <w:r>
              <w:rPr>
                <w:rFonts w:hint="eastAsia"/>
                <w:sz w:val="24"/>
                <w:szCs w:val="24"/>
                <w:highlight w:val="none"/>
                <w:lang w:eastAsia="zh-CN"/>
              </w:rPr>
              <w:t>标项</w:t>
            </w:r>
            <w:r>
              <w:rPr>
                <w:rFonts w:hint="eastAsia"/>
                <w:sz w:val="24"/>
                <w:szCs w:val="24"/>
                <w:highlight w:val="none"/>
              </w:rPr>
              <w:t>投标人应在投标报价中予以考虑。</w:t>
            </w:r>
          </w:p>
          <w:p>
            <w:pPr>
              <w:jc w:val="left"/>
              <w:rPr>
                <w:sz w:val="24"/>
                <w:szCs w:val="24"/>
                <w:highlight w:val="none"/>
              </w:rPr>
            </w:pPr>
            <w:r>
              <w:rPr>
                <w:rFonts w:hint="eastAsia"/>
                <w:sz w:val="24"/>
                <w:szCs w:val="24"/>
                <w:highlight w:val="none"/>
              </w:rPr>
              <w:t>中标服务费的交纳方式：以转帐或支票的形式支付；开户行名称：浦发银行</w:t>
            </w:r>
            <w:r>
              <w:rPr>
                <w:rFonts w:hint="eastAsia"/>
                <w:sz w:val="24"/>
                <w:szCs w:val="24"/>
                <w:highlight w:val="none"/>
                <w:lang w:eastAsia="zh-CN"/>
              </w:rPr>
              <w:t>临平</w:t>
            </w:r>
            <w:r>
              <w:rPr>
                <w:rFonts w:hint="eastAsia"/>
                <w:sz w:val="24"/>
                <w:szCs w:val="24"/>
                <w:highlight w:val="none"/>
              </w:rPr>
              <w:t>支行；帐号：95110154800000633；开户名：杭州瑞拓工程咨询有限公司；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rFonts w:hint="default"/>
                <w:sz w:val="24"/>
                <w:szCs w:val="24"/>
                <w:highlight w:val="none"/>
                <w:lang w:val="en-US" w:eastAsia="zh-CN"/>
              </w:rPr>
            </w:pPr>
            <w:bookmarkStart w:id="6" w:name="_Toc164416483"/>
            <w:bookmarkStart w:id="7" w:name="第三部分"/>
            <w:r>
              <w:rPr>
                <w:rFonts w:hint="eastAsia"/>
                <w:sz w:val="24"/>
                <w:szCs w:val="24"/>
                <w:highlight w:val="none"/>
                <w:lang w:val="en-US" w:eastAsia="zh-CN"/>
              </w:rPr>
              <w:t>14</w:t>
            </w:r>
          </w:p>
        </w:tc>
        <w:tc>
          <w:tcPr>
            <w:tcW w:w="1881" w:type="dxa"/>
            <w:vAlign w:val="center"/>
          </w:tcPr>
          <w:p>
            <w:pPr>
              <w:jc w:val="center"/>
              <w:rPr>
                <w:rFonts w:hint="eastAsia"/>
                <w:sz w:val="24"/>
                <w:szCs w:val="24"/>
                <w:highlight w:val="none"/>
              </w:rPr>
            </w:pPr>
            <w:r>
              <w:rPr>
                <w:rFonts w:hint="eastAsia"/>
                <w:sz w:val="24"/>
                <w:szCs w:val="24"/>
                <w:highlight w:val="none"/>
              </w:rPr>
              <w:t>特别说明</w:t>
            </w:r>
          </w:p>
        </w:tc>
        <w:tc>
          <w:tcPr>
            <w:tcW w:w="6861" w:type="dxa"/>
            <w:vAlign w:val="center"/>
          </w:tcPr>
          <w:p>
            <w:pPr>
              <w:jc w:val="left"/>
              <w:rPr>
                <w:rFonts w:hint="eastAsia"/>
                <w:sz w:val="24"/>
                <w:szCs w:val="24"/>
                <w:highlight w:val="none"/>
              </w:rPr>
            </w:pPr>
            <w:r>
              <w:rPr>
                <w:rFonts w:hint="eastAsia"/>
                <w:sz w:val="24"/>
                <w:szCs w:val="24"/>
                <w:highlight w:val="none"/>
                <w:lang w:eastAsia="zh-CN"/>
              </w:rPr>
              <w:t>注：</w:t>
            </w:r>
            <w:r>
              <w:rPr>
                <w:rFonts w:hint="eastAsia"/>
                <w:sz w:val="24"/>
                <w:szCs w:val="24"/>
                <w:highlight w:val="none"/>
                <w:lang w:val="en-US" w:eastAsia="zh-CN"/>
              </w:rPr>
              <w:t>1）</w:t>
            </w:r>
            <w:r>
              <w:rPr>
                <w:rFonts w:hint="eastAsia"/>
                <w:sz w:val="24"/>
                <w:szCs w:val="24"/>
                <w:highlight w:val="none"/>
                <w:lang w:eastAsia="zh-CN"/>
              </w:rPr>
              <w:t>同一家单位可以同时参加四个标项的投标，按照标项一、标项二、标项三、标项四的开标先后顺序，该单位若成为先开标项的第一中标候选人的则应自动放弃后开标项的中标权利并不再被推荐为后开标项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rFonts w:hint="default"/>
                <w:sz w:val="24"/>
                <w:szCs w:val="24"/>
                <w:highlight w:val="none"/>
                <w:lang w:val="en-US" w:eastAsia="zh-CN"/>
              </w:rPr>
            </w:pPr>
            <w:r>
              <w:rPr>
                <w:rFonts w:hint="eastAsia"/>
                <w:sz w:val="24"/>
                <w:szCs w:val="24"/>
                <w:highlight w:val="none"/>
                <w:lang w:val="en-US" w:eastAsia="zh-CN"/>
              </w:rPr>
              <w:t>15</w:t>
            </w:r>
          </w:p>
        </w:tc>
        <w:tc>
          <w:tcPr>
            <w:tcW w:w="1881" w:type="dxa"/>
            <w:vAlign w:val="center"/>
          </w:tcPr>
          <w:p>
            <w:pPr>
              <w:widowControl w:val="0"/>
              <w:wordWrap/>
              <w:adjustRightInd w:val="0"/>
              <w:snapToGrid/>
              <w:spacing w:line="600" w:lineRule="exact"/>
              <w:ind w:left="0" w:leftChars="0" w:right="0" w:rightChars="0" w:firstLine="0" w:firstLineChars="0"/>
              <w:jc w:val="center"/>
              <w:textAlignment w:val="auto"/>
              <w:outlineLvl w:val="9"/>
              <w:rPr>
                <w:rFonts w:hint="eastAsia"/>
                <w:sz w:val="24"/>
                <w:szCs w:val="24"/>
                <w:highlight w:val="none"/>
              </w:rPr>
            </w:pPr>
            <w:r>
              <w:rPr>
                <w:rFonts w:hint="eastAsia" w:ascii="宋体" w:hAnsi="宋体" w:cs="宋体"/>
                <w:color w:val="auto"/>
                <w:sz w:val="24"/>
                <w:highlight w:val="none"/>
                <w:lang w:eastAsia="zh-CN"/>
              </w:rPr>
              <w:t>联合体说明</w:t>
            </w:r>
          </w:p>
        </w:tc>
        <w:tc>
          <w:tcPr>
            <w:tcW w:w="6861" w:type="dxa"/>
            <w:vAlign w:val="center"/>
          </w:tcPr>
          <w:p>
            <w:pPr>
              <w:spacing w:line="240" w:lineRule="auto"/>
              <w:jc w:val="left"/>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1）</w:t>
            </w:r>
            <w:r>
              <w:rPr>
                <w:rFonts w:hint="eastAsia" w:ascii="Times New Roman" w:hAnsi="Times New Roman" w:eastAsia="宋体" w:cs="Times New Roman"/>
                <w:sz w:val="24"/>
                <w:highlight w:val="none"/>
              </w:rPr>
              <w:t>采用联合体投标的，投标人代表则为联合体牵头人代表。</w:t>
            </w:r>
          </w:p>
          <w:p>
            <w:pPr>
              <w:spacing w:line="240" w:lineRule="auto"/>
              <w:jc w:val="left"/>
              <w:rPr>
                <w:rFonts w:hint="eastAsia" w:ascii="Times New Roman" w:hAnsi="Times New Roman" w:eastAsia="宋体" w:cs="Times New Roman"/>
                <w:sz w:val="24"/>
                <w:highlight w:val="none"/>
                <w:lang w:eastAsia="zh-CN"/>
              </w:rPr>
            </w:pPr>
            <w:r>
              <w:rPr>
                <w:rFonts w:hint="eastAsia" w:ascii="Times New Roman" w:hAnsi="Times New Roman" w:eastAsia="宋体" w:cs="Times New Roman"/>
                <w:sz w:val="24"/>
                <w:highlight w:val="none"/>
                <w:lang w:val="en-US" w:eastAsia="zh-CN"/>
              </w:rPr>
              <w:t>2）</w:t>
            </w:r>
            <w:r>
              <w:rPr>
                <w:rFonts w:hint="eastAsia" w:ascii="Times New Roman" w:hAnsi="Times New Roman" w:eastAsia="宋体" w:cs="Times New Roman"/>
                <w:sz w:val="24"/>
                <w:highlight w:val="none"/>
              </w:rPr>
              <w:t>凡是要求投标文件中加盖投标人公章的，至少须加盖联合体主办人的单位公章；要求提供法定代表人身份证复印件的，至少须提供联合体主办人法定代表人的身份证复印件；要求投标人法定代表人签字的，至少须由联合体主办人法定代表人签字。否则，视为投标无效。</w:t>
            </w:r>
            <w:r>
              <w:rPr>
                <w:rFonts w:hint="eastAsia" w:ascii="Times New Roman" w:hAnsi="Times New Roman" w:cs="Times New Roman"/>
                <w:sz w:val="24"/>
                <w:highlight w:val="none"/>
                <w:lang w:eastAsia="zh-CN"/>
              </w:rPr>
              <w:t>（招标文件第六部分 应提交的有关格式范例中：资格文件部分二、落实政府采购政策需满足的资格要求及</w:t>
            </w:r>
            <w:r>
              <w:rPr>
                <w:rFonts w:hint="eastAsia" w:ascii="Times New Roman" w:hAnsi="Times New Roman" w:cs="Times New Roman"/>
                <w:sz w:val="24"/>
                <w:highlight w:val="none"/>
                <w:lang w:val="zh-CN" w:eastAsia="zh-CN"/>
              </w:rPr>
              <w:t>商务技术文件部分二、 授权委托书（适用于联合体投标）</w:t>
            </w:r>
            <w:r>
              <w:rPr>
                <w:rFonts w:hint="eastAsia" w:ascii="Times New Roman" w:hAnsi="Times New Roman" w:cs="Times New Roman"/>
                <w:sz w:val="24"/>
                <w:highlight w:val="none"/>
                <w:lang w:eastAsia="zh-CN"/>
              </w:rPr>
              <w:t>需加盖联合体成员名称(电子签名/公章）及联合体成员名称(电子签名/公章）；</w:t>
            </w:r>
            <w:r>
              <w:rPr>
                <w:rFonts w:hint="eastAsia" w:ascii="Times New Roman" w:hAnsi="Times New Roman" w:cs="Times New Roman"/>
                <w:sz w:val="24"/>
                <w:highlight w:val="none"/>
                <w:lang w:val="zh-CN" w:eastAsia="zh-CN"/>
              </w:rPr>
              <w:t>商务技术文件部分</w:t>
            </w:r>
            <w:r>
              <w:rPr>
                <w:rFonts w:hint="eastAsia" w:ascii="Times New Roman" w:hAnsi="Times New Roman" w:cs="Times New Roman"/>
                <w:sz w:val="24"/>
                <w:highlight w:val="none"/>
                <w:lang w:eastAsia="zh-CN"/>
              </w:rPr>
              <w:t xml:space="preserve"> 三、</w:t>
            </w:r>
            <w:r>
              <w:rPr>
                <w:rFonts w:hint="eastAsia" w:ascii="Times New Roman" w:hAnsi="Times New Roman" w:cs="Times New Roman"/>
                <w:sz w:val="24"/>
                <w:highlight w:val="none"/>
                <w:lang w:val="zh-CN" w:eastAsia="zh-CN"/>
              </w:rPr>
              <w:t>联合协议（标项       ）需加盖联合体成员名称(电子签名/公章）</w:t>
            </w:r>
            <w:r>
              <w:rPr>
                <w:rFonts w:hint="eastAsia" w:ascii="Times New Roman" w:hAnsi="Times New Roman" w:cs="Times New Roman"/>
                <w:sz w:val="24"/>
                <w:highlight w:val="none"/>
                <w:lang w:eastAsia="zh-CN"/>
              </w:rPr>
              <w:t>）</w:t>
            </w:r>
          </w:p>
          <w:p>
            <w:pPr>
              <w:spacing w:line="240" w:lineRule="auto"/>
              <w:jc w:val="left"/>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lang w:val="en-US" w:eastAsia="zh-CN"/>
              </w:rPr>
              <w:t>3）</w:t>
            </w:r>
            <w:r>
              <w:rPr>
                <w:rFonts w:hint="eastAsia" w:ascii="Times New Roman" w:hAnsi="Times New Roman" w:eastAsia="宋体" w:cs="Times New Roman"/>
                <w:sz w:val="24"/>
                <w:highlight w:val="none"/>
              </w:rPr>
              <w:t>联合体各方均须按采购文件规定的商务分评标要素提供各自的评标依据，一起装订在商务投标文件内。</w:t>
            </w:r>
          </w:p>
          <w:p>
            <w:pPr>
              <w:spacing w:line="240" w:lineRule="auto"/>
              <w:jc w:val="left"/>
              <w:rPr>
                <w:rFonts w:hint="eastAsia"/>
                <w:sz w:val="24"/>
                <w:szCs w:val="24"/>
                <w:highlight w:val="none"/>
                <w:lang w:eastAsia="zh-CN"/>
              </w:rPr>
            </w:pPr>
            <w:r>
              <w:rPr>
                <w:rFonts w:hint="eastAsia" w:ascii="Times New Roman" w:hAnsi="Times New Roman" w:eastAsia="宋体" w:cs="Times New Roman"/>
                <w:sz w:val="24"/>
                <w:highlight w:val="none"/>
                <w:lang w:val="en-US" w:eastAsia="zh-CN"/>
              </w:rPr>
              <w:t>4</w:t>
            </w:r>
            <w:r>
              <w:rPr>
                <w:rFonts w:hint="eastAsia" w:ascii="Times New Roman" w:hAnsi="Times New Roman" w:cs="Times New Roman"/>
                <w:sz w:val="24"/>
                <w:highlight w:val="none"/>
                <w:lang w:val="en-US" w:eastAsia="zh-CN"/>
              </w:rPr>
              <w:t>）</w:t>
            </w:r>
            <w:r>
              <w:rPr>
                <w:rFonts w:hint="eastAsia" w:ascii="Times New Roman" w:hAnsi="Times New Roman" w:eastAsia="宋体" w:cs="Times New Roman"/>
                <w:sz w:val="24"/>
                <w:highlight w:val="none"/>
              </w:rPr>
              <w:t>组成联合体后，联合体各方不得再以自己的名义单独在同一项目中投标，也不得组成新的联合体参加同一项目投标。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784" w:type="dxa"/>
            <w:vAlign w:val="center"/>
          </w:tcPr>
          <w:p>
            <w:pPr>
              <w:jc w:val="center"/>
              <w:rPr>
                <w:rFonts w:hint="default"/>
                <w:sz w:val="24"/>
                <w:szCs w:val="24"/>
                <w:highlight w:val="none"/>
                <w:lang w:val="en-US" w:eastAsia="zh-CN"/>
              </w:rPr>
            </w:pPr>
            <w:r>
              <w:rPr>
                <w:rFonts w:hint="eastAsia"/>
                <w:sz w:val="24"/>
                <w:szCs w:val="24"/>
                <w:highlight w:val="none"/>
                <w:lang w:val="en-US" w:eastAsia="zh-CN"/>
              </w:rPr>
              <w:t>16</w:t>
            </w:r>
          </w:p>
        </w:tc>
        <w:tc>
          <w:tcPr>
            <w:tcW w:w="8742" w:type="dxa"/>
            <w:gridSpan w:val="2"/>
            <w:vAlign w:val="center"/>
          </w:tcPr>
          <w:p>
            <w:pPr>
              <w:jc w:val="left"/>
              <w:rPr>
                <w:rFonts w:hint="eastAsia"/>
                <w:sz w:val="24"/>
                <w:szCs w:val="24"/>
                <w:highlight w:val="none"/>
                <w:lang w:val="en-US" w:eastAsia="zh-CN"/>
              </w:rPr>
            </w:pPr>
            <w:r>
              <w:rPr>
                <w:rFonts w:hint="eastAsia"/>
                <w:sz w:val="24"/>
                <w:szCs w:val="24"/>
                <w:highlight w:val="none"/>
                <w:lang w:val="en-US" w:eastAsia="zh-CN"/>
              </w:rPr>
              <w:t>各中标单位在中标公示结束后再递交与电子加密投标文件内容一致的书面响应文件（正本一份，副本四份）。</w:t>
            </w:r>
          </w:p>
        </w:tc>
      </w:tr>
      <w:bookmarkEnd w:id="5"/>
    </w:tbl>
    <w:p>
      <w:pPr>
        <w:adjustRightInd/>
        <w:spacing w:line="360" w:lineRule="auto"/>
        <w:ind w:firstLine="3845" w:firstLineChars="1197"/>
        <w:outlineLvl w:val="0"/>
        <w:rPr>
          <w:rFonts w:ascii="宋体" w:hAnsi="宋体" w:cs="宋体"/>
          <w:b/>
          <w:color w:val="auto"/>
          <w:sz w:val="32"/>
          <w:szCs w:val="20"/>
          <w:highlight w:val="none"/>
        </w:rPr>
      </w:pPr>
    </w:p>
    <w:p>
      <w:pPr>
        <w:rPr>
          <w:rFonts w:ascii="宋体" w:hAnsi="宋体" w:cs="宋体"/>
          <w:color w:val="auto"/>
          <w:highlight w:val="none"/>
        </w:rPr>
      </w:pPr>
    </w:p>
    <w:p>
      <w:pPr>
        <w:jc w:val="center"/>
        <w:rPr>
          <w:rFonts w:hint="eastAsia" w:ascii="宋体" w:hAnsi="宋体" w:cs="宋体"/>
          <w:b/>
          <w:bCs/>
          <w:color w:val="auto"/>
          <w:sz w:val="28"/>
          <w:szCs w:val="28"/>
          <w:highlight w:val="none"/>
        </w:rPr>
        <w:sectPr>
          <w:headerReference r:id="rId4" w:type="first"/>
          <w:footerReference r:id="rId6" w:type="first"/>
          <w:headerReference r:id="rId3" w:type="default"/>
          <w:footerReference r:id="rId5" w:type="default"/>
          <w:pgSz w:w="11905" w:h="16838"/>
          <w:pgMar w:top="1531" w:right="1304" w:bottom="1531" w:left="1361" w:header="851" w:footer="992" w:gutter="0"/>
          <w:cols w:space="720" w:num="1"/>
          <w:titlePg/>
          <w:docGrid w:linePitch="312" w:charSpace="0"/>
        </w:sectPr>
      </w:pPr>
      <w:bookmarkStart w:id="8" w:name="_Toc91899903"/>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一、总则</w:t>
      </w:r>
    </w:p>
    <w:p>
      <w:pPr>
        <w:spacing w:line="600" w:lineRule="exact"/>
        <w:rPr>
          <w:rFonts w:ascii="宋体" w:hAnsi="宋体" w:cs="宋体"/>
          <w:color w:val="auto"/>
          <w:sz w:val="24"/>
          <w:highlight w:val="none"/>
        </w:rPr>
      </w:pPr>
      <w:r>
        <w:rPr>
          <w:rFonts w:hint="eastAsia" w:ascii="宋体" w:hAnsi="宋体" w:cs="宋体"/>
          <w:color w:val="auto"/>
          <w:sz w:val="24"/>
          <w:highlight w:val="none"/>
        </w:rPr>
        <w:t>1、适用范围</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spacing w:line="600" w:lineRule="exact"/>
        <w:rPr>
          <w:rFonts w:ascii="宋体" w:hAnsi="宋体" w:cs="宋体"/>
          <w:color w:val="auto"/>
          <w:sz w:val="24"/>
          <w:highlight w:val="none"/>
        </w:rPr>
      </w:pPr>
      <w:r>
        <w:rPr>
          <w:rFonts w:hint="eastAsia" w:ascii="宋体" w:hAnsi="宋体" w:cs="宋体"/>
          <w:color w:val="auto"/>
          <w:sz w:val="24"/>
          <w:highlight w:val="none"/>
        </w:rPr>
        <w:t>2、定义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 “</w:t>
      </w:r>
      <w:r>
        <w:rPr>
          <w:rFonts w:hint="eastAsia" w:ascii="宋体" w:hAnsi="宋体" w:cs="宋体"/>
          <w:color w:val="auto"/>
          <w:sz w:val="24"/>
          <w:highlight w:val="none"/>
          <w:lang w:eastAsia="zh-CN"/>
        </w:rPr>
        <w:t>●</w:t>
      </w:r>
      <w:r>
        <w:rPr>
          <w:rFonts w:hint="eastAsia" w:ascii="宋体" w:hAnsi="宋体" w:cs="宋体"/>
          <w:color w:val="auto"/>
          <w:sz w:val="24"/>
          <w:highlight w:val="none"/>
        </w:rPr>
        <w:t>”系指</w:t>
      </w:r>
      <w:r>
        <w:rPr>
          <w:rFonts w:hint="eastAsia" w:ascii="宋体" w:hAnsi="宋体" w:cs="宋体"/>
          <w:color w:val="auto"/>
          <w:sz w:val="24"/>
          <w:highlight w:val="none"/>
          <w:lang w:val="en-US" w:eastAsia="zh-CN"/>
        </w:rPr>
        <w:t>招标文件要求的</w:t>
      </w:r>
      <w:r>
        <w:rPr>
          <w:rFonts w:hint="eastAsia" w:ascii="宋体" w:hAnsi="宋体" w:cs="宋体"/>
          <w:color w:val="auto"/>
          <w:sz w:val="24"/>
          <w:highlight w:val="none"/>
        </w:rPr>
        <w:t>实质性要求条款，“▲”系采购项目中产品</w:t>
      </w:r>
      <w:r>
        <w:rPr>
          <w:rFonts w:hint="eastAsia" w:ascii="宋体" w:hAnsi="宋体" w:cs="宋体"/>
          <w:color w:val="auto"/>
          <w:sz w:val="24"/>
          <w:highlight w:val="none"/>
          <w:lang w:val="en-US" w:eastAsia="zh-CN"/>
        </w:rPr>
        <w:t>的实质性参数</w:t>
      </w:r>
      <w:r>
        <w:rPr>
          <w:rFonts w:hint="eastAsia" w:ascii="宋体" w:hAnsi="宋体" w:cs="宋体"/>
          <w:b/>
          <w:bCs/>
          <w:color w:val="auto"/>
          <w:sz w:val="24"/>
          <w:highlight w:val="none"/>
          <w:lang w:val="en-US" w:eastAsia="zh-CN"/>
        </w:rPr>
        <w:t>（不允许负偏离，否则作投标无效处理）</w:t>
      </w:r>
      <w:r>
        <w:rPr>
          <w:rFonts w:hint="eastAsia" w:ascii="宋体" w:hAnsi="宋体" w:cs="宋体"/>
          <w:color w:val="auto"/>
          <w:sz w:val="24"/>
          <w:highlight w:val="none"/>
          <w:lang w:eastAsia="zh-CN"/>
        </w:rPr>
        <w:t>，</w:t>
      </w:r>
      <w:r>
        <w:rPr>
          <w:rFonts w:hint="eastAsia" w:ascii="宋体" w:hAnsi="宋体" w:cs="宋体"/>
          <w:color w:val="auto"/>
          <w:sz w:val="24"/>
          <w:highlight w:val="none"/>
        </w:rPr>
        <w:t>“★”系产品采购项目中</w:t>
      </w:r>
      <w:r>
        <w:rPr>
          <w:rFonts w:hint="eastAsia" w:ascii="宋体" w:hAnsi="宋体" w:cs="宋体"/>
          <w:color w:val="auto"/>
          <w:sz w:val="24"/>
          <w:highlight w:val="none"/>
          <w:lang w:eastAsia="zh-CN"/>
        </w:rPr>
        <w:t>重要</w:t>
      </w:r>
      <w:r>
        <w:rPr>
          <w:rFonts w:hint="eastAsia" w:ascii="宋体" w:hAnsi="宋体" w:cs="宋体"/>
          <w:color w:val="auto"/>
          <w:sz w:val="24"/>
          <w:highlight w:val="none"/>
        </w:rPr>
        <w:t>产品</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技术参数</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pacing w:line="600" w:lineRule="exact"/>
        <w:rPr>
          <w:rFonts w:ascii="宋体" w:hAnsi="宋体" w:cs="宋体"/>
          <w:color w:val="auto"/>
          <w:sz w:val="24"/>
          <w:highlight w:val="none"/>
        </w:rPr>
      </w:pPr>
      <w:r>
        <w:rPr>
          <w:rFonts w:hint="eastAsia" w:ascii="宋体" w:hAnsi="宋体" w:cs="宋体"/>
          <w:color w:val="auto"/>
          <w:sz w:val="24"/>
          <w:highlight w:val="none"/>
        </w:rPr>
        <w:t>3、采购项目需要落实的政府采购政策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color w:val="auto"/>
          <w:sz w:val="24"/>
          <w:highlight w:val="none"/>
          <w:lang w:eastAsia="zh-CN"/>
        </w:rPr>
        <w:t>●</w:t>
      </w:r>
      <w:r>
        <w:rPr>
          <w:rFonts w:hint="eastAsia" w:ascii="宋体" w:hAnsi="宋体" w:cs="宋体"/>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600" w:lineRule="exact"/>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3.3.2在政府采购活动中，投标人提供的货物、工程或者服务符合下列情形的，享受中小企业扶持政策：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3.3.2.1在货物采购项目中，货物由中小企业制造，即货物由中小企业生产且使用该中小企业商号或者注册商标；</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3.3.2.2在工程采购项目中，工程由中小企业承建，即工程施工单位为中小企业；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3.3.2.3在服务采购项目中，服务由中小企业承接，即提供服务的人员为中小企业依照《中华人民共和国劳动合同法》订立劳动合同的从业人员。</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在货物采购项目中，投标人提供的货物既有中小企业制造货物，也有大型企业制造货物的，不享受中小企业扶持政策。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以联合体形式参加政府采购活动，联合体各方均为中小企业的，联合体视同中小企业。其中，联合体各方均为小微企业的，联合体视同小微企业。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3.3.3</w:t>
      </w:r>
      <w:r>
        <w:rPr>
          <w:rFonts w:hint="eastAsia" w:ascii="宋体" w:hAnsi="宋体" w:cs="宋体"/>
          <w:b/>
          <w:bCs/>
          <w:color w:val="auto"/>
          <w:sz w:val="24"/>
          <w:highlight w:val="none"/>
        </w:rPr>
        <w:t>对于未预留份额专门面向中小企业的政府采购货物或服务项目，以及预留份额政府采购货物或服务项目中的非预留部分标项，对小型和微型企业的投标报价给予10%的扣除，用扣除后的价格参与评审</w:t>
      </w:r>
      <w:r>
        <w:rPr>
          <w:rFonts w:hint="eastAsia" w:ascii="宋体" w:hAnsi="宋体" w:cs="宋体"/>
          <w:color w:val="auto"/>
          <w:sz w:val="24"/>
          <w:highlight w:val="none"/>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3.4支持创新发展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600" w:lineRule="exact"/>
        <w:rPr>
          <w:rFonts w:ascii="宋体" w:hAnsi="宋体" w:cs="宋体"/>
          <w:color w:val="auto"/>
          <w:sz w:val="24"/>
          <w:highlight w:val="none"/>
        </w:rPr>
      </w:pPr>
      <w:r>
        <w:rPr>
          <w:rFonts w:hint="eastAsia" w:ascii="宋体" w:hAnsi="宋体" w:cs="宋体"/>
          <w:color w:val="auto"/>
          <w:sz w:val="24"/>
          <w:highlight w:val="none"/>
        </w:rPr>
        <w:t>4、询问、质疑、投诉</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4.1供应商询问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4.2供应商质疑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w:t>
      </w:r>
      <w:r>
        <w:rPr>
          <w:rFonts w:hint="eastAsia" w:ascii="宋体" w:hAnsi="宋体" w:cs="宋体"/>
          <w:color w:val="auto"/>
          <w:sz w:val="24"/>
          <w:highlight w:val="none"/>
        </w:rPr>
        <w:t>.1提出质疑的供应商应当是参与所质疑项目采购活动的供应商。潜在供应商已依法获取其可质疑的招标文件的，可以对该文件提出质疑。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w:t>
      </w:r>
      <w:r>
        <w:rPr>
          <w:rFonts w:hint="eastAsia" w:ascii="宋体"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4.2.2.1对招标文件提出质疑的，质疑期限为供应商获得招标文件之日或者招标文件公告期限届满之日起计算。</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4.2.2.2对采购过程提出质疑的，质疑期限为各采购程序环节结束之日起计算。对同一采购程序环节的质疑，供应商须一次性提出。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4.2.2.3对采购结果提出质疑的，质疑期限自采购结果公告期限届满之日起计算。</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4.2.3</w:t>
      </w:r>
      <w:r>
        <w:rPr>
          <w:rFonts w:hint="eastAsia" w:ascii="宋体" w:hAnsi="宋体" w:cs="宋体"/>
          <w:color w:val="auto"/>
          <w:sz w:val="24"/>
          <w:highlight w:val="none"/>
        </w:rPr>
        <w:t>供应商提出质疑应当提交质疑函和必要的证明材料。质疑函应当包括下列内容：</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4.2.3.1供应商的姓名或者名称、地址、邮编、联系人及联系电话；</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4.2.3.2质疑项目的名称、编号；</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4.2.3.3具体、明确的质疑事项和与质疑事项相关的请求；</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4.2.3.4事实依据；</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4.2.3.5必要的法律依据；</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4.2.3.6提出质疑的日期：</w:t>
      </w:r>
      <w:r>
        <w:rPr>
          <w:rFonts w:hint="eastAsia" w:ascii="宋体" w:hAnsi="宋体" w:cs="宋体"/>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质疑函范本及制作说明详见附件2。</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w:t>
      </w:r>
      <w:r>
        <w:rPr>
          <w:rFonts w:hint="eastAsia" w:ascii="宋体" w:hAnsi="宋体" w:cs="宋体"/>
          <w:color w:val="auto"/>
          <w:sz w:val="24"/>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w:t>
      </w:r>
      <w:r>
        <w:rPr>
          <w:rFonts w:hint="eastAsia" w:ascii="宋体" w:hAnsi="宋体" w:cs="宋体"/>
          <w:color w:val="auto"/>
          <w:sz w:val="24"/>
          <w:highlight w:val="none"/>
        </w:rPr>
        <w:t>.5询问或者质疑事项可能影响采购结果的，采购人应当暂停签订合同，已经签订合同的，应当中止履行合同。</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4.3供应商投诉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4.3.1质疑供应商对采购人、采购机构的答复不满意或者采购人、采购机构未在规定的时间内作出答复的，可以在答复期满后十五个工作日内向同级政府采购监督管理部门提出投诉。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w:t>
      </w:r>
      <w:r>
        <w:rPr>
          <w:rFonts w:hint="eastAsia" w:ascii="宋体" w:hAnsi="宋体" w:cs="宋体"/>
          <w:color w:val="auto"/>
          <w:sz w:val="24"/>
          <w:highlight w:val="none"/>
          <w:lang w:val="zh-CN"/>
        </w:rPr>
        <w:t>2</w:t>
      </w:r>
      <w:r>
        <w:rPr>
          <w:rFonts w:hint="eastAsia" w:ascii="宋体" w:hAnsi="宋体" w:cs="宋体"/>
          <w:color w:val="auto"/>
          <w:sz w:val="24"/>
          <w:highlight w:val="none"/>
        </w:rPr>
        <w:t>供应商投诉的事项不得超出已质疑事项的范围，基于质疑答复内容提出的投诉事项除外。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4.3.3供应商投诉应当有明确的请求和必要的证明材料。</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4.3.4以联合体形式参加政府采购活动的，其投诉应当由组成联合体的所有供应商共同提出。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投诉书范本及制作说明详见附件3。</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二、招标文件的构成、澄清、修改</w:t>
      </w:r>
    </w:p>
    <w:p>
      <w:pPr>
        <w:spacing w:line="600" w:lineRule="exact"/>
        <w:rPr>
          <w:rFonts w:ascii="宋体" w:hAnsi="宋体" w:cs="宋体"/>
          <w:color w:val="auto"/>
          <w:sz w:val="24"/>
          <w:highlight w:val="none"/>
        </w:rPr>
      </w:pPr>
      <w:r>
        <w:rPr>
          <w:rFonts w:hint="eastAsia" w:ascii="宋体" w:hAnsi="宋体" w:cs="宋体"/>
          <w:color w:val="auto"/>
          <w:sz w:val="24"/>
          <w:highlight w:val="none"/>
        </w:rPr>
        <w:t>5、招标文件的构成</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 招标文件包括下列文件及附件：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5.1.1招标公告；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5.1.2投标人须知；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5.1.3采购需求；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5.1.4评标办法；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5.1.5拟签订的合同文本；</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5.1.6应提交的有关格式范例。</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5.2与本项目有关的澄清或者修改的内容为招标文件的组成部分。</w:t>
      </w:r>
    </w:p>
    <w:p>
      <w:pPr>
        <w:spacing w:line="600" w:lineRule="exact"/>
        <w:rPr>
          <w:rFonts w:ascii="宋体" w:hAnsi="宋体" w:cs="宋体"/>
          <w:color w:val="auto"/>
          <w:sz w:val="24"/>
          <w:highlight w:val="none"/>
        </w:rPr>
      </w:pPr>
      <w:r>
        <w:rPr>
          <w:rFonts w:hint="eastAsia" w:ascii="宋体" w:hAnsi="宋体" w:cs="宋体"/>
          <w:color w:val="auto"/>
          <w:sz w:val="24"/>
          <w:highlight w:val="none"/>
        </w:rPr>
        <w:t>6、招标文件的澄清、修改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6.1已获取招标文件的潜在投标人，若有问题需要澄清，应于投标截止时间前，以书面形式向采购机构提出。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三、投标</w:t>
      </w:r>
    </w:p>
    <w:p>
      <w:pPr>
        <w:spacing w:line="600" w:lineRule="exact"/>
        <w:rPr>
          <w:rFonts w:ascii="宋体" w:hAnsi="宋体" w:cs="宋体"/>
          <w:color w:val="auto"/>
          <w:sz w:val="24"/>
          <w:highlight w:val="none"/>
        </w:rPr>
      </w:pPr>
      <w:r>
        <w:rPr>
          <w:rFonts w:hint="eastAsia" w:ascii="宋体" w:hAnsi="宋体" w:cs="宋体"/>
          <w:color w:val="auto"/>
          <w:sz w:val="24"/>
          <w:highlight w:val="none"/>
        </w:rPr>
        <w:t>7、招标文件的获取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详见招标公告中获取招标文件的时间期限、地点、方式及招标文件售价。</w:t>
      </w:r>
    </w:p>
    <w:p>
      <w:pPr>
        <w:spacing w:line="600" w:lineRule="exact"/>
        <w:rPr>
          <w:rFonts w:ascii="宋体" w:hAnsi="宋体" w:cs="宋体"/>
          <w:color w:val="auto"/>
          <w:sz w:val="24"/>
          <w:highlight w:val="none"/>
        </w:rPr>
      </w:pPr>
      <w:r>
        <w:rPr>
          <w:rFonts w:hint="eastAsia" w:ascii="宋体" w:hAnsi="宋体" w:cs="宋体"/>
          <w:color w:val="auto"/>
          <w:sz w:val="24"/>
          <w:highlight w:val="none"/>
        </w:rPr>
        <w:t>8、开标前答疑会或现场考察</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采购人组织潜在投标人现场考察或者召开开标前答疑会的，潜在投标人按第二部分投标人须知前附表的规定参加现场考察或者开标前答疑会。</w:t>
      </w:r>
    </w:p>
    <w:p>
      <w:pPr>
        <w:spacing w:line="600" w:lineRule="exact"/>
        <w:rPr>
          <w:rFonts w:ascii="宋体" w:hAnsi="宋体" w:cs="宋体"/>
          <w:color w:val="auto"/>
          <w:sz w:val="24"/>
          <w:highlight w:val="none"/>
        </w:rPr>
      </w:pPr>
      <w:r>
        <w:rPr>
          <w:rFonts w:hint="eastAsia" w:ascii="宋体" w:hAnsi="宋体" w:cs="宋体"/>
          <w:color w:val="auto"/>
          <w:sz w:val="24"/>
          <w:highlight w:val="none"/>
        </w:rPr>
        <w:t>9、投标保证金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本项目不需缴纳投标保证金。</w:t>
      </w:r>
    </w:p>
    <w:p>
      <w:pPr>
        <w:spacing w:line="600" w:lineRule="exact"/>
        <w:rPr>
          <w:rFonts w:ascii="宋体" w:hAnsi="宋体" w:cs="宋体"/>
          <w:color w:val="auto"/>
          <w:sz w:val="24"/>
          <w:highlight w:val="none"/>
        </w:rPr>
      </w:pPr>
      <w:r>
        <w:rPr>
          <w:rFonts w:hint="eastAsia" w:ascii="宋体" w:hAnsi="宋体" w:cs="宋体"/>
          <w:color w:val="auto"/>
          <w:sz w:val="24"/>
          <w:highlight w:val="none"/>
        </w:rPr>
        <w:t>10、投标文件的语言</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spacing w:line="600" w:lineRule="exact"/>
        <w:rPr>
          <w:rFonts w:ascii="宋体" w:hAnsi="宋体" w:cs="宋体"/>
          <w:color w:val="auto"/>
          <w:sz w:val="24"/>
          <w:highlight w:val="none"/>
        </w:rPr>
      </w:pPr>
      <w:r>
        <w:rPr>
          <w:rFonts w:hint="eastAsia" w:ascii="宋体" w:hAnsi="宋体" w:cs="宋体"/>
          <w:color w:val="auto"/>
          <w:sz w:val="24"/>
          <w:highlight w:val="none"/>
        </w:rPr>
        <w:t>11、投标文件的组成</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11.1资格文件：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11.1.2落实政府采购政策需满足的资格要求；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11.1.3本项目的特定资格要求。</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11.2.3联合协议；</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11.2.4分包意向协议；</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11.2.5符合性审查资料；</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11.2.6评标标准相应的商务技术资料；</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11.2.7商务技术偏离表；</w:t>
      </w:r>
    </w:p>
    <w:p>
      <w:pPr>
        <w:spacing w:line="6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8所投产品具体配置表</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w:t>
      </w:r>
    </w:p>
    <w:p>
      <w:pPr>
        <w:spacing w:line="60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11.2.9</w:t>
      </w:r>
      <w:r>
        <w:rPr>
          <w:rFonts w:hint="eastAsia" w:ascii="宋体" w:hAnsi="宋体" w:cs="宋体"/>
          <w:color w:val="auto"/>
          <w:sz w:val="24"/>
          <w:highlight w:val="none"/>
        </w:rPr>
        <w:t>技术偏离表：投标人必须针对招标文件要求的技术参数逐个做出响应</w:t>
      </w:r>
      <w:r>
        <w:rPr>
          <w:rFonts w:hint="eastAsia" w:ascii="宋体" w:hAnsi="宋体" w:cs="宋体"/>
          <w:color w:val="auto"/>
          <w:sz w:val="24"/>
          <w:highlight w:val="none"/>
          <w:lang w:eastAsia="zh-CN"/>
        </w:rPr>
        <w:t>；</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en-US" w:eastAsia="zh-CN"/>
        </w:rPr>
        <w:t>11.2.10</w:t>
      </w:r>
      <w:r>
        <w:rPr>
          <w:rFonts w:hint="eastAsia" w:ascii="宋体" w:hAnsi="宋体" w:cs="宋体"/>
          <w:color w:val="auto"/>
          <w:sz w:val="24"/>
          <w:highlight w:val="none"/>
          <w:lang w:val="zh-CN"/>
        </w:rPr>
        <w:t>政府采购供应商廉洁自律承诺书；</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11.</w:t>
      </w:r>
      <w:r>
        <w:rPr>
          <w:rFonts w:hint="eastAsia" w:ascii="宋体" w:hAnsi="宋体" w:cs="宋体"/>
          <w:color w:val="auto"/>
          <w:sz w:val="24"/>
          <w:highlight w:val="none"/>
        </w:rPr>
        <w:t xml:space="preserve">3报价文件：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11.3.1开标一览表（报价表）；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投标文件含有采购人不能接受的附加条件的，投标无效；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投标人提供虚假材料投标的，投标无效。</w:t>
      </w:r>
    </w:p>
    <w:p>
      <w:pPr>
        <w:spacing w:line="600" w:lineRule="exact"/>
        <w:rPr>
          <w:rFonts w:ascii="宋体" w:hAnsi="宋体" w:cs="宋体"/>
          <w:color w:val="auto"/>
          <w:sz w:val="24"/>
          <w:highlight w:val="none"/>
        </w:rPr>
      </w:pPr>
      <w:r>
        <w:rPr>
          <w:rFonts w:hint="eastAsia" w:ascii="宋体" w:hAnsi="宋体" w:cs="宋体"/>
          <w:color w:val="auto"/>
          <w:sz w:val="24"/>
          <w:highlight w:val="none"/>
        </w:rPr>
        <w:t>12、投标文件的编制</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12.3使用“政采云电子交易客户端”需要提前申领CA数字证书，申领流程请自行前往“浙江政府采购网-下载专区-电子交易客户端-CA驱动和申领流程”进行查阅。</w:t>
      </w:r>
    </w:p>
    <w:p>
      <w:pPr>
        <w:spacing w:line="600" w:lineRule="exact"/>
        <w:rPr>
          <w:rFonts w:ascii="宋体" w:hAnsi="宋体" w:cs="宋体"/>
          <w:color w:val="auto"/>
          <w:sz w:val="24"/>
          <w:highlight w:val="none"/>
        </w:rPr>
      </w:pPr>
      <w:r>
        <w:rPr>
          <w:rFonts w:hint="eastAsia" w:ascii="宋体" w:hAnsi="宋体" w:cs="宋体"/>
          <w:color w:val="auto"/>
          <w:sz w:val="24"/>
          <w:highlight w:val="none"/>
        </w:rPr>
        <w:t>13、投标文件的签署、盖章</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13.1投标文件按照招标文件第六部分格式要求进行签署、盖章。</w:t>
      </w:r>
      <w:r>
        <w:rPr>
          <w:rFonts w:hint="eastAsia" w:ascii="宋体" w:hAnsi="宋体" w:cs="宋体"/>
          <w:color w:val="auto"/>
          <w:sz w:val="24"/>
          <w:highlight w:val="none"/>
          <w:lang w:eastAsia="zh-CN"/>
        </w:rPr>
        <w:t>●</w:t>
      </w:r>
      <w:r>
        <w:rPr>
          <w:rFonts w:hint="eastAsia" w:ascii="宋体" w:hAnsi="宋体" w:cs="宋体"/>
          <w:color w:val="auto"/>
          <w:sz w:val="24"/>
          <w:highlight w:val="none"/>
        </w:rPr>
        <w:t>投标人的投标文件未按照招标文件要求签署、盖章的，其投标无效。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13.2为确保网上操作合法、有效和安全，投标人应当在投标截止时间前完成在“政府采购云平台”的身份认证，确保在电子投标过程中能够对相关数据电文进行加密和使用电子签名。</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13.3招标文件对投标文件签署、盖章的要求适用于电子签名。</w:t>
      </w:r>
    </w:p>
    <w:p>
      <w:pPr>
        <w:spacing w:line="600" w:lineRule="exact"/>
        <w:rPr>
          <w:rFonts w:ascii="宋体" w:hAnsi="宋体" w:cs="宋体"/>
          <w:color w:val="auto"/>
          <w:sz w:val="24"/>
          <w:highlight w:val="none"/>
        </w:rPr>
      </w:pPr>
      <w:r>
        <w:rPr>
          <w:rFonts w:hint="eastAsia" w:ascii="宋体" w:hAnsi="宋体" w:cs="宋体"/>
          <w:color w:val="auto"/>
          <w:sz w:val="24"/>
          <w:highlight w:val="none"/>
        </w:rPr>
        <w:t>14、投标文件的提交、补充、修改、撤回</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14.3采购人、采购机构可以视情况延长投标文件提交的截止时间。在上述情况下，采购机构与投标人以前在投标截止期方面的全部权利、责任和义务，将适用于延长至新的投标截止期。</w:t>
      </w:r>
    </w:p>
    <w:p>
      <w:pPr>
        <w:spacing w:line="600" w:lineRule="exact"/>
        <w:rPr>
          <w:rFonts w:ascii="宋体" w:hAnsi="宋体" w:cs="宋体"/>
          <w:color w:val="auto"/>
          <w:sz w:val="24"/>
          <w:highlight w:val="none"/>
        </w:rPr>
      </w:pPr>
      <w:r>
        <w:rPr>
          <w:rFonts w:hint="eastAsia" w:ascii="宋体" w:hAnsi="宋体" w:cs="宋体"/>
          <w:color w:val="auto"/>
          <w:sz w:val="24"/>
          <w:highlight w:val="none"/>
        </w:rPr>
        <w:t>15、备份投标文件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15.1投标人在电子交易平台传输递交投标文件后，还可以在投标截止时间前直接提交或者以邮政快递方式递交备份投标文件1份，但采购人、采购机构不强制或变相强制投标人提交备份投标文件。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15.3直接提交备份投标文件的，投标人应于投标截止时间前在招标公告中载明的开标地点将备份投标文件提交给采购机构，采购机构将拒绝接受逾期送达的备份投标文件。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15.5投标人仅提交备份投标文件，没有在电子交易平台传输递交投标文件的，投标无效。</w:t>
      </w:r>
    </w:p>
    <w:p>
      <w:pPr>
        <w:spacing w:line="600" w:lineRule="exact"/>
        <w:rPr>
          <w:rFonts w:ascii="宋体" w:hAnsi="宋体" w:cs="宋体"/>
          <w:color w:val="auto"/>
          <w:sz w:val="24"/>
          <w:highlight w:val="none"/>
        </w:rPr>
      </w:pPr>
      <w:r>
        <w:rPr>
          <w:rFonts w:hint="eastAsia" w:ascii="宋体" w:hAnsi="宋体" w:cs="宋体"/>
          <w:color w:val="auto"/>
          <w:sz w:val="24"/>
          <w:highlight w:val="none"/>
        </w:rPr>
        <w:t>16、投标文件的无效处理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有招标文件第四部分第13项规定的情形之一的，投标无效：</w:t>
      </w:r>
    </w:p>
    <w:p>
      <w:pPr>
        <w:spacing w:line="600" w:lineRule="exact"/>
        <w:rPr>
          <w:rFonts w:ascii="宋体" w:hAnsi="宋体" w:cs="宋体"/>
          <w:color w:val="auto"/>
          <w:sz w:val="24"/>
          <w:highlight w:val="none"/>
        </w:rPr>
      </w:pPr>
      <w:r>
        <w:rPr>
          <w:rFonts w:hint="eastAsia" w:ascii="宋体" w:hAnsi="宋体" w:cs="宋体"/>
          <w:color w:val="auto"/>
          <w:sz w:val="24"/>
          <w:highlight w:val="none"/>
        </w:rPr>
        <w:t>17、投标有效期</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17.1投标有效期为从提交投标文件的截止之日起90天。</w:t>
      </w:r>
      <w:r>
        <w:rPr>
          <w:rFonts w:hint="eastAsia" w:ascii="宋体" w:hAnsi="宋体" w:cs="宋体"/>
          <w:color w:val="auto"/>
          <w:sz w:val="24"/>
          <w:highlight w:val="none"/>
          <w:lang w:eastAsia="zh-CN"/>
        </w:rPr>
        <w:t>●</w:t>
      </w:r>
      <w:r>
        <w:rPr>
          <w:rFonts w:hint="eastAsia" w:ascii="宋体" w:hAnsi="宋体" w:cs="宋体"/>
          <w:color w:val="auto"/>
          <w:sz w:val="24"/>
          <w:highlight w:val="none"/>
        </w:rPr>
        <w:t>投标人的投标文件中承诺的投标有效期少于招标文件中载明的投标有效期的，投标无效。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17.2投标文件合格投递后，自投标截止日期起，在投标有效期内有效。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四、开标、资格审查与信用信息查询</w:t>
      </w:r>
    </w:p>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18、开标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18.3投标文件未按时解密，投标人提供了备份投标文件的，以备份投标文件作为依据，否则视为投标文件撤回。投标文件已按时解密的，备份投标文件自动失效。</w:t>
      </w:r>
    </w:p>
    <w:p>
      <w:pPr>
        <w:spacing w:line="600" w:lineRule="exact"/>
        <w:rPr>
          <w:rFonts w:ascii="宋体" w:hAnsi="宋体" w:cs="宋体"/>
          <w:color w:val="auto"/>
          <w:sz w:val="24"/>
          <w:highlight w:val="none"/>
        </w:rPr>
      </w:pPr>
      <w:r>
        <w:rPr>
          <w:rFonts w:hint="eastAsia" w:ascii="宋体" w:hAnsi="宋体" w:cs="宋体"/>
          <w:color w:val="auto"/>
          <w:sz w:val="24"/>
          <w:highlight w:val="none"/>
        </w:rPr>
        <w:t>19、资格审查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19.1开标后，采购人或采购机构将依法对投标人的资格进行审查。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19.2采购人或采购机构依据法律法规和招标文件的规定，对投标人的基本资格条件、特定资格条件进行审查。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19.3投标人未按照招标文件要求提供与基本资格条件、特定资格条件相应的有效资格证明材料的，视为投标人不具备招标文件中规定的资格要求，其投标无效。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19.4对未通过资格审查的投标人，采购人或采购机构告知其未通过的原因。</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19.5合格投标人不足3家的，不再评标。</w:t>
      </w:r>
    </w:p>
    <w:p>
      <w:pPr>
        <w:spacing w:line="600" w:lineRule="exact"/>
        <w:rPr>
          <w:rFonts w:ascii="宋体" w:hAnsi="宋体" w:cs="宋体"/>
          <w:color w:val="auto"/>
          <w:sz w:val="24"/>
          <w:highlight w:val="none"/>
        </w:rPr>
      </w:pPr>
      <w:r>
        <w:rPr>
          <w:rFonts w:hint="eastAsia" w:ascii="宋体" w:hAnsi="宋体" w:cs="宋体"/>
          <w:color w:val="auto"/>
          <w:sz w:val="24"/>
          <w:highlight w:val="none"/>
        </w:rPr>
        <w:t>20、信用信息查询</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20.1信用信息查询渠道及截止时间：采购机构将通过“信用中国”网站(www.creditchina.gov.cn）、中国政府采购网(www.ccgp.gov.cn）渠道查询投标人投标截止时间当天的信用记录。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20.2信用信息查询记录和证据留存的具体方式：现场查询的投标人的信用记录、查询结果经确认后将与采购文件一起存档。</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20.3信用信息的使用规则：经查询列入失信被执行人名单、重大税收违法案件当事人名单、政府采购严重违法失信行为记录名单的投标人将被拒绝参与政府采购活动。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五、评标</w:t>
      </w:r>
    </w:p>
    <w:p>
      <w:pPr>
        <w:spacing w:line="600" w:lineRule="exact"/>
        <w:rPr>
          <w:rFonts w:ascii="宋体" w:hAnsi="宋体" w:cs="宋体"/>
          <w:color w:val="auto"/>
          <w:sz w:val="24"/>
          <w:highlight w:val="none"/>
        </w:rPr>
      </w:pPr>
      <w:r>
        <w:rPr>
          <w:rFonts w:hint="eastAsia" w:ascii="宋体" w:hAnsi="宋体" w:cs="宋体"/>
          <w:color w:val="auto"/>
          <w:sz w:val="24"/>
          <w:highlight w:val="none"/>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六、定 标</w:t>
      </w:r>
    </w:p>
    <w:p>
      <w:pPr>
        <w:spacing w:line="600" w:lineRule="exact"/>
        <w:rPr>
          <w:rFonts w:ascii="宋体" w:hAnsi="宋体" w:cs="宋体"/>
          <w:color w:val="auto"/>
          <w:sz w:val="24"/>
          <w:highlight w:val="none"/>
        </w:rPr>
      </w:pPr>
      <w:r>
        <w:rPr>
          <w:rFonts w:hint="eastAsia" w:ascii="宋体" w:hAnsi="宋体" w:cs="宋体"/>
          <w:color w:val="auto"/>
          <w:sz w:val="24"/>
          <w:highlight w:val="none"/>
        </w:rPr>
        <w:t>22、确定中标供应商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采购人将自收到评审报告之日起5个工作日内通过电子交易平台在评审报告推荐的中标候选人中按顺序确定中标供应商。</w:t>
      </w:r>
    </w:p>
    <w:p>
      <w:pPr>
        <w:spacing w:line="600" w:lineRule="exact"/>
        <w:rPr>
          <w:rFonts w:ascii="宋体" w:hAnsi="宋体" w:cs="宋体"/>
          <w:color w:val="auto"/>
          <w:sz w:val="24"/>
          <w:highlight w:val="none"/>
        </w:rPr>
      </w:pPr>
      <w:r>
        <w:rPr>
          <w:rFonts w:hint="eastAsia" w:ascii="宋体" w:hAnsi="宋体" w:cs="宋体"/>
          <w:color w:val="auto"/>
          <w:sz w:val="24"/>
          <w:highlight w:val="none"/>
        </w:rPr>
        <w:t>23、中标通知与中标结果公告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23.3公告期限为1个工作日。</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七、合同授予</w:t>
      </w:r>
    </w:p>
    <w:p>
      <w:pPr>
        <w:spacing w:line="600" w:lineRule="exact"/>
        <w:rPr>
          <w:rFonts w:ascii="宋体" w:hAnsi="宋体" w:cs="宋体"/>
          <w:color w:val="auto"/>
          <w:sz w:val="24"/>
          <w:highlight w:val="none"/>
        </w:rPr>
      </w:pPr>
      <w:r>
        <w:rPr>
          <w:rFonts w:hint="eastAsia" w:ascii="宋体" w:hAnsi="宋体" w:cs="宋体"/>
          <w:color w:val="auto"/>
          <w:sz w:val="24"/>
          <w:highlight w:val="none"/>
        </w:rPr>
        <w:t>24、合同主要条款详见第五部分拟签订的合同文本。</w:t>
      </w:r>
    </w:p>
    <w:p>
      <w:pPr>
        <w:spacing w:line="600" w:lineRule="exact"/>
        <w:rPr>
          <w:rFonts w:ascii="宋体" w:hAnsi="宋体" w:cs="宋体"/>
          <w:color w:val="auto"/>
          <w:sz w:val="24"/>
          <w:highlight w:val="none"/>
        </w:rPr>
      </w:pPr>
      <w:r>
        <w:rPr>
          <w:rFonts w:hint="eastAsia" w:ascii="宋体" w:hAnsi="宋体" w:cs="宋体"/>
          <w:color w:val="auto"/>
          <w:sz w:val="24"/>
          <w:highlight w:val="none"/>
        </w:rPr>
        <w:t>25、合同的签订</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25.1 采购人与中标人应当通过电子交易平台在中标通知书发出之日起三十日内，按照招标文件确定的事项签订政府采购合同，并在合同签订之日起2个工作日内依法发布合同公告。</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25.3如签订合同并生效后，供应商无故拒绝或延期，除按照合同条款处理外，列入不良行为记录一次，并给予通报。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25.4中标供应商拒绝与采购人签订合同的，采购人可以按照评审报告推荐的中标或者成交候选人名单排序，确定下一候选人为中标供应商，也可以重新开展政府采购活动。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25.5采购合同由采购人与中标供应商根据招标文件、投标文件等内容通过政府采购电子交易平台在线签订，自动备案。</w:t>
      </w:r>
    </w:p>
    <w:p>
      <w:pPr>
        <w:spacing w:line="600" w:lineRule="exact"/>
        <w:rPr>
          <w:rFonts w:ascii="宋体" w:hAnsi="宋体" w:cs="宋体"/>
          <w:color w:val="auto"/>
          <w:sz w:val="24"/>
          <w:highlight w:val="none"/>
        </w:rPr>
      </w:pPr>
      <w:r>
        <w:rPr>
          <w:rFonts w:hint="eastAsia" w:ascii="宋体" w:hAnsi="宋体" w:cs="宋体"/>
          <w:color w:val="auto"/>
          <w:sz w:val="24"/>
          <w:highlight w:val="none"/>
        </w:rPr>
        <w:t>26、履约保证金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5%。鼓励和支持供应商以银行、保险公司出具的保函形式提供履约保证金。采购人不得拒收履约保函。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5%。</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八、电子交易活动的中止</w:t>
      </w:r>
    </w:p>
    <w:p>
      <w:pPr>
        <w:spacing w:line="600" w:lineRule="exact"/>
        <w:rPr>
          <w:rFonts w:ascii="宋体" w:hAnsi="宋体" w:cs="宋体"/>
          <w:color w:val="auto"/>
          <w:sz w:val="24"/>
          <w:highlight w:val="none"/>
        </w:rPr>
      </w:pPr>
      <w:r>
        <w:rPr>
          <w:rFonts w:hint="eastAsia" w:ascii="宋体" w:hAnsi="宋体" w:cs="宋体"/>
          <w:color w:val="auto"/>
          <w:sz w:val="24"/>
          <w:highlight w:val="none"/>
        </w:rPr>
        <w:t>27、电子交易活动的中止。采购过程中出现以下情形，导致电子交易平台无法正常运行，或者无法保证电子交易的公平、公正和安全时，采购机构可中止电子交易活动：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27.1电子交易平台发生故障而无法登录访问的；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27.2电子交易平台应用或数据库出现错误，不能进行正常操作的；</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27.3电子交易平台发现严重安全漏洞，有潜在泄密危险的；</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27.4病毒发作导致不能进行正常操作的；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27.5其他无法保证电子交易的公平、公正和安全的情况。</w:t>
      </w:r>
    </w:p>
    <w:p>
      <w:pPr>
        <w:spacing w:line="600" w:lineRule="exact"/>
        <w:rPr>
          <w:rFonts w:ascii="宋体" w:hAnsi="宋体" w:cs="宋体"/>
          <w:color w:val="auto"/>
          <w:sz w:val="24"/>
          <w:highlight w:val="none"/>
        </w:rPr>
      </w:pPr>
      <w:r>
        <w:rPr>
          <w:rFonts w:hint="eastAsia" w:ascii="宋体" w:hAnsi="宋体" w:cs="宋体"/>
          <w:color w:val="auto"/>
          <w:sz w:val="24"/>
          <w:highlight w:val="none"/>
        </w:rPr>
        <w:t>28、出现以上情形，不影响采购公平、公正性的，采购组织机构可以待上述情形消除后继 续组织电子交易活动，也可以决定某些环节以纸质形式进行；影响或可能影响采购公平、公正性的，应当重新采购。</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九、验收</w:t>
      </w:r>
    </w:p>
    <w:p>
      <w:pPr>
        <w:spacing w:line="600" w:lineRule="exact"/>
        <w:rPr>
          <w:rFonts w:ascii="宋体" w:hAnsi="宋体" w:cs="宋体"/>
          <w:color w:val="auto"/>
          <w:sz w:val="24"/>
          <w:highlight w:val="none"/>
        </w:rPr>
      </w:pPr>
      <w:r>
        <w:rPr>
          <w:rFonts w:hint="eastAsia" w:ascii="宋体" w:hAnsi="宋体" w:cs="宋体"/>
          <w:color w:val="auto"/>
          <w:sz w:val="24"/>
          <w:highlight w:val="none"/>
        </w:rPr>
        <w:t>29、验收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29.2采购人可以邀请参加本项目的其他投标人或者第三方机构参与验收。参与验收的投标人或者第三方机构的意见作为验收书的参考资料一并存档。</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600" w:lineRule="exact"/>
        <w:ind w:firstLine="480" w:firstLineChars="200"/>
        <w:rPr>
          <w:rFonts w:ascii="宋体" w:hAnsi="宋体" w:cs="宋体"/>
          <w:color w:val="auto"/>
          <w:sz w:val="18"/>
          <w:szCs w:val="18"/>
          <w:highlight w:val="none"/>
        </w:rPr>
      </w:pPr>
      <w:r>
        <w:rPr>
          <w:rFonts w:hint="eastAsia" w:ascii="宋体" w:hAnsi="宋体" w:cs="宋体"/>
          <w:color w:val="auto"/>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8"/>
    <w:p>
      <w:pPr>
        <w:tabs>
          <w:tab w:val="left" w:pos="0"/>
        </w:tabs>
        <w:spacing w:line="600" w:lineRule="exact"/>
        <w:ind w:firstLine="480"/>
        <w:rPr>
          <w:rFonts w:ascii="宋体" w:hAnsi="宋体" w:cs="宋体"/>
          <w:color w:val="auto"/>
          <w:kern w:val="0"/>
          <w:sz w:val="24"/>
          <w:highlight w:val="none"/>
        </w:rPr>
        <w:sectPr>
          <w:pgSz w:w="11905" w:h="16838"/>
          <w:pgMar w:top="1531" w:right="1304" w:bottom="1531" w:left="1361" w:header="851" w:footer="992" w:gutter="0"/>
          <w:cols w:space="720" w:num="1"/>
          <w:titlePg/>
          <w:docGrid w:linePitch="312" w:charSpace="0"/>
        </w:sectPr>
      </w:pPr>
      <w:bookmarkStart w:id="9" w:name="_Hlt68073093"/>
      <w:bookmarkEnd w:id="9"/>
      <w:bookmarkStart w:id="10" w:name="_Hlt74730295"/>
      <w:bookmarkEnd w:id="10"/>
      <w:bookmarkStart w:id="11" w:name="_Hlt68072998"/>
      <w:bookmarkEnd w:id="11"/>
      <w:bookmarkStart w:id="12" w:name="_Hlt75236290"/>
      <w:bookmarkEnd w:id="12"/>
      <w:bookmarkStart w:id="13" w:name="_Hlt68057669"/>
      <w:bookmarkEnd w:id="13"/>
      <w:bookmarkStart w:id="14" w:name="_Hlt75236101"/>
      <w:bookmarkEnd w:id="14"/>
      <w:bookmarkStart w:id="15" w:name="_Hlt75236011"/>
      <w:bookmarkEnd w:id="15"/>
      <w:bookmarkStart w:id="16" w:name="_Hlt74714665"/>
      <w:bookmarkEnd w:id="16"/>
      <w:bookmarkStart w:id="17" w:name="_Hlt68072990"/>
      <w:bookmarkEnd w:id="17"/>
      <w:bookmarkStart w:id="18" w:name="_Hlt68403820"/>
      <w:bookmarkEnd w:id="18"/>
      <w:bookmarkStart w:id="19" w:name="_Hlt74707468"/>
      <w:bookmarkEnd w:id="19"/>
      <w:bookmarkStart w:id="20" w:name="_Hlt74729768"/>
      <w:bookmarkEnd w:id="20"/>
    </w:p>
    <w:bookmarkEnd w:id="6"/>
    <w:bookmarkEnd w:id="7"/>
    <w:p>
      <w:pPr>
        <w:spacing w:line="600" w:lineRule="exact"/>
        <w:jc w:val="center"/>
        <w:rPr>
          <w:rFonts w:ascii="宋体" w:hAnsi="宋体" w:cs="宋体"/>
          <w:b/>
          <w:color w:val="auto"/>
          <w:sz w:val="28"/>
          <w:szCs w:val="28"/>
          <w:highlight w:val="none"/>
        </w:rPr>
      </w:pPr>
      <w:bookmarkStart w:id="21" w:name="第四部分"/>
      <w:r>
        <w:rPr>
          <w:rFonts w:hint="eastAsia" w:ascii="宋体" w:hAnsi="宋体" w:cs="宋体"/>
          <w:b/>
          <w:color w:val="auto"/>
          <w:sz w:val="28"/>
          <w:szCs w:val="28"/>
          <w:highlight w:val="none"/>
        </w:rPr>
        <w:t>第三部分   采购需求</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采购需求中带“</w:t>
      </w:r>
      <w:r>
        <w:rPr>
          <w:rFonts w:hint="eastAsia" w:ascii="宋体" w:hAnsi="宋体" w:cs="宋体"/>
          <w:b/>
          <w:color w:val="auto"/>
          <w:sz w:val="24"/>
          <w:highlight w:val="none"/>
          <w:lang w:eastAsia="zh-CN"/>
        </w:rPr>
        <w:t>●</w:t>
      </w:r>
      <w:r>
        <w:rPr>
          <w:rFonts w:hint="eastAsia" w:ascii="宋体" w:hAnsi="宋体" w:cs="宋体"/>
          <w:b/>
          <w:color w:val="auto"/>
          <w:sz w:val="24"/>
          <w:highlight w:val="none"/>
        </w:rPr>
        <w:t>”条款为</w:t>
      </w:r>
      <w:r>
        <w:rPr>
          <w:rFonts w:hint="eastAsia" w:ascii="宋体" w:hAnsi="宋体" w:cs="宋体"/>
          <w:b/>
          <w:color w:val="auto"/>
          <w:sz w:val="24"/>
          <w:highlight w:val="none"/>
          <w:lang w:val="en-US" w:eastAsia="zh-CN"/>
        </w:rPr>
        <w:t>招标文件要求的</w:t>
      </w:r>
      <w:r>
        <w:rPr>
          <w:rFonts w:hint="eastAsia" w:ascii="宋体" w:hAnsi="宋体" w:cs="宋体"/>
          <w:b/>
          <w:color w:val="auto"/>
          <w:sz w:val="24"/>
          <w:highlight w:val="none"/>
        </w:rPr>
        <w:t>实质性内容，投标人须在投标文件中提供《符合性审查资料》（格式见第</w:t>
      </w: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部分  应提交的有关格式范例），如有任意一条未响应或不满足，将被视为无效。</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一、项目概述</w:t>
      </w:r>
      <w:r>
        <w:rPr>
          <w:rFonts w:hint="eastAsia" w:ascii="宋体" w:hAnsi="宋体" w:cs="宋体"/>
          <w:b/>
          <w:bCs/>
          <w:color w:val="auto"/>
          <w:sz w:val="24"/>
          <w:highlight w:val="none"/>
          <w:lang w:eastAsia="zh-CN"/>
        </w:rPr>
        <w:t>（标项一、标项二、标项三、标项四）</w:t>
      </w:r>
      <w:r>
        <w:rPr>
          <w:rFonts w:hint="eastAsia" w:ascii="宋体" w:hAnsi="宋体" w:cs="宋体"/>
          <w:b/>
          <w:bCs/>
          <w:color w:val="auto"/>
          <w:sz w:val="24"/>
          <w:highlight w:val="none"/>
        </w:rPr>
        <w:t>：</w:t>
      </w:r>
    </w:p>
    <w:p>
      <w:pPr>
        <w:snapToGrid w:val="0"/>
        <w:spacing w:line="600" w:lineRule="exact"/>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1、项目背景：根据浙江省教育厅办公室关于印发《中小学校护眼灯光改造工程技术规范》（浙教办技〔2021〕8号）的要求，我区计划改造教室灯光，严格按照今年2月由国家市场监管总局发布的《儿童青少年学习用品近视防控卫生要求》（GB/40070-2021）、《中小学校普通教室照明设计安装卫生要求》（GB /T 36876-2018）和《照明测量方法》（GB/T 5700 -2008）等相关国家标准执行。</w:t>
      </w:r>
    </w:p>
    <w:p>
      <w:pPr>
        <w:snapToGrid w:val="0"/>
        <w:spacing w:line="60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本项目为“交钥匙”项目，采购内容包括采购清单中货物供货、安装调试、货物验收、培训、质保期内的售后服务等。</w:t>
      </w:r>
      <w:r>
        <w:rPr>
          <w:rFonts w:hint="eastAsia" w:ascii="宋体" w:hAnsi="宋体" w:cs="宋体"/>
          <w:color w:val="auto"/>
          <w:sz w:val="24"/>
          <w:highlight w:val="none"/>
        </w:rPr>
        <w:t>投标报价应包括设备费、</w:t>
      </w:r>
      <w:r>
        <w:rPr>
          <w:rFonts w:hint="eastAsia" w:ascii="宋体" w:hAnsi="宋体" w:cs="宋体"/>
          <w:color w:val="auto"/>
          <w:sz w:val="24"/>
          <w:highlight w:val="none"/>
          <w:lang w:eastAsia="zh-CN"/>
        </w:rPr>
        <w:t>样品</w:t>
      </w:r>
      <w:r>
        <w:rPr>
          <w:rFonts w:hint="eastAsia" w:ascii="宋体" w:hAnsi="宋体" w:cs="宋体"/>
          <w:color w:val="auto"/>
          <w:sz w:val="24"/>
          <w:highlight w:val="none"/>
        </w:rPr>
        <w:t>的费用、材料费、保管费、运费、安装调试费、培训、货物验收、招标代理费、税收、售后服务、采购需求中未提到但在实际采购和安装过程中需要配置的各种设备、材料及其他费用等须由投标单位支付的所有费用。</w:t>
      </w:r>
    </w:p>
    <w:p>
      <w:pPr>
        <w:pStyle w:val="7"/>
        <w:tabs>
          <w:tab w:val="left" w:pos="1260"/>
          <w:tab w:val="clear" w:pos="900"/>
        </w:tabs>
        <w:spacing w:before="0" w:after="0" w:line="600" w:lineRule="atLeast"/>
        <w:ind w:left="0" w:firstLine="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二、</w:t>
      </w:r>
      <w:r>
        <w:rPr>
          <w:rFonts w:hint="eastAsia" w:ascii="宋体" w:hAnsi="宋体" w:cs="宋体"/>
          <w:color w:val="auto"/>
          <w:kern w:val="0"/>
          <w:sz w:val="24"/>
          <w:szCs w:val="24"/>
          <w:highlight w:val="none"/>
          <w:lang w:val="en-US" w:eastAsia="zh-CN"/>
        </w:rPr>
        <w:t>项目须执行的标准、规范</w:t>
      </w:r>
      <w:r>
        <w:rPr>
          <w:rFonts w:hint="eastAsia" w:ascii="宋体" w:hAnsi="宋体" w:cs="宋体"/>
          <w:b/>
          <w:bCs/>
          <w:color w:val="auto"/>
          <w:sz w:val="24"/>
          <w:highlight w:val="none"/>
          <w:lang w:eastAsia="zh-CN"/>
        </w:rPr>
        <w:t>（标项一、标项二、标项三、标项四）：</w:t>
      </w:r>
    </w:p>
    <w:p>
      <w:pPr>
        <w:pStyle w:val="7"/>
        <w:tabs>
          <w:tab w:val="left" w:pos="1260"/>
          <w:tab w:val="clear" w:pos="900"/>
        </w:tabs>
        <w:spacing w:before="0" w:after="0" w:line="600" w:lineRule="atLeast"/>
        <w:ind w:left="0" w:firstLine="480" w:firstLineChars="200"/>
        <w:jc w:val="left"/>
        <w:rPr>
          <w:rFonts w:hint="eastAsia" w:ascii="宋体" w:hAnsi="宋体" w:cs="宋体"/>
          <w:color w:val="auto"/>
          <w:kern w:val="0"/>
          <w:sz w:val="24"/>
          <w:szCs w:val="24"/>
          <w:highlight w:val="none"/>
        </w:rPr>
      </w:pPr>
      <w:r>
        <w:rPr>
          <w:rFonts w:hint="eastAsia" w:ascii="宋体" w:hAnsi="宋体" w:cs="宋体"/>
          <w:b w:val="0"/>
          <w:bCs w:val="0"/>
          <w:color w:val="auto"/>
          <w:kern w:val="0"/>
          <w:sz w:val="24"/>
          <w:szCs w:val="24"/>
          <w:highlight w:val="none"/>
          <w:lang w:val="en-US" w:eastAsia="zh-CN"/>
        </w:rPr>
        <w:t>本项目须严格按照浙江省教育厅办公室关于印发《中小学校护眼灯光改造工程技术规范》的通知（浙教办技〔2021〕8号）文件中的《中小学校护眼灯光改造工程技术规范》实施。若有新规定的按新规定执行。实施期间遵循采购人各项规章制度。</w:t>
      </w:r>
    </w:p>
    <w:p>
      <w:pPr>
        <w:pStyle w:val="7"/>
        <w:tabs>
          <w:tab w:val="left" w:pos="1260"/>
          <w:tab w:val="clear" w:pos="900"/>
        </w:tabs>
        <w:spacing w:before="0" w:after="0" w:line="600" w:lineRule="atLeast"/>
        <w:ind w:left="0" w:firstLine="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三、</w:t>
      </w:r>
      <w:r>
        <w:rPr>
          <w:rFonts w:hint="eastAsia" w:ascii="宋体" w:hAnsi="宋体" w:cs="宋体"/>
          <w:color w:val="auto"/>
          <w:kern w:val="0"/>
          <w:sz w:val="24"/>
          <w:szCs w:val="24"/>
          <w:highlight w:val="none"/>
        </w:rPr>
        <w:t>采购清单：</w:t>
      </w:r>
    </w:p>
    <w:tbl>
      <w:tblPr>
        <w:tblStyle w:val="63"/>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3964"/>
        <w:gridCol w:w="1254"/>
        <w:gridCol w:w="128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3"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标项</w:t>
            </w:r>
          </w:p>
        </w:tc>
        <w:tc>
          <w:tcPr>
            <w:tcW w:w="3964"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项目名称</w:t>
            </w:r>
          </w:p>
        </w:tc>
        <w:tc>
          <w:tcPr>
            <w:tcW w:w="1254"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数量</w:t>
            </w:r>
          </w:p>
        </w:tc>
        <w:tc>
          <w:tcPr>
            <w:tcW w:w="1282"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单位</w:t>
            </w:r>
          </w:p>
        </w:tc>
        <w:tc>
          <w:tcPr>
            <w:tcW w:w="1868"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3"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一</w:t>
            </w:r>
          </w:p>
        </w:tc>
        <w:tc>
          <w:tcPr>
            <w:tcW w:w="3964"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临平街道、运河街道、乔司街道、星桥街道学校项目</w:t>
            </w:r>
          </w:p>
        </w:tc>
        <w:tc>
          <w:tcPr>
            <w:tcW w:w="1254"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1282"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批</w:t>
            </w:r>
          </w:p>
        </w:tc>
        <w:tc>
          <w:tcPr>
            <w:tcW w:w="1868" w:type="dxa"/>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582万元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3"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二</w:t>
            </w:r>
          </w:p>
        </w:tc>
        <w:tc>
          <w:tcPr>
            <w:tcW w:w="3964" w:type="dxa"/>
            <w:vAlign w:val="center"/>
          </w:tcPr>
          <w:p>
            <w:pPr>
              <w:jc w:val="center"/>
              <w:rPr>
                <w:rFonts w:hint="eastAsia" w:ascii="宋体" w:hAnsi="宋体" w:cs="宋体"/>
                <w:color w:val="auto"/>
                <w:sz w:val="21"/>
                <w:szCs w:val="21"/>
                <w:highlight w:val="none"/>
                <w:lang w:eastAsia="zh-CN"/>
              </w:rPr>
            </w:pPr>
            <w:r>
              <w:rPr>
                <w:rFonts w:hint="eastAsia" w:ascii="宋体" w:hAnsi="宋体" w:eastAsia="宋体" w:cs="宋体"/>
                <w:sz w:val="21"/>
                <w:szCs w:val="21"/>
                <w:highlight w:val="none"/>
                <w:lang w:val="en-US" w:eastAsia="zh-CN"/>
              </w:rPr>
              <w:t>塘栖镇、崇贤街道学校项目</w:t>
            </w:r>
          </w:p>
        </w:tc>
        <w:tc>
          <w:tcPr>
            <w:tcW w:w="1254" w:type="dxa"/>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282" w:type="dxa"/>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批</w:t>
            </w:r>
          </w:p>
        </w:tc>
        <w:tc>
          <w:tcPr>
            <w:tcW w:w="1868" w:type="dxa"/>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3"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三</w:t>
            </w:r>
          </w:p>
        </w:tc>
        <w:tc>
          <w:tcPr>
            <w:tcW w:w="3964" w:type="dxa"/>
            <w:vAlign w:val="center"/>
          </w:tcPr>
          <w:p>
            <w:pPr>
              <w:jc w:val="center"/>
              <w:rPr>
                <w:rFonts w:hint="eastAsia" w:ascii="宋体" w:hAnsi="宋体" w:cs="宋体"/>
                <w:color w:val="auto"/>
                <w:sz w:val="21"/>
                <w:szCs w:val="21"/>
                <w:highlight w:val="none"/>
                <w:lang w:eastAsia="zh-CN"/>
              </w:rPr>
            </w:pPr>
            <w:r>
              <w:rPr>
                <w:rFonts w:hint="eastAsia" w:ascii="宋体" w:hAnsi="宋体" w:eastAsia="宋体" w:cs="宋体"/>
                <w:sz w:val="21"/>
                <w:szCs w:val="21"/>
                <w:highlight w:val="none"/>
                <w:lang w:val="en-US" w:eastAsia="zh-CN"/>
              </w:rPr>
              <w:t>南苑街道学校项目</w:t>
            </w:r>
          </w:p>
        </w:tc>
        <w:tc>
          <w:tcPr>
            <w:tcW w:w="1254" w:type="dxa"/>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282" w:type="dxa"/>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批</w:t>
            </w:r>
          </w:p>
        </w:tc>
        <w:tc>
          <w:tcPr>
            <w:tcW w:w="1868" w:type="dxa"/>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3"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四</w:t>
            </w:r>
          </w:p>
        </w:tc>
        <w:tc>
          <w:tcPr>
            <w:tcW w:w="3964" w:type="dxa"/>
            <w:vAlign w:val="center"/>
          </w:tcPr>
          <w:p>
            <w:pPr>
              <w:jc w:val="center"/>
              <w:rPr>
                <w:rFonts w:hint="eastAsia" w:ascii="宋体" w:hAnsi="宋体" w:cs="宋体"/>
                <w:color w:val="auto"/>
                <w:sz w:val="21"/>
                <w:szCs w:val="21"/>
                <w:highlight w:val="none"/>
                <w:lang w:eastAsia="zh-CN"/>
              </w:rPr>
            </w:pPr>
            <w:r>
              <w:rPr>
                <w:rFonts w:hint="eastAsia" w:ascii="宋体" w:hAnsi="宋体" w:eastAsia="宋体" w:cs="宋体"/>
                <w:sz w:val="21"/>
                <w:szCs w:val="21"/>
                <w:highlight w:val="none"/>
                <w:lang w:val="en-US" w:eastAsia="zh-CN"/>
              </w:rPr>
              <w:t>东湖街道学校项目</w:t>
            </w:r>
          </w:p>
        </w:tc>
        <w:tc>
          <w:tcPr>
            <w:tcW w:w="1254" w:type="dxa"/>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282" w:type="dxa"/>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批</w:t>
            </w:r>
          </w:p>
        </w:tc>
        <w:tc>
          <w:tcPr>
            <w:tcW w:w="1868" w:type="dxa"/>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366万元</w:t>
            </w:r>
          </w:p>
        </w:tc>
      </w:tr>
    </w:tbl>
    <w:p>
      <w:pPr>
        <w:widowControl w:val="0"/>
        <w:wordWrap/>
        <w:autoSpaceDE w:val="0"/>
        <w:adjustRightInd/>
        <w:snapToGrid/>
        <w:spacing w:beforeAutospacing="0" w:afterAutospacing="0" w:line="600" w:lineRule="exact"/>
        <w:ind w:left="0" w:right="0"/>
        <w:jc w:val="left"/>
        <w:textAlignment w:val="auto"/>
        <w:rPr>
          <w:rFonts w:hint="eastAsia" w:ascii="宋体" w:hAnsi="宋体" w:eastAsia="宋体" w:cs="宋体"/>
          <w:b/>
          <w:i w:val="0"/>
          <w:iCs w:val="0"/>
          <w:color w:val="auto"/>
          <w:kern w:val="2"/>
          <w:sz w:val="24"/>
          <w:szCs w:val="24"/>
          <w:highlight w:val="none"/>
          <w:lang w:val="en-US" w:eastAsia="zh-CN"/>
        </w:rPr>
      </w:pPr>
      <w:r>
        <w:rPr>
          <w:rFonts w:hint="eastAsia" w:ascii="宋体" w:hAnsi="宋体" w:cs="宋体"/>
          <w:b/>
          <w:bCs/>
          <w:color w:val="auto"/>
          <w:sz w:val="24"/>
          <w:highlight w:val="none"/>
        </w:rPr>
        <w:t>四、</w:t>
      </w:r>
      <w:r>
        <w:rPr>
          <w:rFonts w:hint="eastAsia" w:ascii="宋体" w:hAnsi="宋体" w:eastAsia="宋体" w:cs="宋体"/>
          <w:b/>
          <w:i w:val="0"/>
          <w:iCs w:val="0"/>
          <w:color w:val="auto"/>
          <w:kern w:val="2"/>
          <w:sz w:val="24"/>
          <w:szCs w:val="24"/>
          <w:highlight w:val="none"/>
          <w:lang w:val="en-US" w:eastAsia="zh-CN"/>
        </w:rPr>
        <w:t>采购项目技术、服务要求（标项一、标项二、标项三、标项四）：</w:t>
      </w:r>
    </w:p>
    <w:p>
      <w:pPr>
        <w:widowControl w:val="0"/>
        <w:wordWrap/>
        <w:adjustRightInd/>
        <w:snapToGrid/>
        <w:spacing w:line="600" w:lineRule="exact"/>
        <w:ind w:left="0" w:firstLine="487" w:firstLineChars="202"/>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（一）工作范围</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人需按本招标文件的要求完成产品的设计、制造、运输、装卸、保管、现场安装、调试及试运行、通过相关部门验收、培训及售后服务等工作。按工作顺序提交所需的技术资料，所有资料必须符合本招标文件的要求。</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提供的产品须包括以下工作服务但不仅限于以下：</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（1）按需方需要完成产品的具体设计；</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（2）按需方认可的设计方案和材料进行加工、制造、供货；</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（3）运输：产品运输并卸至需方指定的地点；</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（4）供方须按需方的要求和认可负责安装及调试；</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（5）提供产品的验收标准和检测办法，验收标准应符合中国有关的国家、地方、行业的标准，经采购人确认后作为验收的依据；</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（6）供方须做好并通过相关部门对产品的检验，并取得合格证。</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2、本招标文件只是对一些原则性问题提出要求，并不是详尽的要求，投标人有责任对设计符合技术规范、标准负责。</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3、投标人需对产品的专利负责，并保证不伤害采购人的利益。在法律范围内，所有文字、商标、产品和技术侵权造成的相关费用，采购人概不负责。</w:t>
      </w:r>
    </w:p>
    <w:p>
      <w:pPr>
        <w:widowControl w:val="0"/>
        <w:wordWrap/>
        <w:adjustRightInd/>
        <w:snapToGrid/>
        <w:spacing w:line="600" w:lineRule="exact"/>
        <w:ind w:left="0" w:firstLine="487" w:firstLineChars="202"/>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（二）生产过程监督</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产品生产期间，采购人有权在适当的时间到生产厂进行生产过程监督，制造商有责任提供有关各种数据，包括产品的主要原材料、结构图和部件图等详细中文资料。但采购人的监督并不解除制造商对所有产品在制造质量上应负的全部责任。</w:t>
      </w:r>
    </w:p>
    <w:p>
      <w:pPr>
        <w:widowControl w:val="0"/>
        <w:wordWrap/>
        <w:adjustRightInd/>
        <w:snapToGrid/>
        <w:spacing w:line="600" w:lineRule="exact"/>
        <w:ind w:left="0" w:firstLine="487" w:firstLineChars="202"/>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（三）质量要求</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1、供方应保证其提供的货物及服务完全符合招标文件规定的质量、规格和性能的要求；并保证所提供的货物全新环保。</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需方按检验标准自己检验结果或相关部门检验结果，或者在质量保证期内，如果货物的数量、质量或规格与合同不符，或证实货物是有缺陷的，供方应无条件更换合格、符合招标文件的货物，由此产生的一切费用由供方负责。</w:t>
      </w:r>
    </w:p>
    <w:p>
      <w:pPr>
        <w:widowControl w:val="0"/>
        <w:wordWrap/>
        <w:adjustRightInd/>
        <w:snapToGrid/>
        <w:spacing w:line="600" w:lineRule="exact"/>
        <w:ind w:left="0"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3、供方提供的货物必须是现货、全新、原装（包括零部件）的，符合国家检测标准或具有中国商检部门合格书，符合招标货物清单中的要求的规格型号和技术性能。</w:t>
      </w:r>
    </w:p>
    <w:p>
      <w:pPr>
        <w:widowControl w:val="0"/>
        <w:wordWrap/>
        <w:adjustRightInd/>
        <w:snapToGrid/>
        <w:spacing w:line="600" w:lineRule="exact"/>
        <w:ind w:firstLine="487" w:firstLineChars="202"/>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施工要求</w:t>
      </w:r>
      <w:r>
        <w:rPr>
          <w:rFonts w:hint="eastAsia" w:ascii="宋体" w:hAnsi="宋体" w:cs="宋体"/>
          <w:b/>
          <w:color w:val="auto"/>
          <w:sz w:val="24"/>
          <w:szCs w:val="24"/>
          <w:highlight w:val="none"/>
          <w:lang w:eastAsia="zh-CN"/>
        </w:rPr>
        <w:t>：</w:t>
      </w:r>
    </w:p>
    <w:p>
      <w:pPr>
        <w:widowControl w:val="0"/>
        <w:wordWrap/>
        <w:adjustRightInd/>
        <w:snapToGrid/>
        <w:spacing w:line="600" w:lineRule="exact"/>
        <w:ind w:firstLine="484" w:firstLineChars="202"/>
        <w:textAlignment w:val="auto"/>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1、中标人</w:t>
      </w:r>
      <w:r>
        <w:rPr>
          <w:rFonts w:hint="eastAsia" w:ascii="宋体" w:hAnsi="宋体" w:eastAsia="宋体" w:cs="宋体"/>
          <w:b w:val="0"/>
          <w:bCs/>
          <w:color w:val="auto"/>
          <w:sz w:val="24"/>
          <w:szCs w:val="24"/>
          <w:highlight w:val="none"/>
        </w:rPr>
        <w:t>测量各</w:t>
      </w:r>
      <w:r>
        <w:rPr>
          <w:rFonts w:hint="eastAsia" w:ascii="宋体" w:hAnsi="宋体" w:cs="宋体"/>
          <w:b w:val="0"/>
          <w:bCs/>
          <w:color w:val="auto"/>
          <w:sz w:val="24"/>
          <w:szCs w:val="24"/>
          <w:highlight w:val="none"/>
          <w:lang w:eastAsia="zh-CN"/>
        </w:rPr>
        <w:t>学</w:t>
      </w:r>
      <w:r>
        <w:rPr>
          <w:rFonts w:hint="eastAsia" w:ascii="宋体" w:hAnsi="宋体" w:eastAsia="宋体" w:cs="宋体"/>
          <w:b w:val="0"/>
          <w:bCs/>
          <w:color w:val="auto"/>
          <w:sz w:val="24"/>
          <w:szCs w:val="24"/>
          <w:highlight w:val="none"/>
        </w:rPr>
        <w:t>校教室尺寸</w:t>
      </w:r>
      <w:r>
        <w:rPr>
          <w:rFonts w:hint="eastAsia" w:ascii="宋体" w:hAnsi="宋体" w:cs="宋体"/>
          <w:b w:val="0"/>
          <w:bCs/>
          <w:color w:val="auto"/>
          <w:sz w:val="24"/>
          <w:szCs w:val="24"/>
          <w:highlight w:val="none"/>
          <w:lang w:eastAsia="zh-CN"/>
        </w:rPr>
        <w:t>后向</w:t>
      </w:r>
      <w:r>
        <w:rPr>
          <w:rFonts w:hint="eastAsia" w:ascii="宋体" w:hAnsi="宋体" w:eastAsia="宋体" w:cs="宋体"/>
          <w:b w:val="0"/>
          <w:bCs/>
          <w:color w:val="auto"/>
          <w:sz w:val="24"/>
          <w:szCs w:val="24"/>
          <w:highlight w:val="none"/>
          <w:lang w:val="en-US" w:eastAsia="zh-CN"/>
        </w:rPr>
        <w:t>采购人汇报并提出相关建议方案</w:t>
      </w:r>
      <w:r>
        <w:rPr>
          <w:rFonts w:hint="eastAsia" w:ascii="宋体" w:hAnsi="宋体" w:cs="宋体"/>
          <w:b w:val="0"/>
          <w:bCs/>
          <w:color w:val="auto"/>
          <w:sz w:val="24"/>
          <w:szCs w:val="24"/>
          <w:highlight w:val="none"/>
          <w:lang w:val="en-US" w:eastAsia="zh-CN"/>
        </w:rPr>
        <w:t>；</w:t>
      </w:r>
    </w:p>
    <w:p>
      <w:pPr>
        <w:widowControl w:val="0"/>
        <w:wordWrap/>
        <w:adjustRightInd/>
        <w:snapToGrid/>
        <w:spacing w:line="600" w:lineRule="exact"/>
        <w:ind w:firstLine="484" w:firstLineChars="202"/>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val="en-US" w:eastAsia="zh-CN"/>
        </w:rPr>
        <w:t>2、中标人在每个标项中抽取校区中的一间教室进行施工，施工完成后，由采购人（或委托第三方权威检测机构）进行检测，经检测合格后由检测机构出具合格的整体检测报告，由采购人确认无误，中标人向采购人提供设计图</w:t>
      </w:r>
      <w:r>
        <w:rPr>
          <w:rFonts w:hint="eastAsia" w:ascii="宋体" w:hAnsi="宋体" w:eastAsia="宋体" w:cs="宋体"/>
          <w:b w:val="0"/>
          <w:bCs/>
          <w:color w:val="auto"/>
          <w:sz w:val="24"/>
          <w:szCs w:val="24"/>
          <w:highlight w:val="none"/>
        </w:rPr>
        <w:t>。</w:t>
      </w:r>
    </w:p>
    <w:p>
      <w:pPr>
        <w:widowControl w:val="0"/>
        <w:wordWrap/>
        <w:adjustRightInd/>
        <w:snapToGrid/>
        <w:spacing w:line="6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cs="宋体"/>
          <w:b w:val="0"/>
          <w:bCs/>
          <w:color w:val="auto"/>
          <w:sz w:val="24"/>
          <w:szCs w:val="24"/>
          <w:highlight w:val="none"/>
          <w:lang w:val="en-US" w:eastAsia="zh-CN"/>
        </w:rPr>
        <w:t>3、经</w:t>
      </w:r>
      <w:r>
        <w:rPr>
          <w:rFonts w:hint="eastAsia" w:ascii="宋体" w:hAnsi="宋体" w:eastAsia="宋体" w:cs="宋体"/>
          <w:b w:val="0"/>
          <w:bCs/>
          <w:color w:val="auto"/>
          <w:sz w:val="24"/>
          <w:szCs w:val="24"/>
          <w:highlight w:val="none"/>
          <w:lang w:val="en-US" w:eastAsia="zh-CN"/>
        </w:rPr>
        <w:t>采购人</w:t>
      </w:r>
      <w:r>
        <w:rPr>
          <w:rFonts w:hint="eastAsia" w:ascii="宋体" w:hAnsi="宋体" w:cs="宋体"/>
          <w:b w:val="0"/>
          <w:bCs/>
          <w:color w:val="auto"/>
          <w:sz w:val="24"/>
          <w:szCs w:val="24"/>
          <w:highlight w:val="none"/>
          <w:lang w:val="en-US" w:eastAsia="zh-CN"/>
        </w:rPr>
        <w:t>确认方案及图纸后，剩余教室再进行施工，</w:t>
      </w:r>
      <w:r>
        <w:rPr>
          <w:rFonts w:hint="eastAsia" w:ascii="宋体" w:hAnsi="宋体" w:cs="宋体"/>
          <w:b w:val="0"/>
          <w:bCs w:val="0"/>
          <w:sz w:val="24"/>
          <w:highlight w:val="none"/>
          <w:lang w:val="en-US" w:eastAsia="zh-CN"/>
        </w:rPr>
        <w:t>全部教室施工完成后，由采购人</w:t>
      </w:r>
      <w:r>
        <w:rPr>
          <w:rFonts w:hint="eastAsia" w:ascii="宋体" w:hAnsi="宋体" w:cs="宋体"/>
          <w:b w:val="0"/>
          <w:bCs/>
          <w:color w:val="auto"/>
          <w:sz w:val="24"/>
          <w:szCs w:val="24"/>
          <w:highlight w:val="none"/>
          <w:lang w:val="en-US" w:eastAsia="zh-CN"/>
        </w:rPr>
        <w:t>每个标项随机抽检10间教室进行检测；如果检测不合格的将扩大抽检范围，每次整改时间为15天，整改时不得影响学校教育教学工作，整改后按要求进行重新抽检，直至检测合格为止；检测费用由中标人承担</w:t>
      </w:r>
      <w:r>
        <w:rPr>
          <w:rFonts w:hint="eastAsia" w:ascii="宋体" w:hAnsi="宋体" w:cs="宋体"/>
          <w:b w:val="0"/>
          <w:bCs/>
          <w:color w:val="auto"/>
          <w:sz w:val="24"/>
          <w:szCs w:val="24"/>
          <w:highlight w:val="none"/>
          <w:lang w:eastAsia="zh-CN"/>
        </w:rPr>
        <w:t>。</w:t>
      </w:r>
    </w:p>
    <w:p>
      <w:pPr>
        <w:widowControl w:val="0"/>
        <w:wordWrap/>
        <w:adjustRightInd/>
        <w:snapToGrid/>
        <w:spacing w:line="600" w:lineRule="exact"/>
        <w:ind w:firstLine="487" w:firstLineChars="202"/>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w:t>
      </w:r>
      <w:r>
        <w:rPr>
          <w:rFonts w:hint="eastAsia" w:ascii="宋体" w:hAnsi="宋体" w:cs="宋体"/>
          <w:b/>
          <w:color w:val="auto"/>
          <w:sz w:val="24"/>
          <w:szCs w:val="24"/>
          <w:highlight w:val="none"/>
          <w:lang w:val="en-US" w:eastAsia="zh-CN"/>
        </w:rPr>
        <w:t>五</w:t>
      </w:r>
      <w:r>
        <w:rPr>
          <w:rFonts w:hint="eastAsia" w:ascii="宋体" w:hAnsi="宋体" w:eastAsia="宋体" w:cs="宋体"/>
          <w:b/>
          <w:color w:val="auto"/>
          <w:sz w:val="24"/>
          <w:szCs w:val="24"/>
          <w:highlight w:val="none"/>
          <w:lang w:val="en-US" w:eastAsia="zh-CN"/>
        </w:rPr>
        <w:t>）使用管理</w:t>
      </w:r>
    </w:p>
    <w:p>
      <w:pPr>
        <w:widowControl w:val="0"/>
        <w:wordWrap/>
        <w:adjustRightInd/>
        <w:snapToGrid/>
        <w:spacing w:line="600" w:lineRule="exact"/>
        <w:ind w:firstLine="484" w:firstLineChars="202"/>
        <w:textAlignment w:val="auto"/>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lang w:val="en-US" w:eastAsia="zh-CN"/>
        </w:rPr>
        <w:t>质保期</w:t>
      </w:r>
      <w:r>
        <w:rPr>
          <w:rFonts w:hint="eastAsia" w:ascii="宋体" w:hAnsi="宋体" w:cs="宋体"/>
          <w:b w:val="0"/>
          <w:bCs/>
          <w:color w:val="auto"/>
          <w:sz w:val="24"/>
          <w:szCs w:val="24"/>
          <w:highlight w:val="none"/>
          <w:lang w:val="en-US" w:eastAsia="zh-CN"/>
        </w:rPr>
        <w:t>为五年，前三年不进行</w:t>
      </w:r>
      <w:r>
        <w:rPr>
          <w:rFonts w:hint="eastAsia" w:ascii="宋体" w:hAnsi="宋体" w:eastAsia="宋体" w:cs="宋体"/>
          <w:b w:val="0"/>
          <w:bCs/>
          <w:color w:val="auto"/>
          <w:sz w:val="24"/>
          <w:szCs w:val="24"/>
          <w:highlight w:val="none"/>
          <w:lang w:val="en-US" w:eastAsia="zh-CN"/>
        </w:rPr>
        <w:t>检测</w:t>
      </w:r>
      <w:r>
        <w:rPr>
          <w:rFonts w:hint="eastAsia" w:ascii="宋体" w:hAnsi="宋体" w:cs="宋体"/>
          <w:b w:val="0"/>
          <w:bCs/>
          <w:color w:val="auto"/>
          <w:sz w:val="24"/>
          <w:szCs w:val="24"/>
          <w:highlight w:val="none"/>
          <w:lang w:val="en-US" w:eastAsia="zh-CN"/>
        </w:rPr>
        <w:t>；质保期第四年开始由采购人每个标项随机抽检20间教室进行检测；如果检测不合格的将扩大抽检范围，每次整改时间为15天，整改时不得影响学校教育教学工作，整改后按要求进行重新抽检，直至检测合格为止；检测费用由中标人承担。</w:t>
      </w:r>
    </w:p>
    <w:p>
      <w:pPr>
        <w:widowControl w:val="0"/>
        <w:wordWrap/>
        <w:adjustRightInd/>
        <w:snapToGrid/>
        <w:spacing w:line="600" w:lineRule="exact"/>
        <w:ind w:firstLine="487" w:firstLineChars="202"/>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六</w:t>
      </w:r>
      <w:r>
        <w:rPr>
          <w:rFonts w:hint="eastAsia" w:ascii="宋体" w:hAnsi="宋体" w:eastAsia="宋体" w:cs="宋体"/>
          <w:b/>
          <w:color w:val="auto"/>
          <w:sz w:val="24"/>
          <w:szCs w:val="24"/>
          <w:highlight w:val="none"/>
        </w:rPr>
        <w:t>）对投标人、产品及服务的要求</w:t>
      </w:r>
    </w:p>
    <w:p>
      <w:pPr>
        <w:widowControl w:val="0"/>
        <w:wordWrap/>
        <w:adjustRightInd/>
        <w:snapToGrid/>
        <w:spacing w:line="600" w:lineRule="exact"/>
        <w:ind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投标人可根据自身特点选择技术指标达到或优于以上要求的产品进行投标，但不接受投标人用淘汰产品或临近淘汰产品投标。</w:t>
      </w:r>
    </w:p>
    <w:p>
      <w:pPr>
        <w:widowControl w:val="0"/>
        <w:wordWrap/>
        <w:adjustRightInd/>
        <w:snapToGrid/>
        <w:spacing w:line="600" w:lineRule="exact"/>
        <w:ind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本次项目要求中标人安装到采购人指定的地点，投标人报价时应充分考虑地方分散风险。</w:t>
      </w:r>
    </w:p>
    <w:p>
      <w:pPr>
        <w:widowControl w:val="0"/>
        <w:wordWrap/>
        <w:adjustRightInd/>
        <w:snapToGrid/>
        <w:spacing w:line="600" w:lineRule="exact"/>
        <w:ind w:firstLine="484" w:firstLineChars="20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针对清单中的每一项内容，供应商须明确具体技术参数及要求。</w:t>
      </w:r>
    </w:p>
    <w:p>
      <w:pPr>
        <w:widowControl w:val="0"/>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中标人提供生产厂家售后服务承诺书。</w:t>
      </w:r>
    </w:p>
    <w:p>
      <w:pPr>
        <w:spacing w:line="6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lang w:eastAsia="zh-CN"/>
        </w:rPr>
        <w:t>（七）</w:t>
      </w:r>
      <w:r>
        <w:rPr>
          <w:rFonts w:hint="eastAsia" w:ascii="宋体" w:hAnsi="宋体" w:cs="宋体"/>
          <w:b/>
          <w:bCs/>
          <w:color w:val="auto"/>
          <w:sz w:val="24"/>
          <w:highlight w:val="none"/>
        </w:rPr>
        <w:t>具体技术参数要求：</w:t>
      </w:r>
    </w:p>
    <w:tbl>
      <w:tblPr>
        <w:tblStyle w:val="62"/>
        <w:tblW w:w="931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296"/>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10" w:type="dxa"/>
            <w:gridSpan w:val="3"/>
            <w:vAlign w:val="center"/>
          </w:tcPr>
          <w:p>
            <w:pPr>
              <w:widowControl/>
              <w:wordWrap/>
              <w:adjustRightInd/>
              <w:snapToGrid/>
              <w:spacing w:line="240" w:lineRule="auto"/>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rPr>
              <w:t>临平区教育系统LED教室灯技术参数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rPr>
              <w:t>序号</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rPr>
              <w:t>项目</w:t>
            </w:r>
          </w:p>
        </w:tc>
        <w:tc>
          <w:tcPr>
            <w:tcW w:w="7323" w:type="dxa"/>
            <w:vAlign w:val="center"/>
          </w:tcPr>
          <w:p>
            <w:pPr>
              <w:widowControl/>
              <w:wordWrap/>
              <w:adjustRightInd/>
              <w:snapToGrid/>
              <w:spacing w:line="240" w:lineRule="auto"/>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产品认证</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2"/>
                <w:sz w:val="21"/>
                <w:szCs w:val="21"/>
                <w:highlight w:val="none"/>
                <w:shd w:val="clear" w:color="auto" w:fill="auto"/>
                <w:lang w:val="en-US" w:eastAsia="zh-CN"/>
              </w:rPr>
              <w:t>▲</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整灯须通过国家强制性CCC认证</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提供第三方认证机构出具的认证证书复印件及中国国家认证认可监督管理委员会查询证明</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2</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灯具类型</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sz w:val="21"/>
                <w:szCs w:val="21"/>
                <w:highlight w:val="none"/>
                <w:shd w:val="clear" w:color="auto" w:fill="auto"/>
                <w:lang w:val="en-US" w:eastAsia="zh-CN"/>
              </w:rPr>
              <w:t>采用光源一体式LED灯具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3</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灯具尺寸</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尺寸：</w:t>
            </w:r>
            <w:r>
              <w:rPr>
                <w:rFonts w:hint="eastAsia" w:ascii="宋体" w:hAnsi="宋体" w:eastAsia="宋体" w:cs="宋体"/>
                <w:b w:val="0"/>
                <w:bCs w:val="0"/>
                <w:sz w:val="21"/>
                <w:szCs w:val="21"/>
                <w:highlight w:val="none"/>
                <w:shd w:val="clear" w:color="auto" w:fill="auto"/>
              </w:rPr>
              <w:t>建议长度1</w:t>
            </w:r>
            <w:r>
              <w:rPr>
                <w:rFonts w:hint="eastAsia" w:ascii="宋体" w:hAnsi="宋体" w:eastAsia="宋体" w:cs="宋体"/>
                <w:b w:val="0"/>
                <w:bCs w:val="0"/>
                <w:sz w:val="21"/>
                <w:szCs w:val="21"/>
                <w:highlight w:val="none"/>
                <w:shd w:val="clear" w:color="auto" w:fill="auto"/>
                <w:lang w:val="en-US" w:eastAsia="zh-CN"/>
              </w:rPr>
              <w:t>2</w:t>
            </w:r>
            <w:r>
              <w:rPr>
                <w:rFonts w:hint="eastAsia" w:ascii="宋体" w:hAnsi="宋体" w:eastAsia="宋体" w:cs="宋体"/>
                <w:b w:val="0"/>
                <w:bCs w:val="0"/>
                <w:sz w:val="21"/>
                <w:szCs w:val="21"/>
                <w:highlight w:val="none"/>
                <w:shd w:val="clear" w:color="auto" w:fill="auto"/>
              </w:rPr>
              <w:t>00±</w:t>
            </w:r>
            <w:r>
              <w:rPr>
                <w:rFonts w:hint="eastAsia" w:ascii="宋体" w:hAnsi="宋体" w:eastAsia="宋体" w:cs="宋体"/>
                <w:b w:val="0"/>
                <w:bCs w:val="0"/>
                <w:sz w:val="21"/>
                <w:szCs w:val="21"/>
                <w:highlight w:val="none"/>
                <w:shd w:val="clear" w:color="auto" w:fill="auto"/>
                <w:lang w:val="en-US" w:eastAsia="zh-CN"/>
              </w:rPr>
              <w:t>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4</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灯具结构</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防眩光面板或者格栅防眩光，边框采用铝合金材料，铝合金材料表面进行氧化处理；壳体厚度≥0.5mm，壳体材料牢固、不变形，壳体材料如采用钢板的，表面须经阳极氧化处理后静电喷塑；壳体材料如采用铝合金材料的，表面须经阳极氧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5</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灯具效能</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灯具效能≥85 lm/W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6</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灯具吊杆</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配2根刚性中空铝合金吊杆，吊杆直径≥10mm、壁厚≥1mm，能容纳灯具导线，表面采用阳极氧化或喷塑处理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kern w:val="0"/>
                <w:sz w:val="21"/>
                <w:szCs w:val="21"/>
                <w:highlight w:val="none"/>
                <w:u w:val="none"/>
                <w:shd w:val="clear" w:color="auto" w:fill="auto"/>
                <w:lang w:val="en-US" w:eastAsia="zh-CN"/>
              </w:rPr>
            </w:pPr>
            <w:r>
              <w:rPr>
                <w:rFonts w:hint="eastAsia" w:ascii="宋体" w:hAnsi="宋体" w:cs="宋体"/>
                <w:i w:val="0"/>
                <w:iCs w:val="0"/>
                <w:color w:val="auto"/>
                <w:kern w:val="0"/>
                <w:sz w:val="21"/>
                <w:szCs w:val="21"/>
                <w:highlight w:val="none"/>
                <w:u w:val="none"/>
                <w:shd w:val="clear" w:color="auto" w:fill="auto"/>
                <w:lang w:val="en-US" w:eastAsia="zh-CN"/>
              </w:rPr>
              <w:t>7</w:t>
            </w:r>
          </w:p>
        </w:tc>
        <w:tc>
          <w:tcPr>
            <w:tcW w:w="1296" w:type="dxa"/>
            <w:vAlign w:val="center"/>
          </w:tcPr>
          <w:p>
            <w:pPr>
              <w:wordWrap/>
              <w:snapToGrid/>
              <w:spacing w:line="240" w:lineRule="auto"/>
              <w:jc w:val="center"/>
              <w:rPr>
                <w:rFonts w:hint="eastAsia" w:ascii="宋体" w:hAnsi="宋体" w:eastAsia="宋体" w:cs="宋体"/>
                <w:i w:val="0"/>
                <w:iCs w:val="0"/>
                <w:color w:val="auto"/>
                <w:kern w:val="0"/>
                <w:sz w:val="21"/>
                <w:szCs w:val="21"/>
                <w:highlight w:val="none"/>
                <w:u w:val="none"/>
                <w:shd w:val="clear" w:color="auto" w:fill="auto"/>
                <w:lang w:val="en-US" w:eastAsia="zh-CN"/>
              </w:rPr>
            </w:pPr>
            <w:r>
              <w:rPr>
                <w:rFonts w:hint="eastAsia" w:ascii="宋体" w:hAnsi="宋体" w:eastAsia="宋体" w:cs="宋体"/>
                <w:sz w:val="21"/>
                <w:szCs w:val="21"/>
                <w:highlight w:val="none"/>
                <w:shd w:val="clear" w:color="auto" w:fill="auto"/>
              </w:rPr>
              <w:t>防护结构</w:t>
            </w:r>
          </w:p>
        </w:tc>
        <w:tc>
          <w:tcPr>
            <w:tcW w:w="7323" w:type="dxa"/>
            <w:vAlign w:val="center"/>
          </w:tcPr>
          <w:p>
            <w:pPr>
              <w:wordWrap/>
              <w:snapToGrid/>
              <w:spacing w:line="240" w:lineRule="auto"/>
              <w:rPr>
                <w:rFonts w:hint="eastAsia" w:ascii="宋体" w:hAnsi="宋体" w:eastAsia="宋体" w:cs="宋体"/>
                <w:b w:val="0"/>
                <w:bCs w:val="0"/>
                <w:i w:val="0"/>
                <w:iCs w:val="0"/>
                <w:color w:val="auto"/>
                <w:kern w:val="0"/>
                <w:sz w:val="21"/>
                <w:szCs w:val="21"/>
                <w:highlight w:val="none"/>
                <w:u w:val="none"/>
                <w:shd w:val="clear" w:color="auto" w:fill="auto"/>
                <w:lang w:val="en-US" w:eastAsia="zh-CN"/>
              </w:rPr>
            </w:pPr>
            <w:r>
              <w:rPr>
                <w:rFonts w:hint="eastAsia" w:ascii="宋体" w:hAnsi="宋体" w:eastAsia="宋体" w:cs="宋体"/>
                <w:b w:val="0"/>
                <w:bCs w:val="0"/>
                <w:sz w:val="21"/>
                <w:szCs w:val="21"/>
                <w:highlight w:val="none"/>
                <w:shd w:val="clear" w:color="auto" w:fill="auto"/>
              </w:rPr>
              <w:t>灯具采用全封闭式结构，有效避免蚊虫等进入灯具内部结构，外部易清理。灯具的IP防护等级≥IP40</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r>
              <w:rPr>
                <w:rFonts w:hint="eastAsia" w:ascii="宋体" w:hAnsi="宋体" w:eastAsia="宋体" w:cs="宋体"/>
                <w:b w:val="0"/>
                <w:bCs w:val="0"/>
                <w:sz w:val="21"/>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cs="宋体"/>
                <w:i w:val="0"/>
                <w:iCs w:val="0"/>
                <w:color w:val="auto"/>
                <w:kern w:val="0"/>
                <w:sz w:val="21"/>
                <w:szCs w:val="21"/>
                <w:highlight w:val="none"/>
                <w:u w:val="none"/>
                <w:shd w:val="clear" w:color="auto" w:fill="auto"/>
                <w:lang w:val="en-US" w:eastAsia="zh-CN"/>
              </w:rPr>
              <w:t>8</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外观工艺</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灯具的表面平整、无凹陷、无毛刺，焊缝无透光现象，表面氧化处理或喷塑后灯具表面均匀、光洁，无流挂现象；灯具的所有紧固件（螺丝/卡具）等作防锈处理。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cs="宋体"/>
                <w:i w:val="0"/>
                <w:iCs w:val="0"/>
                <w:color w:val="auto"/>
                <w:kern w:val="0"/>
                <w:sz w:val="21"/>
                <w:szCs w:val="21"/>
                <w:highlight w:val="none"/>
                <w:u w:val="none"/>
                <w:shd w:val="clear" w:color="auto" w:fill="auto"/>
                <w:lang w:val="en-US" w:eastAsia="zh-CN"/>
              </w:rPr>
              <w:t>9</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灯具寿命</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灯具使用寿命（可靠性）≥25000h（</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cs="宋体"/>
                <w:i w:val="0"/>
                <w:iCs w:val="0"/>
                <w:color w:val="auto"/>
                <w:kern w:val="0"/>
                <w:sz w:val="21"/>
                <w:szCs w:val="21"/>
                <w:highlight w:val="none"/>
                <w:u w:val="none"/>
                <w:shd w:val="clear" w:color="auto" w:fill="auto"/>
                <w:lang w:val="en-US" w:eastAsia="zh-CN"/>
              </w:rPr>
              <w:t>10</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功率因数</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1</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色温</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★3300-5300K（</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2</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显色指数</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★Ra≥90，R9＞50（</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3</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蓝光危害</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★蓝光危害等级为RG0（</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4</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频闪</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★光频闪的危害为无危害（</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5</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光通维持率</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★6000小时的光通维持率≥93%。</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提供有资质专业检测机构出具的含有CMA和CNAS标志的检测报告或证书及全国认证认可信息公共服务平台检测报告编号查询证明复印件，报告上的检测起止时间须为正常燃点时间，加速测试无效）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6</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驱动控制装置</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lang w:val="en-US"/>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采用恒流驱动控制装置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7</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人体电磁辐射</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灯具对人体的电磁辐射符合安全要求（</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8</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色容差</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★≤5SDCM（</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9</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智能控制</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kern w:val="0"/>
                <w:sz w:val="21"/>
                <w:szCs w:val="21"/>
                <w:highlight w:val="none"/>
                <w:u w:val="none"/>
                <w:shd w:val="clear" w:color="auto" w:fill="auto"/>
                <w:lang w:val="en-US" w:eastAsia="zh-CN"/>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★1、可通过场景控制器等实现开关控制、智能控制；</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br w:type="textWrapping"/>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★2、灯光控制采用平滑渐变调节技术，调节过程柔和舒适；</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br w:type="textWrapping"/>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★3、根据教学场景配置≥4种默认场景模式，支持快速配置；场景快速切换，根据使用需求能够快速切换整体灯光照明状态；</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br w:type="textWrapping"/>
            </w:r>
            <w:r>
              <w:rPr>
                <w:rFonts w:hint="eastAsia" w:ascii="宋体" w:hAnsi="宋体" w:eastAsia="宋体" w:cs="宋体"/>
                <w:b w:val="0"/>
                <w:bCs w:val="0"/>
                <w:i w:val="0"/>
                <w:iCs w:val="0"/>
                <w:color w:val="auto"/>
                <w:kern w:val="2"/>
                <w:sz w:val="21"/>
                <w:szCs w:val="21"/>
                <w:highlight w:val="none"/>
                <w:shd w:val="clear" w:color="auto" w:fill="auto"/>
                <w:lang w:val="en-US" w:eastAsia="zh-CN"/>
              </w:rPr>
              <w:t>▲</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4、每盏灯具须集成光感模块。</w:t>
            </w:r>
          </w:p>
          <w:p>
            <w:pPr>
              <w:widowControl/>
              <w:wordWrap/>
              <w:snapToGrid/>
              <w:spacing w:line="240" w:lineRule="auto"/>
              <w:textAlignment w:val="bottom"/>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★5光感模块支持自主感应调控模式，能够根据下方桌面照度进行自动光照度调节，保持桌面照度满足在设定标准（国家标准）以上。</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br w:type="textWrapping"/>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需提供以上加盖制造商公章的技术参数确认函</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shd w:val="clear" w:color="auto" w:fill="auto"/>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cs="宋体"/>
                <w:i w:val="0"/>
                <w:iCs w:val="0"/>
                <w:color w:val="auto"/>
                <w:kern w:val="0"/>
                <w:sz w:val="21"/>
                <w:szCs w:val="21"/>
                <w:highlight w:val="none"/>
                <w:u w:val="none"/>
                <w:shd w:val="clear" w:color="auto" w:fill="auto"/>
                <w:lang w:val="en-US" w:eastAsia="zh-CN"/>
              </w:rPr>
              <w:t>20</w:t>
            </w:r>
          </w:p>
        </w:tc>
        <w:tc>
          <w:tcPr>
            <w:tcW w:w="1296" w:type="dxa"/>
            <w:shd w:val="clear" w:color="auto" w:fill="auto"/>
            <w:vAlign w:val="center"/>
          </w:tcPr>
          <w:p>
            <w:pPr>
              <w:widowControl/>
              <w:wordWrap/>
              <w:adjustRightInd/>
              <w:snapToGrid/>
              <w:spacing w:line="240" w:lineRule="auto"/>
              <w:jc w:val="center"/>
              <w:textAlignment w:val="center"/>
              <w:rPr>
                <w:rFonts w:hint="eastAsia" w:ascii="宋体" w:hAnsi="宋体" w:eastAsia="宋体" w:cs="宋体"/>
                <w:i w:val="0"/>
                <w:iCs w:val="0"/>
                <w:color w:val="auto"/>
                <w:kern w:val="0"/>
                <w:sz w:val="21"/>
                <w:szCs w:val="21"/>
                <w:highlight w:val="none"/>
                <w:u w:val="none"/>
                <w:shd w:val="clear" w:color="auto" w:fill="auto"/>
                <w:lang w:val="en-US" w:eastAsia="zh-CN"/>
              </w:rPr>
            </w:pPr>
            <w:r>
              <w:rPr>
                <w:rFonts w:hint="eastAsia" w:ascii="宋体" w:hAnsi="宋体" w:eastAsia="宋体" w:cs="宋体"/>
                <w:color w:val="auto"/>
                <w:sz w:val="21"/>
                <w:szCs w:val="21"/>
                <w:highlight w:val="none"/>
                <w:shd w:val="clear" w:color="auto" w:fill="auto"/>
                <w:lang w:eastAsia="zh-CN"/>
              </w:rPr>
              <w:t>教室照明要求</w:t>
            </w:r>
          </w:p>
        </w:tc>
        <w:tc>
          <w:tcPr>
            <w:tcW w:w="7323" w:type="dxa"/>
            <w:shd w:val="clear" w:color="auto" w:fill="FFFFFF"/>
            <w:vAlign w:val="center"/>
          </w:tcPr>
          <w:p>
            <w:pPr>
              <w:widowControl/>
              <w:wordWrap/>
              <w:snapToGrid/>
              <w:spacing w:line="240" w:lineRule="auto"/>
              <w:textAlignment w:val="bottom"/>
              <w:rPr>
                <w:rFonts w:hint="eastAsia" w:ascii="宋体" w:hAnsi="宋体" w:eastAsia="宋体" w:cs="宋体"/>
                <w:b w:val="0"/>
                <w:bCs w:val="0"/>
                <w:i w:val="0"/>
                <w:iCs w:val="0"/>
                <w:color w:val="auto"/>
                <w:kern w:val="0"/>
                <w:sz w:val="21"/>
                <w:szCs w:val="21"/>
                <w:highlight w:val="none"/>
                <w:u w:val="none"/>
                <w:shd w:val="clear" w:color="auto" w:fill="auto"/>
                <w:lang w:val="en-US" w:eastAsia="zh-CN"/>
              </w:rPr>
            </w:pPr>
            <w:r>
              <w:rPr>
                <w:rFonts w:hint="eastAsia" w:ascii="宋体" w:hAnsi="宋体" w:eastAsia="宋体" w:cs="宋体"/>
                <w:color w:val="auto"/>
                <w:sz w:val="21"/>
                <w:szCs w:val="21"/>
                <w:highlight w:val="none"/>
                <w:shd w:val="clear" w:color="auto" w:fill="auto"/>
              </w:rPr>
              <w:t>所投灯具制造商同类项目实施</w:t>
            </w:r>
            <w:r>
              <w:rPr>
                <w:rFonts w:hint="eastAsia" w:ascii="宋体" w:hAnsi="宋体" w:eastAsia="宋体" w:cs="宋体"/>
                <w:color w:val="auto"/>
                <w:sz w:val="21"/>
                <w:szCs w:val="21"/>
                <w:highlight w:val="none"/>
                <w:shd w:val="clear" w:color="auto" w:fill="auto"/>
                <w:lang w:eastAsia="zh-CN"/>
              </w:rPr>
              <w:t>五</w:t>
            </w:r>
            <w:r>
              <w:rPr>
                <w:rFonts w:hint="eastAsia" w:ascii="宋体" w:hAnsi="宋体" w:eastAsia="宋体" w:cs="宋体"/>
                <w:color w:val="auto"/>
                <w:sz w:val="21"/>
                <w:szCs w:val="21"/>
                <w:highlight w:val="none"/>
                <w:shd w:val="clear" w:color="auto" w:fill="auto"/>
              </w:rPr>
              <w:t>年后主要照明参数仍符合国标GB7793-2010《中小学教室采光和照明卫生标准》要求</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color w:val="auto"/>
                <w:sz w:val="21"/>
                <w:szCs w:val="21"/>
                <w:highlight w:val="none"/>
                <w:shd w:val="clear" w:color="auto" w:fill="auto"/>
                <w:lang w:eastAsia="zh-CN"/>
              </w:rPr>
              <w:t>提供灯具制造商盖章承诺书</w:t>
            </w:r>
            <w:r>
              <w:rPr>
                <w:rFonts w:hint="eastAsia" w:ascii="宋体" w:hAnsi="宋体" w:cs="宋体"/>
                <w:b/>
                <w:bCs/>
                <w:color w:val="auto"/>
                <w:sz w:val="21"/>
                <w:szCs w:val="21"/>
                <w:highlight w:val="none"/>
                <w:shd w:val="clear" w:color="auto" w:fill="auto"/>
                <w:lang w:eastAsia="zh-CN"/>
              </w:rPr>
              <w:t>复印件</w:t>
            </w:r>
            <w:r>
              <w:rPr>
                <w:rFonts w:hint="eastAsia" w:ascii="宋体" w:hAnsi="宋体" w:eastAsia="宋体" w:cs="宋体"/>
                <w:b/>
                <w:bCs/>
                <w:color w:val="auto"/>
                <w:sz w:val="21"/>
                <w:szCs w:val="21"/>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10" w:type="dxa"/>
            <w:gridSpan w:val="3"/>
            <w:vAlign w:val="center"/>
          </w:tcPr>
          <w:p>
            <w:pPr>
              <w:widowControl/>
              <w:wordWrap/>
              <w:adjustRightInd/>
              <w:snapToGrid/>
              <w:spacing w:line="240" w:lineRule="auto"/>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rPr>
              <w:t>临平区教育系统LED黑板灯技术参数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rPr>
              <w:t>序号</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rPr>
              <w:t>项目</w:t>
            </w:r>
          </w:p>
        </w:tc>
        <w:tc>
          <w:tcPr>
            <w:tcW w:w="7323" w:type="dxa"/>
            <w:vAlign w:val="center"/>
          </w:tcPr>
          <w:p>
            <w:pPr>
              <w:widowControl/>
              <w:wordWrap/>
              <w:adjustRightInd/>
              <w:snapToGrid/>
              <w:spacing w:line="240" w:lineRule="auto"/>
              <w:jc w:val="center"/>
              <w:textAlignment w:val="center"/>
              <w:rPr>
                <w:rFonts w:hint="eastAsia" w:ascii="宋体" w:hAnsi="宋体" w:eastAsia="宋体" w:cs="宋体"/>
                <w:b/>
                <w:bCs/>
                <w:i w:val="0"/>
                <w:iCs w:val="0"/>
                <w:color w:val="auto"/>
                <w:sz w:val="21"/>
                <w:szCs w:val="21"/>
                <w:highlight w:val="none"/>
                <w:u w:val="none"/>
                <w:shd w:val="clear" w:color="auto" w:fill="auto"/>
              </w:rPr>
            </w:pPr>
            <w:r>
              <w:rPr>
                <w:rFonts w:hint="eastAsia" w:ascii="宋体" w:hAnsi="宋体" w:eastAsia="宋体" w:cs="宋体"/>
                <w:b/>
                <w:bCs/>
                <w:i w:val="0"/>
                <w:iCs w:val="0"/>
                <w:color w:val="auto"/>
                <w:kern w:val="0"/>
                <w:sz w:val="21"/>
                <w:szCs w:val="21"/>
                <w:highlight w:val="none"/>
                <w:u w:val="none"/>
                <w:shd w:val="clear" w:color="auto" w:fill="auto"/>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产品认证</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2"/>
                <w:sz w:val="21"/>
                <w:szCs w:val="21"/>
                <w:highlight w:val="none"/>
                <w:shd w:val="clear" w:color="auto" w:fill="auto"/>
                <w:lang w:val="en-US" w:eastAsia="zh-CN"/>
              </w:rPr>
              <w:t>▲</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整灯须通过国家强制性CCC认证</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提供第三方认证机构出具的认证证书复印件及中国国家认证认可监督管理委员会查询证明</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2</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灯具类型</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采用光源一体式LED灯具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3</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灯具尺寸</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尺寸：</w:t>
            </w:r>
            <w:r>
              <w:rPr>
                <w:rFonts w:hint="eastAsia" w:ascii="宋体" w:hAnsi="宋体" w:eastAsia="宋体" w:cs="宋体"/>
                <w:b w:val="0"/>
                <w:bCs w:val="0"/>
                <w:sz w:val="21"/>
                <w:szCs w:val="21"/>
                <w:highlight w:val="none"/>
                <w:shd w:val="clear" w:color="auto" w:fill="auto"/>
              </w:rPr>
              <w:t>建议长度1</w:t>
            </w:r>
            <w:r>
              <w:rPr>
                <w:rFonts w:hint="eastAsia" w:ascii="宋体" w:hAnsi="宋体" w:cs="宋体"/>
                <w:b w:val="0"/>
                <w:bCs w:val="0"/>
                <w:sz w:val="21"/>
                <w:szCs w:val="21"/>
                <w:highlight w:val="none"/>
                <w:shd w:val="clear" w:color="auto" w:fill="auto"/>
                <w:lang w:val="en-US" w:eastAsia="zh-CN"/>
              </w:rPr>
              <w:t>2</w:t>
            </w:r>
            <w:r>
              <w:rPr>
                <w:rFonts w:hint="eastAsia" w:ascii="宋体" w:hAnsi="宋体" w:eastAsia="宋体" w:cs="宋体"/>
                <w:b w:val="0"/>
                <w:bCs w:val="0"/>
                <w:sz w:val="21"/>
                <w:szCs w:val="21"/>
                <w:highlight w:val="none"/>
                <w:shd w:val="clear" w:color="auto" w:fill="auto"/>
              </w:rPr>
              <w:t>00±</w:t>
            </w:r>
            <w:r>
              <w:rPr>
                <w:rFonts w:hint="eastAsia" w:ascii="宋体" w:hAnsi="宋体" w:eastAsia="宋体" w:cs="宋体"/>
                <w:b w:val="0"/>
                <w:bCs w:val="0"/>
                <w:sz w:val="21"/>
                <w:szCs w:val="21"/>
                <w:highlight w:val="none"/>
                <w:shd w:val="clear" w:color="auto" w:fill="auto"/>
                <w:lang w:val="en-US" w:eastAsia="zh-CN"/>
              </w:rPr>
              <w:t>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4</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灯具效能</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灯具效能≥85 lm/W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5</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灯具吊杆</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配2根刚性中空铝合金吊杆，吊杆直径≥10mm、壁厚≥1mm，能容纳灯具导线，表面采用阳极氧化或喷塑处理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6</w:t>
            </w:r>
          </w:p>
        </w:tc>
        <w:tc>
          <w:tcPr>
            <w:tcW w:w="1296" w:type="dxa"/>
            <w:vAlign w:val="center"/>
          </w:tcPr>
          <w:p>
            <w:pPr>
              <w:wordWrap/>
              <w:snapToGrid/>
              <w:spacing w:line="240" w:lineRule="auto"/>
              <w:jc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sz w:val="21"/>
                <w:szCs w:val="21"/>
                <w:highlight w:val="none"/>
                <w:shd w:val="clear" w:color="auto" w:fill="auto"/>
              </w:rPr>
              <w:t>防护结构</w:t>
            </w:r>
          </w:p>
        </w:tc>
        <w:tc>
          <w:tcPr>
            <w:tcW w:w="7323" w:type="dxa"/>
            <w:vAlign w:val="center"/>
          </w:tcPr>
          <w:p>
            <w:pPr>
              <w:wordWrap/>
              <w:snapToGrid/>
              <w:spacing w:line="240" w:lineRule="auto"/>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sz w:val="21"/>
                <w:szCs w:val="21"/>
                <w:highlight w:val="none"/>
                <w:shd w:val="clear" w:color="auto" w:fill="auto"/>
              </w:rPr>
              <w:t>灯具采用全封闭式结构，有效避免蚊虫等进入灯具内部结构，外部易清理。灯具的IP防护等级≥IP40</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r>
              <w:rPr>
                <w:rFonts w:hint="eastAsia" w:ascii="宋体" w:hAnsi="宋体" w:eastAsia="宋体" w:cs="宋体"/>
                <w:b/>
                <w:bCs/>
                <w:sz w:val="21"/>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kern w:val="0"/>
                <w:sz w:val="21"/>
                <w:szCs w:val="21"/>
                <w:highlight w:val="none"/>
                <w:u w:val="none"/>
                <w:shd w:val="clear" w:color="auto" w:fill="auto"/>
                <w:lang w:val="en-US" w:eastAsia="zh-CN"/>
              </w:rPr>
            </w:pPr>
            <w:r>
              <w:rPr>
                <w:rFonts w:hint="eastAsia" w:ascii="宋体" w:hAnsi="宋体" w:cs="宋体"/>
                <w:i w:val="0"/>
                <w:iCs w:val="0"/>
                <w:color w:val="auto"/>
                <w:kern w:val="0"/>
                <w:sz w:val="21"/>
                <w:szCs w:val="21"/>
                <w:highlight w:val="none"/>
                <w:u w:val="none"/>
                <w:shd w:val="clear" w:color="auto" w:fill="auto"/>
                <w:lang w:val="en-US" w:eastAsia="zh-CN"/>
              </w:rPr>
              <w:t>7</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shd w:val="clear" w:color="auto" w:fill="auto"/>
                <w:lang w:val="en-US" w:eastAsia="zh-CN"/>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外观工艺</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kern w:val="0"/>
                <w:sz w:val="21"/>
                <w:szCs w:val="21"/>
                <w:highlight w:val="none"/>
                <w:u w:val="none"/>
                <w:shd w:val="clear" w:color="auto" w:fill="auto"/>
                <w:lang w:val="en-US" w:eastAsia="zh-CN"/>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灯具的表面平整、无凹陷、无毛刺，焊缝无透光现象，表面氧化处理或喷塑后灯具表面均匀、光洁，无流挂现象；灯具的所有紧固件（螺丝/卡具）等作防锈处理。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cs="宋体"/>
                <w:i w:val="0"/>
                <w:iCs w:val="0"/>
                <w:color w:val="auto"/>
                <w:kern w:val="0"/>
                <w:sz w:val="21"/>
                <w:szCs w:val="21"/>
                <w:highlight w:val="none"/>
                <w:u w:val="none"/>
                <w:shd w:val="clear" w:color="auto" w:fill="auto"/>
                <w:lang w:val="en-US" w:eastAsia="zh-CN"/>
              </w:rPr>
              <w:t>8</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灯具寿命</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灯具使用寿命（可靠性）≥25000h（</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cs="宋体"/>
                <w:i w:val="0"/>
                <w:iCs w:val="0"/>
                <w:color w:val="auto"/>
                <w:kern w:val="0"/>
                <w:sz w:val="21"/>
                <w:szCs w:val="21"/>
                <w:highlight w:val="none"/>
                <w:u w:val="none"/>
                <w:shd w:val="clear" w:color="auto" w:fill="auto"/>
                <w:lang w:val="en-US" w:eastAsia="zh-CN"/>
              </w:rPr>
              <w:t>9</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功率因数</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cs="宋体"/>
                <w:i w:val="0"/>
                <w:iCs w:val="0"/>
                <w:color w:val="auto"/>
                <w:kern w:val="0"/>
                <w:sz w:val="21"/>
                <w:szCs w:val="21"/>
                <w:highlight w:val="none"/>
                <w:u w:val="none"/>
                <w:shd w:val="clear" w:color="auto" w:fill="auto"/>
                <w:lang w:val="en-US" w:eastAsia="zh-CN"/>
              </w:rPr>
              <w:t>10</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色温</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★3300-5300K（</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1</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显色指数</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★Ra≥90，R9＞50（</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2</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蓝光危害</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★蓝光危害等级为RG0（</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3</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频闪</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★光频闪的危害为无危害（</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4</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光通维持率</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★6000小时的光通维持率≥93%。（</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提供有资质专业检测机构出具的含有CMA和CNAS标志的检测报告或证书及全国认证认可信息公共服务平台检测报告编号查询证明复印件，报告上的检测起止时间须为正常燃点时间，加速测试无效）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5</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驱动控制装置</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采用恒流驱动控制装置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6</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人体电磁辐射</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lang w:val="en-US"/>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灯具对人体的电磁辐射符合安全要求（</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7</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色容差</w:t>
            </w:r>
          </w:p>
        </w:tc>
        <w:tc>
          <w:tcPr>
            <w:tcW w:w="7323"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★≤5SDCM（</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提供有资质专业检测机构出具的含有CMA和CNAS标志的检测报告或证书</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8</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智能控制</w:t>
            </w:r>
          </w:p>
        </w:tc>
        <w:tc>
          <w:tcPr>
            <w:tcW w:w="7323" w:type="dxa"/>
            <w:vAlign w:val="center"/>
          </w:tcPr>
          <w:p>
            <w:pPr>
              <w:widowControl/>
              <w:wordWrap/>
              <w:snapToGrid/>
              <w:spacing w:line="240" w:lineRule="auto"/>
              <w:textAlignment w:val="bottom"/>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★1、可通过场景控制器等实现开关控制、智能控制；</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br w:type="textWrapping"/>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★2、灯光控制采用平滑渐变调节技术，调节过程柔和舒适；</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br w:type="textWrapping"/>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★3、根据教学场景配置≥4种默认场景模式，支持快速配置；场景快速切换，根据使用需求能够快速切换整体灯光照明状态；</w:t>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br w:type="textWrapping"/>
            </w:r>
            <w:r>
              <w:rPr>
                <w:rFonts w:hint="eastAsia" w:ascii="宋体" w:hAnsi="宋体" w:eastAsia="宋体" w:cs="宋体"/>
                <w:b w:val="0"/>
                <w:bCs w:val="0"/>
                <w:i w:val="0"/>
                <w:iCs w:val="0"/>
                <w:color w:val="auto"/>
                <w:kern w:val="0"/>
                <w:sz w:val="21"/>
                <w:szCs w:val="21"/>
                <w:highlight w:val="none"/>
                <w:u w:val="none"/>
                <w:shd w:val="clear" w:color="auto" w:fill="auto"/>
                <w:lang w:val="en-US" w:eastAsia="zh-CN"/>
              </w:rPr>
              <w:t>（</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i w:val="0"/>
                <w:iCs w:val="0"/>
                <w:color w:val="auto"/>
                <w:kern w:val="0"/>
                <w:sz w:val="21"/>
                <w:szCs w:val="21"/>
                <w:highlight w:val="none"/>
                <w:u w:val="none"/>
                <w:shd w:val="clear" w:color="auto" w:fill="auto"/>
                <w:lang w:val="en-US" w:eastAsia="zh-CN"/>
              </w:rPr>
              <w:t>需提供以上加盖制造商公章的技术参数确认函</w:t>
            </w:r>
            <w:r>
              <w:rPr>
                <w:rFonts w:hint="eastAsia" w:ascii="宋体" w:hAnsi="宋体" w:cs="宋体"/>
                <w:b/>
                <w:bCs/>
                <w:i w:val="0"/>
                <w:iCs w:val="0"/>
                <w:color w:val="auto"/>
                <w:kern w:val="0"/>
                <w:sz w:val="21"/>
                <w:szCs w:val="21"/>
                <w:highlight w:val="none"/>
                <w:u w:val="none"/>
                <w:shd w:val="clear" w:color="auto" w:fill="auto"/>
                <w:lang w:val="en-US" w:eastAsia="zh-CN"/>
              </w:rPr>
              <w:t>复印件</w:t>
            </w:r>
            <w:r>
              <w:rPr>
                <w:rFonts w:hint="eastAsia" w:ascii="宋体" w:hAnsi="宋体" w:eastAsia="宋体" w:cs="宋体"/>
                <w:b/>
                <w:bCs/>
                <w:i w:val="0"/>
                <w:iCs w:val="0"/>
                <w:color w:val="auto"/>
                <w:kern w:val="0"/>
                <w:sz w:val="21"/>
                <w:szCs w:val="21"/>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1" w:type="dxa"/>
            <w:vAlign w:val="center"/>
          </w:tcPr>
          <w:p>
            <w:pPr>
              <w:widowControl/>
              <w:wordWrap/>
              <w:adjustRightInd/>
              <w:snapToGrid/>
              <w:spacing w:line="240" w:lineRule="auto"/>
              <w:jc w:val="center"/>
              <w:textAlignment w:val="center"/>
              <w:rPr>
                <w:rFonts w:hint="eastAsia" w:ascii="宋体" w:hAnsi="宋体" w:eastAsia="宋体" w:cs="宋体"/>
                <w:i w:val="0"/>
                <w:iCs w:val="0"/>
                <w:color w:val="auto"/>
                <w:sz w:val="21"/>
                <w:szCs w:val="21"/>
                <w:highlight w:val="none"/>
                <w:u w:val="none"/>
                <w:shd w:val="clear" w:color="auto" w:fill="auto"/>
              </w:rPr>
            </w:pPr>
            <w:r>
              <w:rPr>
                <w:rFonts w:hint="eastAsia" w:ascii="宋体" w:hAnsi="宋体" w:eastAsia="宋体" w:cs="宋体"/>
                <w:i w:val="0"/>
                <w:iCs w:val="0"/>
                <w:color w:val="auto"/>
                <w:kern w:val="0"/>
                <w:sz w:val="21"/>
                <w:szCs w:val="21"/>
                <w:highlight w:val="none"/>
                <w:u w:val="none"/>
                <w:shd w:val="clear" w:color="auto" w:fill="auto"/>
                <w:lang w:val="en-US" w:eastAsia="zh-CN"/>
              </w:rPr>
              <w:t>1</w:t>
            </w:r>
            <w:r>
              <w:rPr>
                <w:rFonts w:hint="eastAsia" w:ascii="宋体" w:hAnsi="宋体" w:cs="宋体"/>
                <w:i w:val="0"/>
                <w:iCs w:val="0"/>
                <w:color w:val="auto"/>
                <w:kern w:val="0"/>
                <w:sz w:val="21"/>
                <w:szCs w:val="21"/>
                <w:highlight w:val="none"/>
                <w:u w:val="none"/>
                <w:shd w:val="clear" w:color="auto" w:fill="auto"/>
                <w:lang w:val="en-US" w:eastAsia="zh-CN"/>
              </w:rPr>
              <w:t>9</w:t>
            </w:r>
          </w:p>
        </w:tc>
        <w:tc>
          <w:tcPr>
            <w:tcW w:w="12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color w:val="auto"/>
                <w:sz w:val="21"/>
                <w:szCs w:val="21"/>
                <w:highlight w:val="none"/>
                <w:shd w:val="clear" w:color="auto" w:fill="auto"/>
                <w:lang w:eastAsia="zh-CN"/>
              </w:rPr>
              <w:t>教室照明要求</w:t>
            </w:r>
          </w:p>
        </w:tc>
        <w:tc>
          <w:tcPr>
            <w:tcW w:w="7323" w:type="dxa"/>
            <w:vAlign w:val="center"/>
          </w:tcPr>
          <w:p>
            <w:pPr>
              <w:widowControl/>
              <w:wordWrap/>
              <w:snapToGrid/>
              <w:spacing w:line="240" w:lineRule="auto"/>
              <w:textAlignment w:val="bottom"/>
              <w:rPr>
                <w:rFonts w:hint="eastAsia" w:ascii="宋体" w:hAnsi="宋体" w:eastAsia="宋体" w:cs="宋体"/>
                <w:b w:val="0"/>
                <w:bCs w:val="0"/>
                <w:i w:val="0"/>
                <w:iCs w:val="0"/>
                <w:color w:val="auto"/>
                <w:sz w:val="21"/>
                <w:szCs w:val="21"/>
                <w:highlight w:val="none"/>
                <w:u w:val="none"/>
                <w:shd w:val="clear" w:color="auto" w:fill="auto"/>
              </w:rPr>
            </w:pPr>
            <w:r>
              <w:rPr>
                <w:rFonts w:hint="eastAsia" w:ascii="宋体" w:hAnsi="宋体" w:eastAsia="宋体" w:cs="宋体"/>
                <w:b w:val="0"/>
                <w:bCs w:val="0"/>
                <w:color w:val="auto"/>
                <w:sz w:val="21"/>
                <w:szCs w:val="21"/>
                <w:highlight w:val="none"/>
                <w:shd w:val="clear" w:color="auto" w:fill="auto"/>
              </w:rPr>
              <w:t>所投灯具制造商同类项目实施</w:t>
            </w:r>
            <w:r>
              <w:rPr>
                <w:rFonts w:hint="eastAsia" w:ascii="宋体" w:hAnsi="宋体" w:eastAsia="宋体" w:cs="宋体"/>
                <w:b w:val="0"/>
                <w:bCs w:val="0"/>
                <w:color w:val="auto"/>
                <w:sz w:val="21"/>
                <w:szCs w:val="21"/>
                <w:highlight w:val="none"/>
                <w:shd w:val="clear" w:color="auto" w:fill="auto"/>
                <w:lang w:eastAsia="zh-CN"/>
              </w:rPr>
              <w:t>五</w:t>
            </w:r>
            <w:r>
              <w:rPr>
                <w:rFonts w:hint="eastAsia" w:ascii="宋体" w:hAnsi="宋体" w:eastAsia="宋体" w:cs="宋体"/>
                <w:b w:val="0"/>
                <w:bCs w:val="0"/>
                <w:color w:val="auto"/>
                <w:sz w:val="21"/>
                <w:szCs w:val="21"/>
                <w:highlight w:val="none"/>
                <w:shd w:val="clear" w:color="auto" w:fill="auto"/>
              </w:rPr>
              <w:t>年后主要照明参数仍符合国标GB7793-2010《中小学教室采光和照明卫生标准》要求</w:t>
            </w:r>
            <w:r>
              <w:rPr>
                <w:rFonts w:hint="eastAsia" w:ascii="宋体" w:hAnsi="宋体" w:eastAsia="宋体" w:cs="宋体"/>
                <w:b w:val="0"/>
                <w:bCs w:val="0"/>
                <w:color w:val="auto"/>
                <w:sz w:val="21"/>
                <w:szCs w:val="21"/>
                <w:highlight w:val="none"/>
                <w:shd w:val="clear" w:color="auto" w:fill="auto"/>
                <w:lang w:eastAsia="zh-CN"/>
              </w:rPr>
              <w:t>。（</w:t>
            </w:r>
            <w:r>
              <w:rPr>
                <w:rFonts w:hint="eastAsia" w:ascii="宋体" w:hAnsi="宋体" w:eastAsia="宋体" w:cs="宋体"/>
                <w:b/>
                <w:bCs/>
                <w:i w:val="0"/>
                <w:iCs w:val="0"/>
                <w:color w:val="auto"/>
                <w:kern w:val="0"/>
                <w:sz w:val="21"/>
                <w:szCs w:val="21"/>
                <w:highlight w:val="none"/>
                <w:u w:val="none"/>
                <w:shd w:val="clear" w:color="auto" w:fill="auto"/>
                <w:lang w:val="en-US" w:eastAsia="zh-CN"/>
              </w:rPr>
              <w:t>投标文件</w:t>
            </w:r>
            <w:r>
              <w:rPr>
                <w:rFonts w:hint="eastAsia" w:ascii="宋体" w:hAnsi="宋体" w:cs="宋体"/>
                <w:b/>
                <w:bCs/>
                <w:i w:val="0"/>
                <w:iCs w:val="0"/>
                <w:color w:val="auto"/>
                <w:kern w:val="0"/>
                <w:sz w:val="21"/>
                <w:szCs w:val="21"/>
                <w:highlight w:val="none"/>
                <w:u w:val="none"/>
                <w:shd w:val="clear" w:color="auto" w:fill="auto"/>
                <w:lang w:val="en-US" w:eastAsia="zh-CN"/>
              </w:rPr>
              <w:t>中</w:t>
            </w:r>
            <w:r>
              <w:rPr>
                <w:rFonts w:hint="eastAsia" w:ascii="宋体" w:hAnsi="宋体" w:eastAsia="宋体" w:cs="宋体"/>
                <w:b/>
                <w:bCs/>
                <w:color w:val="auto"/>
                <w:sz w:val="21"/>
                <w:szCs w:val="21"/>
                <w:highlight w:val="none"/>
                <w:shd w:val="clear" w:color="auto" w:fill="auto"/>
                <w:lang w:eastAsia="zh-CN"/>
              </w:rPr>
              <w:t>提供</w:t>
            </w:r>
            <w:r>
              <w:rPr>
                <w:rFonts w:hint="eastAsia" w:ascii="宋体" w:hAnsi="宋体" w:eastAsia="宋体" w:cs="宋体"/>
                <w:b/>
                <w:bCs/>
                <w:color w:val="auto"/>
                <w:sz w:val="21"/>
                <w:szCs w:val="21"/>
                <w:highlight w:val="none"/>
                <w:shd w:val="clear" w:color="auto" w:fill="auto"/>
              </w:rPr>
              <w:t>灯具</w:t>
            </w:r>
            <w:r>
              <w:rPr>
                <w:rFonts w:hint="eastAsia" w:ascii="宋体" w:hAnsi="宋体" w:eastAsia="宋体" w:cs="宋体"/>
                <w:b/>
                <w:bCs/>
                <w:color w:val="auto"/>
                <w:sz w:val="21"/>
                <w:szCs w:val="21"/>
                <w:highlight w:val="none"/>
                <w:shd w:val="clear" w:color="auto" w:fill="auto"/>
                <w:lang w:eastAsia="zh-CN"/>
              </w:rPr>
              <w:t>制造商盖章承诺书</w:t>
            </w:r>
            <w:r>
              <w:rPr>
                <w:rFonts w:hint="eastAsia" w:ascii="宋体" w:hAnsi="宋体" w:cs="宋体"/>
                <w:b/>
                <w:bCs/>
                <w:color w:val="auto"/>
                <w:sz w:val="21"/>
                <w:szCs w:val="21"/>
                <w:highlight w:val="none"/>
                <w:shd w:val="clear" w:color="auto" w:fill="auto"/>
                <w:lang w:eastAsia="zh-CN"/>
              </w:rPr>
              <w:t>复印件</w:t>
            </w:r>
            <w:r>
              <w:rPr>
                <w:rFonts w:hint="eastAsia" w:ascii="宋体" w:hAnsi="宋体" w:eastAsia="宋体" w:cs="宋体"/>
                <w:b/>
                <w:bCs/>
                <w:color w:val="auto"/>
                <w:sz w:val="21"/>
                <w:szCs w:val="21"/>
                <w:highlight w:val="none"/>
                <w:shd w:val="clear" w:color="auto" w:fill="auto"/>
                <w:lang w:eastAsia="zh-CN"/>
              </w:rPr>
              <w:t>）</w:t>
            </w:r>
          </w:p>
        </w:tc>
      </w:tr>
    </w:tbl>
    <w:p>
      <w:pPr>
        <w:spacing w:line="600" w:lineRule="exact"/>
        <w:ind w:firstLine="482" w:firstLineChars="200"/>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eastAsia="zh-CN"/>
        </w:rPr>
        <w:t>（八）各标项需改造的教室数量</w:t>
      </w:r>
      <w:r>
        <w:rPr>
          <w:rFonts w:hint="eastAsia" w:ascii="宋体" w:hAnsi="宋体" w:cs="宋体"/>
          <w:b/>
          <w:bCs/>
          <w:color w:val="auto"/>
          <w:sz w:val="24"/>
          <w:highlight w:val="none"/>
          <w:lang w:val="en-US" w:eastAsia="zh-CN"/>
        </w:rPr>
        <w:t>及主要产品数量</w:t>
      </w:r>
    </w:p>
    <w:tbl>
      <w:tblPr>
        <w:tblStyle w:val="63"/>
        <w:tblW w:w="932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14"/>
        <w:gridCol w:w="1091"/>
        <w:gridCol w:w="6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序号</w:t>
            </w:r>
          </w:p>
        </w:tc>
        <w:tc>
          <w:tcPr>
            <w:tcW w:w="914"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标项</w:t>
            </w:r>
          </w:p>
        </w:tc>
        <w:tc>
          <w:tcPr>
            <w:tcW w:w="1091"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教室数量</w:t>
            </w:r>
          </w:p>
        </w:tc>
        <w:tc>
          <w:tcPr>
            <w:tcW w:w="6619"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1</w:t>
            </w:r>
          </w:p>
        </w:tc>
        <w:tc>
          <w:tcPr>
            <w:tcW w:w="914"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标项一</w:t>
            </w:r>
          </w:p>
        </w:tc>
        <w:tc>
          <w:tcPr>
            <w:tcW w:w="1091"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cs="宋体"/>
                <w:b w:val="0"/>
                <w:bCs w:val="0"/>
                <w:i w:val="0"/>
                <w:iCs w:val="0"/>
                <w:color w:val="auto"/>
                <w:kern w:val="0"/>
                <w:sz w:val="21"/>
                <w:szCs w:val="21"/>
                <w:highlight w:val="none"/>
                <w:u w:val="none"/>
                <w:lang w:val="en-US" w:eastAsia="zh-CN"/>
              </w:rPr>
              <w:t>582</w:t>
            </w:r>
            <w:r>
              <w:rPr>
                <w:rFonts w:hint="eastAsia" w:ascii="宋体" w:hAnsi="宋体" w:eastAsia="宋体" w:cs="宋体"/>
                <w:b w:val="0"/>
                <w:bCs w:val="0"/>
                <w:i w:val="0"/>
                <w:iCs w:val="0"/>
                <w:color w:val="auto"/>
                <w:kern w:val="0"/>
                <w:sz w:val="21"/>
                <w:szCs w:val="21"/>
                <w:highlight w:val="none"/>
                <w:u w:val="none"/>
                <w:lang w:val="en-US" w:eastAsia="zh-CN"/>
              </w:rPr>
              <w:t>间</w:t>
            </w:r>
          </w:p>
        </w:tc>
        <w:tc>
          <w:tcPr>
            <w:tcW w:w="6619"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cs="宋体"/>
                <w:b w:val="0"/>
                <w:bCs w:val="0"/>
                <w:i w:val="0"/>
                <w:iCs w:val="0"/>
                <w:color w:val="auto"/>
                <w:kern w:val="0"/>
                <w:sz w:val="21"/>
                <w:szCs w:val="21"/>
                <w:highlight w:val="none"/>
                <w:u w:val="none"/>
                <w:lang w:val="en-US" w:eastAsia="zh-CN"/>
              </w:rPr>
              <w:t>本项目教室内安装灯具数量必须不少于9+3模式，即安装9个教室灯，3个黑板灯；如果教室面积较大，则必须采用≥12+3模式，即保证教室灯不少于12个，黑板灯3个；不管采用何种安装模式和数量，最终安装结束后教室内光环境检测标准，必须达到浙江省教育厅办公室关于印发《中小学校护眼灯光改造工程技术规范》（浙教办技〔2021〕8 号）的要求；结算数量以安装教室的数量</w:t>
            </w:r>
            <w:r>
              <w:rPr>
                <w:rFonts w:hint="eastAsia" w:ascii="宋体" w:hAnsi="宋体" w:eastAsia="宋体" w:cs="宋体"/>
                <w:b w:val="0"/>
                <w:bCs w:val="0"/>
                <w:i w:val="0"/>
                <w:iCs w:val="0"/>
                <w:color w:val="auto"/>
                <w:kern w:val="0"/>
                <w:sz w:val="21"/>
                <w:szCs w:val="21"/>
                <w:highlight w:val="none"/>
                <w:u w:val="none"/>
                <w:lang w:val="en-US" w:eastAsia="zh-CN"/>
              </w:rPr>
              <w:t>为准</w:t>
            </w:r>
            <w:r>
              <w:rPr>
                <w:rFonts w:hint="eastAsia" w:ascii="宋体" w:hAnsi="宋体" w:cs="宋体"/>
                <w:b w:val="0"/>
                <w:bCs w:val="0"/>
                <w:i w:val="0"/>
                <w:iCs w:val="0"/>
                <w:color w:val="auto"/>
                <w:kern w:val="0"/>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2</w:t>
            </w:r>
          </w:p>
        </w:tc>
        <w:tc>
          <w:tcPr>
            <w:tcW w:w="914"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标项二</w:t>
            </w:r>
          </w:p>
        </w:tc>
        <w:tc>
          <w:tcPr>
            <w:tcW w:w="1091"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cs="宋体"/>
                <w:b w:val="0"/>
                <w:bCs w:val="0"/>
                <w:i w:val="0"/>
                <w:iCs w:val="0"/>
                <w:color w:val="auto"/>
                <w:kern w:val="0"/>
                <w:sz w:val="21"/>
                <w:szCs w:val="21"/>
                <w:highlight w:val="none"/>
                <w:u w:val="none"/>
                <w:lang w:val="en-US" w:eastAsia="zh-CN"/>
              </w:rPr>
              <w:t>503</w:t>
            </w:r>
            <w:r>
              <w:rPr>
                <w:rFonts w:hint="eastAsia" w:ascii="宋体" w:hAnsi="宋体" w:eastAsia="宋体" w:cs="宋体"/>
                <w:b w:val="0"/>
                <w:bCs w:val="0"/>
                <w:i w:val="0"/>
                <w:iCs w:val="0"/>
                <w:color w:val="auto"/>
                <w:kern w:val="0"/>
                <w:sz w:val="21"/>
                <w:szCs w:val="21"/>
                <w:highlight w:val="none"/>
                <w:u w:val="none"/>
                <w:lang w:val="en-US" w:eastAsia="zh-CN"/>
              </w:rPr>
              <w:t>间</w:t>
            </w:r>
          </w:p>
        </w:tc>
        <w:tc>
          <w:tcPr>
            <w:tcW w:w="6619"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cs="宋体"/>
                <w:b w:val="0"/>
                <w:bCs w:val="0"/>
                <w:i w:val="0"/>
                <w:iCs w:val="0"/>
                <w:color w:val="auto"/>
                <w:kern w:val="0"/>
                <w:sz w:val="21"/>
                <w:szCs w:val="21"/>
                <w:highlight w:val="none"/>
                <w:u w:val="none"/>
                <w:lang w:val="en-US" w:eastAsia="zh-CN"/>
              </w:rPr>
              <w:t>本项目教室内安装灯具数量必须不少于9+3模式，即安装9个教室灯，3个黑板灯；如果教室面积较大，则必须采用≥12+3模式，即保证教室灯不少于12个，黑板灯3个；不管采用何种安装模式和数量，最终安装结束后教室内光环境检测标准，必须达到浙江省教育厅办公室关于印发《中小学校护眼灯光改造工程技术规范》（浙教办技〔2021〕8 号）的要求；结算数量以安装教室的数量</w:t>
            </w:r>
            <w:r>
              <w:rPr>
                <w:rFonts w:hint="eastAsia" w:ascii="宋体" w:hAnsi="宋体" w:eastAsia="宋体" w:cs="宋体"/>
                <w:b w:val="0"/>
                <w:bCs w:val="0"/>
                <w:i w:val="0"/>
                <w:iCs w:val="0"/>
                <w:color w:val="auto"/>
                <w:kern w:val="0"/>
                <w:sz w:val="21"/>
                <w:szCs w:val="21"/>
                <w:highlight w:val="none"/>
                <w:u w:val="none"/>
                <w:lang w:val="en-US" w:eastAsia="zh-CN"/>
              </w:rPr>
              <w:t>为准</w:t>
            </w:r>
            <w:r>
              <w:rPr>
                <w:rFonts w:hint="eastAsia" w:ascii="宋体" w:hAnsi="宋体" w:cs="宋体"/>
                <w:b w:val="0"/>
                <w:bCs w:val="0"/>
                <w:i w:val="0"/>
                <w:iCs w:val="0"/>
                <w:color w:val="auto"/>
                <w:kern w:val="0"/>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4</w:t>
            </w:r>
          </w:p>
        </w:tc>
        <w:tc>
          <w:tcPr>
            <w:tcW w:w="914"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标项三</w:t>
            </w:r>
          </w:p>
        </w:tc>
        <w:tc>
          <w:tcPr>
            <w:tcW w:w="1091"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5</w:t>
            </w:r>
            <w:r>
              <w:rPr>
                <w:rFonts w:hint="eastAsia" w:ascii="宋体" w:hAnsi="宋体" w:cs="宋体"/>
                <w:b w:val="0"/>
                <w:bCs w:val="0"/>
                <w:i w:val="0"/>
                <w:iCs w:val="0"/>
                <w:color w:val="auto"/>
                <w:kern w:val="0"/>
                <w:sz w:val="21"/>
                <w:szCs w:val="21"/>
                <w:highlight w:val="none"/>
                <w:u w:val="none"/>
                <w:lang w:val="en-US" w:eastAsia="zh-CN"/>
              </w:rPr>
              <w:t>12</w:t>
            </w:r>
            <w:r>
              <w:rPr>
                <w:rFonts w:hint="eastAsia" w:ascii="宋体" w:hAnsi="宋体" w:eastAsia="宋体" w:cs="宋体"/>
                <w:b w:val="0"/>
                <w:bCs w:val="0"/>
                <w:i w:val="0"/>
                <w:iCs w:val="0"/>
                <w:color w:val="auto"/>
                <w:kern w:val="0"/>
                <w:sz w:val="21"/>
                <w:szCs w:val="21"/>
                <w:highlight w:val="none"/>
                <w:u w:val="none"/>
                <w:lang w:val="en-US" w:eastAsia="zh-CN"/>
              </w:rPr>
              <w:t>间</w:t>
            </w:r>
          </w:p>
        </w:tc>
        <w:tc>
          <w:tcPr>
            <w:tcW w:w="6619"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cs="宋体"/>
                <w:b w:val="0"/>
                <w:bCs w:val="0"/>
                <w:i w:val="0"/>
                <w:iCs w:val="0"/>
                <w:color w:val="auto"/>
                <w:kern w:val="0"/>
                <w:sz w:val="21"/>
                <w:szCs w:val="21"/>
                <w:highlight w:val="none"/>
                <w:u w:val="none"/>
                <w:lang w:val="en-US" w:eastAsia="zh-CN"/>
              </w:rPr>
              <w:t>本项目教室内安装灯具数量必须不少于9+3模式，即安装9个教室灯，3个黑板灯；如果教室面积较大，则必须采用≥12+3模式，即保证教室灯不少于12个，黑板灯3个；不管采用何种安装模式和数量，最终安装结束后教室内光环境检测标准，必须达到浙江省教育厅办公室关于印发《中小学校护眼灯光改造工程技术规范》（浙教办技〔2021〕8 号）的要求；结算数量以安装教室的数量</w:t>
            </w:r>
            <w:r>
              <w:rPr>
                <w:rFonts w:hint="eastAsia" w:ascii="宋体" w:hAnsi="宋体" w:eastAsia="宋体" w:cs="宋体"/>
                <w:b w:val="0"/>
                <w:bCs w:val="0"/>
                <w:i w:val="0"/>
                <w:iCs w:val="0"/>
                <w:color w:val="auto"/>
                <w:kern w:val="0"/>
                <w:sz w:val="21"/>
                <w:szCs w:val="21"/>
                <w:highlight w:val="none"/>
                <w:u w:val="none"/>
                <w:lang w:val="en-US" w:eastAsia="zh-CN"/>
              </w:rPr>
              <w:t>为准</w:t>
            </w:r>
            <w:r>
              <w:rPr>
                <w:rFonts w:hint="eastAsia" w:ascii="宋体" w:hAnsi="宋体" w:cs="宋体"/>
                <w:b w:val="0"/>
                <w:bCs w:val="0"/>
                <w:i w:val="0"/>
                <w:iCs w:val="0"/>
                <w:color w:val="auto"/>
                <w:kern w:val="0"/>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3</w:t>
            </w:r>
          </w:p>
        </w:tc>
        <w:tc>
          <w:tcPr>
            <w:tcW w:w="914"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eastAsia="宋体" w:cs="宋体"/>
                <w:b w:val="0"/>
                <w:bCs w:val="0"/>
                <w:i w:val="0"/>
                <w:iCs w:val="0"/>
                <w:color w:val="auto"/>
                <w:kern w:val="0"/>
                <w:sz w:val="21"/>
                <w:szCs w:val="21"/>
                <w:highlight w:val="none"/>
                <w:u w:val="none"/>
                <w:lang w:val="en-US" w:eastAsia="zh-CN"/>
              </w:rPr>
              <w:t>标项四</w:t>
            </w:r>
          </w:p>
        </w:tc>
        <w:tc>
          <w:tcPr>
            <w:tcW w:w="1091" w:type="dxa"/>
            <w:vAlign w:val="center"/>
          </w:tcPr>
          <w:p>
            <w:pPr>
              <w:widowControl/>
              <w:wordWrap/>
              <w:adjustRightInd/>
              <w:snapToGrid/>
              <w:spacing w:line="240" w:lineRule="auto"/>
              <w:jc w:val="center"/>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cs="宋体"/>
                <w:b w:val="0"/>
                <w:bCs w:val="0"/>
                <w:i w:val="0"/>
                <w:iCs w:val="0"/>
                <w:color w:val="auto"/>
                <w:kern w:val="0"/>
                <w:sz w:val="21"/>
                <w:szCs w:val="21"/>
                <w:highlight w:val="none"/>
                <w:u w:val="none"/>
                <w:lang w:val="en-US" w:eastAsia="zh-CN"/>
              </w:rPr>
              <w:t>366</w:t>
            </w:r>
            <w:r>
              <w:rPr>
                <w:rFonts w:hint="eastAsia" w:ascii="宋体" w:hAnsi="宋体" w:eastAsia="宋体" w:cs="宋体"/>
                <w:b w:val="0"/>
                <w:bCs w:val="0"/>
                <w:i w:val="0"/>
                <w:iCs w:val="0"/>
                <w:color w:val="auto"/>
                <w:kern w:val="0"/>
                <w:sz w:val="21"/>
                <w:szCs w:val="21"/>
                <w:highlight w:val="none"/>
                <w:u w:val="none"/>
                <w:lang w:val="en-US" w:eastAsia="zh-CN"/>
              </w:rPr>
              <w:t>间</w:t>
            </w:r>
          </w:p>
        </w:tc>
        <w:tc>
          <w:tcPr>
            <w:tcW w:w="6619" w:type="dxa"/>
            <w:vAlign w:val="center"/>
          </w:tcPr>
          <w:p>
            <w:pPr>
              <w:widowControl/>
              <w:wordWrap/>
              <w:adjustRightInd/>
              <w:snapToGrid/>
              <w:spacing w:line="240" w:lineRule="auto"/>
              <w:jc w:val="left"/>
              <w:textAlignment w:val="center"/>
              <w:rPr>
                <w:rFonts w:hint="eastAsia" w:ascii="宋体" w:hAnsi="宋体" w:eastAsia="宋体" w:cs="宋体"/>
                <w:b w:val="0"/>
                <w:bCs w:val="0"/>
                <w:i w:val="0"/>
                <w:iCs w:val="0"/>
                <w:color w:val="auto"/>
                <w:kern w:val="0"/>
                <w:sz w:val="21"/>
                <w:szCs w:val="21"/>
                <w:highlight w:val="none"/>
                <w:u w:val="none"/>
                <w:lang w:val="en-US" w:eastAsia="zh-CN"/>
              </w:rPr>
            </w:pPr>
            <w:r>
              <w:rPr>
                <w:rFonts w:hint="eastAsia" w:ascii="宋体" w:hAnsi="宋体" w:cs="宋体"/>
                <w:b w:val="0"/>
                <w:bCs w:val="0"/>
                <w:i w:val="0"/>
                <w:iCs w:val="0"/>
                <w:color w:val="auto"/>
                <w:kern w:val="0"/>
                <w:sz w:val="21"/>
                <w:szCs w:val="21"/>
                <w:highlight w:val="none"/>
                <w:u w:val="none"/>
                <w:lang w:val="en-US" w:eastAsia="zh-CN"/>
              </w:rPr>
              <w:t>本项目教室内安装灯具数量必须不少于9+3模式，即安装9个教室灯，3个黑板灯；如果教室面积较大，则必须采用≥12+3模式，即保证教室灯不少于12个，黑板灯3个；不管采用何种安装模式和数量，最终安装结束后教室内光环境检测标准，必须达到浙江省教育厅办公室关于印发《中小学校护眼灯光改造工程技术规范》（浙教办技〔2021〕8 号）的要求；结算数量以安装教室的数量</w:t>
            </w:r>
            <w:r>
              <w:rPr>
                <w:rFonts w:hint="eastAsia" w:ascii="宋体" w:hAnsi="宋体" w:eastAsia="宋体" w:cs="宋体"/>
                <w:b w:val="0"/>
                <w:bCs w:val="0"/>
                <w:i w:val="0"/>
                <w:iCs w:val="0"/>
                <w:color w:val="auto"/>
                <w:kern w:val="0"/>
                <w:sz w:val="21"/>
                <w:szCs w:val="21"/>
                <w:highlight w:val="none"/>
                <w:u w:val="none"/>
                <w:lang w:val="en-US" w:eastAsia="zh-CN"/>
              </w:rPr>
              <w:t>为准</w:t>
            </w:r>
            <w:r>
              <w:rPr>
                <w:rFonts w:hint="eastAsia" w:ascii="宋体" w:hAnsi="宋体" w:cs="宋体"/>
                <w:b w:val="0"/>
                <w:bCs w:val="0"/>
                <w:i w:val="0"/>
                <w:iCs w:val="0"/>
                <w:color w:val="auto"/>
                <w:kern w:val="0"/>
                <w:sz w:val="21"/>
                <w:szCs w:val="21"/>
                <w:highlight w:val="none"/>
                <w:u w:val="none"/>
                <w:lang w:val="en-US" w:eastAsia="zh-CN"/>
              </w:rPr>
              <w:t>。</w:t>
            </w:r>
          </w:p>
        </w:tc>
      </w:tr>
    </w:tbl>
    <w:p>
      <w:pPr>
        <w:spacing w:line="600" w:lineRule="exact"/>
        <w:ind w:firstLine="482" w:firstLineChars="20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（九）各</w:t>
      </w:r>
      <w:r>
        <w:rPr>
          <w:rFonts w:hint="eastAsia" w:ascii="宋体" w:hAnsi="宋体" w:cs="宋体"/>
          <w:b/>
          <w:bCs/>
          <w:color w:val="auto"/>
          <w:sz w:val="24"/>
          <w:highlight w:val="none"/>
        </w:rPr>
        <w:t>标项需改造的教室数量</w:t>
      </w:r>
      <w:r>
        <w:rPr>
          <w:rFonts w:hint="eastAsia" w:ascii="宋体" w:hAnsi="宋体" w:cs="宋体"/>
          <w:b/>
          <w:bCs/>
          <w:color w:val="auto"/>
          <w:sz w:val="24"/>
          <w:highlight w:val="none"/>
          <w:lang w:eastAsia="zh-CN"/>
        </w:rPr>
        <w:t>：</w:t>
      </w:r>
    </w:p>
    <w:tbl>
      <w:tblPr>
        <w:tblStyle w:val="62"/>
        <w:tblW w:w="92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4"/>
        <w:gridCol w:w="2223"/>
        <w:gridCol w:w="3981"/>
        <w:gridCol w:w="1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260" w:type="dxa"/>
            <w:gridSpan w:val="4"/>
            <w:tcBorders>
              <w:top w:val="single" w:color="000000" w:sz="4" w:space="0"/>
              <w:left w:val="single" w:color="000000" w:sz="4" w:space="0"/>
              <w:bottom w:val="single" w:color="000000" w:sz="4" w:space="0"/>
              <w:right w:val="single" w:color="auto"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临平区中小学普通教室灯光检测统计表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序号</w:t>
            </w:r>
          </w:p>
        </w:tc>
        <w:tc>
          <w:tcPr>
            <w:tcW w:w="2223"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镇街</w:t>
            </w:r>
          </w:p>
        </w:tc>
        <w:tc>
          <w:tcPr>
            <w:tcW w:w="3981" w:type="dxa"/>
            <w:tcBorders>
              <w:top w:val="single" w:color="000000" w:sz="4" w:space="0"/>
              <w:left w:val="single" w:color="000000" w:sz="4" w:space="0"/>
              <w:bottom w:val="single" w:color="000000" w:sz="4" w:space="0"/>
              <w:right w:val="single" w:color="auto"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学校名称</w:t>
            </w:r>
          </w:p>
        </w:tc>
        <w:tc>
          <w:tcPr>
            <w:tcW w:w="1882" w:type="dxa"/>
            <w:tcBorders>
              <w:top w:val="single" w:color="000000" w:sz="4" w:space="0"/>
              <w:left w:val="single" w:color="auto" w:sz="4" w:space="0"/>
              <w:bottom w:val="single" w:color="000000" w:sz="4" w:space="0"/>
              <w:right w:val="single" w:color="auto"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标项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运河街道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博陆小学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运河街道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亭趾实验小学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运河街道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运河小学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运河街道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运河中学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临平三中</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临平二小</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余杭高级中学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星桥街道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星桥一小（学成）</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9</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星桥街道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星桥一小（星乐）</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10</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星桥街道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星桥二小</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11</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星桥街道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汀洲学校</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12</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乔司街道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乔司职高</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13</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乔司街道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default" w:ascii="仿宋_GB2312" w:hAnsi="宋体" w:eastAsia="仿宋_GB2312" w:cs="仿宋_GB2312"/>
                <w:i w:val="0"/>
                <w:iCs w:val="0"/>
                <w:color w:val="000000"/>
                <w:kern w:val="0"/>
                <w:sz w:val="22"/>
                <w:szCs w:val="22"/>
                <w:highlight w:val="none"/>
                <w:u w:val="none"/>
                <w:lang w:val="en-US" w:eastAsia="zh-CN" w:bidi="ar"/>
              </w:rPr>
              <w:t>乔司中学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14</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乔司街道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default" w:ascii="仿宋_GB2312" w:hAnsi="宋体" w:eastAsia="仿宋_GB2312" w:cs="仿宋_GB2312"/>
                <w:i w:val="0"/>
                <w:iCs w:val="0"/>
                <w:color w:val="000000"/>
                <w:kern w:val="0"/>
                <w:sz w:val="22"/>
                <w:szCs w:val="22"/>
                <w:highlight w:val="none"/>
                <w:u w:val="none"/>
                <w:lang w:val="en-US" w:eastAsia="zh-CN" w:bidi="ar"/>
              </w:rPr>
              <w:t>乔司小学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15</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乔司街道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default" w:ascii="仿宋_GB2312" w:hAnsi="宋体" w:eastAsia="仿宋_GB2312" w:cs="仿宋_GB2312"/>
                <w:i w:val="0"/>
                <w:iCs w:val="0"/>
                <w:color w:val="000000"/>
                <w:kern w:val="0"/>
                <w:sz w:val="22"/>
                <w:szCs w:val="22"/>
                <w:highlight w:val="none"/>
                <w:u w:val="none"/>
                <w:lang w:val="en-US" w:eastAsia="zh-CN" w:bidi="ar"/>
              </w:rPr>
              <w:t>天长世纪小学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16</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乔司街道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default" w:ascii="仿宋_GB2312" w:hAnsi="宋体" w:eastAsia="仿宋_GB2312" w:cs="仿宋_GB2312"/>
                <w:i w:val="0"/>
                <w:iCs w:val="0"/>
                <w:color w:val="000000"/>
                <w:kern w:val="0"/>
                <w:sz w:val="22"/>
                <w:szCs w:val="22"/>
                <w:highlight w:val="none"/>
                <w:u w:val="none"/>
                <w:lang w:val="en-US" w:eastAsia="zh-CN" w:bidi="ar"/>
              </w:rPr>
              <w:t>杭海路小学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17</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超山中心小学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18</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宏畔中心小学莫家桥</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19</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宏畔中心小学卫家埭</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20</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塘南中心小学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21</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塘栖镇第二小学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22</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塘栖二中</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23</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塘栖镇第三小学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24</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塘栖一小</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25</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塘栖职业高级中学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26</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塘栖镇第三中学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27</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崇贤街道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default" w:ascii="仿宋_GB2312" w:hAnsi="宋体" w:eastAsia="仿宋_GB2312" w:cs="仿宋_GB2312"/>
                <w:i w:val="0"/>
                <w:iCs w:val="0"/>
                <w:color w:val="000000"/>
                <w:kern w:val="0"/>
                <w:sz w:val="22"/>
                <w:szCs w:val="22"/>
                <w:highlight w:val="none"/>
                <w:u w:val="none"/>
                <w:lang w:val="en-US" w:eastAsia="zh-CN" w:bidi="ar"/>
              </w:rPr>
              <w:t>崇贤中学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28</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崇贤街道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default" w:ascii="仿宋_GB2312" w:hAnsi="宋体" w:eastAsia="仿宋_GB2312" w:cs="仿宋_GB2312"/>
                <w:i w:val="0"/>
                <w:iCs w:val="0"/>
                <w:color w:val="000000"/>
                <w:kern w:val="0"/>
                <w:sz w:val="22"/>
                <w:szCs w:val="22"/>
                <w:highlight w:val="none"/>
                <w:u w:val="none"/>
                <w:lang w:val="en-US" w:eastAsia="zh-CN" w:bidi="ar"/>
              </w:rPr>
              <w:t>崇贤一小</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29</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崇贤街道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default" w:ascii="仿宋_GB2312" w:hAnsi="宋体" w:eastAsia="仿宋_GB2312" w:cs="仿宋_GB2312"/>
                <w:i w:val="0"/>
                <w:iCs w:val="0"/>
                <w:color w:val="000000"/>
                <w:kern w:val="0"/>
                <w:sz w:val="22"/>
                <w:szCs w:val="22"/>
                <w:highlight w:val="none"/>
                <w:u w:val="none"/>
                <w:lang w:val="en-US" w:eastAsia="zh-CN" w:bidi="ar"/>
              </w:rPr>
              <w:t>崇贤二小</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30</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临平职高</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31</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临平一小世纪</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32</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临平一小南枝</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33</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临平一小将军殿</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34</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实验小学广和</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35</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实验小学东湖</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36</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实验小学嘉文</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37</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38</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临平一中</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39</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余杭第二高级中学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40</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社区学院</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wordWrap/>
              <w:adjustRightInd w:val="0"/>
              <w:snapToGrid/>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南苑街道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文正小学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42</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实验中学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43</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临平五中</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44</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临平三小</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45</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临平五小（振兴路校区）</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46</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临平五小（双林校区）</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47</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育才小学（荷花校区）</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48</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育才小学（映荷校区）</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49</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育才小学（新荷校区）</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i w:val="0"/>
                <w:iCs w:val="0"/>
                <w:color w:val="000000"/>
                <w:kern w:val="0"/>
                <w:sz w:val="22"/>
                <w:szCs w:val="22"/>
                <w:highlight w:val="none"/>
                <w:u w:val="none"/>
                <w:lang w:val="en-US" w:eastAsia="zh-CN" w:bidi="ar"/>
              </w:rPr>
              <w:t>50</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小林小学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i w:val="0"/>
                <w:iCs w:val="0"/>
                <w:color w:val="000000"/>
                <w:kern w:val="0"/>
                <w:sz w:val="22"/>
                <w:szCs w:val="22"/>
                <w:highlight w:val="none"/>
                <w:u w:val="none"/>
                <w:lang w:val="en-US" w:eastAsia="zh-CN" w:bidi="ar"/>
              </w:rPr>
              <w:t>51</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东湖街道</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乾元小学</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rPr>
            </w:pPr>
            <w:r>
              <w:rPr>
                <w:rFonts w:hint="eastAsia" w:ascii="宋体" w:hAnsi="宋体" w:cs="宋体"/>
                <w:b w:val="0"/>
                <w:bCs w:val="0"/>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i w:val="0"/>
                <w:iCs w:val="0"/>
                <w:color w:val="000000"/>
                <w:kern w:val="0"/>
                <w:sz w:val="22"/>
                <w:szCs w:val="22"/>
                <w:highlight w:val="none"/>
                <w:u w:val="none"/>
                <w:lang w:val="en-US" w:eastAsia="zh-CN" w:bidi="ar"/>
              </w:rPr>
              <w:t>52</w:t>
            </w:r>
          </w:p>
        </w:tc>
        <w:tc>
          <w:tcPr>
            <w:tcW w:w="2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各镇街</w:t>
            </w:r>
          </w:p>
        </w:tc>
        <w:tc>
          <w:tcPr>
            <w:tcW w:w="3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综合服务中心（机动）</w:t>
            </w:r>
          </w:p>
        </w:tc>
        <w:tc>
          <w:tcPr>
            <w:tcW w:w="18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rPr>
            </w:pPr>
            <w:r>
              <w:rPr>
                <w:rFonts w:hint="eastAsia" w:ascii="宋体" w:hAnsi="宋体" w:cs="宋体"/>
                <w:b w:val="0"/>
                <w:bCs w:val="0"/>
                <w:color w:val="auto"/>
                <w:sz w:val="21"/>
                <w:szCs w:val="21"/>
                <w:highlight w:val="none"/>
                <w:lang w:val="en-US" w:eastAsia="zh-CN"/>
              </w:rPr>
              <w:t>4</w:t>
            </w:r>
          </w:p>
        </w:tc>
      </w:tr>
    </w:tbl>
    <w:p>
      <w:pPr>
        <w:spacing w:line="600" w:lineRule="exact"/>
        <w:rPr>
          <w:rFonts w:hint="eastAsia" w:ascii="宋体" w:hAnsi="宋体" w:cs="宋体"/>
          <w:b/>
          <w:bCs/>
          <w:sz w:val="24"/>
          <w:highlight w:val="none"/>
          <w:lang w:eastAsia="zh-CN"/>
        </w:rPr>
      </w:pPr>
      <w:r>
        <w:rPr>
          <w:rFonts w:hint="eastAsia" w:ascii="宋体" w:hAnsi="宋体" w:cs="宋体"/>
          <w:b/>
          <w:bCs/>
          <w:sz w:val="24"/>
          <w:highlight w:val="none"/>
          <w:lang w:val="en-US" w:eastAsia="zh-CN"/>
        </w:rPr>
        <w:t xml:space="preserve">    五、项目实施要求</w:t>
      </w:r>
    </w:p>
    <w:p>
      <w:pPr>
        <w:spacing w:line="600" w:lineRule="exact"/>
        <w:ind w:firstLine="480" w:firstLineChars="200"/>
        <w:rPr>
          <w:rFonts w:hint="eastAsia" w:ascii="宋体" w:hAnsi="宋体" w:cs="宋体"/>
          <w:b w:val="0"/>
          <w:bCs w:val="0"/>
          <w:sz w:val="24"/>
          <w:highlight w:val="none"/>
          <w:lang w:eastAsia="zh-CN"/>
        </w:rPr>
      </w:pPr>
      <w:r>
        <w:rPr>
          <w:rFonts w:hint="eastAsia" w:ascii="宋体" w:hAnsi="宋体" w:cs="宋体"/>
          <w:b w:val="0"/>
          <w:bCs w:val="0"/>
          <w:sz w:val="24"/>
          <w:highlight w:val="none"/>
          <w:lang w:val="en-US" w:eastAsia="zh-CN"/>
        </w:rPr>
        <w:t>1、</w:t>
      </w:r>
      <w:r>
        <w:rPr>
          <w:rFonts w:hint="eastAsia" w:ascii="宋体" w:hAnsi="宋体" w:cs="宋体"/>
          <w:b w:val="0"/>
          <w:bCs w:val="0"/>
          <w:sz w:val="24"/>
          <w:highlight w:val="none"/>
          <w:lang w:eastAsia="zh-CN"/>
        </w:rPr>
        <w:t>项目实施方案：投标人提供的改造实施照明设计图纸详细合理、照明质量控制措施、安装质量控制措施以及安全文明施工保障措施等考虑全面，具有有效的应对方案。投标人对项目改造实施的设备供货、工期、进度计划以及进度控制措施、保障措施等具有合理性、科学性。</w:t>
      </w:r>
    </w:p>
    <w:p>
      <w:pPr>
        <w:spacing w:line="600" w:lineRule="exact"/>
        <w:ind w:firstLine="480" w:firstLineChars="200"/>
        <w:rPr>
          <w:rFonts w:hint="eastAsia" w:ascii="宋体" w:hAnsi="宋体" w:cs="宋体"/>
          <w:b w:val="0"/>
          <w:bCs w:val="0"/>
          <w:sz w:val="24"/>
          <w:highlight w:val="none"/>
          <w:lang w:eastAsia="zh-CN"/>
        </w:rPr>
      </w:pPr>
      <w:r>
        <w:rPr>
          <w:rFonts w:hint="eastAsia" w:ascii="宋体" w:hAnsi="宋体" w:cs="宋体"/>
          <w:b w:val="0"/>
          <w:bCs w:val="0"/>
          <w:sz w:val="24"/>
          <w:highlight w:val="none"/>
          <w:lang w:val="en-US" w:eastAsia="zh-CN"/>
        </w:rPr>
        <w:t>2、</w:t>
      </w:r>
      <w:r>
        <w:rPr>
          <w:rFonts w:hint="eastAsia" w:ascii="宋体" w:hAnsi="宋体" w:cs="宋体"/>
          <w:b w:val="0"/>
          <w:bCs w:val="0"/>
          <w:sz w:val="24"/>
          <w:highlight w:val="none"/>
          <w:lang w:eastAsia="zh-CN"/>
        </w:rPr>
        <w:t>投标人针对本项目实施团队技术力量配置合理，相关人员经验丰富、人员充足、结构合理、持证上岗。</w:t>
      </w:r>
    </w:p>
    <w:p>
      <w:pPr>
        <w:spacing w:line="600" w:lineRule="exact"/>
        <w:ind w:firstLine="480" w:firstLineChars="200"/>
        <w:rPr>
          <w:rFonts w:hint="eastAsia" w:ascii="宋体" w:hAnsi="宋体" w:cs="宋体"/>
          <w:b w:val="0"/>
          <w:bCs w:val="0"/>
          <w:sz w:val="24"/>
          <w:highlight w:val="none"/>
          <w:lang w:eastAsia="zh-CN"/>
        </w:rPr>
      </w:pPr>
      <w:r>
        <w:rPr>
          <w:rFonts w:hint="eastAsia" w:ascii="宋体" w:hAnsi="宋体" w:cs="宋体"/>
          <w:b w:val="0"/>
          <w:bCs w:val="0"/>
          <w:sz w:val="24"/>
          <w:highlight w:val="none"/>
          <w:lang w:val="en-US" w:eastAsia="zh-CN"/>
        </w:rPr>
        <w:t>3、</w:t>
      </w:r>
      <w:r>
        <w:rPr>
          <w:rFonts w:hint="eastAsia" w:ascii="宋体" w:hAnsi="宋体" w:cs="宋体"/>
          <w:b w:val="0"/>
          <w:bCs w:val="0"/>
          <w:sz w:val="24"/>
          <w:highlight w:val="none"/>
          <w:lang w:eastAsia="zh-CN"/>
        </w:rPr>
        <w:t>售后服务方案：售后服务方案科学合理，售后服务机构技术力量强，售后服务人员组成合理、分工明确，售后服务保障措施完善可行，培训方案科学合理、故障排除响应及时，质保期后服务承诺合理有效。</w:t>
      </w:r>
    </w:p>
    <w:p>
      <w:pPr>
        <w:spacing w:line="600" w:lineRule="exact"/>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六、商务要求：</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1、项目检测：</w:t>
      </w:r>
    </w:p>
    <w:p>
      <w:pPr>
        <w:spacing w:line="600" w:lineRule="exact"/>
        <w:ind w:firstLine="482" w:firstLineChars="200"/>
        <w:rPr>
          <w:rFonts w:hint="eastAsia" w:ascii="宋体" w:hAnsi="宋体" w:cs="宋体"/>
          <w:b w:val="0"/>
          <w:bCs w:val="0"/>
          <w:sz w:val="24"/>
          <w:highlight w:val="none"/>
          <w:lang w:val="en-US" w:eastAsia="zh-CN"/>
        </w:rPr>
      </w:pPr>
      <w:r>
        <w:rPr>
          <w:rFonts w:hint="eastAsia" w:ascii="宋体" w:hAnsi="宋体" w:cs="宋体"/>
          <w:b/>
          <w:color w:val="auto"/>
          <w:sz w:val="24"/>
          <w:highlight w:val="none"/>
          <w:lang w:eastAsia="zh-CN"/>
        </w:rPr>
        <w:t>●</w:t>
      </w:r>
      <w:r>
        <w:rPr>
          <w:rFonts w:hint="eastAsia" w:ascii="宋体" w:hAnsi="宋体" w:cs="宋体"/>
          <w:b w:val="0"/>
          <w:bCs w:val="0"/>
          <w:sz w:val="24"/>
          <w:highlight w:val="none"/>
          <w:lang w:val="en-US" w:eastAsia="zh-CN"/>
        </w:rPr>
        <w:t>（1）检测总要求：</w:t>
      </w:r>
      <w:r>
        <w:rPr>
          <w:rFonts w:hint="eastAsia" w:ascii="宋体" w:hAnsi="宋体" w:cs="宋体"/>
          <w:b w:val="0"/>
          <w:bCs/>
          <w:color w:val="auto"/>
          <w:sz w:val="24"/>
          <w:szCs w:val="24"/>
          <w:highlight w:val="none"/>
          <w:lang w:val="en-US" w:eastAsia="zh-CN"/>
        </w:rPr>
        <w:t>检测费用均由中标人承担；</w:t>
      </w:r>
      <w:r>
        <w:rPr>
          <w:rFonts w:hint="eastAsia" w:ascii="宋体" w:hAnsi="宋体" w:cs="宋体"/>
          <w:b w:val="0"/>
          <w:bCs w:val="0"/>
          <w:sz w:val="24"/>
          <w:highlight w:val="none"/>
          <w:lang w:val="en-US" w:eastAsia="zh-CN"/>
        </w:rPr>
        <w:t>第一次检测：中标后</w:t>
      </w:r>
      <w:r>
        <w:rPr>
          <w:rFonts w:hint="eastAsia" w:ascii="宋体" w:hAnsi="宋体" w:cs="宋体"/>
          <w:b w:val="0"/>
          <w:bCs/>
          <w:color w:val="auto"/>
          <w:sz w:val="24"/>
          <w:szCs w:val="24"/>
          <w:highlight w:val="none"/>
          <w:lang w:val="en-US" w:eastAsia="zh-CN"/>
        </w:rPr>
        <w:t>中标人在每个标项中抽取校区中的一间教室进行施工，施工完成后，由采购人（或委托第三方权威检测机构）进行检测，并出具整体检测报告，</w:t>
      </w:r>
      <w:r>
        <w:rPr>
          <w:rFonts w:hint="eastAsia" w:ascii="宋体" w:hAnsi="宋体" w:cs="宋体"/>
          <w:b w:val="0"/>
          <w:bCs w:val="0"/>
          <w:sz w:val="24"/>
          <w:highlight w:val="none"/>
          <w:lang w:val="en-US" w:eastAsia="zh-CN"/>
        </w:rPr>
        <w:t>合格后才准予实施。第二次检测：全部教室施工完成后，由采购人</w:t>
      </w:r>
      <w:r>
        <w:rPr>
          <w:rFonts w:hint="eastAsia" w:ascii="宋体" w:hAnsi="宋体" w:cs="宋体"/>
          <w:b w:val="0"/>
          <w:bCs/>
          <w:color w:val="auto"/>
          <w:sz w:val="24"/>
          <w:szCs w:val="24"/>
          <w:highlight w:val="none"/>
          <w:lang w:val="en-US" w:eastAsia="zh-CN"/>
        </w:rPr>
        <w:t>每个标项随机抽检10间教室进行检测；如果检测不合格的将扩大抽检范围，每次整改时间为15天，整改时不得影响学校教育教学工作，整改后按要求进行重新抽检，直至检测合格为止</w:t>
      </w:r>
      <w:r>
        <w:rPr>
          <w:rFonts w:hint="eastAsia" w:ascii="宋体" w:hAnsi="宋体" w:cs="宋体"/>
          <w:b w:val="0"/>
          <w:bCs w:val="0"/>
          <w:sz w:val="24"/>
          <w:highlight w:val="none"/>
          <w:lang w:val="en-US" w:eastAsia="zh-CN"/>
        </w:rPr>
        <w:t>。如果中标人不配合相关的整改要求，采购人有权中止合同，拒绝支付余款，上报主管部门。</w:t>
      </w:r>
    </w:p>
    <w:p>
      <w:pPr>
        <w:pStyle w:val="26"/>
        <w:rPr>
          <w:rFonts w:hint="eastAsia"/>
          <w:highlight w:val="none"/>
          <w:lang w:val="en-US" w:eastAsia="zh-CN"/>
        </w:rPr>
      </w:pPr>
      <w:r>
        <w:rPr>
          <w:rFonts w:hint="eastAsia" w:cs="宋体"/>
          <w:b w:val="0"/>
          <w:bCs w:val="0"/>
          <w:sz w:val="24"/>
          <w:highlight w:val="none"/>
          <w:lang w:val="en-US" w:eastAsia="zh-CN"/>
        </w:rPr>
        <w:t>（2）检测项目（包含但不仅限于以下几个）：课桌面平均照度（初始平均照度≥500lx，维持平均照度≥300lx）和照度均匀度（≥0.7）、黑板面平均照度（初始平均照度≥700lx，维持平均照度≥500lx）和照度均匀度（≥0.8）、统一眩光值（≤19）、</w:t>
      </w:r>
      <w:r>
        <w:rPr>
          <w:rFonts w:hint="eastAsia" w:ascii="宋体" w:hAnsi="宋体" w:cs="宋体"/>
          <w:b w:val="0"/>
          <w:bCs w:val="0"/>
          <w:sz w:val="24"/>
          <w:highlight w:val="none"/>
          <w:lang w:val="en-US" w:eastAsia="zh-CN"/>
        </w:rPr>
        <w:t>照明功率密度</w:t>
      </w:r>
      <w:r>
        <w:rPr>
          <w:rFonts w:hint="eastAsia" w:cs="宋体"/>
          <w:b w:val="0"/>
          <w:bCs w:val="0"/>
          <w:sz w:val="24"/>
          <w:highlight w:val="none"/>
          <w:lang w:val="en-US" w:eastAsia="zh-CN"/>
        </w:rPr>
        <w:t>（≤11W/㎡）、</w:t>
      </w:r>
      <w:r>
        <w:rPr>
          <w:rFonts w:hint="eastAsia" w:ascii="宋体" w:hAnsi="宋体" w:cs="宋体"/>
          <w:b w:val="0"/>
          <w:bCs w:val="0"/>
          <w:sz w:val="24"/>
          <w:highlight w:val="none"/>
          <w:lang w:val="en-US" w:eastAsia="zh-CN"/>
        </w:rPr>
        <w:t>灯具色温</w:t>
      </w:r>
      <w:r>
        <w:rPr>
          <w:rFonts w:hint="eastAsia" w:cs="宋体"/>
          <w:b w:val="0"/>
          <w:bCs w:val="0"/>
          <w:sz w:val="24"/>
          <w:highlight w:val="none"/>
          <w:lang w:val="en-US" w:eastAsia="zh-CN"/>
        </w:rPr>
        <w:t>（3300K-5500K）</w:t>
      </w:r>
      <w:r>
        <w:rPr>
          <w:rFonts w:hint="eastAsia" w:ascii="宋体" w:hAnsi="宋体" w:cs="宋体"/>
          <w:b w:val="0"/>
          <w:bCs w:val="0"/>
          <w:sz w:val="24"/>
          <w:highlight w:val="none"/>
          <w:lang w:val="en-US" w:eastAsia="zh-CN"/>
        </w:rPr>
        <w:t>和显色指数</w:t>
      </w:r>
      <w:r>
        <w:rPr>
          <w:rFonts w:hint="eastAsia" w:cs="宋体"/>
          <w:b w:val="0"/>
          <w:bCs w:val="0"/>
          <w:sz w:val="24"/>
          <w:highlight w:val="none"/>
          <w:lang w:val="en-US" w:eastAsia="zh-CN"/>
        </w:rPr>
        <w:t>（≥80）</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（3）检测方法：现场检测应当在没有天然光和其他非被测光源影响下进行，白天测量时应当采取厚窗帘、遮光板等措施有效遮蔽天然光。灯具在额定电压下燃点15min后进行。</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（一）课桌面平均照度和照度均匀度</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1.第一排课桌前缘开始（最前排课桌的前沿与前方黑板的水 平距离不宜小于2.2米）到最后一排课桌后缘区域，用中心布点法，将教室划分成2米×2米的矩形网格，直到不足2米为止。每个矩形网格中心点位置为测量点，用照度计测量课桌面照度，每个测量点测量2—3次，取平均数作为该测点的照度。</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2.课桌面平均照度计算公式：Eav 课桌=∑Ei 课桌/(M•N) Eav</w:t>
      </w:r>
    </w:p>
    <w:p>
      <w:pPr>
        <w:spacing w:line="600" w:lineRule="exact"/>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课桌为课桌面平均照度（lx），Ei 课桌为课桌面在第i个测点上的照度（lx），M为教室纵向测点数，N为教室横向测点数。</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3.课桌面照度均匀度=课桌面最小照度/课桌面平均照度。</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（二）黑板平均照度和照度均匀度</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1.黑板区域用中心布点法，划出的0.5米×0.5米的矩形网格。</w:t>
      </w:r>
    </w:p>
    <w:p>
      <w:pPr>
        <w:spacing w:line="600" w:lineRule="exact"/>
        <w:ind w:firstLine="720" w:firstLineChars="3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每个矩形网格中心点位置为测量点，用照度计测量照度，每个测 量点测量 2—3 次，取平均数作为该测点的照度。</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2.黑板面平均照度计算公式：Eav 黑板=∑Ei 黑板/(M•N) Eav 黑板为黑板面平均照度（lx），Ei黑板为黑板面在第i个测点上的照度（lx），M 为黑板纵向测点数，N 为黑板横向测点数。</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3.黑板面照度均匀度=黑板面最小照度/黑板面平均照度</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4.教室黑板处有银幕、白板或平板电视机等多媒体显示终端时，多媒体显示终端且无推拉黑板遮挡的区域不纳入黑板平均照 度和照度均匀度的测量区域。</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（三）统一眩光值</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1.坐姿观测者眼睛的高度应当取1.2米，站姿观测者眼睛的高度应当取1.5米；观测位置应当位于离教室后墙水平距离1.10米的中点，视线应当水平朝前观测。</w:t>
      </w:r>
    </w:p>
    <w:p>
      <w:pPr>
        <w:widowControl w:val="0"/>
        <w:wordWrap/>
        <w:adjustRightInd w:val="0"/>
        <w:snapToGrid/>
        <w:spacing w:line="360" w:lineRule="auto"/>
        <w:ind w:firstLine="480" w:firstLineChars="200"/>
        <w:textAlignment w:val="auto"/>
        <w:rPr>
          <w:rFonts w:hint="eastAsia" w:ascii="宋体" w:hAnsi="宋体" w:cs="宋体"/>
          <w:b w:val="0"/>
          <w:bCs w:val="0"/>
          <w:sz w:val="24"/>
          <w:highlight w:val="none"/>
          <w:lang w:eastAsia="zh-CN"/>
        </w:rPr>
      </w:pPr>
      <w:r>
        <w:rPr>
          <w:rFonts w:hint="eastAsia" w:ascii="宋体" w:hAnsi="宋体" w:cs="宋体"/>
          <w:b w:val="0"/>
          <w:bCs w:val="0"/>
          <w:sz w:val="24"/>
          <w:highlight w:val="none"/>
          <w:lang w:val="en-US" w:eastAsia="zh-CN"/>
        </w:rPr>
        <w:t>2.统一眩光值计算公式：</w:t>
      </w:r>
      <w:r>
        <w:rPr>
          <w:rFonts w:hint="eastAsia" w:ascii="宋体" w:hAnsi="宋体" w:eastAsia="宋体" w:cs="宋体"/>
          <w:b w:val="0"/>
          <w:bCs w:val="0"/>
          <w:kern w:val="2"/>
          <w:sz w:val="24"/>
          <w:szCs w:val="24"/>
          <w:highlight w:val="none"/>
          <w:lang w:val="en-US" w:eastAsia="zh-CN" w:bidi="ar-SA"/>
        </w:rPr>
        <w:pict>
          <v:shape id="_x0000_i1025" o:spt="75" type="#_x0000_t75" style="height:37.2pt;width:169.8pt;" fillcolor="#FFFFFF" filled="f" o:preferrelative="t" stroked="f" coordsize="21600,21600">
            <v:path/>
            <v:fill on="f" color2="#FFFFFF" focussize="0,0"/>
            <v:stroke on="f"/>
            <v:imagedata r:id="rId25" gain="65536f" blacklevel="0f" gamma="0" o:title=""/>
            <o:lock v:ext="edit" position="f" selection="f" grouping="f" rotation="f" cropping="f" text="f" aspectratio="t"/>
            <w10:wrap type="none"/>
            <w10:anchorlock/>
          </v:shape>
        </w:pic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UGR 为统一眩光值，Lb 为背景亮度（cd/m2），为每个灯具发光部分对观察者眼睛所形成的立体角（sr），La为灯具在观 察者眼睛方向的亮度（cd/m2），P为每个单独灯具的位置指数。</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（四）照明功率密度</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1.对教室内所有教室灯具（黑板灯除外）的实际功耗进行测 量。</w:t>
      </w:r>
    </w:p>
    <w:p>
      <w:pPr>
        <w:widowControl w:val="0"/>
        <w:wordWrap/>
        <w:adjustRightInd w:val="0"/>
        <w:snapToGrid/>
        <w:spacing w:line="360" w:lineRule="auto"/>
        <w:ind w:firstLine="480" w:firstLineChars="200"/>
        <w:textAlignment w:val="auto"/>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 xml:space="preserve">2.照明功率密度： </w:t>
      </w:r>
      <w:r>
        <w:rPr>
          <w:rFonts w:hint="eastAsia" w:ascii="宋体" w:hAnsi="宋体" w:eastAsia="宋体" w:cs="宋体"/>
          <w:b w:val="0"/>
          <w:bCs w:val="0"/>
          <w:kern w:val="2"/>
          <w:sz w:val="24"/>
          <w:szCs w:val="24"/>
          <w:highlight w:val="none"/>
          <w:lang w:val="en-US" w:eastAsia="zh-CN" w:bidi="ar-SA"/>
        </w:rPr>
        <w:pict>
          <v:shape id="_x0000_i1026" o:spt="75" type="#_x0000_t75" style="height:55.8pt;width:112.8p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w:pict>
      </w:r>
      <w:r>
        <w:rPr>
          <w:rFonts w:hint="eastAsia" w:ascii="宋体" w:hAnsi="宋体" w:cs="宋体"/>
          <w:b w:val="0"/>
          <w:bCs w:val="0"/>
          <w:sz w:val="24"/>
          <w:highlight w:val="none"/>
          <w:lang w:val="en-US" w:eastAsia="zh-CN"/>
        </w:rPr>
        <w:t xml:space="preserve"> </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LPD为照明功率密度（W/m2)，Pi 为被测量照明场所中的第i个单个照明灯具的输入功率（W)，S 为被测量照明场所的面积（m2)，U0为额定工作电压220V，U1为实测电压（V）。</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（五）灯具色温和显色指数</w:t>
      </w:r>
    </w:p>
    <w:p>
      <w:pPr>
        <w:spacing w:line="600" w:lineRule="exact"/>
        <w:ind w:firstLine="480" w:firstLineChars="200"/>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荧光灯灯具按GB/T 7922规定的方法进行测试，LED灯具按GB/T 36979规定的方法进行测试。</w:t>
      </w:r>
    </w:p>
    <w:p>
      <w:pPr>
        <w:spacing w:line="600" w:lineRule="exact"/>
        <w:rPr>
          <w:rFonts w:hint="eastAsia" w:ascii="宋体" w:hAnsi="宋体" w:cs="宋体"/>
          <w:b/>
          <w:bCs/>
          <w:sz w:val="24"/>
          <w:highlight w:val="none"/>
        </w:rPr>
      </w:pPr>
      <w:r>
        <w:rPr>
          <w:rFonts w:hint="eastAsia" w:ascii="宋体" w:hAnsi="宋体" w:cs="宋体"/>
          <w:b/>
          <w:bCs/>
          <w:sz w:val="24"/>
          <w:highlight w:val="none"/>
          <w:lang w:eastAsia="zh-CN"/>
        </w:rPr>
        <w:t>七、</w:t>
      </w:r>
      <w:r>
        <w:rPr>
          <w:rFonts w:hint="eastAsia" w:ascii="宋体" w:hAnsi="宋体" w:cs="宋体"/>
          <w:b/>
          <w:bCs/>
          <w:sz w:val="24"/>
          <w:highlight w:val="none"/>
        </w:rPr>
        <w:t>供货要求</w:t>
      </w:r>
      <w:r>
        <w:rPr>
          <w:rFonts w:hint="eastAsia" w:ascii="宋体" w:hAnsi="宋体" w:cs="宋体"/>
          <w:b/>
          <w:bCs/>
          <w:color w:val="auto"/>
          <w:sz w:val="24"/>
          <w:highlight w:val="none"/>
          <w:lang w:eastAsia="zh-CN"/>
        </w:rPr>
        <w:t>（标项一、标项二、标项三、标项四）</w:t>
      </w:r>
      <w:r>
        <w:rPr>
          <w:rFonts w:hint="eastAsia" w:ascii="宋体" w:hAnsi="宋体" w:cs="宋体"/>
          <w:b/>
          <w:bCs/>
          <w:sz w:val="24"/>
          <w:highlight w:val="none"/>
        </w:rPr>
        <w:t>：</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1、供方所供的货物必须为全新的，符合国家标准的合格产品；</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2、所供货物不会侵犯任何第三方知识产权；</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3、供方所提供的设备必须是全新出厂原装合格产品（包括零部件），完全符合国家现行技术规格和质量标准，并须提供配套的标配附件、工具和使用说明书、合格证等技术资料文件；</w:t>
      </w:r>
    </w:p>
    <w:p>
      <w:pPr>
        <w:spacing w:line="600" w:lineRule="exact"/>
        <w:ind w:firstLine="480" w:firstLineChars="200"/>
        <w:rPr>
          <w:rFonts w:hint="eastAsia" w:ascii="宋体" w:hAnsi="宋体" w:cs="宋体"/>
          <w:b/>
          <w:bCs/>
          <w:color w:val="auto"/>
          <w:sz w:val="24"/>
          <w:highlight w:val="none"/>
          <w:lang w:eastAsia="zh-CN"/>
        </w:rPr>
      </w:pPr>
      <w:r>
        <w:rPr>
          <w:rFonts w:hint="eastAsia" w:ascii="宋体" w:hAnsi="宋体" w:cs="宋体"/>
          <w:sz w:val="24"/>
          <w:highlight w:val="none"/>
        </w:rPr>
        <w:t>4、送货地址：</w:t>
      </w:r>
      <w:r>
        <w:rPr>
          <w:rFonts w:hint="eastAsia" w:ascii="宋体" w:hAnsi="宋体" w:cs="宋体"/>
          <w:sz w:val="24"/>
          <w:highlight w:val="none"/>
          <w:lang w:eastAsia="zh-CN"/>
        </w:rPr>
        <w:t>采购人指定地点</w:t>
      </w:r>
      <w:r>
        <w:rPr>
          <w:rFonts w:hint="eastAsia" w:ascii="宋体" w:hAnsi="宋体" w:cs="宋体"/>
          <w:sz w:val="24"/>
          <w:highlight w:val="none"/>
        </w:rPr>
        <w:t>；</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lang w:eastAsia="zh-CN"/>
        </w:rPr>
        <w:t>八</w:t>
      </w:r>
      <w:r>
        <w:rPr>
          <w:rFonts w:hint="eastAsia" w:ascii="宋体" w:hAnsi="宋体" w:cs="宋体"/>
          <w:b/>
          <w:bCs/>
          <w:color w:val="auto"/>
          <w:sz w:val="24"/>
          <w:highlight w:val="none"/>
        </w:rPr>
        <w:t>、售后服务要求</w:t>
      </w:r>
      <w:r>
        <w:rPr>
          <w:rFonts w:hint="eastAsia" w:ascii="宋体" w:hAnsi="宋体" w:cs="宋体"/>
          <w:b/>
          <w:bCs/>
          <w:color w:val="auto"/>
          <w:sz w:val="24"/>
          <w:highlight w:val="none"/>
          <w:lang w:eastAsia="zh-CN"/>
        </w:rPr>
        <w:t>（标项一、标项二、标项三、标项四）</w:t>
      </w:r>
      <w:r>
        <w:rPr>
          <w:rFonts w:hint="eastAsia" w:ascii="宋体" w:hAnsi="宋体" w:cs="宋体"/>
          <w:b/>
          <w:bCs/>
          <w:color w:val="auto"/>
          <w:sz w:val="24"/>
          <w:highlight w:val="none"/>
        </w:rPr>
        <w:t>：</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lang w:eastAsia="zh-CN"/>
        </w:rPr>
        <w:t>●</w:t>
      </w:r>
      <w:r>
        <w:rPr>
          <w:rFonts w:hint="eastAsia" w:ascii="宋体" w:hAnsi="宋体" w:cs="宋体"/>
          <w:color w:val="auto"/>
          <w:sz w:val="24"/>
          <w:highlight w:val="none"/>
        </w:rPr>
        <w:t>1、质保期要求：从</w:t>
      </w:r>
      <w:r>
        <w:rPr>
          <w:rFonts w:hint="eastAsia" w:ascii="宋体" w:hAnsi="宋体" w:cs="宋体"/>
          <w:color w:val="auto"/>
          <w:sz w:val="24"/>
          <w:highlight w:val="none"/>
          <w:lang w:eastAsia="zh-CN"/>
        </w:rPr>
        <w:t>第二次检测合格</w:t>
      </w:r>
      <w:r>
        <w:rPr>
          <w:rFonts w:hint="eastAsia" w:ascii="宋体" w:hAnsi="宋体" w:cs="宋体"/>
          <w:color w:val="auto"/>
          <w:sz w:val="24"/>
          <w:highlight w:val="none"/>
        </w:rPr>
        <w:t>之日起，整体</w:t>
      </w:r>
      <w:r>
        <w:rPr>
          <w:rFonts w:hint="eastAsia" w:ascii="宋体" w:hAnsi="宋体" w:cs="宋体"/>
          <w:color w:val="auto"/>
          <w:sz w:val="24"/>
          <w:highlight w:val="none"/>
          <w:lang w:eastAsia="zh-CN"/>
        </w:rPr>
        <w:t>五</w:t>
      </w:r>
      <w:r>
        <w:rPr>
          <w:rFonts w:hint="eastAsia" w:ascii="宋体" w:hAnsi="宋体" w:cs="宋体"/>
          <w:color w:val="auto"/>
          <w:sz w:val="24"/>
          <w:highlight w:val="none"/>
        </w:rPr>
        <w:t>年质保。</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2、技术支持要求：质保期内出现问题，中标人必须在2小时内响应并落实技术人员到现场进行处理，8小时内无法解决故障提供新产品或代用产品解决方案，保证系统在故障处理期间能够继续正常运行。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3、质保期内负责免费维修、免费更换损坏的配件、免费日常维护、免费功能检测、免费提供相关技术服务等一切内容。</w:t>
      </w:r>
    </w:p>
    <w:p>
      <w:pPr>
        <w:spacing w:line="60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4、正式验收通过后，若有需求变动，在免费质保期内，中标人应免费按采购单位需求对整个系统做出相应修改，以满足采购单位的需求。</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lang w:eastAsia="zh-CN"/>
        </w:rPr>
        <w:t>九</w:t>
      </w:r>
      <w:r>
        <w:rPr>
          <w:rFonts w:hint="eastAsia" w:ascii="宋体" w:hAnsi="宋体" w:cs="宋体"/>
          <w:b/>
          <w:bCs/>
          <w:color w:val="auto"/>
          <w:sz w:val="24"/>
          <w:highlight w:val="none"/>
        </w:rPr>
        <w:t>、培训要求</w:t>
      </w:r>
      <w:r>
        <w:rPr>
          <w:rFonts w:hint="eastAsia" w:ascii="宋体" w:hAnsi="宋体" w:cs="宋体"/>
          <w:b/>
          <w:bCs/>
          <w:color w:val="auto"/>
          <w:sz w:val="24"/>
          <w:highlight w:val="none"/>
          <w:lang w:eastAsia="zh-CN"/>
        </w:rPr>
        <w:t>（标项一、标项二、标项三、标项四）</w:t>
      </w:r>
      <w:r>
        <w:rPr>
          <w:rFonts w:hint="eastAsia" w:ascii="宋体" w:hAnsi="宋体" w:cs="宋体"/>
          <w:b/>
          <w:bCs/>
          <w:color w:val="auto"/>
          <w:sz w:val="24"/>
          <w:highlight w:val="none"/>
        </w:rPr>
        <w:t>：</w:t>
      </w:r>
    </w:p>
    <w:p>
      <w:pPr>
        <w:spacing w:line="6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本项目</w:t>
      </w:r>
      <w:r>
        <w:rPr>
          <w:rFonts w:hint="eastAsia" w:ascii="宋体" w:hAnsi="宋体" w:cs="宋体"/>
          <w:color w:val="auto"/>
          <w:sz w:val="24"/>
          <w:highlight w:val="none"/>
          <w:lang w:eastAsia="zh-CN"/>
        </w:rPr>
        <w:t>第二次检测合格后</w:t>
      </w:r>
      <w:r>
        <w:rPr>
          <w:rFonts w:hint="eastAsia" w:ascii="宋体" w:hAnsi="宋体" w:cs="宋体"/>
          <w:bCs/>
          <w:color w:val="auto"/>
          <w:sz w:val="24"/>
          <w:highlight w:val="none"/>
        </w:rPr>
        <w:t>，中标单位必须委派专人对采购人指定人员进行技术交底和培训服务，同时移交相应技术操作手册等相关技术资料。</w:t>
      </w:r>
    </w:p>
    <w:p>
      <w:pPr>
        <w:spacing w:line="600" w:lineRule="exact"/>
        <w:rPr>
          <w:rFonts w:ascii="宋体" w:hAnsi="宋体" w:cs="宋体"/>
          <w:b/>
          <w:color w:val="auto"/>
          <w:sz w:val="24"/>
          <w:highlight w:val="none"/>
        </w:rPr>
      </w:pPr>
      <w:r>
        <w:rPr>
          <w:rFonts w:hint="eastAsia" w:ascii="宋体" w:hAnsi="宋体" w:cs="宋体"/>
          <w:b/>
          <w:color w:val="auto"/>
          <w:sz w:val="24"/>
          <w:highlight w:val="none"/>
          <w:lang w:eastAsia="zh-CN"/>
        </w:rPr>
        <w:t>●十</w:t>
      </w:r>
      <w:r>
        <w:rPr>
          <w:rFonts w:hint="eastAsia" w:ascii="宋体" w:hAnsi="宋体" w:cs="宋体"/>
          <w:b/>
          <w:color w:val="auto"/>
          <w:sz w:val="24"/>
          <w:highlight w:val="none"/>
        </w:rPr>
        <w:t>、工期</w:t>
      </w:r>
      <w:r>
        <w:rPr>
          <w:rFonts w:hint="eastAsia" w:ascii="宋体" w:hAnsi="宋体" w:cs="宋体"/>
          <w:b/>
          <w:color w:val="auto"/>
          <w:sz w:val="24"/>
          <w:highlight w:val="none"/>
          <w:lang w:eastAsia="zh-CN"/>
        </w:rPr>
        <w:t>（标项一、标项二、标项三、标项四）</w:t>
      </w:r>
      <w:r>
        <w:rPr>
          <w:rFonts w:hint="eastAsia" w:ascii="宋体" w:hAnsi="宋体" w:cs="宋体"/>
          <w:b/>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lang w:eastAsia="zh-CN"/>
        </w:rPr>
        <w:t>日前完成施工，第二次检测合格之日起</w:t>
      </w:r>
      <w:r>
        <w:rPr>
          <w:rFonts w:hint="eastAsia" w:ascii="宋体" w:hAnsi="宋体" w:cs="宋体"/>
          <w:color w:val="auto"/>
          <w:sz w:val="24"/>
          <w:highlight w:val="none"/>
          <w:lang w:val="en-US" w:eastAsia="zh-CN"/>
        </w:rPr>
        <w:t>5年为设备维护保养期。</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lang w:eastAsia="zh-CN"/>
        </w:rPr>
        <w:t>十一</w:t>
      </w:r>
      <w:r>
        <w:rPr>
          <w:rFonts w:hint="eastAsia" w:ascii="宋体" w:hAnsi="宋体" w:cs="宋体"/>
          <w:b/>
          <w:bCs/>
          <w:color w:val="auto"/>
          <w:sz w:val="24"/>
          <w:highlight w:val="none"/>
        </w:rPr>
        <w:t>、履约保证金</w:t>
      </w:r>
      <w:r>
        <w:rPr>
          <w:rFonts w:hint="eastAsia" w:ascii="宋体" w:hAnsi="宋体" w:cs="宋体"/>
          <w:b/>
          <w:bCs/>
          <w:color w:val="auto"/>
          <w:sz w:val="24"/>
          <w:highlight w:val="none"/>
          <w:lang w:eastAsia="zh-CN"/>
        </w:rPr>
        <w:t>（标项一、标项二、标项三、标项四）</w:t>
      </w:r>
      <w:r>
        <w:rPr>
          <w:rFonts w:hint="eastAsia" w:ascii="宋体" w:hAnsi="宋体" w:cs="宋体"/>
          <w:b/>
          <w:bCs/>
          <w:color w:val="auto"/>
          <w:sz w:val="24"/>
          <w:highlight w:val="none"/>
        </w:rPr>
        <w:t>：</w:t>
      </w:r>
    </w:p>
    <w:p>
      <w:pPr>
        <w:wordWrap/>
        <w:adjustRightInd w:val="0"/>
        <w:snapToGrid/>
        <w:spacing w:line="600" w:lineRule="exact"/>
        <w:ind w:firstLine="470" w:firstLineChars="196"/>
        <w:textAlignment w:val="auto"/>
        <w:rPr>
          <w:rFonts w:hint="eastAsia" w:ascii="宋体" w:hAnsi="宋体" w:eastAsia="宋体" w:cs="宋体"/>
          <w:color w:val="000000"/>
          <w:sz w:val="24"/>
          <w:highlight w:val="none"/>
        </w:rPr>
      </w:pPr>
      <w:r>
        <w:rPr>
          <w:rFonts w:hint="eastAsia" w:ascii="宋体" w:hAnsi="宋体" w:cs="宋体"/>
          <w:bCs/>
          <w:sz w:val="24"/>
          <w:highlight w:val="none"/>
          <w:shd w:val="clear" w:color="auto" w:fill="auto"/>
          <w:lang w:eastAsia="zh-CN"/>
        </w:rPr>
        <w:t>在签订合同后向采购人缴纳合同价</w:t>
      </w:r>
      <w:r>
        <w:rPr>
          <w:rFonts w:hint="eastAsia" w:ascii="宋体" w:hAnsi="宋体" w:cs="宋体"/>
          <w:bCs/>
          <w:sz w:val="24"/>
          <w:highlight w:val="none"/>
          <w:shd w:val="clear" w:color="auto" w:fill="auto"/>
          <w:lang w:val="en-US" w:eastAsia="zh-CN"/>
        </w:rPr>
        <w:t>2.5</w:t>
      </w:r>
      <w:r>
        <w:rPr>
          <w:rFonts w:hint="eastAsia" w:ascii="宋体" w:hAnsi="宋体" w:cs="宋体"/>
          <w:bCs/>
          <w:sz w:val="24"/>
          <w:highlight w:val="none"/>
          <w:shd w:val="clear" w:color="auto" w:fill="auto"/>
          <w:lang w:eastAsia="zh-CN"/>
        </w:rPr>
        <w:t>%的履约保证金（以支票、汇票、本票或者金融机构、担保机构出具的保函等非现金形式提交），在第二次检测合格后采购人予以无息退还。</w:t>
      </w:r>
    </w:p>
    <w:p>
      <w:pPr>
        <w:spacing w:line="600" w:lineRule="exact"/>
        <w:rPr>
          <w:rFonts w:ascii="宋体" w:hAnsi="宋体" w:cs="宋体"/>
          <w:b/>
          <w:bCs/>
          <w:color w:val="auto"/>
          <w:sz w:val="24"/>
          <w:highlight w:val="none"/>
        </w:rPr>
      </w:pPr>
      <w:r>
        <w:rPr>
          <w:rFonts w:hint="eastAsia" w:ascii="宋体" w:hAnsi="宋体" w:cs="宋体"/>
          <w:b/>
          <w:color w:val="auto"/>
          <w:sz w:val="24"/>
          <w:highlight w:val="none"/>
          <w:lang w:eastAsia="zh-CN"/>
        </w:rPr>
        <w:t>●十二</w:t>
      </w:r>
      <w:r>
        <w:rPr>
          <w:rFonts w:hint="eastAsia" w:ascii="宋体" w:hAnsi="宋体" w:cs="宋体"/>
          <w:b/>
          <w:bCs/>
          <w:color w:val="auto"/>
          <w:sz w:val="24"/>
          <w:highlight w:val="none"/>
        </w:rPr>
        <w:t>、货款支付</w:t>
      </w:r>
      <w:r>
        <w:rPr>
          <w:rFonts w:hint="eastAsia" w:ascii="宋体" w:hAnsi="宋体" w:cs="宋体"/>
          <w:b/>
          <w:bCs/>
          <w:color w:val="auto"/>
          <w:sz w:val="24"/>
          <w:highlight w:val="none"/>
          <w:lang w:eastAsia="zh-CN"/>
        </w:rPr>
        <w:t>（标项一、标项二、标项三、标项四）</w:t>
      </w:r>
      <w:r>
        <w:rPr>
          <w:rFonts w:hint="eastAsia" w:ascii="宋体" w:hAnsi="宋体" w:cs="宋体"/>
          <w:b/>
          <w:bCs/>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合同签订生效以及具备实施条件后10个工作日内，采购人向中标方支付合同金额40％的预付款。</w:t>
      </w:r>
    </w:p>
    <w:p>
      <w:pPr>
        <w:spacing w:line="60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采购人在供应商根据合同规定将项目交付、</w:t>
      </w:r>
      <w:r>
        <w:rPr>
          <w:rFonts w:hint="eastAsia" w:ascii="宋体" w:hAnsi="宋体" w:cs="宋体"/>
          <w:color w:val="auto"/>
          <w:sz w:val="24"/>
          <w:highlight w:val="none"/>
          <w:lang w:val="en-US" w:eastAsia="zh-CN"/>
        </w:rPr>
        <w:t>第二次检测</w:t>
      </w:r>
      <w:r>
        <w:rPr>
          <w:rFonts w:hint="eastAsia" w:ascii="宋体" w:hAnsi="宋体" w:cs="宋体"/>
          <w:color w:val="auto"/>
          <w:sz w:val="24"/>
          <w:highlight w:val="none"/>
        </w:rPr>
        <w:t>合格后，供应商提供发票，采购人凭发票、确认单以及合同上报区财政，区财政审批下拨款到位后，立即支付</w:t>
      </w:r>
      <w:r>
        <w:rPr>
          <w:rFonts w:hint="eastAsia" w:ascii="宋体" w:hAnsi="宋体" w:cs="宋体"/>
          <w:color w:val="auto"/>
          <w:sz w:val="24"/>
          <w:highlight w:val="none"/>
          <w:lang w:eastAsia="zh-CN"/>
        </w:rPr>
        <w:t>至</w:t>
      </w:r>
      <w:r>
        <w:rPr>
          <w:rFonts w:hint="eastAsia" w:ascii="宋体" w:hAnsi="宋体" w:cs="宋体"/>
          <w:color w:val="auto"/>
          <w:sz w:val="24"/>
          <w:highlight w:val="none"/>
        </w:rPr>
        <w:t>货款</w:t>
      </w:r>
      <w:r>
        <w:rPr>
          <w:rFonts w:hint="eastAsia" w:ascii="宋体" w:hAnsi="宋体" w:cs="宋体"/>
          <w:color w:val="auto"/>
          <w:sz w:val="24"/>
          <w:highlight w:val="none"/>
          <w:lang w:eastAsia="zh-CN"/>
        </w:rPr>
        <w:t>的</w:t>
      </w:r>
      <w:r>
        <w:rPr>
          <w:rFonts w:hint="eastAsia" w:ascii="宋体" w:hAnsi="宋体" w:cs="宋体"/>
          <w:color w:val="auto"/>
          <w:sz w:val="24"/>
          <w:highlight w:val="none"/>
          <w:lang w:val="en-US" w:eastAsia="zh-CN"/>
        </w:rPr>
        <w:t>90%；</w:t>
      </w:r>
    </w:p>
    <w:p>
      <w:pPr>
        <w:spacing w:line="600" w:lineRule="exact"/>
        <w:ind w:firstLine="480" w:firstLineChars="200"/>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剩余10%货款为设备维护保养期，满三年质保期后支付货款的6%，剩余货款每年支付货款的2%。</w:t>
      </w:r>
    </w:p>
    <w:p>
      <w:pPr>
        <w:tabs>
          <w:tab w:val="left" w:pos="630"/>
        </w:tabs>
        <w:spacing w:line="600" w:lineRule="exact"/>
        <w:rPr>
          <w:rFonts w:ascii="宋体" w:hAnsi="宋体" w:cs="宋体"/>
          <w:b/>
          <w:color w:val="auto"/>
          <w:sz w:val="24"/>
          <w:highlight w:val="none"/>
        </w:rPr>
      </w:pPr>
      <w:r>
        <w:rPr>
          <w:rFonts w:hint="eastAsia" w:ascii="宋体" w:hAnsi="宋体" w:cs="宋体"/>
          <w:b/>
          <w:color w:val="auto"/>
          <w:sz w:val="24"/>
          <w:highlight w:val="none"/>
          <w:lang w:eastAsia="zh-CN"/>
        </w:rPr>
        <w:t>十三</w:t>
      </w:r>
      <w:r>
        <w:rPr>
          <w:rFonts w:hint="eastAsia" w:ascii="宋体" w:hAnsi="宋体" w:cs="宋体"/>
          <w:b/>
          <w:color w:val="auto"/>
          <w:sz w:val="24"/>
          <w:highlight w:val="none"/>
        </w:rPr>
        <w:t>、验收</w:t>
      </w:r>
      <w:r>
        <w:rPr>
          <w:rFonts w:hint="eastAsia" w:ascii="宋体" w:hAnsi="宋体" w:cs="宋体"/>
          <w:b/>
          <w:color w:val="auto"/>
          <w:sz w:val="24"/>
          <w:highlight w:val="none"/>
          <w:lang w:eastAsia="zh-CN"/>
        </w:rPr>
        <w:t>（标项一、标项二、标项三、标项四）</w:t>
      </w:r>
      <w:r>
        <w:rPr>
          <w:rFonts w:hint="eastAsia" w:ascii="宋体" w:hAnsi="宋体" w:cs="宋体"/>
          <w:b/>
          <w:color w:val="auto"/>
          <w:sz w:val="24"/>
          <w:highlight w:val="none"/>
        </w:rPr>
        <w:t>：</w:t>
      </w:r>
    </w:p>
    <w:p>
      <w:pPr>
        <w:pStyle w:val="35"/>
        <w:snapToGrid w:val="0"/>
        <w:spacing w:line="60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1、根据《杭州市政府采购履约验收暂行办法》（杭财采监〔2019〕10号）规定，采购人应当根据采购项目的具体情况，自行组织项目验收或者委托采购代理机构验收。</w:t>
      </w:r>
    </w:p>
    <w:p>
      <w:pPr>
        <w:spacing w:line="6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2、经验收不合格且无法整改的，不付款不退货，所产生的所有损失由乙方承担。</w:t>
      </w:r>
    </w:p>
    <w:p>
      <w:pPr>
        <w:spacing w:line="600" w:lineRule="exac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eastAsia="zh-CN"/>
        </w:rPr>
        <w:t>十四、</w:t>
      </w:r>
      <w:r>
        <w:rPr>
          <w:rFonts w:hint="eastAsia" w:ascii="宋体" w:hAnsi="宋体" w:cs="宋体"/>
          <w:b/>
          <w:bCs/>
          <w:color w:val="auto"/>
          <w:sz w:val="24"/>
          <w:highlight w:val="none"/>
          <w:lang w:val="en-US" w:eastAsia="zh-CN"/>
        </w:rPr>
        <w:t>其他</w:t>
      </w:r>
      <w:r>
        <w:rPr>
          <w:rFonts w:hint="eastAsia" w:ascii="宋体" w:hAnsi="宋体" w:cs="宋体"/>
          <w:b/>
          <w:color w:val="auto"/>
          <w:sz w:val="24"/>
          <w:highlight w:val="none"/>
          <w:lang w:eastAsia="zh-CN"/>
        </w:rPr>
        <w:t>（标项一、标项二、标项三、标项四）</w:t>
      </w:r>
      <w:r>
        <w:rPr>
          <w:rFonts w:hint="eastAsia" w:ascii="宋体" w:hAnsi="宋体" w:cs="宋体"/>
          <w:b/>
          <w:bCs/>
          <w:color w:val="auto"/>
          <w:sz w:val="24"/>
          <w:highlight w:val="none"/>
          <w:lang w:val="en-US" w:eastAsia="zh-CN"/>
        </w:rPr>
        <w:t>：</w:t>
      </w:r>
    </w:p>
    <w:p>
      <w:pPr>
        <w:spacing w:line="60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1、本项目提供的产品及服务无相关纠纷。</w:t>
      </w:r>
    </w:p>
    <w:p>
      <w:pPr>
        <w:spacing w:line="60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2、本项目项目实施过程中发生的死亡、人身伤害、财产损失、损害以及任何其它损失、损害和引起的费用和开支，由供应商承担全部责任。</w:t>
      </w:r>
    </w:p>
    <w:p>
      <w:pPr>
        <w:spacing w:line="600" w:lineRule="exact"/>
        <w:ind w:firstLine="480" w:firstLineChars="200"/>
        <w:rPr>
          <w:rFonts w:hint="eastAsia" w:ascii="宋体" w:hAnsi="宋体" w:eastAsia="宋体" w:cs="宋体"/>
          <w:color w:val="auto"/>
          <w:sz w:val="24"/>
          <w:highlight w:val="none"/>
          <w:lang w:eastAsia="zh-CN"/>
        </w:rPr>
      </w:pPr>
    </w:p>
    <w:p>
      <w:pPr>
        <w:spacing w:line="360" w:lineRule="auto"/>
        <w:ind w:firstLine="181" w:firstLineChars="50"/>
        <w:rPr>
          <w:rFonts w:ascii="宋体" w:hAnsi="宋体" w:cs="宋体"/>
          <w:b/>
          <w:color w:val="auto"/>
          <w:sz w:val="36"/>
          <w:szCs w:val="36"/>
          <w:highlight w:val="none"/>
        </w:rPr>
      </w:pPr>
    </w:p>
    <w:p>
      <w:pPr>
        <w:spacing w:line="600" w:lineRule="exact"/>
        <w:jc w:val="center"/>
        <w:rPr>
          <w:rFonts w:hint="eastAsia" w:ascii="宋体" w:hAnsi="宋体" w:cs="宋体"/>
          <w:b/>
          <w:color w:val="auto"/>
          <w:sz w:val="28"/>
          <w:szCs w:val="28"/>
          <w:highlight w:val="none"/>
        </w:rPr>
        <w:sectPr>
          <w:pgSz w:w="11905" w:h="16838"/>
          <w:pgMar w:top="1531" w:right="1304" w:bottom="1531" w:left="1361" w:header="851" w:footer="992" w:gutter="0"/>
          <w:cols w:space="720" w:num="1"/>
          <w:titlePg/>
          <w:docGrid w:linePitch="1" w:charSpace="0"/>
        </w:sectPr>
      </w:pPr>
    </w:p>
    <w:p>
      <w:pPr>
        <w:spacing w:line="600" w:lineRule="exact"/>
        <w:jc w:val="center"/>
        <w:rPr>
          <w:rFonts w:ascii="宋体" w:hAnsi="宋体" w:cs="宋体"/>
          <w:b/>
          <w:bCs/>
          <w:color w:val="auto"/>
          <w:sz w:val="28"/>
          <w:szCs w:val="28"/>
          <w:highlight w:val="none"/>
        </w:rPr>
      </w:pPr>
      <w:r>
        <w:rPr>
          <w:rFonts w:hint="eastAsia" w:ascii="宋体" w:hAnsi="宋体" w:cs="宋体"/>
          <w:b/>
          <w:color w:val="auto"/>
          <w:sz w:val="28"/>
          <w:szCs w:val="28"/>
          <w:highlight w:val="none"/>
        </w:rPr>
        <w:t xml:space="preserve">第四部分   </w:t>
      </w:r>
      <w:bookmarkStart w:id="22" w:name="_Toc184314416"/>
      <w:bookmarkEnd w:id="22"/>
      <w:bookmarkStart w:id="23" w:name="_Toc184310273"/>
      <w:bookmarkEnd w:id="23"/>
      <w:bookmarkStart w:id="24" w:name="_Toc184310274"/>
      <w:bookmarkEnd w:id="24"/>
      <w:bookmarkStart w:id="25" w:name="_Toc184312112"/>
      <w:bookmarkEnd w:id="25"/>
      <w:bookmarkStart w:id="26" w:name="_Toc184310342"/>
      <w:bookmarkEnd w:id="26"/>
      <w:bookmarkStart w:id="27" w:name="_Toc184312111"/>
      <w:bookmarkEnd w:id="27"/>
      <w:bookmarkStart w:id="28" w:name="_Toc184314452"/>
      <w:bookmarkEnd w:id="28"/>
      <w:bookmarkStart w:id="29" w:name="_Toc184308057"/>
      <w:bookmarkEnd w:id="29"/>
      <w:bookmarkStart w:id="30" w:name="_Toc184314414"/>
      <w:bookmarkEnd w:id="30"/>
      <w:bookmarkStart w:id="31" w:name="_Toc184314474"/>
      <w:bookmarkEnd w:id="31"/>
      <w:bookmarkStart w:id="32" w:name="_Toc184310277"/>
      <w:bookmarkEnd w:id="32"/>
      <w:bookmarkStart w:id="33" w:name="_Toc184313257"/>
      <w:bookmarkEnd w:id="33"/>
      <w:bookmarkStart w:id="34" w:name="_Toc184310335"/>
      <w:bookmarkEnd w:id="34"/>
      <w:bookmarkStart w:id="35" w:name="_Toc184314476"/>
      <w:bookmarkEnd w:id="35"/>
      <w:bookmarkStart w:id="36" w:name="_Toc184314477"/>
      <w:bookmarkEnd w:id="36"/>
      <w:bookmarkStart w:id="37" w:name="_Toc184310283"/>
      <w:bookmarkEnd w:id="37"/>
      <w:bookmarkStart w:id="38" w:name="_Toc184312073"/>
      <w:bookmarkEnd w:id="38"/>
      <w:bookmarkStart w:id="39" w:name="_Toc184310289"/>
      <w:bookmarkEnd w:id="39"/>
      <w:bookmarkStart w:id="40" w:name="_Toc184310326"/>
      <w:bookmarkEnd w:id="40"/>
      <w:bookmarkStart w:id="41" w:name="_Toc184313275"/>
      <w:bookmarkEnd w:id="41"/>
      <w:bookmarkStart w:id="42" w:name="_Toc184314440"/>
      <w:bookmarkEnd w:id="42"/>
      <w:bookmarkStart w:id="43" w:name="_Toc184308036"/>
      <w:bookmarkEnd w:id="43"/>
      <w:bookmarkStart w:id="44" w:name="_Toc184314412"/>
      <w:bookmarkEnd w:id="44"/>
      <w:bookmarkStart w:id="45" w:name="_Toc184313244"/>
      <w:bookmarkEnd w:id="45"/>
      <w:bookmarkStart w:id="46" w:name="_Toc184314472"/>
      <w:bookmarkEnd w:id="46"/>
      <w:bookmarkStart w:id="47" w:name="_Toc184314461"/>
      <w:bookmarkEnd w:id="47"/>
      <w:bookmarkStart w:id="48" w:name="_Toc184310278"/>
      <w:bookmarkEnd w:id="48"/>
      <w:bookmarkStart w:id="49" w:name="_Toc184310297"/>
      <w:bookmarkEnd w:id="49"/>
      <w:bookmarkStart w:id="50" w:name="_Toc184310287"/>
      <w:bookmarkEnd w:id="50"/>
      <w:bookmarkStart w:id="51" w:name="_Toc184313260"/>
      <w:bookmarkEnd w:id="51"/>
      <w:bookmarkStart w:id="52" w:name="_Toc184308060"/>
      <w:bookmarkEnd w:id="52"/>
      <w:bookmarkStart w:id="53" w:name="_Toc184314445"/>
      <w:bookmarkEnd w:id="53"/>
      <w:bookmarkStart w:id="54" w:name="_Toc184308094"/>
      <w:bookmarkEnd w:id="54"/>
      <w:bookmarkStart w:id="55" w:name="_Toc184310332"/>
      <w:bookmarkEnd w:id="55"/>
      <w:bookmarkStart w:id="56" w:name="_Toc184313246"/>
      <w:bookmarkEnd w:id="56"/>
      <w:bookmarkStart w:id="57" w:name="_Toc184310316"/>
      <w:bookmarkEnd w:id="57"/>
      <w:bookmarkStart w:id="58" w:name="_Toc184312077"/>
      <w:bookmarkEnd w:id="58"/>
      <w:bookmarkStart w:id="59" w:name="_Toc184310323"/>
      <w:bookmarkEnd w:id="59"/>
      <w:bookmarkStart w:id="60" w:name="_Toc184310290"/>
      <w:bookmarkEnd w:id="60"/>
      <w:bookmarkStart w:id="61" w:name="_Toc184314421"/>
      <w:bookmarkEnd w:id="61"/>
      <w:bookmarkStart w:id="62" w:name="_Toc184310306"/>
      <w:bookmarkEnd w:id="62"/>
      <w:bookmarkStart w:id="63" w:name="_Toc184308065"/>
      <w:bookmarkEnd w:id="63"/>
      <w:bookmarkStart w:id="64" w:name="_Toc184312070"/>
      <w:bookmarkEnd w:id="64"/>
      <w:bookmarkStart w:id="65" w:name="_Toc184312076"/>
      <w:bookmarkEnd w:id="65"/>
      <w:bookmarkStart w:id="66" w:name="_Toc184310280"/>
      <w:bookmarkEnd w:id="66"/>
      <w:bookmarkStart w:id="67" w:name="_Toc184314417"/>
      <w:bookmarkEnd w:id="67"/>
      <w:bookmarkStart w:id="68" w:name="_Toc184313239"/>
      <w:bookmarkEnd w:id="68"/>
      <w:bookmarkStart w:id="69" w:name="_Toc184313290"/>
      <w:bookmarkEnd w:id="69"/>
      <w:bookmarkStart w:id="70" w:name="_Toc184314418"/>
      <w:bookmarkEnd w:id="70"/>
      <w:bookmarkStart w:id="71" w:name="_Toc184308038"/>
      <w:bookmarkEnd w:id="71"/>
      <w:bookmarkStart w:id="72" w:name="_Toc184314415"/>
      <w:bookmarkEnd w:id="72"/>
      <w:bookmarkStart w:id="73" w:name="_Toc184310279"/>
      <w:bookmarkEnd w:id="73"/>
      <w:bookmarkStart w:id="74" w:name="_Toc184313245"/>
      <w:bookmarkEnd w:id="74"/>
      <w:bookmarkStart w:id="75" w:name="_Toc184308096"/>
      <w:bookmarkEnd w:id="75"/>
      <w:bookmarkStart w:id="76" w:name="_Toc184310295"/>
      <w:bookmarkEnd w:id="76"/>
      <w:bookmarkStart w:id="77" w:name="_Toc184312072"/>
      <w:bookmarkEnd w:id="77"/>
      <w:bookmarkStart w:id="78" w:name="_Toc184314468"/>
      <w:bookmarkEnd w:id="78"/>
      <w:bookmarkStart w:id="79" w:name="_Toc184308042"/>
      <w:bookmarkEnd w:id="79"/>
      <w:bookmarkStart w:id="80" w:name="_Toc184314471"/>
      <w:bookmarkEnd w:id="80"/>
      <w:bookmarkStart w:id="81" w:name="_Toc184313273"/>
      <w:bookmarkEnd w:id="81"/>
      <w:bookmarkStart w:id="82" w:name="_Toc184310312"/>
      <w:bookmarkEnd w:id="82"/>
      <w:bookmarkStart w:id="83" w:name="_Toc184308041"/>
      <w:bookmarkEnd w:id="83"/>
      <w:bookmarkStart w:id="84" w:name="_Toc184312134"/>
      <w:bookmarkEnd w:id="84"/>
      <w:bookmarkStart w:id="85" w:name="_Toc184313278"/>
      <w:bookmarkEnd w:id="85"/>
      <w:bookmarkStart w:id="86" w:name="_Toc184308050"/>
      <w:bookmarkEnd w:id="86"/>
      <w:bookmarkStart w:id="87" w:name="_Toc184310318"/>
      <w:bookmarkEnd w:id="87"/>
      <w:bookmarkStart w:id="88" w:name="_Toc184310331"/>
      <w:bookmarkEnd w:id="88"/>
      <w:bookmarkStart w:id="89" w:name="_Toc184312074"/>
      <w:bookmarkEnd w:id="89"/>
      <w:bookmarkStart w:id="90" w:name="_Toc184312103"/>
      <w:bookmarkEnd w:id="90"/>
      <w:bookmarkStart w:id="91" w:name="_Toc184314470"/>
      <w:bookmarkEnd w:id="91"/>
      <w:bookmarkStart w:id="92" w:name="_Toc184310343"/>
      <w:bookmarkEnd w:id="92"/>
      <w:bookmarkStart w:id="93" w:name="_Toc184312110"/>
      <w:bookmarkEnd w:id="93"/>
      <w:bookmarkStart w:id="94" w:name="_Toc184313293"/>
      <w:bookmarkEnd w:id="94"/>
      <w:bookmarkStart w:id="95" w:name="_Toc184314464"/>
      <w:bookmarkEnd w:id="95"/>
      <w:bookmarkStart w:id="96" w:name="_Toc184312092"/>
      <w:bookmarkEnd w:id="96"/>
      <w:bookmarkStart w:id="97" w:name="_Toc184310310"/>
      <w:bookmarkEnd w:id="97"/>
      <w:bookmarkStart w:id="98" w:name="_Toc184310334"/>
      <w:bookmarkEnd w:id="98"/>
      <w:bookmarkStart w:id="99" w:name="_Toc184312132"/>
      <w:bookmarkEnd w:id="99"/>
      <w:bookmarkStart w:id="100" w:name="_Toc184313261"/>
      <w:bookmarkEnd w:id="100"/>
      <w:bookmarkStart w:id="101" w:name="_Toc184310329"/>
      <w:bookmarkEnd w:id="101"/>
      <w:bookmarkStart w:id="102" w:name="_Toc184308105"/>
      <w:bookmarkEnd w:id="102"/>
      <w:bookmarkStart w:id="103" w:name="_Toc184310319"/>
      <w:bookmarkEnd w:id="103"/>
      <w:bookmarkStart w:id="104" w:name="_Toc184314462"/>
      <w:bookmarkEnd w:id="104"/>
      <w:bookmarkStart w:id="105" w:name="_Toc184308078"/>
      <w:bookmarkEnd w:id="105"/>
      <w:bookmarkStart w:id="106" w:name="_Toc184313248"/>
      <w:bookmarkEnd w:id="106"/>
      <w:bookmarkStart w:id="107" w:name="_Toc184308068"/>
      <w:bookmarkEnd w:id="107"/>
      <w:bookmarkStart w:id="108" w:name="_Toc184308079"/>
      <w:bookmarkEnd w:id="108"/>
      <w:bookmarkStart w:id="109" w:name="_Toc184312120"/>
      <w:bookmarkEnd w:id="109"/>
      <w:bookmarkStart w:id="110" w:name="_Toc184313286"/>
      <w:bookmarkEnd w:id="110"/>
      <w:bookmarkStart w:id="111" w:name="_Toc184310302"/>
      <w:bookmarkEnd w:id="111"/>
      <w:bookmarkStart w:id="112" w:name="_Toc184308070"/>
      <w:bookmarkEnd w:id="112"/>
      <w:bookmarkStart w:id="113" w:name="_Toc184310337"/>
      <w:bookmarkEnd w:id="113"/>
      <w:bookmarkStart w:id="114" w:name="_Toc184310276"/>
      <w:bookmarkEnd w:id="114"/>
      <w:bookmarkStart w:id="115" w:name="_Toc184314473"/>
      <w:bookmarkEnd w:id="115"/>
      <w:bookmarkStart w:id="116" w:name="_Toc184314466"/>
      <w:bookmarkEnd w:id="116"/>
      <w:bookmarkStart w:id="117" w:name="_Toc184310308"/>
      <w:bookmarkEnd w:id="117"/>
      <w:bookmarkStart w:id="118" w:name="_Toc184312107"/>
      <w:bookmarkEnd w:id="118"/>
      <w:bookmarkStart w:id="119" w:name="_Toc184312121"/>
      <w:bookmarkEnd w:id="119"/>
      <w:bookmarkStart w:id="120" w:name="_Toc184312104"/>
      <w:bookmarkEnd w:id="120"/>
      <w:bookmarkStart w:id="121" w:name="_Toc184313251"/>
      <w:bookmarkEnd w:id="121"/>
      <w:bookmarkStart w:id="122" w:name="_Toc184314436"/>
      <w:bookmarkEnd w:id="122"/>
      <w:bookmarkStart w:id="123" w:name="_Toc184308037"/>
      <w:bookmarkEnd w:id="123"/>
      <w:bookmarkStart w:id="124" w:name="_Toc184310341"/>
      <w:bookmarkEnd w:id="124"/>
      <w:bookmarkStart w:id="125" w:name="_Toc184313241"/>
      <w:bookmarkEnd w:id="125"/>
      <w:bookmarkStart w:id="126" w:name="_Toc184313258"/>
      <w:bookmarkEnd w:id="126"/>
      <w:bookmarkStart w:id="127" w:name="_Toc184314469"/>
      <w:bookmarkEnd w:id="127"/>
      <w:bookmarkStart w:id="128" w:name="_Toc184312099"/>
      <w:bookmarkEnd w:id="128"/>
      <w:bookmarkStart w:id="129" w:name="_Toc184313295"/>
      <w:bookmarkEnd w:id="129"/>
      <w:bookmarkStart w:id="130" w:name="_Toc184314480"/>
      <w:bookmarkEnd w:id="130"/>
      <w:bookmarkStart w:id="131" w:name="_Toc184310325"/>
      <w:bookmarkEnd w:id="131"/>
      <w:bookmarkStart w:id="132" w:name="_Toc184312124"/>
      <w:bookmarkEnd w:id="132"/>
      <w:bookmarkStart w:id="133" w:name="_Toc184314447"/>
      <w:bookmarkEnd w:id="133"/>
      <w:bookmarkStart w:id="134" w:name="_Toc184310330"/>
      <w:bookmarkEnd w:id="134"/>
      <w:bookmarkStart w:id="135" w:name="_Toc184310300"/>
      <w:bookmarkEnd w:id="135"/>
      <w:bookmarkStart w:id="136" w:name="_Toc184314427"/>
      <w:bookmarkEnd w:id="136"/>
      <w:bookmarkStart w:id="137" w:name="_Toc184313254"/>
      <w:bookmarkEnd w:id="137"/>
      <w:bookmarkStart w:id="138" w:name="_Toc184314475"/>
      <w:bookmarkEnd w:id="138"/>
      <w:bookmarkStart w:id="139" w:name="_Toc184314442"/>
      <w:bookmarkEnd w:id="139"/>
      <w:bookmarkStart w:id="140" w:name="_Toc184313298"/>
      <w:bookmarkEnd w:id="140"/>
      <w:bookmarkStart w:id="141" w:name="_Toc184312127"/>
      <w:bookmarkEnd w:id="141"/>
      <w:bookmarkStart w:id="142" w:name="_Toc184312078"/>
      <w:bookmarkEnd w:id="142"/>
      <w:bookmarkStart w:id="143" w:name="_Toc184308098"/>
      <w:bookmarkEnd w:id="143"/>
      <w:bookmarkStart w:id="144" w:name="_Toc184314420"/>
      <w:bookmarkEnd w:id="144"/>
      <w:bookmarkStart w:id="145" w:name="_Toc184313274"/>
      <w:bookmarkEnd w:id="145"/>
      <w:bookmarkStart w:id="146" w:name="_Toc184313299"/>
      <w:bookmarkEnd w:id="146"/>
      <w:bookmarkStart w:id="147" w:name="_Toc184312109"/>
      <w:bookmarkEnd w:id="147"/>
      <w:bookmarkStart w:id="148" w:name="_Toc184312133"/>
      <w:bookmarkEnd w:id="148"/>
      <w:bookmarkStart w:id="149" w:name="_Toc184308076"/>
      <w:bookmarkEnd w:id="149"/>
      <w:bookmarkStart w:id="150" w:name="_Toc184312138"/>
      <w:bookmarkEnd w:id="150"/>
      <w:bookmarkStart w:id="151" w:name="_Toc184313279"/>
      <w:bookmarkEnd w:id="151"/>
      <w:bookmarkStart w:id="152" w:name="_Toc184312128"/>
      <w:bookmarkEnd w:id="152"/>
      <w:bookmarkStart w:id="153" w:name="_Toc184310286"/>
      <w:bookmarkEnd w:id="153"/>
      <w:bookmarkStart w:id="154" w:name="_Toc184312093"/>
      <w:bookmarkEnd w:id="154"/>
      <w:bookmarkStart w:id="155" w:name="_Toc184310344"/>
      <w:bookmarkEnd w:id="155"/>
      <w:bookmarkStart w:id="156" w:name="_Toc184314463"/>
      <w:bookmarkEnd w:id="156"/>
      <w:bookmarkStart w:id="157" w:name="_Toc184310327"/>
      <w:bookmarkEnd w:id="157"/>
      <w:bookmarkStart w:id="158" w:name="_Toc184308063"/>
      <w:bookmarkEnd w:id="158"/>
      <w:bookmarkStart w:id="159" w:name="_Toc184314419"/>
      <w:bookmarkEnd w:id="159"/>
      <w:bookmarkStart w:id="160" w:name="_Toc184312122"/>
      <w:bookmarkEnd w:id="160"/>
      <w:bookmarkStart w:id="161" w:name="_Toc184313249"/>
      <w:bookmarkEnd w:id="161"/>
      <w:bookmarkStart w:id="162" w:name="_Toc184312108"/>
      <w:bookmarkEnd w:id="162"/>
      <w:bookmarkStart w:id="163" w:name="_Toc184314481"/>
      <w:bookmarkEnd w:id="163"/>
      <w:bookmarkStart w:id="164" w:name="_Toc184313301"/>
      <w:bookmarkEnd w:id="164"/>
      <w:bookmarkStart w:id="165" w:name="_Toc184313297"/>
      <w:bookmarkEnd w:id="165"/>
      <w:bookmarkStart w:id="166" w:name="_Toc184313264"/>
      <w:bookmarkEnd w:id="166"/>
      <w:bookmarkStart w:id="167" w:name="_Toc184308093"/>
      <w:bookmarkEnd w:id="167"/>
      <w:bookmarkStart w:id="168" w:name="_Toc184312136"/>
      <w:bookmarkEnd w:id="168"/>
      <w:bookmarkStart w:id="169" w:name="_Toc184313285"/>
      <w:bookmarkEnd w:id="169"/>
      <w:bookmarkStart w:id="170" w:name="_Toc184312137"/>
      <w:bookmarkEnd w:id="170"/>
      <w:bookmarkStart w:id="171" w:name="_Toc184310301"/>
      <w:bookmarkEnd w:id="171"/>
      <w:bookmarkStart w:id="172" w:name="_Toc184312081"/>
      <w:bookmarkEnd w:id="172"/>
      <w:bookmarkStart w:id="173" w:name="_Toc184310328"/>
      <w:bookmarkEnd w:id="173"/>
      <w:bookmarkStart w:id="174" w:name="_Toc184308051"/>
      <w:bookmarkEnd w:id="174"/>
      <w:bookmarkStart w:id="175" w:name="_Toc184314437"/>
      <w:bookmarkEnd w:id="175"/>
      <w:bookmarkStart w:id="176" w:name="_Toc184314423"/>
      <w:bookmarkEnd w:id="176"/>
      <w:bookmarkStart w:id="177" w:name="_Toc184310282"/>
      <w:bookmarkEnd w:id="177"/>
      <w:bookmarkStart w:id="178" w:name="_Toc184312080"/>
      <w:bookmarkEnd w:id="178"/>
      <w:bookmarkStart w:id="179" w:name="_Toc184312089"/>
      <w:bookmarkEnd w:id="179"/>
      <w:bookmarkStart w:id="180" w:name="_Toc184308048"/>
      <w:bookmarkEnd w:id="180"/>
      <w:bookmarkStart w:id="181" w:name="_Toc184310333"/>
      <w:bookmarkEnd w:id="181"/>
      <w:bookmarkStart w:id="182" w:name="_Toc184314422"/>
      <w:bookmarkEnd w:id="182"/>
      <w:bookmarkStart w:id="183" w:name="_Toc184312113"/>
      <w:bookmarkEnd w:id="183"/>
      <w:bookmarkStart w:id="184" w:name="_Toc184308046"/>
      <w:bookmarkEnd w:id="184"/>
      <w:bookmarkStart w:id="185" w:name="_Toc184313289"/>
      <w:bookmarkEnd w:id="185"/>
      <w:bookmarkStart w:id="186" w:name="_Toc184313268"/>
      <w:bookmarkEnd w:id="186"/>
      <w:bookmarkStart w:id="187" w:name="_Toc184313255"/>
      <w:bookmarkEnd w:id="187"/>
      <w:bookmarkStart w:id="188" w:name="_Toc184312102"/>
      <w:bookmarkEnd w:id="188"/>
      <w:bookmarkStart w:id="189" w:name="_Toc184313288"/>
      <w:bookmarkEnd w:id="189"/>
      <w:bookmarkStart w:id="190" w:name="_Toc184314441"/>
      <w:bookmarkEnd w:id="190"/>
      <w:bookmarkStart w:id="191" w:name="_Toc184312114"/>
      <w:bookmarkEnd w:id="191"/>
      <w:bookmarkStart w:id="192" w:name="_Toc184313291"/>
      <w:bookmarkEnd w:id="192"/>
      <w:bookmarkStart w:id="193" w:name="_Toc184314467"/>
      <w:bookmarkEnd w:id="193"/>
      <w:bookmarkStart w:id="194" w:name="_Toc184308086"/>
      <w:bookmarkEnd w:id="194"/>
      <w:bookmarkStart w:id="195" w:name="_Toc184313294"/>
      <w:bookmarkEnd w:id="195"/>
      <w:bookmarkStart w:id="196" w:name="_Toc184310340"/>
      <w:bookmarkEnd w:id="196"/>
      <w:bookmarkStart w:id="197" w:name="_Toc184310311"/>
      <w:bookmarkEnd w:id="197"/>
      <w:bookmarkStart w:id="198" w:name="_Toc184308072"/>
      <w:bookmarkEnd w:id="198"/>
      <w:bookmarkStart w:id="199" w:name="_Toc184312130"/>
      <w:bookmarkEnd w:id="199"/>
      <w:bookmarkStart w:id="200" w:name="_Toc184312105"/>
      <w:bookmarkEnd w:id="200"/>
      <w:bookmarkStart w:id="201" w:name="_Toc184314453"/>
      <w:bookmarkEnd w:id="201"/>
      <w:bookmarkStart w:id="202" w:name="_Toc184314424"/>
      <w:bookmarkEnd w:id="202"/>
      <w:bookmarkStart w:id="203" w:name="_Toc184313243"/>
      <w:bookmarkEnd w:id="203"/>
      <w:bookmarkStart w:id="204" w:name="_Toc184312090"/>
      <w:bookmarkEnd w:id="204"/>
      <w:bookmarkStart w:id="205" w:name="_Toc184308082"/>
      <w:bookmarkEnd w:id="205"/>
      <w:bookmarkStart w:id="206" w:name="_Toc184308080"/>
      <w:bookmarkEnd w:id="206"/>
      <w:bookmarkStart w:id="207" w:name="_Toc184312082"/>
      <w:bookmarkEnd w:id="207"/>
      <w:bookmarkStart w:id="208" w:name="_Toc184310305"/>
      <w:bookmarkEnd w:id="208"/>
      <w:bookmarkStart w:id="209" w:name="_Toc184313305"/>
      <w:bookmarkEnd w:id="209"/>
      <w:bookmarkStart w:id="210" w:name="_Toc184313302"/>
      <w:bookmarkEnd w:id="210"/>
      <w:bookmarkStart w:id="211" w:name="_Toc184312129"/>
      <w:bookmarkEnd w:id="211"/>
      <w:bookmarkStart w:id="212" w:name="_Toc184314439"/>
      <w:bookmarkEnd w:id="212"/>
      <w:bookmarkStart w:id="213" w:name="_Toc184313308"/>
      <w:bookmarkEnd w:id="213"/>
      <w:bookmarkStart w:id="214" w:name="_Toc184313266"/>
      <w:bookmarkEnd w:id="214"/>
      <w:bookmarkStart w:id="215" w:name="_Toc184314435"/>
      <w:bookmarkEnd w:id="215"/>
      <w:bookmarkStart w:id="216" w:name="_Toc184314448"/>
      <w:bookmarkEnd w:id="216"/>
      <w:bookmarkStart w:id="217" w:name="_Toc184310309"/>
      <w:bookmarkEnd w:id="217"/>
      <w:bookmarkStart w:id="218" w:name="_Toc184313238"/>
      <w:bookmarkEnd w:id="218"/>
      <w:bookmarkStart w:id="219" w:name="_Toc184308092"/>
      <w:bookmarkEnd w:id="219"/>
      <w:bookmarkStart w:id="220" w:name="_Toc184310338"/>
      <w:bookmarkEnd w:id="220"/>
      <w:bookmarkStart w:id="221" w:name="_Toc184312095"/>
      <w:bookmarkEnd w:id="221"/>
      <w:bookmarkStart w:id="222" w:name="_Toc184308097"/>
      <w:bookmarkEnd w:id="222"/>
      <w:bookmarkStart w:id="223" w:name="_Toc184308103"/>
      <w:bookmarkEnd w:id="223"/>
      <w:bookmarkStart w:id="224" w:name="_Toc184312091"/>
      <w:bookmarkEnd w:id="224"/>
      <w:bookmarkStart w:id="225" w:name="_Toc184313304"/>
      <w:bookmarkEnd w:id="225"/>
      <w:bookmarkStart w:id="226" w:name="_Toc184308090"/>
      <w:bookmarkEnd w:id="226"/>
      <w:bookmarkStart w:id="227" w:name="_Toc184314425"/>
      <w:bookmarkEnd w:id="227"/>
      <w:bookmarkStart w:id="228" w:name="_Toc184310304"/>
      <w:bookmarkEnd w:id="228"/>
      <w:bookmarkStart w:id="229" w:name="_Toc184313296"/>
      <w:bookmarkEnd w:id="229"/>
      <w:bookmarkStart w:id="230" w:name="_Toc184313300"/>
      <w:bookmarkEnd w:id="230"/>
      <w:bookmarkStart w:id="231" w:name="_Toc184313310"/>
      <w:bookmarkEnd w:id="231"/>
      <w:bookmarkStart w:id="232" w:name="_Toc184310321"/>
      <w:bookmarkEnd w:id="232"/>
      <w:bookmarkStart w:id="233" w:name="_Toc184308045"/>
      <w:bookmarkEnd w:id="233"/>
      <w:bookmarkStart w:id="234" w:name="_Toc184308095"/>
      <w:bookmarkEnd w:id="234"/>
      <w:bookmarkStart w:id="235" w:name="_Toc184310320"/>
      <w:bookmarkEnd w:id="235"/>
      <w:bookmarkStart w:id="236" w:name="_Toc184308077"/>
      <w:bookmarkEnd w:id="236"/>
      <w:bookmarkStart w:id="237" w:name="_Toc184308071"/>
      <w:bookmarkEnd w:id="237"/>
      <w:bookmarkStart w:id="238" w:name="_Toc184313242"/>
      <w:bookmarkEnd w:id="238"/>
      <w:bookmarkStart w:id="239" w:name="_Toc184308075"/>
      <w:bookmarkEnd w:id="239"/>
      <w:bookmarkStart w:id="240" w:name="_Toc184314482"/>
      <w:bookmarkEnd w:id="240"/>
      <w:bookmarkStart w:id="241" w:name="_Toc184308073"/>
      <w:bookmarkEnd w:id="241"/>
      <w:bookmarkStart w:id="242" w:name="_Toc184310315"/>
      <w:bookmarkEnd w:id="242"/>
      <w:bookmarkStart w:id="243" w:name="_Toc184308106"/>
      <w:bookmarkEnd w:id="243"/>
      <w:bookmarkStart w:id="244" w:name="_Toc184314426"/>
      <w:bookmarkEnd w:id="244"/>
      <w:bookmarkStart w:id="245" w:name="_Toc184313259"/>
      <w:bookmarkEnd w:id="245"/>
      <w:bookmarkStart w:id="246" w:name="_Toc184310285"/>
      <w:bookmarkEnd w:id="246"/>
      <w:bookmarkStart w:id="247" w:name="_Toc184313250"/>
      <w:bookmarkEnd w:id="247"/>
      <w:bookmarkStart w:id="248" w:name="_Toc184314456"/>
      <w:bookmarkEnd w:id="248"/>
      <w:bookmarkStart w:id="249" w:name="_Toc184314410"/>
      <w:bookmarkEnd w:id="249"/>
      <w:bookmarkStart w:id="250" w:name="_Toc184313265"/>
      <w:bookmarkEnd w:id="250"/>
      <w:bookmarkStart w:id="251" w:name="_Toc184312139"/>
      <w:bookmarkEnd w:id="251"/>
      <w:bookmarkStart w:id="252" w:name="_Toc184310284"/>
      <w:bookmarkEnd w:id="252"/>
      <w:bookmarkStart w:id="253" w:name="_Toc184312088"/>
      <w:bookmarkEnd w:id="253"/>
      <w:bookmarkStart w:id="254" w:name="_Toc184308067"/>
      <w:bookmarkEnd w:id="254"/>
      <w:bookmarkStart w:id="255" w:name="_Toc184308088"/>
      <w:bookmarkEnd w:id="255"/>
      <w:bookmarkStart w:id="256" w:name="_Toc184314457"/>
      <w:bookmarkEnd w:id="256"/>
      <w:bookmarkStart w:id="257" w:name="_Toc184310294"/>
      <w:bookmarkEnd w:id="257"/>
      <w:bookmarkStart w:id="258" w:name="_Toc184308099"/>
      <w:bookmarkEnd w:id="258"/>
      <w:bookmarkStart w:id="259" w:name="_Toc184312131"/>
      <w:bookmarkEnd w:id="259"/>
      <w:bookmarkStart w:id="260" w:name="_Toc184313272"/>
      <w:bookmarkEnd w:id="260"/>
      <w:bookmarkStart w:id="261" w:name="_Toc184308059"/>
      <w:bookmarkEnd w:id="261"/>
      <w:bookmarkStart w:id="262" w:name="_Toc184313282"/>
      <w:bookmarkEnd w:id="262"/>
      <w:bookmarkStart w:id="263" w:name="_Toc184312096"/>
      <w:bookmarkEnd w:id="263"/>
      <w:bookmarkStart w:id="264" w:name="_Toc184313309"/>
      <w:bookmarkEnd w:id="264"/>
      <w:bookmarkStart w:id="265" w:name="_Toc184312087"/>
      <w:bookmarkEnd w:id="265"/>
      <w:bookmarkStart w:id="266" w:name="_Toc184312101"/>
      <w:bookmarkEnd w:id="266"/>
      <w:bookmarkStart w:id="267" w:name="_Toc184312068"/>
      <w:bookmarkEnd w:id="267"/>
      <w:bookmarkStart w:id="268" w:name="_Toc184313270"/>
      <w:bookmarkEnd w:id="268"/>
      <w:bookmarkStart w:id="269" w:name="_Toc184308055"/>
      <w:bookmarkEnd w:id="269"/>
      <w:bookmarkStart w:id="270" w:name="_Toc184314451"/>
      <w:bookmarkEnd w:id="270"/>
      <w:bookmarkStart w:id="271" w:name="_Toc184314479"/>
      <w:bookmarkEnd w:id="271"/>
      <w:bookmarkStart w:id="272" w:name="_Toc184313283"/>
      <w:bookmarkEnd w:id="272"/>
      <w:bookmarkStart w:id="273" w:name="_Toc184310313"/>
      <w:bookmarkEnd w:id="273"/>
      <w:bookmarkStart w:id="274" w:name="_Toc184314444"/>
      <w:bookmarkEnd w:id="274"/>
      <w:bookmarkStart w:id="275" w:name="_Toc184314460"/>
      <w:bookmarkEnd w:id="275"/>
      <w:bookmarkStart w:id="276" w:name="_Toc184314446"/>
      <w:bookmarkEnd w:id="276"/>
      <w:bookmarkStart w:id="277" w:name="_Toc184310324"/>
      <w:bookmarkEnd w:id="277"/>
      <w:bookmarkStart w:id="278" w:name="_Toc184312071"/>
      <w:bookmarkEnd w:id="278"/>
      <w:bookmarkStart w:id="279" w:name="_Toc184308052"/>
      <w:bookmarkEnd w:id="279"/>
      <w:bookmarkStart w:id="280" w:name="_Toc184310303"/>
      <w:bookmarkEnd w:id="280"/>
      <w:bookmarkStart w:id="281" w:name="_Toc184312106"/>
      <w:bookmarkEnd w:id="281"/>
      <w:bookmarkStart w:id="282" w:name="_Toc184308108"/>
      <w:bookmarkEnd w:id="282"/>
      <w:bookmarkStart w:id="283" w:name="_Toc184313256"/>
      <w:bookmarkEnd w:id="283"/>
      <w:bookmarkStart w:id="284" w:name="_Toc184312125"/>
      <w:bookmarkEnd w:id="284"/>
      <w:bookmarkStart w:id="285" w:name="_Toc184313284"/>
      <w:bookmarkEnd w:id="285"/>
      <w:bookmarkStart w:id="286" w:name="_Toc184314465"/>
      <w:bookmarkEnd w:id="286"/>
      <w:bookmarkStart w:id="287" w:name="_Toc184308049"/>
      <w:bookmarkEnd w:id="287"/>
      <w:bookmarkStart w:id="288" w:name="_Toc184308069"/>
      <w:bookmarkEnd w:id="288"/>
      <w:bookmarkStart w:id="289" w:name="_Toc184308085"/>
      <w:bookmarkEnd w:id="289"/>
      <w:bookmarkStart w:id="290" w:name="_Toc184312126"/>
      <w:bookmarkEnd w:id="290"/>
      <w:bookmarkStart w:id="291" w:name="_Toc184310307"/>
      <w:bookmarkEnd w:id="291"/>
      <w:bookmarkStart w:id="292" w:name="_Toc184313281"/>
      <w:bookmarkEnd w:id="292"/>
      <w:bookmarkStart w:id="293" w:name="_Toc184314443"/>
      <w:bookmarkEnd w:id="293"/>
      <w:bookmarkStart w:id="294" w:name="_Toc184312135"/>
      <w:bookmarkEnd w:id="294"/>
      <w:bookmarkStart w:id="295" w:name="_Toc184310281"/>
      <w:bookmarkEnd w:id="295"/>
      <w:bookmarkStart w:id="296" w:name="_Toc184310292"/>
      <w:bookmarkEnd w:id="296"/>
      <w:bookmarkStart w:id="297" w:name="_Toc184308056"/>
      <w:bookmarkEnd w:id="297"/>
      <w:bookmarkStart w:id="298" w:name="_Toc184308102"/>
      <w:bookmarkEnd w:id="298"/>
      <w:bookmarkStart w:id="299" w:name="_Toc184312097"/>
      <w:bookmarkEnd w:id="299"/>
      <w:bookmarkStart w:id="300" w:name="_Toc184312094"/>
      <w:bookmarkEnd w:id="300"/>
      <w:bookmarkStart w:id="301" w:name="_Toc184314459"/>
      <w:bookmarkEnd w:id="301"/>
      <w:bookmarkStart w:id="302" w:name="_Toc184313269"/>
      <w:bookmarkEnd w:id="302"/>
      <w:bookmarkStart w:id="303" w:name="_Toc184308047"/>
      <w:bookmarkEnd w:id="303"/>
      <w:bookmarkStart w:id="304" w:name="_Toc184312100"/>
      <w:bookmarkEnd w:id="304"/>
      <w:bookmarkStart w:id="305" w:name="_Toc184314432"/>
      <w:bookmarkEnd w:id="305"/>
      <w:bookmarkStart w:id="306" w:name="_Toc184313303"/>
      <w:bookmarkEnd w:id="306"/>
      <w:bookmarkStart w:id="307" w:name="_Toc184313307"/>
      <w:bookmarkEnd w:id="307"/>
      <w:bookmarkStart w:id="308" w:name="_Toc184312123"/>
      <w:bookmarkEnd w:id="308"/>
      <w:bookmarkStart w:id="309" w:name="_Toc184314434"/>
      <w:bookmarkEnd w:id="309"/>
      <w:bookmarkStart w:id="310" w:name="_Toc184314430"/>
      <w:bookmarkEnd w:id="310"/>
      <w:bookmarkStart w:id="311" w:name="_Toc184313252"/>
      <w:bookmarkEnd w:id="311"/>
      <w:bookmarkStart w:id="312" w:name="_Toc184313267"/>
      <w:bookmarkEnd w:id="312"/>
      <w:bookmarkStart w:id="313" w:name="_Toc184308054"/>
      <w:bookmarkEnd w:id="313"/>
      <w:bookmarkStart w:id="314" w:name="_Toc184308061"/>
      <w:bookmarkEnd w:id="314"/>
      <w:bookmarkStart w:id="315" w:name="_Toc184308107"/>
      <w:bookmarkEnd w:id="315"/>
      <w:bookmarkStart w:id="316" w:name="_Toc184308074"/>
      <w:bookmarkEnd w:id="316"/>
      <w:bookmarkStart w:id="317" w:name="_Toc184308066"/>
      <w:bookmarkEnd w:id="317"/>
      <w:bookmarkStart w:id="318" w:name="_Toc184312084"/>
      <w:bookmarkEnd w:id="318"/>
      <w:bookmarkStart w:id="319" w:name="_Toc184308087"/>
      <w:bookmarkEnd w:id="319"/>
      <w:bookmarkStart w:id="320" w:name="_Toc184308091"/>
      <w:bookmarkEnd w:id="320"/>
      <w:bookmarkStart w:id="321" w:name="_Toc184313247"/>
      <w:bookmarkEnd w:id="321"/>
      <w:bookmarkStart w:id="322" w:name="_Toc184314455"/>
      <w:bookmarkEnd w:id="322"/>
      <w:bookmarkStart w:id="323" w:name="_Toc184310322"/>
      <w:bookmarkEnd w:id="323"/>
      <w:bookmarkStart w:id="324" w:name="_Toc184308058"/>
      <w:bookmarkEnd w:id="324"/>
      <w:bookmarkStart w:id="325" w:name="_Toc184312115"/>
      <w:bookmarkEnd w:id="325"/>
      <w:bookmarkStart w:id="326" w:name="_Toc184310293"/>
      <w:bookmarkEnd w:id="326"/>
      <w:bookmarkStart w:id="327" w:name="_Toc184310291"/>
      <w:bookmarkEnd w:id="327"/>
      <w:bookmarkStart w:id="328" w:name="_Toc184312119"/>
      <w:bookmarkEnd w:id="328"/>
      <w:bookmarkStart w:id="329" w:name="_Toc184314429"/>
      <w:bookmarkEnd w:id="329"/>
      <w:bookmarkStart w:id="330" w:name="_Toc184310317"/>
      <w:bookmarkEnd w:id="330"/>
      <w:bookmarkStart w:id="331" w:name="_Toc184310314"/>
      <w:bookmarkEnd w:id="331"/>
      <w:bookmarkStart w:id="332" w:name="_Toc184313262"/>
      <w:bookmarkEnd w:id="332"/>
      <w:bookmarkStart w:id="333" w:name="_Toc184310288"/>
      <w:bookmarkEnd w:id="333"/>
      <w:bookmarkStart w:id="334" w:name="_Toc184312085"/>
      <w:bookmarkEnd w:id="334"/>
      <w:bookmarkStart w:id="335" w:name="_Toc184313240"/>
      <w:bookmarkEnd w:id="335"/>
      <w:bookmarkStart w:id="336" w:name="_Toc184314428"/>
      <w:bookmarkEnd w:id="336"/>
      <w:bookmarkStart w:id="337" w:name="_Toc184314478"/>
      <w:bookmarkEnd w:id="337"/>
      <w:bookmarkStart w:id="338" w:name="_Toc184312086"/>
      <w:bookmarkEnd w:id="338"/>
      <w:bookmarkStart w:id="339" w:name="_Toc184308101"/>
      <w:bookmarkEnd w:id="339"/>
      <w:bookmarkStart w:id="340" w:name="_Toc184308064"/>
      <w:bookmarkEnd w:id="340"/>
      <w:bookmarkStart w:id="341" w:name="_Toc184310275"/>
      <w:bookmarkEnd w:id="341"/>
      <w:bookmarkStart w:id="342" w:name="_Toc184313280"/>
      <w:bookmarkEnd w:id="342"/>
      <w:bookmarkStart w:id="343" w:name="_Toc184313253"/>
      <w:bookmarkEnd w:id="343"/>
      <w:bookmarkStart w:id="344" w:name="_Toc184313271"/>
      <w:bookmarkEnd w:id="344"/>
      <w:bookmarkStart w:id="345" w:name="_Toc184308040"/>
      <w:bookmarkEnd w:id="345"/>
      <w:bookmarkStart w:id="346" w:name="_Toc184313287"/>
      <w:bookmarkEnd w:id="346"/>
      <w:bookmarkStart w:id="347" w:name="_Toc184310336"/>
      <w:bookmarkEnd w:id="347"/>
      <w:bookmarkStart w:id="348" w:name="_Toc184312116"/>
      <w:bookmarkEnd w:id="348"/>
      <w:bookmarkStart w:id="349" w:name="_Toc184314438"/>
      <w:bookmarkEnd w:id="349"/>
      <w:bookmarkStart w:id="350" w:name="_Toc184312083"/>
      <w:bookmarkEnd w:id="350"/>
      <w:bookmarkStart w:id="351" w:name="_Toc184313292"/>
      <w:bookmarkEnd w:id="351"/>
      <w:bookmarkStart w:id="352" w:name="_Toc184314454"/>
      <w:bookmarkEnd w:id="352"/>
      <w:bookmarkStart w:id="353" w:name="_Toc184312069"/>
      <w:bookmarkEnd w:id="353"/>
      <w:bookmarkStart w:id="354" w:name="_Toc184310296"/>
      <w:bookmarkEnd w:id="354"/>
      <w:bookmarkStart w:id="355" w:name="_Toc184312098"/>
      <w:bookmarkEnd w:id="355"/>
      <w:bookmarkStart w:id="356" w:name="_Toc184312118"/>
      <w:bookmarkEnd w:id="356"/>
      <w:bookmarkStart w:id="357" w:name="_Toc184313276"/>
      <w:bookmarkEnd w:id="357"/>
      <w:bookmarkStart w:id="358" w:name="_Toc184314433"/>
      <w:bookmarkEnd w:id="358"/>
      <w:bookmarkStart w:id="359" w:name="_Toc184314413"/>
      <w:bookmarkEnd w:id="359"/>
      <w:bookmarkStart w:id="360" w:name="_Toc184314431"/>
      <w:bookmarkEnd w:id="360"/>
      <w:bookmarkStart w:id="361" w:name="_Toc184312117"/>
      <w:bookmarkEnd w:id="361"/>
      <w:bookmarkStart w:id="362" w:name="_Toc184310339"/>
      <w:bookmarkEnd w:id="362"/>
      <w:bookmarkStart w:id="363" w:name="_Toc184313263"/>
      <w:bookmarkEnd w:id="363"/>
      <w:bookmarkStart w:id="364" w:name="_Toc184310272"/>
      <w:bookmarkEnd w:id="364"/>
      <w:bookmarkStart w:id="365" w:name="_Toc184313306"/>
      <w:bookmarkEnd w:id="365"/>
      <w:bookmarkStart w:id="366" w:name="_Toc184312067"/>
      <w:bookmarkEnd w:id="366"/>
      <w:bookmarkStart w:id="367" w:name="_Toc184308100"/>
      <w:bookmarkEnd w:id="367"/>
      <w:bookmarkStart w:id="368" w:name="_Toc184308039"/>
      <w:bookmarkEnd w:id="368"/>
      <w:bookmarkStart w:id="369" w:name="_Toc184308081"/>
      <w:bookmarkEnd w:id="369"/>
      <w:bookmarkStart w:id="370" w:name="_Toc184308043"/>
      <w:bookmarkEnd w:id="370"/>
      <w:bookmarkStart w:id="371" w:name="_Toc184312079"/>
      <w:bookmarkEnd w:id="371"/>
      <w:bookmarkStart w:id="372" w:name="_Toc184308053"/>
      <w:bookmarkEnd w:id="372"/>
      <w:bookmarkStart w:id="373" w:name="_Toc184310299"/>
      <w:bookmarkEnd w:id="373"/>
      <w:bookmarkStart w:id="374" w:name="_Toc184308084"/>
      <w:bookmarkEnd w:id="374"/>
      <w:bookmarkStart w:id="375" w:name="_Toc184308089"/>
      <w:bookmarkEnd w:id="375"/>
      <w:bookmarkStart w:id="376" w:name="_Toc184314450"/>
      <w:bookmarkEnd w:id="376"/>
      <w:bookmarkStart w:id="377" w:name="_Toc184308044"/>
      <w:bookmarkEnd w:id="377"/>
      <w:bookmarkStart w:id="378" w:name="_Toc184312075"/>
      <w:bookmarkEnd w:id="378"/>
      <w:bookmarkStart w:id="379" w:name="_Toc184314411"/>
      <w:bookmarkEnd w:id="379"/>
      <w:bookmarkStart w:id="380" w:name="_Toc184308104"/>
      <w:bookmarkEnd w:id="380"/>
      <w:bookmarkStart w:id="381" w:name="_Toc184308062"/>
      <w:bookmarkEnd w:id="381"/>
      <w:bookmarkStart w:id="382" w:name="_Toc184310298"/>
      <w:bookmarkEnd w:id="382"/>
      <w:bookmarkStart w:id="383" w:name="_Toc184314458"/>
      <w:bookmarkEnd w:id="383"/>
      <w:bookmarkStart w:id="384" w:name="_Toc184308083"/>
      <w:bookmarkEnd w:id="384"/>
      <w:bookmarkStart w:id="385" w:name="_Toc184314449"/>
      <w:bookmarkEnd w:id="385"/>
      <w:bookmarkStart w:id="386" w:name="_Toc184313277"/>
      <w:bookmarkEnd w:id="386"/>
      <w:r>
        <w:rPr>
          <w:rFonts w:hint="eastAsia" w:ascii="宋体" w:hAnsi="宋体" w:cs="宋体"/>
          <w:b/>
          <w:color w:val="auto"/>
          <w:sz w:val="28"/>
          <w:szCs w:val="28"/>
          <w:highlight w:val="none"/>
        </w:rPr>
        <w:t>评标办法</w:t>
      </w:r>
    </w:p>
    <w:p>
      <w:pPr>
        <w:spacing w:line="600" w:lineRule="exact"/>
        <w:jc w:val="center"/>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t>评标办法前附表</w:t>
      </w:r>
      <w:r>
        <w:rPr>
          <w:rFonts w:hint="eastAsia" w:ascii="宋体" w:hAnsi="宋体" w:cs="宋体"/>
          <w:b/>
          <w:color w:val="auto"/>
          <w:sz w:val="28"/>
          <w:szCs w:val="28"/>
          <w:highlight w:val="none"/>
          <w:lang w:eastAsia="zh-CN"/>
        </w:rPr>
        <w:t>（标项一、标项二、标项三、标项四）</w:t>
      </w:r>
    </w:p>
    <w:tbl>
      <w:tblPr>
        <w:tblStyle w:val="62"/>
        <w:tblpPr w:leftFromText="180" w:rightFromText="180" w:vertAnchor="text" w:horzAnchor="page" w:tblpX="1337" w:tblpY="126"/>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768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768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评标标准</w:t>
            </w:r>
          </w:p>
        </w:tc>
        <w:tc>
          <w:tcPr>
            <w:tcW w:w="85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7684"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所投产品具体配置表、技术参数及偏离情况：产品参数配置等所有指标均满足的得基本分2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r>
              <w:rPr>
                <w:rFonts w:hint="eastAsia" w:ascii="宋体" w:hAnsi="宋体" w:cs="宋体"/>
                <w:color w:val="auto"/>
                <w:sz w:val="24"/>
                <w:highlight w:val="none"/>
                <w:lang w:eastAsia="zh-CN"/>
              </w:rPr>
              <w:t>带▲的为产品</w:t>
            </w:r>
            <w:r>
              <w:rPr>
                <w:rFonts w:hint="eastAsia" w:ascii="宋体" w:hAnsi="宋体" w:cs="宋体"/>
                <w:color w:val="auto"/>
                <w:sz w:val="24"/>
                <w:highlight w:val="none"/>
                <w:lang w:val="en-US" w:eastAsia="zh-CN"/>
              </w:rPr>
              <w:t>的实质性条款，不允许负偏离，否则投标无效；</w:t>
            </w:r>
            <w:r>
              <w:rPr>
                <w:rFonts w:hint="eastAsia" w:ascii="宋体" w:hAnsi="宋体" w:cs="宋体"/>
                <w:color w:val="auto"/>
                <w:sz w:val="24"/>
                <w:highlight w:val="none"/>
              </w:rPr>
              <w:t>用★标出的技术指标低于招标需求（负偏离）的每项扣3分，未加★的技术指标低于招标需求（负偏离）的每项扣1分，扣完为止；</w:t>
            </w:r>
          </w:p>
          <w:p>
            <w:pPr>
              <w:spacing w:line="600" w:lineRule="exact"/>
              <w:jc w:val="left"/>
              <w:rPr>
                <w:rFonts w:ascii="宋体" w:hAnsi="宋体" w:cs="宋体"/>
                <w:color w:val="auto"/>
                <w:sz w:val="24"/>
                <w:highlight w:val="none"/>
              </w:rPr>
            </w:pPr>
            <w:r>
              <w:rPr>
                <w:rFonts w:hint="eastAsia" w:ascii="宋体" w:hAnsi="宋体" w:cs="宋体"/>
                <w:b/>
                <w:bCs/>
                <w:color w:val="auto"/>
                <w:sz w:val="24"/>
                <w:highlight w:val="none"/>
              </w:rPr>
              <w:t>采购需求中要求提供的检测报告或证书的，必须提供，否则视作无法响应；</w:t>
            </w:r>
          </w:p>
        </w:tc>
        <w:tc>
          <w:tcPr>
            <w:tcW w:w="854"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p>
            <w:pPr>
              <w:jc w:val="cente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7684"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lang w:eastAsia="zh-CN"/>
              </w:rPr>
              <w:t>样品评分</w:t>
            </w:r>
            <w:r>
              <w:rPr>
                <w:rFonts w:hint="eastAsia" w:ascii="宋体" w:hAnsi="宋体" w:cs="宋体"/>
                <w:color w:val="auto"/>
                <w:sz w:val="24"/>
                <w:highlight w:val="none"/>
              </w:rPr>
              <w:t>：</w:t>
            </w:r>
            <w:r>
              <w:rPr>
                <w:rFonts w:hint="eastAsia" w:ascii="宋体" w:hAnsi="宋体" w:cs="宋体"/>
                <w:color w:val="auto"/>
                <w:sz w:val="24"/>
                <w:highlight w:val="none"/>
                <w:lang w:eastAsia="zh-CN"/>
              </w:rPr>
              <w:t>根据投标人所投灯具及安装配件样品材料情况：样品整体制作</w:t>
            </w:r>
            <w:r>
              <w:rPr>
                <w:rFonts w:hint="eastAsia" w:ascii="宋体" w:hAnsi="宋体" w:cs="宋体"/>
                <w:color w:val="auto"/>
                <w:sz w:val="24"/>
                <w:highlight w:val="none"/>
                <w:lang w:val="en-US" w:eastAsia="zh-CN"/>
              </w:rPr>
              <w:t>精致</w:t>
            </w:r>
            <w:r>
              <w:rPr>
                <w:rFonts w:hint="eastAsia" w:ascii="宋体" w:hAnsi="宋体" w:cs="宋体"/>
                <w:color w:val="auto"/>
                <w:sz w:val="24"/>
                <w:highlight w:val="none"/>
                <w:lang w:eastAsia="zh-CN"/>
              </w:rPr>
              <w:t>、工艺水平</w:t>
            </w:r>
            <w:r>
              <w:rPr>
                <w:rFonts w:hint="eastAsia" w:ascii="宋体" w:hAnsi="宋体" w:cs="宋体"/>
                <w:color w:val="auto"/>
                <w:sz w:val="24"/>
                <w:highlight w:val="none"/>
                <w:lang w:val="en-US" w:eastAsia="zh-CN"/>
              </w:rPr>
              <w:t>先进（0—2分）</w:t>
            </w:r>
            <w:r>
              <w:rPr>
                <w:rFonts w:hint="eastAsia" w:ascii="宋体" w:hAnsi="宋体" w:cs="宋体"/>
                <w:color w:val="auto"/>
                <w:sz w:val="24"/>
                <w:highlight w:val="none"/>
                <w:lang w:eastAsia="zh-CN"/>
              </w:rPr>
              <w:t>；无明显色差</w:t>
            </w:r>
            <w:r>
              <w:rPr>
                <w:rFonts w:hint="eastAsia" w:ascii="宋体" w:hAnsi="宋体" w:cs="宋体"/>
                <w:color w:val="auto"/>
                <w:sz w:val="24"/>
                <w:highlight w:val="none"/>
                <w:lang w:val="en-US" w:eastAsia="zh-CN"/>
              </w:rPr>
              <w:t>（0—2分）</w:t>
            </w:r>
            <w:r>
              <w:rPr>
                <w:rFonts w:hint="eastAsia" w:ascii="宋体" w:hAnsi="宋体" w:cs="宋体"/>
                <w:color w:val="auto"/>
                <w:sz w:val="24"/>
                <w:highlight w:val="none"/>
                <w:lang w:eastAsia="zh-CN"/>
              </w:rPr>
              <w:t>；主要材料选用</w:t>
            </w:r>
            <w:r>
              <w:rPr>
                <w:rFonts w:hint="eastAsia" w:ascii="宋体" w:hAnsi="宋体" w:cs="宋体"/>
                <w:color w:val="auto"/>
                <w:sz w:val="24"/>
                <w:highlight w:val="none"/>
                <w:lang w:val="en-US" w:eastAsia="zh-CN"/>
              </w:rPr>
              <w:t>质量好坏（0—2分）等</w:t>
            </w:r>
            <w:r>
              <w:rPr>
                <w:rFonts w:hint="eastAsia" w:ascii="宋体" w:hAnsi="宋体" w:cs="宋体"/>
                <w:color w:val="auto"/>
                <w:sz w:val="24"/>
                <w:highlight w:val="none"/>
              </w:rPr>
              <w:t>，由专家进行打分；</w:t>
            </w:r>
          </w:p>
          <w:p>
            <w:pPr>
              <w:spacing w:line="600" w:lineRule="exact"/>
              <w:jc w:val="left"/>
              <w:rPr>
                <w:rFonts w:ascii="宋体" w:hAnsi="宋体" w:cs="宋体"/>
                <w:color w:val="auto"/>
                <w:sz w:val="24"/>
                <w:highlight w:val="none"/>
              </w:rPr>
            </w:pPr>
            <w:r>
              <w:rPr>
                <w:rFonts w:hint="eastAsia" w:ascii="宋体" w:hAnsi="宋体" w:eastAsia="宋体" w:cs="宋体"/>
                <w:b/>
                <w:bCs/>
                <w:sz w:val="24"/>
                <w:szCs w:val="24"/>
                <w:highlight w:val="none"/>
                <w:lang w:eastAsia="zh-CN"/>
              </w:rPr>
              <w:t>投标人不提供样品则视其投标无效，样品提供不全或样品中出现投标单位名称</w:t>
            </w:r>
            <w:r>
              <w:rPr>
                <w:rFonts w:hint="eastAsia" w:ascii="宋体" w:hAnsi="宋体" w:cs="宋体"/>
                <w:b/>
                <w:bCs/>
                <w:sz w:val="24"/>
                <w:szCs w:val="24"/>
                <w:highlight w:val="none"/>
                <w:lang w:eastAsia="zh-CN"/>
              </w:rPr>
              <w:t>或厂家名称或厂家</w:t>
            </w:r>
            <w:r>
              <w:rPr>
                <w:rFonts w:hint="eastAsia" w:ascii="宋体" w:hAnsi="宋体" w:cs="宋体"/>
                <w:b/>
                <w:bCs/>
                <w:sz w:val="24"/>
                <w:szCs w:val="24"/>
                <w:highlight w:val="none"/>
                <w:lang w:val="en-US" w:eastAsia="zh-CN"/>
              </w:rPr>
              <w:t>LOGO或品牌LOGO</w:t>
            </w:r>
            <w:r>
              <w:rPr>
                <w:rFonts w:hint="eastAsia" w:ascii="宋体" w:hAnsi="宋体" w:eastAsia="宋体" w:cs="宋体"/>
                <w:b/>
                <w:bCs/>
                <w:sz w:val="24"/>
                <w:szCs w:val="24"/>
                <w:highlight w:val="none"/>
                <w:lang w:eastAsia="zh-CN"/>
              </w:rPr>
              <w:t>或外观尺寸或技术参数明显不符合招标文件要求的则样品分为</w:t>
            </w:r>
            <w:r>
              <w:rPr>
                <w:rFonts w:hint="eastAsia" w:ascii="宋体" w:hAnsi="宋体" w:eastAsia="宋体" w:cs="宋体"/>
                <w:b/>
                <w:bCs/>
                <w:sz w:val="24"/>
                <w:szCs w:val="24"/>
                <w:highlight w:val="none"/>
                <w:lang w:val="en-US" w:eastAsia="zh-CN"/>
              </w:rPr>
              <w:t>0分</w:t>
            </w:r>
            <w:r>
              <w:rPr>
                <w:rFonts w:hint="eastAsia" w:ascii="宋体" w:hAnsi="宋体" w:eastAsia="宋体" w:cs="宋体"/>
                <w:b/>
                <w:bCs/>
                <w:color w:val="000000"/>
                <w:sz w:val="24"/>
                <w:highlight w:val="none"/>
              </w:rPr>
              <w:t>；</w:t>
            </w:r>
          </w:p>
        </w:tc>
        <w:tc>
          <w:tcPr>
            <w:tcW w:w="854"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7684" w:type="dxa"/>
            <w:vAlign w:val="center"/>
          </w:tcPr>
          <w:p>
            <w:pPr>
              <w:spacing w:line="60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项目实施方案：</w:t>
            </w:r>
          </w:p>
          <w:p>
            <w:pPr>
              <w:numPr>
                <w:ilvl w:val="0"/>
                <w:numId w:val="0"/>
              </w:numPr>
              <w:spacing w:line="600" w:lineRule="exact"/>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1）投标人提供的改造实施照明设计图纸合理， 照明质量控制措施、 以及安全文明施工保障措施等考虑全面,具有有效应对方案，</w:t>
            </w:r>
            <w:r>
              <w:rPr>
                <w:rFonts w:hint="eastAsia" w:ascii="宋体" w:hAnsi="宋体" w:cs="宋体"/>
                <w:color w:val="auto"/>
                <w:sz w:val="24"/>
                <w:highlight w:val="none"/>
              </w:rPr>
              <w:t>由专家进行打分；</w:t>
            </w:r>
            <w:r>
              <w:rPr>
                <w:rFonts w:hint="eastAsia" w:ascii="宋体" w:hAnsi="宋体" w:cs="宋体"/>
                <w:color w:val="auto"/>
                <w:sz w:val="24"/>
                <w:highlight w:val="none"/>
                <w:lang w:val="en-US" w:eastAsia="zh-CN"/>
              </w:rPr>
              <w:t>（0—3分）</w:t>
            </w:r>
          </w:p>
          <w:p>
            <w:pPr>
              <w:numPr>
                <w:ilvl w:val="0"/>
                <w:numId w:val="0"/>
              </w:numPr>
              <w:spacing w:line="600" w:lineRule="exact"/>
              <w:jc w:val="lef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2）投标人对项目改造实施的设备供货、工期、进度计划以及进度控制措施、保障措施等，</w:t>
            </w:r>
            <w:r>
              <w:rPr>
                <w:rFonts w:hint="eastAsia" w:ascii="宋体" w:hAnsi="宋体" w:cs="宋体"/>
                <w:color w:val="auto"/>
                <w:sz w:val="24"/>
                <w:highlight w:val="none"/>
              </w:rPr>
              <w:t>由专家进行打分；</w:t>
            </w:r>
            <w:r>
              <w:rPr>
                <w:rFonts w:hint="eastAsia" w:ascii="宋体" w:hAnsi="宋体" w:cs="宋体"/>
                <w:color w:val="auto"/>
                <w:sz w:val="24"/>
                <w:highlight w:val="none"/>
                <w:lang w:val="en-US" w:eastAsia="zh-CN"/>
              </w:rPr>
              <w:t>（0—3分）</w:t>
            </w:r>
          </w:p>
        </w:tc>
        <w:tc>
          <w:tcPr>
            <w:tcW w:w="854" w:type="dxa"/>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7684" w:type="dxa"/>
            <w:vAlign w:val="center"/>
          </w:tcPr>
          <w:p>
            <w:pPr>
              <w:snapToGrid w:val="0"/>
              <w:spacing w:line="60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检测报告：</w:t>
            </w:r>
          </w:p>
          <w:p>
            <w:pPr>
              <w:snapToGrid w:val="0"/>
              <w:spacing w:line="60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rPr>
              <w:t>在教室灯和黑板灯同时满足</w:t>
            </w:r>
            <w:r>
              <w:rPr>
                <w:rFonts w:hint="eastAsia" w:ascii="宋体" w:hAnsi="宋体" w:cs="宋体"/>
                <w:color w:val="auto"/>
                <w:sz w:val="24"/>
                <w:highlight w:val="none"/>
                <w:lang w:eastAsia="zh-CN"/>
              </w:rPr>
              <w:t>防护等级</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IP40</w:t>
            </w:r>
            <w:r>
              <w:rPr>
                <w:rFonts w:hint="eastAsia" w:ascii="宋体" w:hAnsi="宋体" w:cs="宋体"/>
                <w:color w:val="auto"/>
                <w:sz w:val="24"/>
                <w:highlight w:val="none"/>
              </w:rPr>
              <w:t>、</w:t>
            </w:r>
            <w:r>
              <w:rPr>
                <w:rFonts w:hint="eastAsia" w:ascii="宋体" w:hAnsi="宋体" w:cs="宋体"/>
                <w:color w:val="auto"/>
                <w:sz w:val="24"/>
                <w:highlight w:val="none"/>
                <w:lang w:eastAsia="zh-CN"/>
              </w:rPr>
              <w:t>色温</w:t>
            </w:r>
            <w:r>
              <w:rPr>
                <w:rFonts w:hint="eastAsia" w:ascii="宋体" w:hAnsi="宋体" w:cs="宋体"/>
                <w:color w:val="auto"/>
                <w:sz w:val="24"/>
                <w:highlight w:val="none"/>
                <w:lang w:val="en-US" w:eastAsia="zh-CN"/>
              </w:rPr>
              <w:t>3300-5300K</w:t>
            </w:r>
            <w:r>
              <w:rPr>
                <w:rFonts w:hint="eastAsia" w:ascii="宋体" w:hAnsi="宋体" w:cs="宋体"/>
                <w:color w:val="auto"/>
                <w:sz w:val="24"/>
                <w:highlight w:val="none"/>
                <w:lang w:eastAsia="zh-CN"/>
              </w:rPr>
              <w:t>、</w:t>
            </w:r>
            <w:r>
              <w:rPr>
                <w:rFonts w:hint="eastAsia" w:ascii="宋体" w:hAnsi="宋体" w:cs="宋体"/>
                <w:color w:val="auto"/>
                <w:sz w:val="24"/>
                <w:highlight w:val="none"/>
              </w:rPr>
              <w:t>蓝光危害等级 RG0、光频闪的危害为无危害、</w:t>
            </w:r>
            <w:r>
              <w:rPr>
                <w:rFonts w:hint="eastAsia" w:ascii="宋体" w:hAnsi="宋体" w:cs="宋体"/>
                <w:color w:val="auto"/>
                <w:sz w:val="24"/>
                <w:highlight w:val="none"/>
                <w:lang w:eastAsia="zh-CN"/>
              </w:rPr>
              <w:t>人体</w:t>
            </w:r>
            <w:r>
              <w:rPr>
                <w:rFonts w:hint="eastAsia" w:ascii="宋体" w:hAnsi="宋体" w:cs="宋体"/>
                <w:color w:val="auto"/>
                <w:sz w:val="24"/>
                <w:highlight w:val="none"/>
              </w:rPr>
              <w:t>电磁辐射</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项指标检测结果符合要求的前提下，根据检测报告中的</w:t>
            </w:r>
            <w:r>
              <w:rPr>
                <w:rFonts w:hint="eastAsia" w:ascii="宋体" w:hAnsi="宋体" w:cs="宋体"/>
                <w:color w:val="auto"/>
                <w:sz w:val="24"/>
                <w:highlight w:val="none"/>
                <w:lang w:eastAsia="zh-CN"/>
              </w:rPr>
              <w:t>灯具寿命、</w:t>
            </w:r>
            <w:r>
              <w:rPr>
                <w:rFonts w:hint="eastAsia" w:ascii="宋体" w:hAnsi="宋体" w:cs="宋体"/>
                <w:color w:val="auto"/>
                <w:sz w:val="24"/>
                <w:highlight w:val="none"/>
              </w:rPr>
              <w:t>显色指数、光通量维持率</w:t>
            </w:r>
            <w:r>
              <w:rPr>
                <w:rFonts w:hint="eastAsia" w:ascii="宋体" w:hAnsi="宋体" w:cs="宋体"/>
                <w:color w:val="auto"/>
                <w:sz w:val="24"/>
                <w:highlight w:val="none"/>
                <w:lang w:eastAsia="zh-CN"/>
              </w:rPr>
              <w:t>、</w:t>
            </w:r>
            <w:r>
              <w:rPr>
                <w:rFonts w:hint="eastAsia" w:ascii="宋体" w:hAnsi="宋体" w:cs="宋体"/>
                <w:color w:val="auto"/>
                <w:sz w:val="24"/>
                <w:highlight w:val="none"/>
              </w:rPr>
              <w:t>色容差等指标进行评分</w:t>
            </w:r>
            <w:r>
              <w:rPr>
                <w:rFonts w:hint="eastAsia" w:ascii="宋体" w:hAnsi="宋体" w:cs="宋体"/>
                <w:color w:val="auto"/>
                <w:sz w:val="24"/>
                <w:highlight w:val="none"/>
                <w:lang w:eastAsia="zh-CN"/>
              </w:rPr>
              <w:t>；</w:t>
            </w:r>
            <w:r>
              <w:rPr>
                <w:rFonts w:hint="eastAsia" w:ascii="宋体" w:hAnsi="宋体" w:cs="宋体"/>
                <w:color w:val="auto"/>
                <w:sz w:val="24"/>
                <w:highlight w:val="none"/>
              </w:rPr>
              <w:t>不满足以上前提条件的，该项不得分</w:t>
            </w:r>
            <w:r>
              <w:rPr>
                <w:rFonts w:hint="eastAsia" w:ascii="宋体" w:hAnsi="宋体" w:cs="宋体"/>
                <w:color w:val="auto"/>
                <w:sz w:val="24"/>
                <w:highlight w:val="none"/>
                <w:lang w:eastAsia="zh-CN"/>
              </w:rPr>
              <w:t>；</w:t>
            </w:r>
          </w:p>
          <w:p>
            <w:pPr>
              <w:snapToGrid w:val="0"/>
              <w:spacing w:line="600" w:lineRule="exact"/>
              <w:rPr>
                <w:rFonts w:hint="eastAsia" w:ascii="宋体" w:hAnsi="宋体" w:cs="宋体"/>
                <w:color w:val="auto"/>
                <w:sz w:val="24"/>
                <w:highlight w:val="none"/>
              </w:rPr>
            </w:pPr>
            <w:r>
              <w:rPr>
                <w:rFonts w:hint="eastAsia" w:ascii="宋体" w:hAnsi="宋体" w:cs="宋体"/>
                <w:color w:val="auto"/>
                <w:sz w:val="24"/>
                <w:highlight w:val="none"/>
                <w:lang w:eastAsia="zh-CN"/>
              </w:rPr>
              <w:t>投标人</w:t>
            </w:r>
            <w:r>
              <w:rPr>
                <w:rFonts w:hint="eastAsia" w:ascii="宋体" w:hAnsi="宋体" w:cs="宋体"/>
                <w:color w:val="auto"/>
                <w:sz w:val="24"/>
                <w:highlight w:val="none"/>
              </w:rPr>
              <w:t>提供由专业检测机构出具</w:t>
            </w:r>
            <w:r>
              <w:rPr>
                <w:rFonts w:hint="eastAsia" w:ascii="宋体" w:hAnsi="宋体" w:cs="宋体"/>
                <w:color w:val="auto"/>
                <w:sz w:val="24"/>
                <w:highlight w:val="none"/>
                <w:lang w:eastAsia="zh-CN"/>
              </w:rPr>
              <w:t>在有效期内</w:t>
            </w:r>
            <w:r>
              <w:rPr>
                <w:rFonts w:hint="eastAsia" w:ascii="宋体" w:hAnsi="宋体" w:cs="宋体"/>
                <w:color w:val="auto"/>
                <w:sz w:val="24"/>
                <w:highlight w:val="none"/>
              </w:rPr>
              <w:t>的含有CMA和CNAS标志的检测报告复印件</w:t>
            </w:r>
            <w:r>
              <w:rPr>
                <w:rFonts w:hint="eastAsia" w:ascii="宋体" w:hAnsi="宋体" w:cs="宋体"/>
                <w:color w:val="auto"/>
                <w:sz w:val="24"/>
                <w:highlight w:val="none"/>
                <w:lang w:eastAsia="zh-CN"/>
              </w:rPr>
              <w:t>（报告上的检测起止时间须为正常燃点时间，加速测试无效）：</w:t>
            </w:r>
          </w:p>
          <w:p>
            <w:pPr>
              <w:snapToGrid w:val="0"/>
              <w:spacing w:line="600" w:lineRule="exact"/>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）灯具寿命</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分（教室灯和黑板灯全部达到以下标准）</w:t>
            </w:r>
            <w:r>
              <w:rPr>
                <w:rFonts w:hint="eastAsia" w:ascii="宋体" w:hAnsi="宋体" w:cs="宋体"/>
                <w:color w:val="auto"/>
                <w:sz w:val="24"/>
                <w:highlight w:val="none"/>
                <w:lang w:eastAsia="zh-CN"/>
              </w:rPr>
              <w:t>：</w:t>
            </w:r>
          </w:p>
          <w:p>
            <w:pPr>
              <w:snapToGrid w:val="0"/>
              <w:spacing w:line="600" w:lineRule="exact"/>
              <w:rPr>
                <w:rFonts w:hint="eastAsia" w:ascii="宋体" w:hAnsi="宋体" w:cs="宋体"/>
                <w:color w:val="auto"/>
                <w:sz w:val="24"/>
                <w:highlight w:val="none"/>
              </w:rPr>
            </w:pPr>
            <w:r>
              <w:rPr>
                <w:rFonts w:hint="eastAsia" w:ascii="宋体" w:hAnsi="宋体" w:cs="宋体"/>
                <w:color w:val="auto"/>
                <w:sz w:val="24"/>
                <w:highlight w:val="none"/>
                <w:lang w:val="en-US" w:eastAsia="zh-CN"/>
              </w:rPr>
              <w:t>30000小时以上得1分；40000小时以上得2分；50000小时以上的得3分；</w:t>
            </w:r>
          </w:p>
          <w:p>
            <w:pPr>
              <w:snapToGrid w:val="0"/>
              <w:spacing w:line="600" w:lineRule="exact"/>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显色指数6分（教室灯和黑板灯全部达到以下标准）：</w:t>
            </w:r>
          </w:p>
          <w:p>
            <w:pPr>
              <w:snapToGrid w:val="0"/>
              <w:spacing w:line="60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①9</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≤Ra＜9</w:t>
            </w:r>
            <w:r>
              <w:rPr>
                <w:rFonts w:hint="eastAsia" w:ascii="宋体" w:hAnsi="宋体" w:cs="宋体"/>
                <w:color w:val="auto"/>
                <w:sz w:val="24"/>
                <w:highlight w:val="none"/>
                <w:lang w:val="en-US" w:eastAsia="zh-CN"/>
              </w:rPr>
              <w:t>3的</w:t>
            </w:r>
            <w:r>
              <w:rPr>
                <w:rFonts w:hint="eastAsia" w:ascii="宋体" w:hAnsi="宋体" w:cs="宋体"/>
                <w:color w:val="auto"/>
                <w:sz w:val="24"/>
                <w:highlight w:val="none"/>
              </w:rPr>
              <w:t>得1分；9</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≤Ra＜9</w:t>
            </w:r>
            <w:r>
              <w:rPr>
                <w:rFonts w:hint="eastAsia" w:ascii="宋体" w:hAnsi="宋体" w:cs="宋体"/>
                <w:color w:val="auto"/>
                <w:sz w:val="24"/>
                <w:highlight w:val="none"/>
                <w:lang w:val="en-US" w:eastAsia="zh-CN"/>
              </w:rPr>
              <w:t>6的</w:t>
            </w:r>
            <w:r>
              <w:rPr>
                <w:rFonts w:hint="eastAsia" w:ascii="宋体" w:hAnsi="宋体" w:cs="宋体"/>
                <w:color w:val="auto"/>
                <w:sz w:val="24"/>
                <w:highlight w:val="none"/>
              </w:rPr>
              <w:t>得2分；Ra≥96的得3分</w:t>
            </w:r>
            <w:r>
              <w:rPr>
                <w:rFonts w:hint="eastAsia" w:ascii="宋体" w:hAnsi="宋体" w:cs="宋体"/>
                <w:color w:val="auto"/>
                <w:sz w:val="24"/>
                <w:highlight w:val="none"/>
                <w:lang w:eastAsia="zh-CN"/>
              </w:rPr>
              <w:t>；</w:t>
            </w:r>
          </w:p>
          <w:p>
            <w:pPr>
              <w:snapToGrid w:val="0"/>
              <w:spacing w:line="60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②</w:t>
            </w:r>
            <w:r>
              <w:rPr>
                <w:rFonts w:hint="eastAsia" w:ascii="宋体" w:hAnsi="宋体" w:cs="宋体"/>
                <w:color w:val="auto"/>
                <w:sz w:val="24"/>
                <w:highlight w:val="none"/>
                <w:lang w:val="en-US" w:eastAsia="zh-CN"/>
              </w:rPr>
              <w:t>50</w:t>
            </w:r>
            <w:r>
              <w:rPr>
                <w:rFonts w:hint="eastAsia" w:ascii="宋体" w:hAnsi="宋体" w:cs="宋体"/>
                <w:color w:val="auto"/>
                <w:sz w:val="24"/>
                <w:highlight w:val="none"/>
              </w:rPr>
              <w:t>＜R9≤</w:t>
            </w:r>
            <w:r>
              <w:rPr>
                <w:rFonts w:hint="eastAsia" w:ascii="宋体" w:hAnsi="宋体" w:cs="宋体"/>
                <w:color w:val="auto"/>
                <w:sz w:val="24"/>
                <w:highlight w:val="none"/>
                <w:lang w:val="en-US" w:eastAsia="zh-CN"/>
              </w:rPr>
              <w:t>70的</w:t>
            </w:r>
            <w:r>
              <w:rPr>
                <w:rFonts w:hint="eastAsia" w:ascii="宋体" w:hAnsi="宋体" w:cs="宋体"/>
                <w:color w:val="auto"/>
                <w:sz w:val="24"/>
                <w:highlight w:val="none"/>
              </w:rPr>
              <w:t>得1分；</w:t>
            </w:r>
            <w:r>
              <w:rPr>
                <w:rFonts w:hint="eastAsia" w:ascii="宋体" w:hAnsi="宋体" w:cs="宋体"/>
                <w:color w:val="auto"/>
                <w:sz w:val="24"/>
                <w:highlight w:val="none"/>
                <w:lang w:val="en-US" w:eastAsia="zh-CN"/>
              </w:rPr>
              <w:t>70</w:t>
            </w:r>
            <w:r>
              <w:rPr>
                <w:rFonts w:hint="eastAsia" w:ascii="宋体" w:hAnsi="宋体" w:cs="宋体"/>
                <w:color w:val="auto"/>
                <w:sz w:val="24"/>
                <w:highlight w:val="none"/>
              </w:rPr>
              <w:t>＜R9≤</w:t>
            </w:r>
            <w:r>
              <w:rPr>
                <w:rFonts w:hint="eastAsia" w:ascii="宋体" w:hAnsi="宋体" w:cs="宋体"/>
                <w:color w:val="auto"/>
                <w:sz w:val="24"/>
                <w:highlight w:val="none"/>
                <w:lang w:val="en-US" w:eastAsia="zh-CN"/>
              </w:rPr>
              <w:t>90的</w:t>
            </w:r>
            <w:r>
              <w:rPr>
                <w:rFonts w:hint="eastAsia" w:ascii="宋体" w:hAnsi="宋体" w:cs="宋体"/>
                <w:color w:val="auto"/>
                <w:sz w:val="24"/>
                <w:highlight w:val="none"/>
              </w:rPr>
              <w:t>得2分，R9</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90</w:t>
            </w:r>
            <w:r>
              <w:rPr>
                <w:rFonts w:hint="eastAsia" w:ascii="宋体" w:hAnsi="宋体" w:cs="宋体"/>
                <w:color w:val="auto"/>
                <w:sz w:val="24"/>
                <w:highlight w:val="none"/>
              </w:rPr>
              <w:t>的得3分</w:t>
            </w:r>
            <w:r>
              <w:rPr>
                <w:rFonts w:hint="eastAsia" w:ascii="宋体" w:hAnsi="宋体" w:cs="宋体"/>
                <w:color w:val="auto"/>
                <w:sz w:val="24"/>
                <w:highlight w:val="none"/>
                <w:lang w:eastAsia="zh-CN"/>
              </w:rPr>
              <w:t>；</w:t>
            </w:r>
          </w:p>
          <w:p>
            <w:pPr>
              <w:snapToGrid w:val="0"/>
              <w:spacing w:line="600" w:lineRule="exact"/>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正常燃点光通量维持率</w:t>
            </w:r>
            <w:r>
              <w:rPr>
                <w:rFonts w:hint="eastAsia" w:ascii="宋体" w:hAnsi="宋体" w:cs="宋体"/>
                <w:color w:val="auto"/>
                <w:sz w:val="24"/>
                <w:highlight w:val="none"/>
                <w:lang w:val="en-US" w:eastAsia="zh-CN"/>
              </w:rPr>
              <w:t>4分</w:t>
            </w:r>
            <w:r>
              <w:rPr>
                <w:rFonts w:hint="eastAsia" w:ascii="宋体" w:hAnsi="宋体" w:cs="宋体"/>
                <w:color w:val="auto"/>
                <w:sz w:val="24"/>
                <w:highlight w:val="none"/>
              </w:rPr>
              <w:t>（教室灯和黑板灯全部达到以下标准）：</w:t>
            </w:r>
          </w:p>
          <w:p>
            <w:pPr>
              <w:snapToGrid w:val="0"/>
              <w:spacing w:line="60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正常燃点检测报告中</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000小时及以上的光通量维持率≥9</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的</w:t>
            </w:r>
            <w:r>
              <w:rPr>
                <w:rFonts w:hint="eastAsia" w:ascii="宋体" w:hAnsi="宋体" w:cs="宋体"/>
                <w:color w:val="auto"/>
                <w:sz w:val="24"/>
                <w:highlight w:val="none"/>
              </w:rPr>
              <w:t>得1分；</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000小时及以上的光通量维持率≥9</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000小时及以上的光通量维持率≥9</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000小时及以上的光通量维持率≥9</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p>
          <w:p>
            <w:pPr>
              <w:snapToGrid w:val="0"/>
              <w:spacing w:line="600" w:lineRule="exact"/>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色容差</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分（教室灯和黑板灯全部达到以下标准）：</w:t>
            </w:r>
          </w:p>
          <w:p>
            <w:pPr>
              <w:snapToGrid w:val="0"/>
              <w:spacing w:line="60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4＜色容差≤5</w:t>
            </w:r>
            <w:r>
              <w:rPr>
                <w:rFonts w:hint="eastAsia" w:ascii="宋体" w:hAnsi="宋体" w:cs="宋体"/>
                <w:color w:val="auto"/>
                <w:sz w:val="24"/>
                <w:highlight w:val="none"/>
                <w:lang w:eastAsia="zh-CN"/>
              </w:rPr>
              <w:t>的</w:t>
            </w:r>
            <w:r>
              <w:rPr>
                <w:rFonts w:hint="eastAsia" w:ascii="宋体" w:hAnsi="宋体" w:cs="宋体"/>
                <w:color w:val="auto"/>
                <w:sz w:val="24"/>
                <w:highlight w:val="none"/>
              </w:rPr>
              <w:t>得1分； 3＜色容差≤4</w:t>
            </w:r>
            <w:r>
              <w:rPr>
                <w:rFonts w:hint="eastAsia" w:ascii="宋体" w:hAnsi="宋体" w:cs="宋体"/>
                <w:color w:val="auto"/>
                <w:sz w:val="24"/>
                <w:highlight w:val="none"/>
                <w:lang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分；色容差≤3</w:t>
            </w:r>
            <w:r>
              <w:rPr>
                <w:rFonts w:hint="eastAsia" w:ascii="宋体" w:hAnsi="宋体" w:cs="宋体"/>
                <w:color w:val="auto"/>
                <w:sz w:val="24"/>
                <w:highlight w:val="none"/>
                <w:lang w:eastAsia="zh-CN"/>
              </w:rPr>
              <w:t>的</w:t>
            </w:r>
            <w:r>
              <w:rPr>
                <w:rFonts w:hint="eastAsia" w:ascii="宋体" w:hAnsi="宋体" w:cs="宋体"/>
                <w:color w:val="auto"/>
                <w:sz w:val="24"/>
                <w:highlight w:val="none"/>
              </w:rPr>
              <w:t>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eastAsia="zh-CN"/>
              </w:rPr>
              <w:t>；</w:t>
            </w:r>
          </w:p>
          <w:p>
            <w:pPr>
              <w:snapToGrid w:val="0"/>
              <w:spacing w:line="600" w:lineRule="exac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lang w:eastAsia="zh-CN"/>
              </w:rPr>
              <w:t>投标文件中同时</w:t>
            </w:r>
            <w:r>
              <w:rPr>
                <w:rFonts w:hint="eastAsia" w:ascii="宋体" w:hAnsi="宋体" w:cs="宋体"/>
                <w:b/>
                <w:bCs/>
                <w:color w:val="auto"/>
                <w:sz w:val="24"/>
                <w:highlight w:val="none"/>
              </w:rPr>
              <w:t>提供检测报告复印件</w:t>
            </w:r>
            <w:r>
              <w:rPr>
                <w:rFonts w:hint="eastAsia" w:ascii="宋体" w:hAnsi="宋体" w:cs="宋体"/>
                <w:b/>
                <w:bCs/>
                <w:color w:val="auto"/>
                <w:sz w:val="24"/>
                <w:highlight w:val="none"/>
                <w:lang w:eastAsia="zh-CN"/>
              </w:rPr>
              <w:t>及全国认证认可信息公共服务平台检测报告编号查询证明复印件；</w:t>
            </w:r>
          </w:p>
        </w:tc>
        <w:tc>
          <w:tcPr>
            <w:tcW w:w="854"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7684" w:type="dxa"/>
            <w:vAlign w:val="center"/>
          </w:tcPr>
          <w:p>
            <w:pPr>
              <w:spacing w:line="600" w:lineRule="exact"/>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项目团队</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投标人针对本项目实施团队技术力量配置人员1—5（含）人的得1分，5人（不含）以上的得2分；配备人员中60%及以上人员具有中高级及以上电工岗位技能证书的得2分；</w:t>
            </w:r>
          </w:p>
          <w:p>
            <w:pPr>
              <w:spacing w:line="600" w:lineRule="exact"/>
              <w:jc w:val="lef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lang w:val="en-US" w:eastAsia="zh-CN"/>
              </w:rPr>
              <w:t>投标文件中提供人员清单、社保证明、相关证书复印件等证明材料复印件；</w:t>
            </w:r>
          </w:p>
        </w:tc>
        <w:tc>
          <w:tcPr>
            <w:tcW w:w="854"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7684" w:type="dxa"/>
            <w:vAlign w:val="center"/>
          </w:tcPr>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lang w:val="zh-CN" w:eastAsia="zh-CN"/>
              </w:rPr>
              <w:t>售后服务方案：售后服务方案科学合理，售后服务机构技术力量强，售后服务人员组成合理、分工明确，售后服务保障措施完善可行，培训方案科学合理、故障排除响应及时，质保期后服务承诺合理有效等，</w:t>
            </w:r>
            <w:r>
              <w:rPr>
                <w:rFonts w:hint="eastAsia" w:ascii="宋体" w:hAnsi="宋体" w:cs="宋体"/>
                <w:color w:val="auto"/>
                <w:sz w:val="24"/>
                <w:highlight w:val="none"/>
              </w:rPr>
              <w:t>由专家进行打分；</w:t>
            </w:r>
            <w:r>
              <w:rPr>
                <w:rFonts w:hint="eastAsia" w:ascii="宋体" w:hAnsi="宋体" w:cs="宋体"/>
                <w:color w:val="auto"/>
                <w:sz w:val="24"/>
                <w:highlight w:val="none"/>
                <w:lang w:val="en-US" w:eastAsia="zh-CN"/>
              </w:rPr>
              <w:t>（0—4分）</w:t>
            </w:r>
          </w:p>
        </w:tc>
        <w:tc>
          <w:tcPr>
            <w:tcW w:w="854"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7684" w:type="dxa"/>
            <w:vAlign w:val="center"/>
          </w:tcPr>
          <w:p>
            <w:pPr>
              <w:spacing w:line="600" w:lineRule="exact"/>
              <w:jc w:val="left"/>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售后技术服务能力保证情况：投标人承诺</w:t>
            </w:r>
            <w:r>
              <w:rPr>
                <w:rFonts w:hint="eastAsia" w:ascii="宋体" w:hAnsi="宋体" w:cs="宋体"/>
                <w:color w:val="auto"/>
                <w:sz w:val="24"/>
                <w:highlight w:val="none"/>
                <w:lang w:val="en-US" w:eastAsia="zh-CN"/>
              </w:rPr>
              <w:t>2小时内及时响应的得2分，没有不得分；承诺书格式自拟；</w:t>
            </w:r>
          </w:p>
          <w:p>
            <w:pPr>
              <w:spacing w:line="600" w:lineRule="exact"/>
              <w:jc w:val="left"/>
              <w:rPr>
                <w:rFonts w:ascii="宋体" w:hAnsi="宋体" w:cs="宋体"/>
                <w:color w:val="auto"/>
                <w:sz w:val="24"/>
                <w:highlight w:val="none"/>
                <w:lang w:val="zh-CN"/>
              </w:rPr>
            </w:pPr>
            <w:r>
              <w:rPr>
                <w:rFonts w:hint="eastAsia" w:ascii="宋体" w:hAnsi="宋体" w:cs="宋体"/>
                <w:b/>
                <w:bCs/>
                <w:color w:val="auto"/>
                <w:sz w:val="24"/>
                <w:highlight w:val="none"/>
                <w:lang w:val="zh-CN" w:eastAsia="zh-CN"/>
              </w:rPr>
              <w:t xml:space="preserve">投标文件中提供承诺书； </w:t>
            </w:r>
          </w:p>
        </w:tc>
        <w:tc>
          <w:tcPr>
            <w:tcW w:w="854"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p>
        </w:tc>
        <w:tc>
          <w:tcPr>
            <w:tcW w:w="7684" w:type="dxa"/>
            <w:vAlign w:val="center"/>
          </w:tcPr>
          <w:p>
            <w:pPr>
              <w:widowControl w:val="0"/>
              <w:wordWrap/>
              <w:adjustRightInd/>
              <w:snapToGrid/>
              <w:spacing w:line="600" w:lineRule="exact"/>
              <w:jc w:val="left"/>
              <w:textAlignment w:val="auto"/>
              <w:rPr>
                <w:rFonts w:hint="eastAsia" w:ascii="宋体" w:hAnsi="宋体" w:eastAsia="宋体" w:cs="宋体"/>
                <w:b w:val="0"/>
                <w:bCs w:val="0"/>
                <w:sz w:val="24"/>
                <w:highlight w:val="none"/>
                <w:lang w:eastAsia="zh-CN"/>
              </w:rPr>
            </w:pPr>
            <w:r>
              <w:rPr>
                <w:rFonts w:hint="eastAsia" w:ascii="宋体" w:hAnsi="宋体" w:cs="宋体"/>
                <w:b w:val="0"/>
                <w:bCs w:val="0"/>
                <w:sz w:val="24"/>
                <w:highlight w:val="none"/>
                <w:lang w:val="en-US" w:eastAsia="zh-CN"/>
              </w:rPr>
              <w:t>企业</w:t>
            </w:r>
            <w:r>
              <w:rPr>
                <w:rFonts w:hint="eastAsia" w:ascii="宋体" w:hAnsi="宋体" w:cs="宋体"/>
                <w:b w:val="0"/>
                <w:bCs w:val="0"/>
                <w:sz w:val="24"/>
                <w:highlight w:val="none"/>
              </w:rPr>
              <w:t>体系认证证书</w:t>
            </w:r>
            <w:r>
              <w:rPr>
                <w:rFonts w:hint="eastAsia" w:ascii="宋体" w:hAnsi="宋体" w:eastAsia="宋体" w:cs="宋体"/>
                <w:sz w:val="24"/>
                <w:szCs w:val="24"/>
                <w:highlight w:val="none"/>
              </w:rPr>
              <w:t>：</w:t>
            </w:r>
            <w:r>
              <w:rPr>
                <w:rFonts w:hint="eastAsia" w:ascii="宋体" w:hAnsi="宋体" w:cs="宋体"/>
                <w:b w:val="0"/>
                <w:bCs w:val="0"/>
                <w:sz w:val="24"/>
                <w:highlight w:val="none"/>
              </w:rPr>
              <w:t>投标人具有质量管理体系认证证书</w:t>
            </w:r>
            <w:r>
              <w:rPr>
                <w:rFonts w:hint="eastAsia" w:ascii="宋体" w:hAnsi="宋体" w:cs="宋体"/>
                <w:b w:val="0"/>
                <w:bCs w:val="0"/>
                <w:sz w:val="24"/>
                <w:highlight w:val="none"/>
                <w:lang w:eastAsia="zh-CN"/>
              </w:rPr>
              <w:t>的得</w:t>
            </w:r>
            <w:r>
              <w:rPr>
                <w:rFonts w:hint="eastAsia" w:ascii="宋体" w:hAnsi="宋体" w:cs="宋体"/>
                <w:b w:val="0"/>
                <w:bCs w:val="0"/>
                <w:sz w:val="24"/>
                <w:highlight w:val="none"/>
                <w:lang w:val="en-US" w:eastAsia="zh-CN"/>
              </w:rPr>
              <w:t>1分</w:t>
            </w:r>
            <w:r>
              <w:rPr>
                <w:rFonts w:hint="eastAsia" w:ascii="宋体" w:hAnsi="宋体" w:cs="宋体"/>
                <w:b w:val="0"/>
                <w:bCs w:val="0"/>
                <w:sz w:val="24"/>
                <w:highlight w:val="none"/>
                <w:lang w:eastAsia="zh-CN"/>
              </w:rPr>
              <w:t>；具有</w:t>
            </w:r>
            <w:r>
              <w:rPr>
                <w:rFonts w:hint="eastAsia" w:ascii="宋体" w:hAnsi="宋体" w:cs="宋体"/>
                <w:b w:val="0"/>
                <w:bCs w:val="0"/>
                <w:sz w:val="24"/>
                <w:highlight w:val="none"/>
              </w:rPr>
              <w:t>环境管理体系认证证书</w:t>
            </w:r>
            <w:r>
              <w:rPr>
                <w:rFonts w:hint="eastAsia" w:ascii="宋体" w:hAnsi="宋体" w:cs="宋体"/>
                <w:b w:val="0"/>
                <w:bCs w:val="0"/>
                <w:sz w:val="24"/>
                <w:highlight w:val="none"/>
                <w:lang w:eastAsia="zh-CN"/>
              </w:rPr>
              <w:t>的得</w:t>
            </w:r>
            <w:r>
              <w:rPr>
                <w:rFonts w:hint="eastAsia" w:ascii="宋体" w:hAnsi="宋体" w:cs="宋体"/>
                <w:b w:val="0"/>
                <w:bCs w:val="0"/>
                <w:sz w:val="24"/>
                <w:highlight w:val="none"/>
                <w:lang w:val="en-US" w:eastAsia="zh-CN"/>
              </w:rPr>
              <w:t>1分</w:t>
            </w:r>
            <w:r>
              <w:rPr>
                <w:rFonts w:hint="eastAsia" w:ascii="宋体" w:hAnsi="宋体" w:cs="宋体"/>
                <w:b w:val="0"/>
                <w:bCs w:val="0"/>
                <w:sz w:val="24"/>
                <w:highlight w:val="none"/>
                <w:lang w:eastAsia="zh-CN"/>
              </w:rPr>
              <w:t>；具有</w:t>
            </w:r>
            <w:r>
              <w:rPr>
                <w:rFonts w:hint="eastAsia" w:ascii="宋体" w:hAnsi="宋体" w:cs="宋体"/>
                <w:b w:val="0"/>
                <w:bCs w:val="0"/>
                <w:sz w:val="24"/>
                <w:highlight w:val="none"/>
              </w:rPr>
              <w:t>职业健康安全管理体系认证证书</w:t>
            </w:r>
            <w:r>
              <w:rPr>
                <w:rFonts w:hint="eastAsia" w:ascii="宋体" w:hAnsi="宋体" w:cs="宋体"/>
                <w:b w:val="0"/>
                <w:bCs w:val="0"/>
                <w:sz w:val="24"/>
                <w:highlight w:val="none"/>
                <w:lang w:eastAsia="zh-CN"/>
              </w:rPr>
              <w:t>的得</w:t>
            </w:r>
            <w:r>
              <w:rPr>
                <w:rFonts w:hint="eastAsia" w:ascii="宋体" w:hAnsi="宋体" w:cs="宋体"/>
                <w:b w:val="0"/>
                <w:bCs w:val="0"/>
                <w:sz w:val="24"/>
                <w:highlight w:val="none"/>
                <w:lang w:val="en-US" w:eastAsia="zh-CN"/>
              </w:rPr>
              <w:t>1分</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证书必须在有效期内；</w:t>
            </w:r>
            <w:r>
              <w:rPr>
                <w:rFonts w:hint="eastAsia" w:ascii="宋体" w:hAnsi="宋体" w:cs="宋体"/>
                <w:b w:val="0"/>
                <w:bCs w:val="0"/>
                <w:sz w:val="24"/>
                <w:highlight w:val="none"/>
              </w:rPr>
              <w:t>最</w:t>
            </w:r>
            <w:r>
              <w:rPr>
                <w:rFonts w:hint="eastAsia" w:ascii="宋体" w:hAnsi="宋体" w:cs="宋体"/>
                <w:b w:val="0"/>
                <w:bCs w:val="0"/>
                <w:sz w:val="24"/>
                <w:highlight w:val="none"/>
                <w:lang w:eastAsia="zh-CN"/>
              </w:rPr>
              <w:t>多得</w:t>
            </w:r>
            <w:r>
              <w:rPr>
                <w:rFonts w:hint="eastAsia" w:ascii="宋体" w:hAnsi="宋体" w:cs="宋体"/>
                <w:b w:val="0"/>
                <w:bCs w:val="0"/>
                <w:sz w:val="24"/>
                <w:highlight w:val="none"/>
              </w:rPr>
              <w:t>3分</w:t>
            </w:r>
            <w:r>
              <w:rPr>
                <w:rFonts w:hint="eastAsia" w:ascii="宋体" w:hAnsi="宋体" w:cs="宋体"/>
                <w:b w:val="0"/>
                <w:bCs w:val="0"/>
                <w:sz w:val="24"/>
                <w:highlight w:val="none"/>
                <w:lang w:eastAsia="zh-CN"/>
              </w:rPr>
              <w:t>；</w:t>
            </w:r>
          </w:p>
          <w:p>
            <w:pPr>
              <w:spacing w:line="600" w:lineRule="exact"/>
              <w:rPr>
                <w:rFonts w:ascii="宋体" w:hAnsi="宋体" w:cs="宋体"/>
                <w:color w:val="auto"/>
                <w:sz w:val="24"/>
                <w:highlight w:val="none"/>
                <w:lang w:val="zh-CN"/>
              </w:rPr>
            </w:pPr>
            <w:r>
              <w:rPr>
                <w:rFonts w:hint="eastAsia" w:ascii="宋体" w:hAnsi="宋体" w:cs="宋体"/>
                <w:b/>
                <w:bCs/>
                <w:sz w:val="24"/>
                <w:highlight w:val="none"/>
              </w:rPr>
              <w:t>投标文件中</w:t>
            </w:r>
            <w:r>
              <w:rPr>
                <w:rFonts w:hint="eastAsia" w:ascii="宋体" w:hAnsi="宋体" w:cs="宋体"/>
                <w:b/>
                <w:bCs/>
                <w:sz w:val="24"/>
                <w:highlight w:val="none"/>
                <w:lang w:eastAsia="zh-CN"/>
              </w:rPr>
              <w:t>同时</w:t>
            </w:r>
            <w:r>
              <w:rPr>
                <w:rFonts w:hint="eastAsia" w:ascii="宋体" w:hAnsi="宋体" w:cs="宋体"/>
                <w:b/>
                <w:bCs/>
                <w:sz w:val="24"/>
                <w:highlight w:val="none"/>
              </w:rPr>
              <w:t>提供证书复印件</w:t>
            </w:r>
            <w:r>
              <w:rPr>
                <w:rFonts w:hint="eastAsia" w:ascii="宋体" w:hAnsi="宋体" w:cs="宋体"/>
                <w:b/>
                <w:bCs/>
                <w:sz w:val="24"/>
                <w:highlight w:val="none"/>
                <w:lang w:eastAsia="zh-CN"/>
              </w:rPr>
              <w:t>；</w:t>
            </w:r>
          </w:p>
        </w:tc>
        <w:tc>
          <w:tcPr>
            <w:tcW w:w="854"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p>
        </w:tc>
        <w:tc>
          <w:tcPr>
            <w:tcW w:w="7684" w:type="dxa"/>
            <w:vAlign w:val="center"/>
          </w:tcPr>
          <w:p>
            <w:pPr>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类似项目实施业绩一览表：投标人</w:t>
            </w:r>
            <w:r>
              <w:rPr>
                <w:rFonts w:hint="eastAsia" w:ascii="宋体" w:hAnsi="宋体" w:cs="宋体"/>
                <w:color w:val="auto"/>
                <w:sz w:val="24"/>
                <w:highlight w:val="none"/>
                <w:lang w:val="en-US" w:eastAsia="zh-CN"/>
              </w:rPr>
              <w:t>或所投品牌厂家</w:t>
            </w:r>
            <w:r>
              <w:rPr>
                <w:rFonts w:hint="eastAsia" w:ascii="宋体" w:hAnsi="宋体" w:cs="宋体"/>
                <w:color w:val="auto"/>
                <w:sz w:val="24"/>
                <w:highlight w:val="none"/>
                <w:lang w:val="zh-CN"/>
              </w:rPr>
              <w:t>自201</w:t>
            </w:r>
            <w:r>
              <w:rPr>
                <w:rFonts w:ascii="宋体" w:hAnsi="宋体" w:cs="宋体"/>
                <w:color w:val="auto"/>
                <w:sz w:val="24"/>
                <w:highlight w:val="none"/>
                <w:lang w:val="zh-CN"/>
              </w:rPr>
              <w:t>9</w:t>
            </w:r>
            <w:r>
              <w:rPr>
                <w:rFonts w:hint="eastAsia" w:ascii="宋体" w:hAnsi="宋体" w:cs="宋体"/>
                <w:color w:val="auto"/>
                <w:sz w:val="24"/>
                <w:highlight w:val="none"/>
                <w:lang w:val="zh-CN"/>
              </w:rPr>
              <w:t>年1月1日（含）以来（时间以合同签订时间为准）承担过</w:t>
            </w:r>
            <w:r>
              <w:rPr>
                <w:rFonts w:hint="eastAsia" w:ascii="宋体" w:hAnsi="宋体" w:cs="宋体"/>
                <w:color w:val="auto"/>
                <w:sz w:val="24"/>
                <w:highlight w:val="none"/>
                <w:lang w:val="zh-CN" w:eastAsia="zh-CN"/>
              </w:rPr>
              <w:t>具有类似的教室灯光改造项目案例</w:t>
            </w:r>
            <w:r>
              <w:rPr>
                <w:rFonts w:hint="eastAsia" w:ascii="宋体" w:hAnsi="宋体" w:cs="宋体"/>
                <w:color w:val="auto"/>
                <w:sz w:val="24"/>
                <w:highlight w:val="none"/>
                <w:lang w:val="zh-CN"/>
              </w:rPr>
              <w:t>的每提供一个案例得</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val="zh-CN"/>
              </w:rPr>
              <w:t>分，最多得</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zh-CN"/>
              </w:rPr>
              <w:t>分；</w:t>
            </w:r>
          </w:p>
          <w:p>
            <w:pPr>
              <w:spacing w:line="600" w:lineRule="exact"/>
              <w:rPr>
                <w:rFonts w:ascii="宋体" w:hAnsi="宋体" w:cs="宋体"/>
                <w:color w:val="auto"/>
                <w:sz w:val="24"/>
                <w:highlight w:val="none"/>
              </w:rPr>
            </w:pPr>
            <w:r>
              <w:rPr>
                <w:rFonts w:hint="eastAsia" w:ascii="宋体" w:hAnsi="宋体" w:cs="宋体"/>
                <w:b/>
                <w:bCs/>
                <w:color w:val="auto"/>
                <w:sz w:val="24"/>
                <w:highlight w:val="none"/>
                <w:lang w:val="zh-CN"/>
              </w:rPr>
              <w:t>投标文件中同时提供合同复印件及验收报告复印件；</w:t>
            </w:r>
          </w:p>
        </w:tc>
        <w:tc>
          <w:tcPr>
            <w:tcW w:w="854"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7684"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有效投标报价的最低价作为评标基准价，其最低报价为满分；按［投标报价得分=（评标基准价/投标报价）*30］的计算公式计算。</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评标过程中，不得去掉报价中的最高报价和最低报价。</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因落实政府采购政策需要进行价格调整的，以调整后的价格计算评标基准价和投标报价。</w:t>
            </w:r>
          </w:p>
        </w:tc>
        <w:tc>
          <w:tcPr>
            <w:tcW w:w="85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30</w:t>
            </w:r>
          </w:p>
        </w:tc>
      </w:tr>
    </w:tbl>
    <w:p>
      <w:pPr>
        <w:keepNext w:val="0"/>
        <w:keepLines w:val="0"/>
        <w:pageBreakBefore w:val="0"/>
        <w:widowControl w:val="0"/>
        <w:kinsoku/>
        <w:wordWrap/>
        <w:overflowPunct/>
        <w:topLinePunct w:val="0"/>
        <w:autoSpaceDE/>
        <w:autoSpaceDN/>
        <w:bidi w:val="0"/>
        <w:adjustRightInd/>
        <w:snapToGrid w:val="0"/>
        <w:spacing w:line="600" w:lineRule="exact"/>
        <w:ind w:firstLine="480" w:firstLineChars="200"/>
        <w:textAlignment w:val="auto"/>
        <w:rPr>
          <w:rFonts w:hint="eastAsia" w:ascii="宋体" w:hAnsi="宋体" w:eastAsia="宋体" w:cs="宋体"/>
          <w:highlight w:val="none"/>
          <w:lang w:eastAsia="zh-CN"/>
        </w:rPr>
      </w:pPr>
      <w:r>
        <w:rPr>
          <w:rFonts w:hint="eastAsia" w:ascii="宋体" w:hAnsi="宋体" w:eastAsia="宋体" w:cs="宋体"/>
          <w:color w:val="000000"/>
          <w:sz w:val="24"/>
          <w:szCs w:val="20"/>
          <w:highlight w:val="none"/>
          <w:lang w:eastAsia="zh-CN"/>
        </w:rPr>
        <w:t>注：开</w:t>
      </w:r>
      <w:r>
        <w:rPr>
          <w:rFonts w:hint="eastAsia" w:ascii="宋体" w:hAnsi="宋体" w:cs="宋体"/>
          <w:color w:val="000000"/>
          <w:sz w:val="24"/>
          <w:szCs w:val="20"/>
          <w:highlight w:val="none"/>
          <w:lang w:eastAsia="zh-CN"/>
        </w:rPr>
        <w:t>评</w:t>
      </w:r>
      <w:r>
        <w:rPr>
          <w:rFonts w:hint="eastAsia" w:ascii="宋体" w:hAnsi="宋体" w:eastAsia="宋体" w:cs="宋体"/>
          <w:color w:val="000000"/>
          <w:sz w:val="24"/>
          <w:szCs w:val="20"/>
          <w:highlight w:val="none"/>
          <w:lang w:eastAsia="zh-CN"/>
        </w:rPr>
        <w:t>标结束后，将会对中标候选人的证书原件进行核查，若复印件存在伪造欺瞒行为，将取消其中标资格。</w:t>
      </w:r>
    </w:p>
    <w:p>
      <w:pPr>
        <w:snapToGrid w:val="0"/>
        <w:spacing w:line="600" w:lineRule="exact"/>
        <w:rPr>
          <w:rFonts w:ascii="宋体" w:hAnsi="宋体" w:cs="宋体"/>
          <w:b/>
          <w:color w:val="auto"/>
          <w:sz w:val="28"/>
          <w:szCs w:val="28"/>
          <w:highlight w:val="none"/>
        </w:rPr>
      </w:pPr>
      <w:r>
        <w:rPr>
          <w:rFonts w:hint="eastAsia" w:ascii="宋体" w:hAnsi="宋体" w:cs="宋体"/>
          <w:b/>
          <w:color w:val="auto"/>
          <w:sz w:val="28"/>
          <w:szCs w:val="28"/>
          <w:highlight w:val="none"/>
        </w:rPr>
        <w:t>一、评标方法</w:t>
      </w:r>
    </w:p>
    <w:p>
      <w:pPr>
        <w:adjustRightInd/>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600" w:lineRule="exact"/>
        <w:rPr>
          <w:rFonts w:ascii="宋体" w:hAnsi="宋体" w:cs="宋体"/>
          <w:color w:val="auto"/>
          <w:kern w:val="0"/>
          <w:sz w:val="28"/>
          <w:szCs w:val="28"/>
          <w:highlight w:val="none"/>
        </w:rPr>
      </w:pPr>
      <w:r>
        <w:rPr>
          <w:rFonts w:hint="eastAsia" w:ascii="宋体" w:hAnsi="宋体" w:cs="宋体"/>
          <w:b/>
          <w:color w:val="auto"/>
          <w:sz w:val="28"/>
          <w:szCs w:val="28"/>
          <w:highlight w:val="none"/>
        </w:rPr>
        <w:t>二、评标标准</w:t>
      </w:r>
    </w:p>
    <w:p>
      <w:pPr>
        <w:spacing w:line="60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600" w:lineRule="exact"/>
        <w:outlineLvl w:val="0"/>
        <w:rPr>
          <w:rFonts w:ascii="宋体" w:hAnsi="宋体" w:cs="宋体"/>
          <w:b/>
          <w:color w:val="auto"/>
          <w:sz w:val="28"/>
          <w:szCs w:val="28"/>
          <w:highlight w:val="none"/>
        </w:rPr>
      </w:pPr>
      <w:r>
        <w:rPr>
          <w:rFonts w:hint="eastAsia" w:ascii="宋体" w:hAnsi="宋体" w:cs="宋体"/>
          <w:b/>
          <w:color w:val="auto"/>
          <w:sz w:val="28"/>
          <w:szCs w:val="28"/>
          <w:highlight w:val="none"/>
        </w:rPr>
        <w:t>三、评标程序</w:t>
      </w:r>
    </w:p>
    <w:p>
      <w:pPr>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600" w:lineRule="exact"/>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spacing w:line="600" w:lineRule="exact"/>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3.4.1投标文件报价出现前后不一致的，按照下列规定修正：</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60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60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600" w:lineRule="exact"/>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600" w:lineRule="exact"/>
        <w:rPr>
          <w:rFonts w:ascii="宋体" w:hAnsi="宋体" w:cs="宋体"/>
          <w:b/>
          <w:color w:val="auto"/>
          <w:kern w:val="0"/>
          <w:sz w:val="24"/>
          <w:highlight w:val="none"/>
        </w:rPr>
      </w:pPr>
      <w:r>
        <w:rPr>
          <w:rFonts w:hint="eastAsia" w:ascii="宋体" w:hAnsi="宋体" w:cs="宋体"/>
          <w:color w:val="auto"/>
          <w:kern w:val="0"/>
          <w:sz w:val="24"/>
          <w:highlight w:val="none"/>
        </w:rPr>
        <w:t xml:space="preserve">    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line="600" w:lineRule="exact"/>
        <w:jc w:val="left"/>
        <w:rPr>
          <w:rFonts w:ascii="宋体" w:hAnsi="宋体" w:cs="宋体"/>
          <w:b/>
          <w:color w:val="auto"/>
          <w:sz w:val="28"/>
          <w:szCs w:val="28"/>
          <w:highlight w:val="none"/>
        </w:rPr>
      </w:pPr>
      <w:r>
        <w:rPr>
          <w:rFonts w:hint="eastAsia" w:ascii="宋体" w:hAnsi="宋体" w:cs="宋体"/>
          <w:b/>
          <w:color w:val="auto"/>
          <w:sz w:val="28"/>
          <w:szCs w:val="28"/>
          <w:highlight w:val="none"/>
        </w:rPr>
        <w:t>四、评标中的其他事项</w:t>
      </w:r>
    </w:p>
    <w:p>
      <w:pPr>
        <w:pStyle w:val="87"/>
        <w:spacing w:before="0" w:line="600" w:lineRule="exact"/>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600" w:lineRule="exact"/>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有下列情况之一的，投标无效：</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600" w:lineRule="exact"/>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60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4.2.12投标人仅提交备份投标文件，没有在电子交易平台传输递交投标文件的，投标无效；</w:t>
      </w:r>
    </w:p>
    <w:p>
      <w:pPr>
        <w:pStyle w:val="6"/>
        <w:spacing w:line="600" w:lineRule="exact"/>
        <w:ind w:left="0" w:firstLine="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 xml:space="preserve">    4.2.13 投标文件不满足招标文件的其它实质性要求的；</w:t>
      </w:r>
    </w:p>
    <w:p>
      <w:pPr>
        <w:spacing w:line="6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4.2.14法律、法规、规章（适用本市的）及省级以上规范性文件（适用本市的）规定的其他无效情形。</w:t>
      </w:r>
    </w:p>
    <w:p>
      <w:pPr>
        <w:pStyle w:val="26"/>
        <w:snapToGrid w:val="0"/>
        <w:spacing w:line="600" w:lineRule="exact"/>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600" w:lineRule="exact"/>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600" w:lineRule="exact"/>
        <w:rPr>
          <w:rFonts w:cs="宋体"/>
          <w:color w:val="auto"/>
          <w:highlight w:val="none"/>
        </w:rPr>
      </w:pPr>
      <w:r>
        <w:rPr>
          <w:rFonts w:hint="eastAsia" w:cs="宋体"/>
          <w:color w:val="auto"/>
          <w:highlight w:val="none"/>
        </w:rPr>
        <w:t>5.2出现影响采购公正的违法、违规行为的；</w:t>
      </w:r>
    </w:p>
    <w:p>
      <w:pPr>
        <w:pStyle w:val="26"/>
        <w:snapToGrid w:val="0"/>
        <w:spacing w:line="600" w:lineRule="exact"/>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600" w:lineRule="exact"/>
        <w:rPr>
          <w:rFonts w:cs="宋体"/>
          <w:color w:val="auto"/>
          <w:highlight w:val="none"/>
        </w:rPr>
      </w:pPr>
      <w:r>
        <w:rPr>
          <w:rFonts w:hint="eastAsia" w:cs="宋体"/>
          <w:color w:val="auto"/>
          <w:highlight w:val="none"/>
        </w:rPr>
        <w:t>5.4因重大变故，采购任务取消的。</w:t>
      </w:r>
    </w:p>
    <w:p>
      <w:pPr>
        <w:pStyle w:val="26"/>
        <w:snapToGrid w:val="0"/>
        <w:spacing w:line="600" w:lineRule="exact"/>
        <w:rPr>
          <w:rFonts w:cs="宋体"/>
          <w:color w:val="auto"/>
          <w:highlight w:val="none"/>
        </w:rPr>
      </w:pPr>
      <w:r>
        <w:rPr>
          <w:rFonts w:hint="eastAsia" w:cs="宋体"/>
          <w:color w:val="auto"/>
          <w:highlight w:val="none"/>
        </w:rPr>
        <w:t>废标后，采购机构应当将废标理由通知所有投标人。</w:t>
      </w:r>
    </w:p>
    <w:p>
      <w:pPr>
        <w:pStyle w:val="26"/>
        <w:snapToGrid w:val="0"/>
        <w:spacing w:line="600" w:lineRule="exact"/>
        <w:ind w:firstLine="482"/>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600" w:lineRule="exact"/>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有政府采购法第七十一条、第七十二条规定的违法行为之一，影响或者可能影响中标、成交结果的，依照下列规定处理：</w:t>
      </w:r>
    </w:p>
    <w:p>
      <w:pPr>
        <w:pStyle w:val="26"/>
        <w:snapToGrid w:val="0"/>
        <w:spacing w:line="600" w:lineRule="exact"/>
        <w:rPr>
          <w:rFonts w:cs="宋体"/>
          <w:color w:val="auto"/>
          <w:highlight w:val="none"/>
        </w:rPr>
      </w:pPr>
      <w:r>
        <w:rPr>
          <w:rFonts w:hint="eastAsia" w:cs="宋体"/>
          <w:color w:val="auto"/>
          <w:highlight w:val="none"/>
        </w:rPr>
        <w:t>7.1未确定中标或者中标人的，终止本次政府采购活动，重新开展政府采购活动。</w:t>
      </w:r>
    </w:p>
    <w:p>
      <w:pPr>
        <w:pStyle w:val="26"/>
        <w:snapToGrid w:val="0"/>
        <w:spacing w:line="600" w:lineRule="exact"/>
        <w:rPr>
          <w:rFonts w:cs="宋体"/>
          <w:color w:val="auto"/>
          <w:highlight w:val="none"/>
        </w:rPr>
      </w:pPr>
      <w:r>
        <w:rPr>
          <w:rFonts w:hint="eastAsia"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600" w:lineRule="exact"/>
        <w:rPr>
          <w:rFonts w:cs="宋体"/>
          <w:color w:val="auto"/>
          <w:highlight w:val="none"/>
        </w:rPr>
      </w:pPr>
      <w:r>
        <w:rPr>
          <w:rFonts w:hint="eastAsia"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600" w:lineRule="exact"/>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600" w:lineRule="exact"/>
        <w:rPr>
          <w:rFonts w:cs="宋体"/>
          <w:color w:val="auto"/>
          <w:highlight w:val="none"/>
        </w:rPr>
      </w:pPr>
      <w:r>
        <w:rPr>
          <w:rFonts w:hint="eastAsia" w:cs="宋体"/>
          <w:color w:val="auto"/>
          <w:highlight w:val="none"/>
        </w:rPr>
        <w:t>7.5政府采购当事人有其他违反政府采购法</w:t>
      </w:r>
      <w:r>
        <w:rPr>
          <w:rFonts w:hint="eastAsia" w:cs="宋体"/>
          <w:color w:val="auto"/>
          <w:kern w:val="0"/>
          <w:highlight w:val="none"/>
        </w:rPr>
        <w:t>或者政府采购法实施条例等法律法规规定</w:t>
      </w:r>
      <w:r>
        <w:rPr>
          <w:rFonts w:hint="eastAsia" w:cs="宋体"/>
          <w:color w:val="auto"/>
          <w:highlight w:val="none"/>
        </w:rPr>
        <w:t>的行为，经改正后仍然影响或者可能影响中标、成交结果或者依法被认定为中标、成交无效的，依照7.1-7.4规定处理。</w:t>
      </w:r>
    </w:p>
    <w:p>
      <w:pPr>
        <w:pStyle w:val="26"/>
        <w:snapToGrid w:val="0"/>
        <w:spacing w:line="360" w:lineRule="auto"/>
        <w:ind w:firstLine="0" w:firstLineChars="0"/>
        <w:jc w:val="center"/>
        <w:rPr>
          <w:rFonts w:cs="宋体"/>
          <w:color w:val="auto"/>
          <w:highlight w:val="none"/>
        </w:rPr>
      </w:pPr>
    </w:p>
    <w:bookmarkEnd w:id="21"/>
    <w:p>
      <w:pPr>
        <w:spacing w:line="360" w:lineRule="auto"/>
        <w:jc w:val="center"/>
        <w:outlineLvl w:val="0"/>
        <w:rPr>
          <w:rFonts w:ascii="宋体" w:hAnsi="宋体" w:cs="宋体"/>
          <w:b/>
          <w:color w:val="auto"/>
          <w:sz w:val="24"/>
          <w:highlight w:val="none"/>
        </w:rPr>
      </w:pPr>
      <w:bookmarkStart w:id="387" w:name="第五部分"/>
      <w:bookmarkStart w:id="388" w:name="_Toc86217003"/>
    </w:p>
    <w:p>
      <w:pPr>
        <w:numPr>
          <w:ilvl w:val="0"/>
          <w:numId w:val="1"/>
        </w:numPr>
        <w:spacing w:line="360" w:lineRule="auto"/>
        <w:ind w:left="720" w:leftChars="343" w:firstLine="1084" w:firstLineChars="300"/>
        <w:outlineLvl w:val="0"/>
        <w:rPr>
          <w:rFonts w:hint="eastAsia" w:ascii="宋体" w:hAnsi="宋体" w:cs="宋体"/>
          <w:b/>
          <w:color w:val="auto"/>
          <w:sz w:val="36"/>
          <w:szCs w:val="36"/>
          <w:highlight w:val="none"/>
        </w:rPr>
        <w:sectPr>
          <w:pgSz w:w="11905" w:h="16838"/>
          <w:pgMar w:top="1531" w:right="1304" w:bottom="1531" w:left="1361" w:header="851" w:footer="992" w:gutter="0"/>
          <w:cols w:space="720" w:num="1"/>
          <w:titlePg/>
          <w:docGrid w:linePitch="1" w:charSpace="0"/>
        </w:sectPr>
      </w:pPr>
    </w:p>
    <w:p>
      <w:pPr>
        <w:numPr>
          <w:ilvl w:val="0"/>
          <w:numId w:val="1"/>
        </w:numPr>
        <w:spacing w:line="360" w:lineRule="auto"/>
        <w:ind w:left="720" w:leftChars="343" w:firstLine="1084" w:firstLineChars="300"/>
        <w:outlineLvl w:val="0"/>
        <w:rPr>
          <w:rFonts w:hint="eastAsia" w:ascii="宋体" w:hAnsi="宋体" w:cs="宋体"/>
          <w:b/>
          <w:color w:val="auto"/>
          <w:sz w:val="36"/>
          <w:szCs w:val="36"/>
          <w:highlight w:val="none"/>
        </w:rPr>
      </w:pPr>
      <w:r>
        <w:rPr>
          <w:rFonts w:hint="eastAsia" w:ascii="宋体" w:hAnsi="宋体" w:cs="宋体"/>
          <w:b/>
          <w:color w:val="auto"/>
          <w:sz w:val="36"/>
          <w:szCs w:val="36"/>
          <w:highlight w:val="none"/>
        </w:rPr>
        <w:t>拟签订的合同文本</w:t>
      </w:r>
    </w:p>
    <w:p>
      <w:pPr>
        <w:numPr>
          <w:ilvl w:val="0"/>
          <w:numId w:val="0"/>
        </w:numPr>
        <w:spacing w:line="360" w:lineRule="auto"/>
        <w:ind w:leftChars="643"/>
        <w:outlineLvl w:val="0"/>
        <w:rPr>
          <w:rFonts w:ascii="宋体" w:hAnsi="宋体" w:cs="宋体"/>
          <w:b/>
          <w:color w:val="auto"/>
          <w:sz w:val="36"/>
          <w:szCs w:val="36"/>
          <w:highlight w:val="none"/>
        </w:rPr>
      </w:pPr>
      <w:r>
        <w:rPr>
          <w:rFonts w:hint="eastAsia" w:ascii="宋体" w:hAnsi="宋体" w:cs="宋体"/>
          <w:b/>
          <w:color w:val="auto"/>
          <w:sz w:val="36"/>
          <w:szCs w:val="36"/>
          <w:highlight w:val="none"/>
          <w:lang w:eastAsia="zh-CN"/>
        </w:rPr>
        <w:t>（标项一、标项二、标项三、标项四）</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color w:val="auto"/>
          <w:highlight w:val="none"/>
        </w:rPr>
      </w:pPr>
      <w:r>
        <w:rPr>
          <w:rFonts w:hint="eastAsia" w:ascii="宋体" w:hAnsi="宋体" w:cs="宋体"/>
          <w:b/>
          <w:color w:val="auto"/>
          <w:sz w:val="36"/>
          <w:szCs w:val="36"/>
          <w:highlight w:val="none"/>
        </w:rPr>
        <w:t>（货物类）</w:t>
      </w:r>
    </w:p>
    <w:p>
      <w:pPr>
        <w:pStyle w:val="387"/>
        <w:ind w:left="0" w:leftChars="0" w:firstLine="0" w:firstLineChars="0"/>
        <w:rPr>
          <w:rFonts w:ascii="宋体" w:hAnsi="宋体" w:cs="宋体"/>
          <w:color w:val="auto"/>
          <w:szCs w:val="24"/>
          <w:highlight w:val="none"/>
        </w:rPr>
      </w:pPr>
      <w:r>
        <w:rPr>
          <w:rFonts w:hint="eastAsia" w:ascii="宋体" w:hAnsi="宋体" w:cs="宋体"/>
          <w:color w:val="auto"/>
          <w:szCs w:val="24"/>
          <w:highlight w:val="none"/>
        </w:rPr>
        <w:t xml:space="preserve"> </w:t>
      </w:r>
    </w:p>
    <w:p>
      <w:pPr>
        <w:pStyle w:val="387"/>
        <w:ind w:left="0" w:leftChars="0" w:firstLine="0" w:firstLineChars="0"/>
        <w:jc w:val="center"/>
        <w:rPr>
          <w:rFonts w:ascii="宋体" w:hAnsi="宋体" w:cs="宋体"/>
          <w:b/>
          <w:color w:val="auto"/>
          <w:szCs w:val="24"/>
          <w:highlight w:val="none"/>
        </w:rPr>
      </w:pPr>
      <w:r>
        <w:rPr>
          <w:rFonts w:hint="eastAsia" w:ascii="宋体" w:hAnsi="宋体" w:cs="宋体"/>
          <w:b/>
          <w:color w:val="auto"/>
          <w:sz w:val="28"/>
          <w:szCs w:val="28"/>
          <w:highlight w:val="none"/>
        </w:rPr>
        <w:t>第一部分 合同书</w:t>
      </w:r>
    </w:p>
    <w:p>
      <w:pPr>
        <w:pStyle w:val="387"/>
        <w:ind w:left="0" w:leftChars="0" w:firstLine="0" w:firstLineChars="0"/>
        <w:rPr>
          <w:rFonts w:ascii="宋体" w:hAnsi="宋体" w:cs="宋体"/>
          <w:color w:val="auto"/>
          <w:szCs w:val="24"/>
          <w:highlight w:val="none"/>
        </w:rPr>
      </w:pP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 xml:space="preserve">    项目名称：</w:t>
      </w:r>
      <w:r>
        <w:rPr>
          <w:rFonts w:hint="eastAsia" w:ascii="宋体" w:hAnsi="宋体" w:cs="宋体"/>
          <w:color w:val="auto"/>
          <w:sz w:val="24"/>
          <w:highlight w:val="none"/>
          <w:u w:val="single"/>
        </w:rPr>
        <w:t xml:space="preserve">                                   </w:t>
      </w:r>
    </w:p>
    <w:p>
      <w:pPr>
        <w:pStyle w:val="284"/>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 xml:space="preserve">    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 xml:space="preserve">    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r>
        <w:rPr>
          <w:rFonts w:hint="eastAsia" w:ascii="宋体" w:hAnsi="宋体" w:cs="宋体"/>
          <w:color w:val="auto"/>
          <w:sz w:val="24"/>
          <w:highlight w:val="none"/>
        </w:rPr>
        <w:t xml:space="preserve">  </w:t>
      </w: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 xml:space="preserve">    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 xml:space="preserve">    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（政府采购方式）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（同前页项目名称）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（中标供应商名称）</w:t>
      </w:r>
      <w:r>
        <w:rPr>
          <w:rFonts w:hint="eastAsia" w:ascii="宋体" w:hAnsi="宋体" w:cs="宋体"/>
          <w:color w:val="auto"/>
          <w:sz w:val="24"/>
          <w:highlight w:val="none"/>
        </w:rPr>
        <w:t>为该项目中标供应商。现于中标通知书发出之日起三十日内，按照采购文件确定的事项签订本合同。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600" w:lineRule="exact"/>
        <w:ind w:firstLine="482" w:firstLineChars="200"/>
        <w:outlineLvl w:val="0"/>
        <w:rPr>
          <w:rFonts w:ascii="宋体" w:hAnsi="宋体" w:cs="宋体"/>
          <w:b/>
          <w:color w:val="auto"/>
          <w:sz w:val="24"/>
          <w:highlight w:val="none"/>
        </w:rPr>
      </w:pPr>
      <w:bookmarkStart w:id="389" w:name="_Toc2232"/>
      <w:bookmarkStart w:id="390" w:name="_Toc24059"/>
      <w:bookmarkStart w:id="391" w:name="_Toc3029"/>
      <w:r>
        <w:rPr>
          <w:rFonts w:hint="eastAsia" w:ascii="宋体" w:hAnsi="宋体" w:cs="宋体"/>
          <w:b/>
          <w:color w:val="auto"/>
          <w:sz w:val="24"/>
          <w:highlight w:val="none"/>
        </w:rPr>
        <w:t>1.1 合同组成部分</w:t>
      </w:r>
      <w:bookmarkEnd w:id="389"/>
      <w:bookmarkEnd w:id="390"/>
      <w:bookmarkEnd w:id="391"/>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招标文件（含澄清或者修改文件）；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600" w:lineRule="exact"/>
        <w:ind w:firstLine="482" w:firstLineChars="200"/>
        <w:outlineLvl w:val="0"/>
        <w:rPr>
          <w:rFonts w:ascii="宋体" w:hAnsi="宋体" w:cs="宋体"/>
          <w:b/>
          <w:color w:val="auto"/>
          <w:sz w:val="24"/>
          <w:highlight w:val="none"/>
        </w:rPr>
      </w:pPr>
      <w:bookmarkStart w:id="392" w:name="_Toc21295"/>
      <w:bookmarkStart w:id="393" w:name="_Toc24300"/>
      <w:bookmarkStart w:id="394" w:name="_Toc27126"/>
      <w:r>
        <w:rPr>
          <w:rFonts w:hint="eastAsia" w:ascii="宋体" w:hAnsi="宋体" w:cs="宋体"/>
          <w:b/>
          <w:color w:val="auto"/>
          <w:sz w:val="24"/>
          <w:highlight w:val="none"/>
        </w:rPr>
        <w:t>1.2 货物</w:t>
      </w:r>
      <w:bookmarkEnd w:id="392"/>
      <w:bookmarkEnd w:id="393"/>
      <w:bookmarkEnd w:id="394"/>
    </w:p>
    <w:p>
      <w:pPr>
        <w:spacing w:line="6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1.2.1 货物名称：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395" w:name="_Toc21551"/>
      <w:bookmarkStart w:id="396" w:name="_Toc23292"/>
      <w:bookmarkStart w:id="397" w:name="_Toc21631"/>
      <w:r>
        <w:rPr>
          <w:rFonts w:hint="eastAsia" w:ascii="宋体" w:hAnsi="宋体" w:cs="宋体"/>
          <w:b/>
          <w:color w:val="auto"/>
          <w:sz w:val="24"/>
          <w:highlight w:val="none"/>
        </w:rPr>
        <w:t>1.3 价款</w:t>
      </w:r>
      <w:bookmarkEnd w:id="395"/>
      <w:bookmarkEnd w:id="396"/>
      <w:bookmarkEnd w:id="397"/>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本合同总价为：￥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6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bl>
    <w:p>
      <w:pPr>
        <w:spacing w:line="600" w:lineRule="exact"/>
        <w:ind w:firstLine="482" w:firstLineChars="200"/>
        <w:outlineLvl w:val="0"/>
        <w:rPr>
          <w:rFonts w:ascii="宋体" w:hAnsi="宋体" w:cs="宋体"/>
          <w:b/>
          <w:color w:val="auto"/>
          <w:sz w:val="24"/>
          <w:highlight w:val="none"/>
        </w:rPr>
      </w:pPr>
      <w:bookmarkStart w:id="398" w:name="_Toc1814"/>
      <w:bookmarkStart w:id="399" w:name="_Toc10340"/>
      <w:bookmarkStart w:id="400" w:name="_Toc22618"/>
      <w:r>
        <w:rPr>
          <w:rFonts w:hint="eastAsia" w:ascii="宋体" w:hAnsi="宋体" w:cs="宋体"/>
          <w:b/>
          <w:color w:val="auto"/>
          <w:sz w:val="24"/>
          <w:highlight w:val="none"/>
        </w:rPr>
        <w:t>1.4 付款</w:t>
      </w:r>
      <w:bookmarkEnd w:id="398"/>
      <w:bookmarkEnd w:id="399"/>
      <w:bookmarkEnd w:id="400"/>
      <w:r>
        <w:rPr>
          <w:rFonts w:hint="eastAsia" w:ascii="宋体" w:hAnsi="宋体" w:cs="宋体"/>
          <w:b/>
          <w:color w:val="auto"/>
          <w:sz w:val="24"/>
          <w:highlight w:val="none"/>
        </w:rPr>
        <w:t>方式、时间和条件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合同签订生效以及具备实施条件后10个工作日内，采购人向中标方支付合同金额40％的预付款。</w:t>
      </w:r>
    </w:p>
    <w:p>
      <w:pPr>
        <w:spacing w:line="60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采购人在供应商根据合同规定将项目交付、验收合格后，供应商提供发票，采购人凭发票、确认单以及合同上报区财政，区财政审批下拨款到位后，立即支付剩余60％货款。1.4.4资金支付的方式、时间和条件详见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600" w:lineRule="exact"/>
        <w:ind w:firstLine="482" w:firstLineChars="200"/>
        <w:outlineLvl w:val="0"/>
        <w:rPr>
          <w:rFonts w:ascii="宋体" w:hAnsi="宋体" w:cs="宋体"/>
          <w:b/>
          <w:color w:val="auto"/>
          <w:sz w:val="24"/>
          <w:highlight w:val="none"/>
        </w:rPr>
      </w:pPr>
      <w:bookmarkStart w:id="401" w:name="_Toc2846"/>
      <w:bookmarkStart w:id="402" w:name="_Toc19304"/>
      <w:bookmarkStart w:id="403" w:name="_Toc32071"/>
      <w:r>
        <w:rPr>
          <w:rFonts w:hint="eastAsia" w:ascii="宋体" w:hAnsi="宋体" w:cs="宋体"/>
          <w:b/>
          <w:color w:val="auto"/>
          <w:sz w:val="24"/>
          <w:highlight w:val="none"/>
        </w:rPr>
        <w:t>1.5 货物交付期限、地点和方式</w:t>
      </w:r>
      <w:bookmarkEnd w:id="401"/>
      <w:bookmarkEnd w:id="402"/>
      <w:bookmarkEnd w:id="403"/>
    </w:p>
    <w:p>
      <w:pPr>
        <w:spacing w:line="6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1.5.1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404" w:name="_Toc19554"/>
      <w:bookmarkStart w:id="405" w:name="_Toc21423"/>
      <w:bookmarkStart w:id="406" w:name="_Toc27250"/>
      <w:r>
        <w:rPr>
          <w:rFonts w:hint="eastAsia" w:ascii="宋体" w:hAnsi="宋体" w:cs="宋体"/>
          <w:b/>
          <w:color w:val="auto"/>
          <w:sz w:val="24"/>
          <w:highlight w:val="none"/>
        </w:rPr>
        <w:t>1.6 违约责任</w:t>
      </w:r>
      <w:bookmarkEnd w:id="404"/>
      <w:bookmarkEnd w:id="405"/>
      <w:bookmarkEnd w:id="406"/>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600" w:lineRule="exact"/>
        <w:ind w:left="-420" w:leftChars="-200" w:right="-420" w:rightChars="-200" w:firstLine="960" w:firstLineChars="400"/>
        <w:rPr>
          <w:rFonts w:ascii="宋体" w:hAnsi="宋体" w:cs="宋体"/>
          <w:color w:val="auto"/>
          <w:sz w:val="24"/>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600" w:lineRule="exact"/>
        <w:ind w:firstLine="482" w:firstLineChars="200"/>
        <w:outlineLvl w:val="0"/>
        <w:rPr>
          <w:rFonts w:ascii="宋体" w:hAnsi="宋体" w:cs="宋体"/>
          <w:b/>
          <w:color w:val="auto"/>
          <w:sz w:val="24"/>
          <w:highlight w:val="none"/>
        </w:rPr>
      </w:pPr>
      <w:bookmarkStart w:id="407" w:name="_Toc28375"/>
      <w:bookmarkStart w:id="408" w:name="_Toc15583"/>
      <w:bookmarkStart w:id="409" w:name="_Toc16021"/>
      <w:r>
        <w:rPr>
          <w:rFonts w:hint="eastAsia" w:ascii="宋体" w:hAnsi="宋体" w:cs="宋体"/>
          <w:b/>
          <w:color w:val="auto"/>
          <w:sz w:val="24"/>
          <w:highlight w:val="none"/>
        </w:rPr>
        <w:t>1.7 合同争议的解决</w:t>
      </w:r>
      <w:bookmarkEnd w:id="407"/>
      <w:bookmarkEnd w:id="408"/>
      <w:bookmarkEnd w:id="409"/>
    </w:p>
    <w:p>
      <w:pPr>
        <w:spacing w:line="60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60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60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600" w:lineRule="exact"/>
        <w:ind w:firstLine="482" w:firstLineChars="200"/>
        <w:outlineLvl w:val="0"/>
        <w:rPr>
          <w:rFonts w:ascii="宋体" w:hAnsi="宋体" w:cs="宋体"/>
          <w:b/>
          <w:color w:val="auto"/>
          <w:sz w:val="24"/>
          <w:highlight w:val="none"/>
        </w:rPr>
      </w:pPr>
      <w:bookmarkStart w:id="410" w:name="_Toc15322"/>
      <w:bookmarkStart w:id="411" w:name="_Toc11173"/>
      <w:bookmarkStart w:id="412" w:name="_Toc7245"/>
      <w:r>
        <w:rPr>
          <w:rFonts w:hint="eastAsia" w:ascii="宋体" w:hAnsi="宋体" w:cs="宋体"/>
          <w:b/>
          <w:color w:val="auto"/>
          <w:sz w:val="24"/>
          <w:highlight w:val="none"/>
        </w:rPr>
        <w:t>1.8 合同生效</w:t>
      </w:r>
      <w:bookmarkEnd w:id="410"/>
      <w:bookmarkEnd w:id="411"/>
      <w:bookmarkEnd w:id="412"/>
    </w:p>
    <w:p>
      <w:pPr>
        <w:spacing w:line="60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p>
      <w:pPr>
        <w:autoSpaceDE w:val="0"/>
        <w:autoSpaceDN w:val="0"/>
        <w:spacing w:line="600" w:lineRule="exact"/>
        <w:rPr>
          <w:rFonts w:ascii="宋体" w:hAnsi="宋体" w:cs="宋体"/>
          <w:color w:val="auto"/>
          <w:sz w:val="24"/>
          <w:highlight w:val="none"/>
          <w:lang w:val="zh-CN"/>
        </w:rPr>
      </w:pPr>
    </w:p>
    <w:p>
      <w:pPr>
        <w:autoSpaceDE w:val="0"/>
        <w:autoSpaceDN w:val="0"/>
        <w:spacing w:line="60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600" w:lineRule="exact"/>
        <w:rPr>
          <w:rFonts w:ascii="宋体" w:hAnsi="宋体" w:cs="宋体"/>
          <w:color w:val="auto"/>
          <w:sz w:val="24"/>
          <w:highlight w:val="none"/>
          <w:lang w:val="zh-CN"/>
        </w:rPr>
      </w:pP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60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60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60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60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bookmarkStart w:id="413" w:name="_Toc331685783"/>
    </w:p>
    <w:p>
      <w:pPr>
        <w:pStyle w:val="5"/>
        <w:rPr>
          <w:rFonts w:ascii="宋体" w:hAnsi="宋体" w:cs="宋体"/>
          <w:color w:val="auto"/>
          <w:sz w:val="24"/>
          <w:szCs w:val="24"/>
          <w:highlight w:val="none"/>
        </w:rPr>
      </w:pPr>
    </w:p>
    <w:p>
      <w:pPr>
        <w:rPr>
          <w:rFonts w:ascii="宋体" w:hAnsi="宋体" w:cs="宋体"/>
          <w:color w:val="auto"/>
          <w:sz w:val="24"/>
          <w:highlight w:val="none"/>
        </w:rPr>
      </w:pPr>
    </w:p>
    <w:p>
      <w:pPr>
        <w:pStyle w:val="387"/>
        <w:spacing w:after="0" w:line="600" w:lineRule="exact"/>
        <w:ind w:firstLine="482"/>
        <w:jc w:val="center"/>
        <w:rPr>
          <w:rFonts w:ascii="宋体" w:hAnsi="宋体" w:cs="宋体"/>
          <w:b/>
          <w:color w:val="auto"/>
          <w:szCs w:val="24"/>
          <w:highlight w:val="none"/>
        </w:rPr>
      </w:pPr>
    </w:p>
    <w:p>
      <w:pPr>
        <w:pStyle w:val="387"/>
        <w:spacing w:after="0" w:line="600" w:lineRule="exact"/>
        <w:ind w:firstLine="482"/>
        <w:jc w:val="center"/>
        <w:rPr>
          <w:rFonts w:ascii="宋体" w:hAnsi="宋体" w:cs="宋体"/>
          <w:b/>
          <w:color w:val="auto"/>
          <w:szCs w:val="24"/>
          <w:highlight w:val="none"/>
        </w:rPr>
      </w:pPr>
    </w:p>
    <w:p>
      <w:pPr>
        <w:pStyle w:val="387"/>
        <w:spacing w:after="0" w:line="600" w:lineRule="exact"/>
        <w:ind w:firstLine="482"/>
        <w:jc w:val="center"/>
        <w:rPr>
          <w:rFonts w:ascii="宋体" w:hAnsi="宋体" w:cs="宋体"/>
          <w:b/>
          <w:color w:val="auto"/>
          <w:szCs w:val="24"/>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ascii="宋体" w:hAnsi="宋体" w:cs="宋体"/>
          <w:b/>
          <w:color w:val="auto"/>
          <w:sz w:val="28"/>
          <w:szCs w:val="28"/>
          <w:highlight w:val="none"/>
        </w:rPr>
      </w:pPr>
      <w:r>
        <w:rPr>
          <w:rFonts w:hint="eastAsia" w:ascii="宋体" w:hAnsi="宋体" w:cs="宋体"/>
          <w:b/>
          <w:color w:val="auto"/>
          <w:sz w:val="28"/>
          <w:szCs w:val="28"/>
          <w:highlight w:val="none"/>
        </w:rPr>
        <w:t>第二部分 合同一般条款</w:t>
      </w:r>
      <w:bookmarkEnd w:id="413"/>
    </w:p>
    <w:p>
      <w:pPr>
        <w:spacing w:line="600" w:lineRule="exact"/>
        <w:ind w:firstLine="482" w:firstLineChars="200"/>
        <w:outlineLvl w:val="0"/>
        <w:rPr>
          <w:rFonts w:ascii="宋体" w:hAnsi="宋体" w:cs="宋体"/>
          <w:b/>
          <w:color w:val="auto"/>
          <w:sz w:val="24"/>
          <w:highlight w:val="none"/>
        </w:rPr>
      </w:pPr>
      <w:bookmarkStart w:id="414" w:name="_Ref467379109"/>
      <w:bookmarkStart w:id="415" w:name="_Ref467379225"/>
      <w:bookmarkStart w:id="416" w:name="_Ref467379195"/>
      <w:bookmarkStart w:id="417" w:name="_Ref467379101"/>
      <w:bookmarkStart w:id="418" w:name="_Ref467378404"/>
      <w:bookmarkStart w:id="419" w:name="_Toc259093669"/>
      <w:bookmarkStart w:id="420" w:name="_Toc28763"/>
      <w:bookmarkStart w:id="421" w:name="_Toc19614"/>
      <w:bookmarkStart w:id="422" w:name="_Ref467378463"/>
      <w:bookmarkStart w:id="423" w:name="_Toc16917"/>
      <w:bookmarkStart w:id="424" w:name="_Ref467378499"/>
      <w:bookmarkStart w:id="425" w:name="_Ref467379214"/>
      <w:bookmarkStart w:id="426" w:name="_Ref467379205"/>
      <w:bookmarkStart w:id="427" w:name="_Toc279701240"/>
      <w:bookmarkStart w:id="428" w:name="_Toc487900349"/>
      <w:bookmarkStart w:id="429" w:name="_Ref467379094"/>
      <w:r>
        <w:rPr>
          <w:rFonts w:hint="eastAsia" w:ascii="宋体" w:hAnsi="宋体" w:cs="宋体"/>
          <w:b/>
          <w:color w:val="auto"/>
          <w:sz w:val="24"/>
          <w:highlight w:val="none"/>
        </w:rPr>
        <w:t>2.1 定义</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600" w:lineRule="exact"/>
        <w:ind w:firstLine="480" w:firstLineChars="200"/>
        <w:rPr>
          <w:rFonts w:ascii="宋体" w:hAnsi="宋体" w:cs="宋体"/>
          <w:color w:val="auto"/>
          <w:sz w:val="24"/>
          <w:highlight w:val="none"/>
        </w:rPr>
      </w:pPr>
      <w:bookmarkStart w:id="430" w:name="_Ref467378840"/>
      <w:r>
        <w:rPr>
          <w:rFonts w:hint="eastAsia" w:ascii="宋体" w:hAnsi="宋体" w:cs="宋体"/>
          <w:color w:val="auto"/>
          <w:sz w:val="24"/>
          <w:highlight w:val="none"/>
        </w:rPr>
        <w:t>2.1.4 “甲方”系指与中标供应商签署合同的采购人</w:t>
      </w:r>
      <w:bookmarkEnd w:id="430"/>
      <w:r>
        <w:rPr>
          <w:rFonts w:hint="eastAsia" w:ascii="宋体" w:hAnsi="宋体" w:cs="宋体"/>
          <w:color w:val="auto"/>
          <w:sz w:val="24"/>
          <w:highlight w:val="none"/>
        </w:rPr>
        <w:t>；采购人委托采购代理机构代表其与乙方签订合同的，采购人的授权委托书作为合同附件。</w:t>
      </w:r>
    </w:p>
    <w:p>
      <w:pPr>
        <w:spacing w:line="600" w:lineRule="exact"/>
        <w:ind w:firstLine="480" w:firstLineChars="200"/>
        <w:rPr>
          <w:rFonts w:ascii="宋体" w:hAnsi="宋体" w:cs="宋体"/>
          <w:color w:val="auto"/>
          <w:sz w:val="24"/>
          <w:highlight w:val="none"/>
        </w:rPr>
      </w:pPr>
      <w:bookmarkStart w:id="431" w:name="_Ref467379400"/>
      <w:r>
        <w:rPr>
          <w:rFonts w:hint="eastAsia" w:ascii="宋体" w:hAnsi="宋体" w:cs="宋体"/>
          <w:color w:val="auto"/>
          <w:sz w:val="24"/>
          <w:highlight w:val="none"/>
        </w:rPr>
        <w:t>2.1.5 “乙方”系指根据合同约定交付货物的中标供应商</w:t>
      </w:r>
      <w:bookmarkEnd w:id="431"/>
      <w:r>
        <w:rPr>
          <w:rFonts w:hint="eastAsia" w:ascii="宋体" w:hAnsi="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ascii="宋体" w:hAnsi="宋体" w:cs="宋体"/>
          <w:color w:val="auto"/>
          <w:sz w:val="24"/>
          <w:highlight w:val="none"/>
        </w:rPr>
      </w:pPr>
      <w:bookmarkStart w:id="432" w:name="_Ref467379436"/>
      <w:r>
        <w:rPr>
          <w:rFonts w:hint="eastAsia" w:ascii="宋体" w:hAnsi="宋体" w:cs="宋体"/>
          <w:color w:val="auto"/>
          <w:sz w:val="24"/>
          <w:highlight w:val="none"/>
        </w:rPr>
        <w:t>2.1.6 “现场”系指合同约定货物将要运至或者安装的地点。</w:t>
      </w:r>
      <w:bookmarkEnd w:id="432"/>
    </w:p>
    <w:p>
      <w:pPr>
        <w:spacing w:line="600" w:lineRule="exact"/>
        <w:ind w:firstLine="482" w:firstLineChars="200"/>
        <w:outlineLvl w:val="0"/>
        <w:rPr>
          <w:rFonts w:ascii="宋体" w:hAnsi="宋体" w:cs="宋体"/>
          <w:b/>
          <w:color w:val="auto"/>
          <w:sz w:val="24"/>
          <w:highlight w:val="none"/>
        </w:rPr>
      </w:pPr>
      <w:bookmarkStart w:id="433" w:name="_Toc32504"/>
      <w:bookmarkStart w:id="434" w:name="_Toc279701241"/>
      <w:bookmarkStart w:id="435" w:name="_Toc13336"/>
      <w:bookmarkStart w:id="436" w:name="_Toc259093670"/>
      <w:bookmarkStart w:id="437" w:name="_Toc487900350"/>
      <w:bookmarkStart w:id="438" w:name="_Toc27635"/>
      <w:r>
        <w:rPr>
          <w:rFonts w:hint="eastAsia" w:ascii="宋体" w:hAnsi="宋体" w:cs="宋体"/>
          <w:b/>
          <w:color w:val="auto"/>
          <w:sz w:val="24"/>
          <w:highlight w:val="none"/>
        </w:rPr>
        <w:t>2.2 技术规范</w:t>
      </w:r>
      <w:bookmarkEnd w:id="433"/>
      <w:bookmarkEnd w:id="434"/>
      <w:bookmarkEnd w:id="435"/>
      <w:bookmarkEnd w:id="436"/>
      <w:bookmarkEnd w:id="437"/>
      <w:bookmarkEnd w:id="438"/>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600" w:lineRule="exact"/>
        <w:ind w:firstLine="482" w:firstLineChars="200"/>
        <w:outlineLvl w:val="0"/>
        <w:rPr>
          <w:rFonts w:ascii="宋体" w:hAnsi="宋体" w:cs="宋体"/>
          <w:b/>
          <w:color w:val="auto"/>
          <w:sz w:val="24"/>
          <w:highlight w:val="none"/>
        </w:rPr>
      </w:pPr>
      <w:bookmarkStart w:id="439" w:name="_Toc9829"/>
      <w:bookmarkStart w:id="440" w:name="_Toc27853"/>
      <w:bookmarkStart w:id="441" w:name="_Toc279701242"/>
      <w:bookmarkStart w:id="442" w:name="_Toc487900351"/>
      <w:bookmarkStart w:id="443" w:name="_Toc31634"/>
      <w:bookmarkStart w:id="444" w:name="_Toc259093671"/>
      <w:r>
        <w:rPr>
          <w:rFonts w:hint="eastAsia" w:ascii="宋体" w:hAnsi="宋体" w:cs="宋体"/>
          <w:b/>
          <w:color w:val="auto"/>
          <w:sz w:val="24"/>
          <w:highlight w:val="none"/>
        </w:rPr>
        <w:t>2.3 知识产权</w:t>
      </w:r>
      <w:bookmarkEnd w:id="439"/>
      <w:bookmarkEnd w:id="440"/>
      <w:bookmarkEnd w:id="441"/>
      <w:bookmarkEnd w:id="442"/>
      <w:bookmarkEnd w:id="443"/>
      <w:bookmarkEnd w:id="444"/>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2.3.2具有知识产权的计算机软件等货物的知识产权归属，详见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445" w:name="_Toc29149"/>
      <w:bookmarkStart w:id="446" w:name="_Toc4194"/>
      <w:bookmarkStart w:id="447" w:name="_Toc11932"/>
      <w:r>
        <w:rPr>
          <w:rFonts w:hint="eastAsia" w:ascii="宋体" w:hAnsi="宋体" w:cs="宋体"/>
          <w:b/>
          <w:color w:val="auto"/>
          <w:sz w:val="24"/>
          <w:highlight w:val="none"/>
        </w:rPr>
        <w:t>2.4 包装和装运</w:t>
      </w:r>
      <w:bookmarkEnd w:id="445"/>
      <w:bookmarkEnd w:id="446"/>
      <w:bookmarkEnd w:id="447"/>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2.4.2 装运货物的要求和通知，详见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448" w:name="_Toc279701245"/>
      <w:bookmarkStart w:id="449" w:name="_Toc259093674"/>
      <w:bookmarkStart w:id="450" w:name="_Ref467379542"/>
      <w:bookmarkStart w:id="451" w:name="_Toc487900354"/>
      <w:bookmarkStart w:id="452" w:name="_Ref467379536"/>
      <w:bookmarkStart w:id="453" w:name="_Ref467378541"/>
      <w:bookmarkStart w:id="454" w:name="_Ref467378591"/>
      <w:bookmarkStart w:id="455" w:name="_Ref467379527"/>
      <w:bookmarkStart w:id="456" w:name="_Toc19074"/>
      <w:bookmarkStart w:id="457" w:name="_Toc26182"/>
      <w:bookmarkStart w:id="458" w:name="_Toc30272"/>
      <w:r>
        <w:rPr>
          <w:rFonts w:hint="eastAsia" w:ascii="宋体" w:hAnsi="宋体" w:cs="宋体"/>
          <w:b/>
          <w:color w:val="auto"/>
          <w:sz w:val="24"/>
          <w:highlight w:val="none"/>
        </w:rPr>
        <w:t>2.</w:t>
      </w:r>
      <w:bookmarkEnd w:id="448"/>
      <w:bookmarkEnd w:id="449"/>
      <w:bookmarkEnd w:id="450"/>
      <w:bookmarkEnd w:id="451"/>
      <w:bookmarkEnd w:id="452"/>
      <w:bookmarkEnd w:id="453"/>
      <w:bookmarkEnd w:id="454"/>
      <w:bookmarkEnd w:id="455"/>
      <w:r>
        <w:rPr>
          <w:rFonts w:hint="eastAsia" w:ascii="宋体" w:hAnsi="宋体" w:cs="宋体"/>
          <w:b/>
          <w:color w:val="auto"/>
          <w:sz w:val="24"/>
          <w:highlight w:val="none"/>
        </w:rPr>
        <w:t>5 履约检查和问题反馈</w:t>
      </w:r>
      <w:bookmarkEnd w:id="456"/>
      <w:bookmarkEnd w:id="457"/>
      <w:bookmarkEnd w:id="458"/>
    </w:p>
    <w:p>
      <w:pPr>
        <w:spacing w:line="600" w:lineRule="exact"/>
        <w:ind w:firstLine="480" w:firstLineChars="200"/>
        <w:rPr>
          <w:rFonts w:ascii="宋体" w:hAnsi="宋体" w:cs="宋体"/>
          <w:color w:val="auto"/>
          <w:sz w:val="24"/>
          <w:highlight w:val="none"/>
        </w:rPr>
      </w:pPr>
      <w:bookmarkStart w:id="459" w:name="_Ref467379657"/>
      <w:r>
        <w:rPr>
          <w:rFonts w:hint="eastAsia" w:ascii="宋体" w:hAnsi="宋体" w:cs="宋体"/>
          <w:color w:val="auto"/>
          <w:sz w:val="24"/>
          <w:highlight w:val="none"/>
        </w:rPr>
        <w:t>2.5.1</w:t>
      </w:r>
      <w:bookmarkEnd w:id="459"/>
      <w:bookmarkStart w:id="460" w:name="_Toc186431854"/>
      <w:bookmarkStart w:id="461" w:name="_Toc487900357"/>
      <w:bookmarkStart w:id="462" w:name="_Ref467379807"/>
      <w:bookmarkStart w:id="463" w:name="_Ref467379793"/>
      <w:bookmarkStart w:id="464" w:name="_Toc259093676"/>
      <w:bookmarkStart w:id="465" w:name="_Toc279701247"/>
      <w:r>
        <w:rPr>
          <w:rFonts w:hint="eastAsia" w:ascii="宋体" w:hAnsi="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2.5.2 合同履行期间，甲方有权将履行过程中出现的问题反馈给乙方，双方当事人应以书面形式约定需要完善和改进的内容</w:t>
      </w:r>
      <w:bookmarkEnd w:id="460"/>
      <w:bookmarkStart w:id="466" w:name="_Toc186431855"/>
      <w:r>
        <w:rPr>
          <w:rFonts w:hint="eastAsia" w:ascii="宋体" w:hAnsi="宋体" w:cs="宋体"/>
          <w:color w:val="auto"/>
          <w:sz w:val="24"/>
          <w:highlight w:val="none"/>
        </w:rPr>
        <w:t>。</w:t>
      </w:r>
    </w:p>
    <w:bookmarkEnd w:id="461"/>
    <w:bookmarkEnd w:id="462"/>
    <w:bookmarkEnd w:id="463"/>
    <w:bookmarkEnd w:id="464"/>
    <w:bookmarkEnd w:id="465"/>
    <w:bookmarkEnd w:id="466"/>
    <w:p>
      <w:pPr>
        <w:spacing w:line="600" w:lineRule="exact"/>
        <w:ind w:firstLine="482" w:firstLineChars="200"/>
        <w:outlineLvl w:val="0"/>
        <w:rPr>
          <w:rFonts w:ascii="宋体" w:hAnsi="宋体" w:cs="宋体"/>
          <w:b/>
          <w:color w:val="auto"/>
          <w:sz w:val="24"/>
          <w:highlight w:val="none"/>
        </w:rPr>
      </w:pPr>
      <w:bookmarkStart w:id="467" w:name="_Toc487900358"/>
      <w:bookmarkStart w:id="468" w:name="_Toc259093677"/>
      <w:bookmarkStart w:id="469" w:name="_Ref467379863"/>
      <w:bookmarkStart w:id="470" w:name="_Toc279701248"/>
      <w:bookmarkStart w:id="471" w:name="_Ref467379923"/>
      <w:bookmarkStart w:id="472" w:name="_Ref467379852"/>
      <w:bookmarkStart w:id="473" w:name="_Toc3225"/>
      <w:bookmarkStart w:id="474" w:name="_Toc16110"/>
      <w:bookmarkStart w:id="475" w:name="_Toc774"/>
      <w:r>
        <w:rPr>
          <w:rFonts w:hint="eastAsia" w:ascii="宋体" w:hAnsi="宋体" w:cs="宋体"/>
          <w:b/>
          <w:color w:val="auto"/>
          <w:sz w:val="24"/>
          <w:highlight w:val="none"/>
        </w:rPr>
        <w:t>2.6 技术资料</w:t>
      </w:r>
      <w:bookmarkEnd w:id="467"/>
      <w:bookmarkEnd w:id="468"/>
      <w:bookmarkEnd w:id="469"/>
      <w:bookmarkEnd w:id="470"/>
      <w:bookmarkEnd w:id="471"/>
      <w:bookmarkEnd w:id="472"/>
      <w:r>
        <w:rPr>
          <w:rFonts w:hint="eastAsia" w:ascii="宋体" w:hAnsi="宋体" w:cs="宋体"/>
          <w:b/>
          <w:color w:val="auto"/>
          <w:sz w:val="24"/>
          <w:highlight w:val="none"/>
        </w:rPr>
        <w:t>和保密义务</w:t>
      </w:r>
      <w:bookmarkEnd w:id="473"/>
      <w:bookmarkEnd w:id="474"/>
      <w:bookmarkEnd w:id="475"/>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2.6.1 乙方有权依据合同约定和项目需要，向甲方了解有关情况，调阅有关资料等，甲方应予积极配合；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2.6.2 乙方有义务妥善保管和保护由甲方提供的前款信息和资料等；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600" w:lineRule="exact"/>
        <w:ind w:firstLine="482" w:firstLineChars="200"/>
        <w:outlineLvl w:val="0"/>
        <w:rPr>
          <w:rFonts w:ascii="宋体" w:hAnsi="宋体" w:cs="宋体"/>
          <w:b/>
          <w:color w:val="auto"/>
          <w:sz w:val="24"/>
          <w:highlight w:val="none"/>
        </w:rPr>
      </w:pPr>
      <w:bookmarkStart w:id="476" w:name="_Toc7860"/>
      <w:r>
        <w:rPr>
          <w:rFonts w:hint="eastAsia" w:ascii="宋体" w:hAnsi="宋体" w:cs="宋体"/>
          <w:b/>
          <w:color w:val="auto"/>
          <w:sz w:val="24"/>
          <w:highlight w:val="none"/>
        </w:rPr>
        <w:t>2.7 质量保证</w:t>
      </w:r>
      <w:bookmarkEnd w:id="476"/>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2.7.1 乙方应建立和完善履行合同的内部质量保证体系，并提供相关内部规章制度给甲方，以便甲方进行监督检查；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2.7.2 乙方应保证履行合同的人员数量和素质、软件和硬件设备的配置、场地、环境和设施等满足全面履行合同的要求，并应接受甲方的监督检查。</w:t>
      </w:r>
    </w:p>
    <w:p>
      <w:pPr>
        <w:spacing w:line="600" w:lineRule="exact"/>
        <w:ind w:firstLine="482" w:firstLineChars="200"/>
        <w:outlineLvl w:val="0"/>
        <w:rPr>
          <w:rFonts w:ascii="宋体" w:hAnsi="宋体" w:cs="宋体"/>
          <w:b/>
          <w:color w:val="auto"/>
          <w:sz w:val="24"/>
          <w:highlight w:val="none"/>
        </w:rPr>
      </w:pPr>
      <w:bookmarkStart w:id="477" w:name="_Toc17244"/>
      <w:bookmarkStart w:id="478" w:name="_Toc279701252"/>
      <w:bookmarkStart w:id="479" w:name="_Toc487900362"/>
      <w:bookmarkStart w:id="480" w:name="_Toc259093681"/>
      <w:r>
        <w:rPr>
          <w:rFonts w:hint="eastAsia" w:ascii="宋体" w:hAnsi="宋体" w:cs="宋体"/>
          <w:b/>
          <w:color w:val="auto"/>
          <w:sz w:val="24"/>
          <w:highlight w:val="none"/>
        </w:rPr>
        <w:t>2.8 货物的风险负担</w:t>
      </w:r>
      <w:bookmarkEnd w:id="477"/>
    </w:p>
    <w:p>
      <w:pPr>
        <w:spacing w:line="60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货物或者在途货物或者交付给第一承运人后的货物毁损、灭失的风险负担详见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481" w:name="_Toc14055"/>
      <w:r>
        <w:rPr>
          <w:rFonts w:hint="eastAsia" w:ascii="宋体" w:hAnsi="宋体" w:cs="宋体"/>
          <w:b/>
          <w:color w:val="auto"/>
          <w:sz w:val="24"/>
          <w:highlight w:val="none"/>
        </w:rPr>
        <w:t>2.9 延迟交货</w:t>
      </w:r>
      <w:bookmarkEnd w:id="478"/>
      <w:bookmarkEnd w:id="479"/>
      <w:bookmarkEnd w:id="480"/>
      <w:bookmarkEnd w:id="481"/>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600" w:lineRule="exact"/>
        <w:ind w:firstLine="482" w:firstLineChars="200"/>
        <w:outlineLvl w:val="0"/>
        <w:rPr>
          <w:rFonts w:ascii="宋体" w:hAnsi="宋体" w:cs="宋体"/>
          <w:b/>
          <w:color w:val="auto"/>
          <w:sz w:val="24"/>
          <w:highlight w:val="none"/>
        </w:rPr>
      </w:pPr>
      <w:bookmarkStart w:id="482" w:name="_Toc7502"/>
      <w:bookmarkStart w:id="483" w:name="_Toc259093683"/>
      <w:bookmarkStart w:id="484" w:name="_Toc487900364"/>
      <w:bookmarkStart w:id="485" w:name="_Ref467378121"/>
      <w:bookmarkStart w:id="486" w:name="_Toc279701254"/>
      <w:r>
        <w:rPr>
          <w:rFonts w:hint="eastAsia" w:ascii="宋体" w:hAnsi="宋体" w:cs="宋体"/>
          <w:b/>
          <w:color w:val="auto"/>
          <w:sz w:val="24"/>
          <w:highlight w:val="none"/>
        </w:rPr>
        <w:t>2.10 合同变更</w:t>
      </w:r>
      <w:bookmarkEnd w:id="482"/>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87" w:name="_Toc487900369"/>
      <w:bookmarkStart w:id="488" w:name="_Toc279701259"/>
      <w:bookmarkStart w:id="489" w:name="_Toc259093688"/>
    </w:p>
    <w:p>
      <w:pPr>
        <w:spacing w:line="600" w:lineRule="exact"/>
        <w:ind w:firstLine="482" w:firstLineChars="200"/>
        <w:outlineLvl w:val="0"/>
        <w:rPr>
          <w:rFonts w:ascii="宋体" w:hAnsi="宋体" w:cs="宋体"/>
          <w:b/>
          <w:color w:val="auto"/>
          <w:sz w:val="24"/>
          <w:highlight w:val="none"/>
        </w:rPr>
      </w:pPr>
      <w:bookmarkStart w:id="490" w:name="_Toc22955"/>
      <w:bookmarkStart w:id="491" w:name="_Toc15237"/>
      <w:bookmarkStart w:id="492" w:name="_Toc10366"/>
      <w:r>
        <w:rPr>
          <w:rFonts w:hint="eastAsia" w:ascii="宋体" w:hAnsi="宋体" w:cs="宋体"/>
          <w:b/>
          <w:color w:val="auto"/>
          <w:sz w:val="24"/>
          <w:highlight w:val="none"/>
        </w:rPr>
        <w:t>2.11 合同转让</w:t>
      </w:r>
      <w:bookmarkEnd w:id="487"/>
      <w:bookmarkEnd w:id="488"/>
      <w:bookmarkEnd w:id="489"/>
      <w:r>
        <w:rPr>
          <w:rFonts w:hint="eastAsia" w:ascii="宋体" w:hAnsi="宋体" w:cs="宋体"/>
          <w:b/>
          <w:color w:val="auto"/>
          <w:sz w:val="24"/>
          <w:highlight w:val="none"/>
        </w:rPr>
        <w:t>和分包</w:t>
      </w:r>
      <w:bookmarkEnd w:id="490"/>
      <w:bookmarkEnd w:id="491"/>
      <w:bookmarkEnd w:id="492"/>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2.11.2乙方采取分包方式履行合同的，甲方可直接向分包供应商支付款项。</w:t>
      </w:r>
    </w:p>
    <w:p>
      <w:pPr>
        <w:spacing w:line="600" w:lineRule="exact"/>
        <w:ind w:firstLine="482" w:firstLineChars="200"/>
        <w:outlineLvl w:val="0"/>
        <w:rPr>
          <w:rFonts w:ascii="宋体" w:hAnsi="宋体" w:cs="宋体"/>
          <w:b/>
          <w:color w:val="auto"/>
          <w:sz w:val="24"/>
          <w:highlight w:val="none"/>
        </w:rPr>
      </w:pPr>
      <w:bookmarkStart w:id="493" w:name="_Toc16508"/>
      <w:bookmarkStart w:id="494" w:name="_Toc13566"/>
      <w:bookmarkStart w:id="495" w:name="_Toc14066"/>
      <w:r>
        <w:rPr>
          <w:rFonts w:hint="eastAsia" w:ascii="宋体" w:hAnsi="宋体" w:cs="宋体"/>
          <w:b/>
          <w:color w:val="auto"/>
          <w:sz w:val="24"/>
          <w:highlight w:val="none"/>
        </w:rPr>
        <w:t>2.12 不可抗力</w:t>
      </w:r>
      <w:bookmarkEnd w:id="493"/>
      <w:bookmarkEnd w:id="494"/>
      <w:bookmarkEnd w:id="495"/>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2.12.1如果任何一方遭遇法律规定的不可抗力，致使合同履行受阻时，履行合同的期限应予延长，延长的期限应相当于不可抗力所影响的时间；</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2.12.2 因不可抗力致使不能实现合同目的的，当事人可以解除合同；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600" w:lineRule="exact"/>
        <w:ind w:firstLine="482" w:firstLineChars="200"/>
        <w:outlineLvl w:val="0"/>
        <w:rPr>
          <w:rFonts w:ascii="宋体" w:hAnsi="宋体" w:cs="宋体"/>
          <w:b/>
          <w:color w:val="auto"/>
          <w:sz w:val="24"/>
          <w:highlight w:val="none"/>
        </w:rPr>
      </w:pPr>
      <w:bookmarkStart w:id="496" w:name="_Toc30676"/>
      <w:bookmarkStart w:id="497" w:name="_Toc487900365"/>
      <w:bookmarkStart w:id="498" w:name="_Toc259093684"/>
      <w:bookmarkStart w:id="499" w:name="_Toc6969"/>
      <w:bookmarkStart w:id="500" w:name="_Toc689"/>
      <w:bookmarkStart w:id="501" w:name="_Toc279701255"/>
      <w:r>
        <w:rPr>
          <w:rFonts w:hint="eastAsia" w:ascii="宋体" w:hAnsi="宋体" w:cs="宋体"/>
          <w:b/>
          <w:color w:val="auto"/>
          <w:sz w:val="24"/>
          <w:highlight w:val="none"/>
        </w:rPr>
        <w:t>2.13 税费</w:t>
      </w:r>
      <w:bookmarkEnd w:id="496"/>
      <w:bookmarkEnd w:id="497"/>
      <w:bookmarkEnd w:id="498"/>
      <w:bookmarkEnd w:id="499"/>
      <w:bookmarkEnd w:id="500"/>
      <w:bookmarkEnd w:id="501"/>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w:t>
      </w:r>
    </w:p>
    <w:p>
      <w:pPr>
        <w:spacing w:line="600" w:lineRule="exact"/>
        <w:ind w:firstLine="482" w:firstLineChars="200"/>
        <w:outlineLvl w:val="0"/>
        <w:rPr>
          <w:rFonts w:ascii="宋体" w:hAnsi="宋体" w:cs="宋体"/>
          <w:b/>
          <w:color w:val="auto"/>
          <w:sz w:val="24"/>
          <w:highlight w:val="none"/>
        </w:rPr>
      </w:pPr>
      <w:bookmarkStart w:id="502" w:name="_Toc16959"/>
      <w:bookmarkStart w:id="503" w:name="_Toc7102"/>
      <w:bookmarkStart w:id="504" w:name="_Toc8298"/>
      <w:bookmarkStart w:id="505" w:name="_Toc259093687"/>
      <w:bookmarkStart w:id="506" w:name="_Toc487900368"/>
      <w:bookmarkStart w:id="507" w:name="_Toc279701258"/>
      <w:r>
        <w:rPr>
          <w:rFonts w:hint="eastAsia" w:ascii="宋体" w:hAnsi="宋体" w:cs="宋体"/>
          <w:b/>
          <w:color w:val="auto"/>
          <w:sz w:val="24"/>
          <w:highlight w:val="none"/>
        </w:rPr>
        <w:t>2.14乙方破产</w:t>
      </w:r>
      <w:bookmarkEnd w:id="502"/>
      <w:bookmarkEnd w:id="503"/>
      <w:bookmarkEnd w:id="504"/>
      <w:bookmarkEnd w:id="505"/>
      <w:bookmarkEnd w:id="506"/>
      <w:bookmarkEnd w:id="507"/>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ascii="宋体" w:hAnsi="宋体" w:cs="宋体"/>
          <w:b/>
          <w:color w:val="auto"/>
          <w:sz w:val="24"/>
          <w:highlight w:val="none"/>
        </w:rPr>
      </w:pPr>
      <w:bookmarkStart w:id="508" w:name="_Toc29333"/>
      <w:bookmarkStart w:id="509" w:name="_Toc15387"/>
      <w:bookmarkStart w:id="510" w:name="_Toc6134"/>
      <w:r>
        <w:rPr>
          <w:rFonts w:hint="eastAsia" w:ascii="宋体" w:hAnsi="宋体" w:cs="宋体"/>
          <w:b/>
          <w:color w:val="auto"/>
          <w:sz w:val="24"/>
          <w:highlight w:val="none"/>
        </w:rPr>
        <w:t>2.15 合同中止、终止</w:t>
      </w:r>
      <w:bookmarkEnd w:id="508"/>
      <w:bookmarkEnd w:id="509"/>
      <w:bookmarkEnd w:id="510"/>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2.15.1 双方当事人不得擅自中止或者终止合同；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600" w:lineRule="exact"/>
        <w:ind w:firstLine="482" w:firstLineChars="200"/>
        <w:outlineLvl w:val="0"/>
        <w:rPr>
          <w:rFonts w:ascii="宋体" w:hAnsi="宋体" w:cs="宋体"/>
          <w:b/>
          <w:color w:val="auto"/>
          <w:sz w:val="24"/>
          <w:highlight w:val="none"/>
        </w:rPr>
      </w:pPr>
      <w:bookmarkStart w:id="511" w:name="_Toc1125"/>
      <w:bookmarkStart w:id="512" w:name="_Toc6596"/>
      <w:bookmarkStart w:id="513" w:name="_Toc14563"/>
      <w:r>
        <w:rPr>
          <w:rFonts w:hint="eastAsia" w:ascii="宋体" w:hAnsi="宋体" w:cs="宋体"/>
          <w:b/>
          <w:color w:val="auto"/>
          <w:sz w:val="24"/>
          <w:highlight w:val="none"/>
        </w:rPr>
        <w:t>2.16检验和验收</w:t>
      </w:r>
      <w:bookmarkEnd w:id="511"/>
      <w:bookmarkEnd w:id="512"/>
      <w:bookmarkEnd w:id="513"/>
    </w:p>
    <w:p>
      <w:pPr>
        <w:tabs>
          <w:tab w:val="left" w:pos="360"/>
          <w:tab w:val="left" w:pos="540"/>
          <w:tab w:val="left" w:pos="1080"/>
        </w:tabs>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2.16.1货物交付前，乙方应对货物的质量、数量等方面进行详细、全面的检验，并向甲方出具证明货物符合合同约定的文件；货物交付时，乙方在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约定时间内组织验收，并可依法邀请相关方参加，验收应出具验收书。</w:t>
      </w:r>
    </w:p>
    <w:p>
      <w:pPr>
        <w:tabs>
          <w:tab w:val="left" w:pos="360"/>
          <w:tab w:val="left" w:pos="540"/>
          <w:tab w:val="left" w:pos="1080"/>
        </w:tabs>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bookmarkEnd w:id="483"/>
    <w:bookmarkEnd w:id="484"/>
    <w:bookmarkEnd w:id="485"/>
    <w:bookmarkEnd w:id="486"/>
    <w:p>
      <w:pPr>
        <w:spacing w:line="600" w:lineRule="exact"/>
        <w:ind w:firstLine="482" w:firstLineChars="200"/>
        <w:outlineLvl w:val="0"/>
        <w:rPr>
          <w:rFonts w:ascii="宋体" w:hAnsi="宋体" w:cs="宋体"/>
          <w:b/>
          <w:color w:val="auto"/>
          <w:sz w:val="24"/>
          <w:highlight w:val="none"/>
        </w:rPr>
      </w:pPr>
      <w:bookmarkStart w:id="514" w:name="_Toc279701261"/>
      <w:bookmarkStart w:id="515" w:name="_Toc487900371"/>
      <w:bookmarkStart w:id="516" w:name="_Toc259093690"/>
      <w:bookmarkStart w:id="517" w:name="_Toc19604"/>
      <w:bookmarkStart w:id="518" w:name="_Toc11284"/>
      <w:bookmarkStart w:id="519" w:name="_Toc25182"/>
      <w:r>
        <w:rPr>
          <w:rFonts w:hint="eastAsia" w:ascii="宋体" w:hAnsi="宋体" w:cs="宋体"/>
          <w:b/>
          <w:color w:val="auto"/>
          <w:sz w:val="24"/>
          <w:highlight w:val="none"/>
        </w:rPr>
        <w:t>2.17 通知</w:t>
      </w:r>
      <w:bookmarkEnd w:id="514"/>
      <w:bookmarkEnd w:id="515"/>
      <w:bookmarkEnd w:id="516"/>
      <w:r>
        <w:rPr>
          <w:rFonts w:hint="eastAsia" w:ascii="宋体" w:hAnsi="宋体" w:cs="宋体"/>
          <w:b/>
          <w:color w:val="auto"/>
          <w:sz w:val="24"/>
          <w:highlight w:val="none"/>
        </w:rPr>
        <w:t>和送达</w:t>
      </w:r>
      <w:bookmarkEnd w:id="517"/>
      <w:bookmarkEnd w:id="518"/>
      <w:bookmarkEnd w:id="519"/>
    </w:p>
    <w:p>
      <w:pPr>
        <w:spacing w:line="600" w:lineRule="exact"/>
        <w:ind w:firstLine="480" w:firstLineChars="200"/>
        <w:rPr>
          <w:rFonts w:ascii="宋体" w:hAnsi="宋体" w:cs="宋体"/>
          <w:color w:val="auto"/>
          <w:sz w:val="24"/>
          <w:highlight w:val="none"/>
        </w:rPr>
      </w:pPr>
      <w:bookmarkStart w:id="520" w:name="_Toc3135"/>
      <w:bookmarkStart w:id="521" w:name="_Toc6698"/>
      <w:bookmarkStart w:id="522" w:name="_Toc487900372"/>
      <w:bookmarkStart w:id="523" w:name="_Toc259093691"/>
      <w:bookmarkStart w:id="524" w:name="_Toc279701262"/>
      <w:r>
        <w:rPr>
          <w:rFonts w:hint="eastAsia" w:ascii="宋体" w:hAnsi="宋体" w:cs="宋体"/>
          <w:color w:val="auto"/>
          <w:sz w:val="24"/>
          <w:highlight w:val="none"/>
        </w:rPr>
        <w:t xml:space="preserve">2.17.1任何一方因履行合同而以合同第一部分尾部所列明的传真或电子邮件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bookmarkEnd w:id="520"/>
      <w:bookmarkEnd w:id="521"/>
    </w:p>
    <w:p>
      <w:pPr>
        <w:spacing w:line="600" w:lineRule="exact"/>
        <w:ind w:firstLine="480" w:firstLineChars="200"/>
        <w:rPr>
          <w:rFonts w:ascii="宋体" w:hAnsi="宋体" w:cs="宋体"/>
          <w:color w:val="auto"/>
          <w:sz w:val="24"/>
          <w:highlight w:val="none"/>
        </w:rPr>
      </w:pPr>
      <w:bookmarkStart w:id="525" w:name="_Toc23128"/>
      <w:bookmarkStart w:id="526" w:name="_Toc23294"/>
      <w:r>
        <w:rPr>
          <w:rFonts w:hint="eastAsia" w:ascii="宋体" w:hAnsi="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5"/>
      <w:bookmarkEnd w:id="526"/>
    </w:p>
    <w:p>
      <w:pPr>
        <w:spacing w:line="600" w:lineRule="exact"/>
        <w:ind w:firstLine="482" w:firstLineChars="200"/>
        <w:outlineLvl w:val="0"/>
        <w:rPr>
          <w:rFonts w:ascii="宋体" w:hAnsi="宋体" w:cs="宋体"/>
          <w:b/>
          <w:color w:val="auto"/>
          <w:sz w:val="24"/>
          <w:highlight w:val="none"/>
        </w:rPr>
      </w:pPr>
      <w:bookmarkStart w:id="527" w:name="_Toc18540"/>
      <w:bookmarkStart w:id="528" w:name="_Toc30599"/>
      <w:bookmarkStart w:id="529" w:name="_Toc4355"/>
      <w:r>
        <w:rPr>
          <w:rFonts w:hint="eastAsia" w:ascii="宋体" w:hAnsi="宋体" w:cs="宋体"/>
          <w:b/>
          <w:color w:val="auto"/>
          <w:sz w:val="24"/>
          <w:highlight w:val="none"/>
        </w:rPr>
        <w:t>2.18 计量单位</w:t>
      </w:r>
      <w:bookmarkEnd w:id="522"/>
      <w:bookmarkEnd w:id="523"/>
      <w:bookmarkEnd w:id="524"/>
      <w:bookmarkEnd w:id="527"/>
      <w:bookmarkEnd w:id="528"/>
      <w:bookmarkEnd w:id="529"/>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600" w:lineRule="exact"/>
        <w:ind w:firstLine="482" w:firstLineChars="200"/>
        <w:outlineLvl w:val="0"/>
        <w:rPr>
          <w:rFonts w:ascii="宋体" w:hAnsi="宋体" w:cs="宋体"/>
          <w:b/>
          <w:color w:val="auto"/>
          <w:sz w:val="24"/>
          <w:highlight w:val="none"/>
        </w:rPr>
      </w:pPr>
      <w:bookmarkStart w:id="530" w:name="_Toc12773"/>
      <w:bookmarkStart w:id="531" w:name="_Toc18567"/>
      <w:bookmarkStart w:id="532" w:name="_Toc487900373"/>
      <w:bookmarkStart w:id="533" w:name="_Toc279701263"/>
      <w:bookmarkStart w:id="534" w:name="_Toc259093692"/>
      <w:bookmarkStart w:id="535" w:name="_Toc10330"/>
      <w:r>
        <w:rPr>
          <w:rFonts w:hint="eastAsia" w:ascii="宋体" w:hAnsi="宋体" w:cs="宋体"/>
          <w:b/>
          <w:color w:val="auto"/>
          <w:sz w:val="24"/>
          <w:highlight w:val="none"/>
        </w:rPr>
        <w:t>2.19 合同使用的文字和适用的法律</w:t>
      </w:r>
      <w:bookmarkEnd w:id="530"/>
      <w:bookmarkEnd w:id="531"/>
      <w:bookmarkEnd w:id="532"/>
      <w:bookmarkEnd w:id="533"/>
      <w:bookmarkEnd w:id="534"/>
      <w:bookmarkEnd w:id="535"/>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2.19.1 合同使用汉语书就、变更和解释；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2.19.2 合同适用中华人民共和国法律。</w:t>
      </w:r>
    </w:p>
    <w:p>
      <w:pPr>
        <w:spacing w:line="600" w:lineRule="exact"/>
        <w:ind w:firstLine="482" w:firstLineChars="200"/>
        <w:outlineLvl w:val="0"/>
        <w:rPr>
          <w:rFonts w:ascii="宋体" w:hAnsi="宋体" w:cs="宋体"/>
          <w:b/>
          <w:color w:val="auto"/>
          <w:sz w:val="24"/>
          <w:highlight w:val="none"/>
        </w:rPr>
      </w:pPr>
      <w:bookmarkStart w:id="536" w:name="_Toc279701264"/>
      <w:bookmarkStart w:id="537" w:name="_Toc3148"/>
      <w:bookmarkStart w:id="538" w:name="_Toc12004"/>
      <w:bookmarkStart w:id="539" w:name="_Toc16673"/>
      <w:bookmarkStart w:id="540" w:name="_Toc259093693"/>
      <w:bookmarkStart w:id="541" w:name="_Toc487900374"/>
      <w:r>
        <w:rPr>
          <w:rFonts w:hint="eastAsia" w:ascii="宋体" w:hAnsi="宋体" w:cs="宋体"/>
          <w:b/>
          <w:color w:val="auto"/>
          <w:sz w:val="24"/>
          <w:highlight w:val="none"/>
        </w:rPr>
        <w:t>2.20 履约保证金</w:t>
      </w:r>
      <w:bookmarkEnd w:id="536"/>
      <w:bookmarkEnd w:id="537"/>
      <w:bookmarkEnd w:id="538"/>
      <w:bookmarkEnd w:id="539"/>
      <w:bookmarkEnd w:id="540"/>
    </w:p>
    <w:p>
      <w:pPr>
        <w:pStyle w:val="619"/>
        <w:spacing w:before="0" w:beforeAutospacing="0" w:after="0" w:afterAutospacing="0" w:line="600" w:lineRule="exact"/>
        <w:ind w:firstLine="420"/>
        <w:rPr>
          <w:color w:val="auto"/>
          <w:highlight w:val="none"/>
        </w:rPr>
      </w:pPr>
      <w:r>
        <w:rPr>
          <w:rFonts w:hint="eastAsia"/>
          <w:color w:val="auto"/>
          <w:highlight w:val="none"/>
        </w:rPr>
        <w:t>2.20.1 采购文件要求乙方提交履约保证金的，乙方应按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约定的方式，以支票、汇票、本票或者金融机构、担保机构出具的保函等非现金形式，提交不超过合同金额5%的履约保证金；鼓励和支持乙方以银行、保险公司出具的保函形式提供履约保证。</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2.20.2  履约保证金在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约定期间内不予退还。乙方在前述约定期间届满前能履行完合同约定义务事项的，甲方在前述约定期间届满之日起</w:t>
      </w:r>
      <w:r>
        <w:rPr>
          <w:rFonts w:hint="eastAsia" w:ascii="宋体" w:hAnsi="宋体" w:cs="宋体"/>
          <w:color w:val="auto"/>
          <w:sz w:val="24"/>
          <w:highlight w:val="none"/>
          <w:u w:val="single"/>
        </w:rPr>
        <w:t xml:space="preserve"> 5 </w:t>
      </w:r>
      <w:r>
        <w:rPr>
          <w:rFonts w:hint="eastAsia" w:ascii="宋体" w:hAnsi="宋体" w:cs="宋体"/>
          <w:color w:val="auto"/>
          <w:sz w:val="24"/>
          <w:highlight w:val="none"/>
        </w:rPr>
        <w:t>个工作日内，按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约定的方式将履约保证金退还乙方，逾期退还的，乙方可要求甲方支付违约金，违约金按每迟延退还一日的应退还而未退还金额的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2.20.5甲方在乙方履行完合同约定义务事项后及时退还，延迟退还的，应当按照合同约定和法律规定承担相应的赔偿责任。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2.21对于因甲方原因导致变更、中止或者终止政府采购合同的，甲方应当依照合同约定对供应商受到的损失予以赔偿或者补偿。</w:t>
      </w:r>
    </w:p>
    <w:bookmarkEnd w:id="541"/>
    <w:p>
      <w:pPr>
        <w:spacing w:line="600" w:lineRule="exact"/>
        <w:ind w:firstLine="482" w:firstLineChars="200"/>
        <w:outlineLvl w:val="0"/>
        <w:rPr>
          <w:rFonts w:ascii="宋体" w:hAnsi="宋体" w:cs="宋体"/>
          <w:b/>
          <w:color w:val="auto"/>
          <w:sz w:val="24"/>
          <w:highlight w:val="none"/>
        </w:rPr>
      </w:pPr>
      <w:bookmarkStart w:id="542" w:name="_Toc14001"/>
      <w:bookmarkStart w:id="543" w:name="_Toc19890"/>
      <w:bookmarkStart w:id="544" w:name="_Toc6885"/>
      <w:r>
        <w:rPr>
          <w:rFonts w:hint="eastAsia" w:ascii="宋体" w:hAnsi="宋体" w:cs="宋体"/>
          <w:b/>
          <w:color w:val="auto"/>
          <w:sz w:val="24"/>
          <w:highlight w:val="none"/>
        </w:rPr>
        <w:t>2.22合同份数</w:t>
      </w:r>
      <w:bookmarkEnd w:id="542"/>
      <w:bookmarkEnd w:id="543"/>
      <w:bookmarkEnd w:id="544"/>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pStyle w:val="387"/>
        <w:spacing w:after="0" w:line="600" w:lineRule="exact"/>
        <w:jc w:val="center"/>
        <w:rPr>
          <w:rFonts w:ascii="宋体" w:hAnsi="宋体" w:cs="宋体"/>
          <w:b/>
          <w:color w:val="auto"/>
          <w:szCs w:val="24"/>
          <w:highlight w:val="none"/>
        </w:rPr>
      </w:pPr>
      <w:r>
        <w:rPr>
          <w:rFonts w:hint="eastAsia" w:ascii="宋体" w:hAnsi="宋体" w:cs="宋体"/>
          <w:color w:val="auto"/>
          <w:kern w:val="0"/>
          <w:szCs w:val="24"/>
          <w:highlight w:val="none"/>
        </w:rPr>
        <w:br w:type="page"/>
      </w:r>
      <w:bookmarkStart w:id="545" w:name="_Toc331685784"/>
      <w:r>
        <w:rPr>
          <w:rFonts w:hint="eastAsia" w:ascii="宋体" w:hAnsi="宋体" w:cs="宋体"/>
          <w:b/>
          <w:color w:val="auto"/>
          <w:szCs w:val="24"/>
          <w:highlight w:val="none"/>
        </w:rPr>
        <w:t xml:space="preserve"> </w:t>
      </w:r>
      <w:bookmarkEnd w:id="545"/>
      <w:r>
        <w:rPr>
          <w:rFonts w:hint="eastAsia" w:ascii="宋体" w:hAnsi="宋体" w:cs="宋体"/>
          <w:b/>
          <w:color w:val="auto"/>
          <w:sz w:val="28"/>
          <w:szCs w:val="28"/>
          <w:highlight w:val="none"/>
        </w:rPr>
        <w:t>第三部分  合同专用条款</w:t>
      </w:r>
    </w:p>
    <w:p>
      <w:pPr>
        <w:spacing w:line="600" w:lineRule="exact"/>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600" w:lineRule="exact"/>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275" w:type="dxa"/>
            <w:vAlign w:val="center"/>
          </w:tcPr>
          <w:p>
            <w:pPr>
              <w:spacing w:line="600" w:lineRule="exact"/>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1.4.4</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1.5.1 </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1.5.2</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1.5.3 </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1.6.7</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1.7</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1.7.1</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1.7.2</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2.3.2</w:t>
            </w:r>
          </w:p>
        </w:tc>
        <w:tc>
          <w:tcPr>
            <w:tcW w:w="8275" w:type="dxa"/>
            <w:vAlign w:val="center"/>
          </w:tcPr>
          <w:p>
            <w:pPr>
              <w:spacing w:line="600" w:lineRule="exact"/>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2.4.1</w:t>
            </w:r>
          </w:p>
        </w:tc>
        <w:tc>
          <w:tcPr>
            <w:tcW w:w="8275" w:type="dxa"/>
            <w:vAlign w:val="center"/>
          </w:tcPr>
          <w:p>
            <w:pPr>
              <w:spacing w:line="600" w:lineRule="exact"/>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2.4.2</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2.8 </w:t>
            </w:r>
          </w:p>
        </w:tc>
        <w:tc>
          <w:tcPr>
            <w:tcW w:w="8275" w:type="dxa"/>
            <w:vAlign w:val="top"/>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2.12.3</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2.12.4</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2.16.1</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2.16.3</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600" w:lineRule="exact"/>
              <w:rPr>
                <w:rFonts w:ascii="宋体" w:hAnsi="宋体" w:cs="宋体"/>
                <w:color w:val="auto"/>
                <w:sz w:val="24"/>
                <w:highlight w:val="none"/>
              </w:rPr>
            </w:pPr>
            <w:r>
              <w:rPr>
                <w:rFonts w:hint="eastAsia" w:ascii="宋体" w:hAnsi="宋体" w:cs="宋体"/>
                <w:color w:val="auto"/>
                <w:sz w:val="24"/>
                <w:highlight w:val="none"/>
              </w:rPr>
              <w:t>2.20.1</w:t>
            </w:r>
          </w:p>
        </w:tc>
        <w:tc>
          <w:tcPr>
            <w:tcW w:w="8275" w:type="dxa"/>
            <w:vAlign w:val="top"/>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2.20.2 </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600" w:lineRule="exact"/>
              <w:ind w:left="-420" w:leftChars="-200" w:right="-420" w:rightChars="-200" w:firstLine="480" w:firstLineChars="200"/>
              <w:outlineLvl w:val="0"/>
              <w:rPr>
                <w:rFonts w:ascii="宋体" w:hAnsi="宋体" w:cs="宋体"/>
                <w:color w:val="auto"/>
                <w:sz w:val="24"/>
                <w:highlight w:val="none"/>
              </w:rPr>
            </w:pPr>
            <w:r>
              <w:rPr>
                <w:rFonts w:hint="eastAsia" w:ascii="宋体" w:hAnsi="宋体" w:cs="宋体"/>
                <w:color w:val="auto"/>
                <w:sz w:val="24"/>
                <w:highlight w:val="none"/>
              </w:rPr>
              <w:t xml:space="preserve">2.22 </w:t>
            </w:r>
          </w:p>
        </w:tc>
        <w:tc>
          <w:tcPr>
            <w:tcW w:w="8275" w:type="dxa"/>
            <w:vAlign w:val="center"/>
          </w:tcPr>
          <w:p>
            <w:pPr>
              <w:spacing w:line="600" w:lineRule="exact"/>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87"/>
      <w:r>
        <w:rPr>
          <w:rFonts w:hint="eastAsia" w:ascii="宋体" w:hAnsi="宋体" w:cs="宋体"/>
          <w:b/>
          <w:color w:val="auto"/>
          <w:sz w:val="36"/>
          <w:szCs w:val="20"/>
          <w:highlight w:val="none"/>
        </w:rPr>
        <w:t xml:space="preserve"> </w:t>
      </w:r>
      <w:bookmarkEnd w:id="388"/>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28"/>
          <w:szCs w:val="28"/>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28"/>
          <w:szCs w:val="28"/>
          <w:highlight w:val="none"/>
        </w:rPr>
        <w:t>一、 符合参加政府采购活动应当具备的一般条件的承诺函</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lang w:eastAsia="zh-CN"/>
        </w:rPr>
        <w:t>杭州市临平区教育综合服务中心</w:t>
      </w:r>
      <w:r>
        <w:rPr>
          <w:rFonts w:hint="eastAsia" w:ascii="宋体" w:hAnsi="宋体" w:cs="宋体"/>
          <w:color w:val="auto"/>
          <w:sz w:val="24"/>
          <w:highlight w:val="none"/>
        </w:rPr>
        <w:t>、杭州瑞拓工程咨询有限公司：</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临平区教育系统护眼灯光改造项目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RTZFCG-2022-   （标项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】政府采购活动，郑重承诺：</w:t>
      </w:r>
    </w:p>
    <w:p>
      <w:pPr>
        <w:snapToGrid w:val="0"/>
        <w:spacing w:line="60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600" w:lineRule="exact"/>
        <w:ind w:firstLine="6000" w:firstLineChars="25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600" w:lineRule="exact"/>
        <w:jc w:val="right"/>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w:t>
      </w:r>
      <w:r>
        <w:rPr>
          <w:rFonts w:hint="eastAsia" w:ascii="宋体" w:hAnsi="宋体" w:eastAsia="宋体" w:cs="宋体"/>
          <w:color w:val="auto"/>
          <w:sz w:val="24"/>
          <w:highlight w:val="none"/>
        </w:rPr>
        <w:t>采用联合体投标的，</w:t>
      </w:r>
      <w:r>
        <w:rPr>
          <w:rFonts w:hint="eastAsia" w:ascii="宋体" w:hAnsi="宋体" w:cs="宋体"/>
          <w:color w:val="auto"/>
          <w:kern w:val="0"/>
          <w:sz w:val="24"/>
          <w:highlight w:val="none"/>
          <w:lang w:val="zh-CN"/>
        </w:rPr>
        <w:t xml:space="preserve">至少须加盖联合体主办人的单位公章）                        </w:t>
      </w:r>
      <w:r>
        <w:rPr>
          <w:rFonts w:hint="eastAsia" w:ascii="宋体" w:hAnsi="宋体" w:cs="宋体"/>
          <w:color w:val="auto"/>
          <w:kern w:val="0"/>
          <w:sz w:val="24"/>
          <w:highlight w:val="none"/>
        </w:rPr>
        <w:t xml:space="preserve">                      </w:t>
      </w:r>
    </w:p>
    <w:p>
      <w:pPr>
        <w:snapToGrid w:val="0"/>
        <w:spacing w:line="600" w:lineRule="exact"/>
        <w:jc w:val="right"/>
        <w:rPr>
          <w:rFonts w:ascii="宋体" w:hAnsi="宋体" w:cs="宋体"/>
          <w:color w:val="auto"/>
          <w:kern w:val="0"/>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28"/>
          <w:szCs w:val="28"/>
          <w:highlight w:val="none"/>
        </w:rPr>
        <w:t>二、落实政府采购政策需满足的资格要求</w:t>
      </w:r>
    </w:p>
    <w:p>
      <w:pPr>
        <w:spacing w:line="600" w:lineRule="exact"/>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line="600" w:lineRule="exact"/>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600" w:lineRule="exact"/>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color w:val="auto"/>
          <w:kern w:val="0"/>
          <w:sz w:val="32"/>
          <w:szCs w:val="32"/>
          <w:highlight w:val="none"/>
          <w:lang w:val="zh-CN"/>
        </w:rPr>
      </w:pPr>
      <w:r>
        <w:rPr>
          <w:rFonts w:hint="eastAsia" w:ascii="宋体" w:hAnsi="宋体" w:cs="宋体"/>
          <w:b/>
          <w:color w:val="auto"/>
          <w:sz w:val="24"/>
          <w:highlight w:val="none"/>
        </w:rPr>
        <w:t xml:space="preserve">    </w:t>
      </w:r>
      <w:r>
        <w:rPr>
          <w:rFonts w:hint="eastAsia" w:ascii="宋体" w:hAnsi="宋体" w:cs="宋体"/>
          <w:b/>
          <w:color w:val="auto"/>
          <w:kern w:val="0"/>
          <w:sz w:val="28"/>
          <w:szCs w:val="28"/>
          <w:highlight w:val="none"/>
          <w:lang w:val="zh-CN"/>
        </w:rPr>
        <w:t>联合协议</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sz w:val="24"/>
          <w:highlight w:val="none"/>
          <w:lang w:eastAsia="zh-CN"/>
        </w:rPr>
        <w:t>（标项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600" w:lineRule="exact"/>
        <w:rPr>
          <w:rFonts w:ascii="宋体" w:hAnsi="宋体" w:cs="宋体"/>
          <w:color w:val="auto"/>
          <w:sz w:val="24"/>
          <w:highlight w:val="none"/>
        </w:rPr>
      </w:pPr>
      <w:r>
        <w:rPr>
          <w:rFonts w:hint="eastAsia" w:ascii="宋体" w:hAnsi="宋体" w:cs="宋体"/>
          <w:color w:val="auto"/>
          <w:kern w:val="0"/>
          <w:sz w:val="24"/>
          <w:highlight w:val="none"/>
          <w:lang w:val="zh-CN"/>
        </w:rPr>
        <w:t xml:space="preserve">                                               日期：  年  月   日</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before="50" w:after="50" w:line="360" w:lineRule="auto"/>
        <w:jc w:val="center"/>
        <w:rPr>
          <w:rFonts w:ascii="宋体" w:hAnsi="宋体" w:cs="宋体"/>
          <w:b/>
          <w:color w:val="auto"/>
          <w:kern w:val="0"/>
          <w:sz w:val="28"/>
          <w:szCs w:val="28"/>
          <w:highlight w:val="none"/>
          <w:lang w:val="zh-CN"/>
        </w:rPr>
      </w:pPr>
      <w:r>
        <w:rPr>
          <w:rFonts w:hint="eastAsia" w:ascii="宋体" w:hAnsi="宋体" w:cs="宋体"/>
          <w:b/>
          <w:color w:val="auto"/>
          <w:kern w:val="0"/>
          <w:sz w:val="28"/>
          <w:szCs w:val="28"/>
          <w:highlight w:val="none"/>
          <w:lang w:val="zh-CN"/>
        </w:rPr>
        <w:t>分包意向协议</w:t>
      </w:r>
    </w:p>
    <w:p>
      <w:pPr>
        <w:widowControl/>
        <w:spacing w:line="600" w:lineRule="exact"/>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sz w:val="24"/>
          <w:highlight w:val="none"/>
          <w:lang w:eastAsia="zh-CN"/>
        </w:rPr>
        <w:t>（标项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6"/>
        <w:spacing w:line="600" w:lineRule="exact"/>
        <w:ind w:left="664" w:leftChars="316" w:firstLine="229" w:firstLineChars="95"/>
        <w:rPr>
          <w:rFonts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二、分包工作履行期限、地点、方式</w:t>
      </w:r>
    </w:p>
    <w:p>
      <w:pPr>
        <w:snapToGrid w:val="0"/>
        <w:spacing w:line="600" w:lineRule="exact"/>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三、质量</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四、价款或者报酬</w:t>
      </w:r>
    </w:p>
    <w:p>
      <w:pPr>
        <w:snapToGrid w:val="0"/>
        <w:spacing w:line="600" w:lineRule="exact"/>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五、违约责任</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六、争议解决的办法</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七、其他</w:t>
      </w:r>
    </w:p>
    <w:p>
      <w:pPr>
        <w:snapToGrid w:val="0"/>
        <w:spacing w:line="600" w:lineRule="exact"/>
        <w:ind w:left="5758" w:leftChars="342" w:hanging="5040" w:hangingChars="2100"/>
        <w:rPr>
          <w:rFonts w:hint="eastAsia"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600" w:lineRule="exact"/>
        <w:ind w:left="5753" w:leftChars="1254" w:hanging="3120" w:hangingChars="13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w:t>
      </w:r>
      <w:r>
        <w:rPr>
          <w:rFonts w:hint="eastAsia" w:ascii="宋体" w:hAnsi="宋体" w:eastAsia="宋体" w:cs="宋体"/>
          <w:color w:val="auto"/>
          <w:sz w:val="24"/>
          <w:highlight w:val="none"/>
        </w:rPr>
        <w:t>采用联合体投标的，</w:t>
      </w:r>
      <w:r>
        <w:rPr>
          <w:rFonts w:hint="eastAsia" w:ascii="宋体" w:hAnsi="宋体" w:cs="宋体"/>
          <w:color w:val="auto"/>
          <w:kern w:val="0"/>
          <w:sz w:val="24"/>
          <w:highlight w:val="none"/>
          <w:lang w:val="zh-CN"/>
        </w:rPr>
        <w:t>至少须加盖联合体主办人的单位公章）</w:t>
      </w:r>
    </w:p>
    <w:p>
      <w:pPr>
        <w:snapToGrid w:val="0"/>
        <w:spacing w:line="600" w:lineRule="exact"/>
        <w:ind w:firstLine="7080" w:firstLineChars="29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snapToGrid w:val="0"/>
        <w:spacing w:line="600" w:lineRule="exact"/>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600" w:lineRule="exact"/>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28"/>
          <w:szCs w:val="28"/>
          <w:highlight w:val="none"/>
          <w:lang w:val="zh-CN"/>
        </w:rPr>
        <w:t>三、本项目的特定资格要求</w:t>
      </w:r>
    </w:p>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36"/>
          <w:szCs w:val="36"/>
          <w:highlight w:val="none"/>
        </w:rPr>
      </w:pPr>
    </w:p>
    <w:p>
      <w:pPr>
        <w:spacing w:line="360" w:lineRule="auto"/>
        <w:ind w:right="420"/>
        <w:jc w:val="center"/>
        <w:rPr>
          <w:rFonts w:ascii="宋体" w:hAnsi="宋体" w:cs="宋体"/>
          <w:b/>
          <w:color w:val="auto"/>
          <w:kern w:val="0"/>
          <w:sz w:val="36"/>
          <w:szCs w:val="36"/>
          <w:highlight w:val="none"/>
        </w:rPr>
      </w:pPr>
    </w:p>
    <w:p>
      <w:pPr>
        <w:pStyle w:val="5"/>
        <w:rPr>
          <w:rFonts w:ascii="宋体" w:hAnsi="宋体" w:cs="宋体"/>
          <w:color w:val="auto"/>
          <w:kern w:val="0"/>
          <w:sz w:val="36"/>
          <w:szCs w:val="36"/>
          <w:highlight w:val="none"/>
        </w:rPr>
      </w:pPr>
    </w:p>
    <w:p>
      <w:pPr>
        <w:rPr>
          <w:rFonts w:ascii="宋体" w:hAnsi="宋体" w:cs="宋体"/>
          <w:b/>
          <w:color w:val="auto"/>
          <w:kern w:val="0"/>
          <w:sz w:val="36"/>
          <w:szCs w:val="36"/>
          <w:highlight w:val="none"/>
        </w:rPr>
      </w:pPr>
    </w:p>
    <w:p>
      <w:pPr>
        <w:pStyle w:val="5"/>
        <w:spacing w:line="240" w:lineRule="auto"/>
        <w:rPr>
          <w:rFonts w:ascii="宋体" w:hAnsi="宋体" w:cs="宋体"/>
          <w:color w:val="auto"/>
          <w:highlight w:val="none"/>
        </w:rPr>
      </w:pPr>
    </w:p>
    <w:p>
      <w:pPr>
        <w:spacing w:line="360" w:lineRule="auto"/>
        <w:ind w:right="420"/>
        <w:jc w:val="center"/>
        <w:rPr>
          <w:rFonts w:ascii="宋体" w:hAnsi="宋体" w:cs="宋体"/>
          <w:b/>
          <w:color w:val="auto"/>
          <w:kern w:val="0"/>
          <w:sz w:val="36"/>
          <w:szCs w:val="36"/>
          <w:highlight w:val="none"/>
        </w:rPr>
      </w:pPr>
    </w:p>
    <w:p>
      <w:pPr>
        <w:spacing w:line="360" w:lineRule="auto"/>
        <w:ind w:right="420"/>
        <w:jc w:val="center"/>
        <w:rPr>
          <w:rFonts w:ascii="宋体" w:hAnsi="宋体" w:cs="宋体"/>
          <w:b/>
          <w:color w:val="auto"/>
          <w:kern w:val="0"/>
          <w:sz w:val="36"/>
          <w:szCs w:val="36"/>
          <w:highlight w:val="none"/>
        </w:rPr>
      </w:pPr>
      <w:r>
        <w:rPr>
          <w:rFonts w:hint="eastAsia" w:ascii="宋体" w:hAnsi="宋体" w:cs="宋体"/>
          <w:b/>
          <w:color w:val="auto"/>
          <w:kern w:val="0"/>
          <w:sz w:val="28"/>
          <w:szCs w:val="28"/>
          <w:highlight w:val="none"/>
          <w:lang w:val="zh-CN"/>
        </w:rPr>
        <w:t>商务技术文件部分</w:t>
      </w:r>
    </w:p>
    <w:p>
      <w:pPr>
        <w:spacing w:line="360" w:lineRule="auto"/>
        <w:jc w:val="center"/>
        <w:outlineLvl w:val="0"/>
        <w:rPr>
          <w:rFonts w:ascii="宋体" w:hAnsi="宋体" w:cs="宋体"/>
          <w:b/>
          <w:color w:val="auto"/>
          <w:kern w:val="0"/>
          <w:sz w:val="24"/>
          <w:highlight w:val="none"/>
        </w:rPr>
      </w:pPr>
    </w:p>
    <w:p>
      <w:pPr>
        <w:spacing w:line="360" w:lineRule="auto"/>
        <w:ind w:right="420"/>
        <w:jc w:val="center"/>
        <w:rPr>
          <w:rFonts w:ascii="宋体" w:hAnsi="宋体" w:cs="宋体"/>
          <w:b/>
          <w:color w:val="auto"/>
          <w:kern w:val="0"/>
          <w:sz w:val="28"/>
          <w:szCs w:val="28"/>
          <w:highlight w:val="none"/>
          <w:lang w:val="zh-CN"/>
        </w:rPr>
      </w:pPr>
      <w:r>
        <w:rPr>
          <w:rFonts w:hint="eastAsia" w:ascii="宋体" w:hAnsi="宋体" w:cs="宋体"/>
          <w:b/>
          <w:color w:val="auto"/>
          <w:kern w:val="0"/>
          <w:sz w:val="28"/>
          <w:szCs w:val="28"/>
          <w:highlight w:val="none"/>
          <w:lang w:val="zh-CN"/>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（3）联合协议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（4）分包意向协议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（5）符合性审查资料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（6）评标标准相应的商务技术资料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（7）商务技术偏离表</w:t>
      </w:r>
      <w:r>
        <w:rPr>
          <w:rFonts w:hint="eastAsia" w:ascii="宋体" w:hAnsi="宋体" w:cs="宋体"/>
          <w:color w:val="auto"/>
          <w:highlight w:val="none"/>
        </w:rPr>
        <w:t>………………………………………………………………………（页码）</w:t>
      </w:r>
    </w:p>
    <w:p>
      <w:pPr>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）所投产品具体配置表</w:t>
      </w:r>
      <w:r>
        <w:rPr>
          <w:rFonts w:hint="eastAsia" w:ascii="宋体" w:hAnsi="宋体" w:cs="宋体"/>
          <w:color w:val="auto"/>
          <w:highlight w:val="none"/>
        </w:rPr>
        <w:t>…………………………………………………………………（页码）</w:t>
      </w:r>
      <w:r>
        <w:rPr>
          <w:rFonts w:hint="eastAsia" w:ascii="宋体" w:hAnsi="宋体" w:cs="宋体"/>
          <w:color w:val="auto"/>
          <w:sz w:val="24"/>
          <w:highlight w:val="none"/>
          <w:lang w:val="zh-CN"/>
        </w:rPr>
        <w:t xml:space="preserve"> </w:t>
      </w:r>
    </w:p>
    <w:p>
      <w:pPr>
        <w:snapToGrid w:val="0"/>
        <w:spacing w:line="360" w:lineRule="auto"/>
        <w:ind w:firstLine="480" w:firstLineChars="200"/>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（9）</w:t>
      </w:r>
      <w:r>
        <w:rPr>
          <w:rFonts w:hint="eastAsia" w:ascii="宋体" w:hAnsi="宋体" w:cs="宋体"/>
          <w:color w:val="auto"/>
          <w:sz w:val="24"/>
          <w:highlight w:val="none"/>
          <w:lang w:val="zh-CN"/>
        </w:rPr>
        <w:t>技术偏离表</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lang w:val="zh-CN" w:eastAsia="zh-CN"/>
        </w:rPr>
        <w:t>（10）</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28"/>
          <w:szCs w:val="28"/>
          <w:highlight w:val="none"/>
          <w:lang w:val="zh-CN"/>
        </w:rPr>
        <w:t>一、投标函</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lang w:eastAsia="zh-CN"/>
        </w:rPr>
        <w:t>杭州市临平区教育综合服务中心</w:t>
      </w:r>
      <w:r>
        <w:rPr>
          <w:rFonts w:hint="eastAsia" w:ascii="宋体" w:hAnsi="宋体" w:cs="宋体"/>
          <w:color w:val="auto"/>
          <w:sz w:val="24"/>
          <w:highlight w:val="none"/>
        </w:rPr>
        <w:t>、杭州瑞拓工程咨询有限公司：</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临平区教育系统护眼灯光改造项目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RTZFCG-2022-   （标项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】招标的有关活动，并对此项目进行投标。为此：</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天（不少于90天），本投标文件在投标有效期满之前均具有约束力。</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rPr>
        <w:t xml:space="preserve">      2.1资格文件：</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2.1.2落实政府采购政策需满足的资格要求（如果有）；</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2.1.3本项目的特定资格要求（如果有）。</w:t>
      </w:r>
    </w:p>
    <w:p>
      <w:pPr>
        <w:snapToGrid w:val="0"/>
        <w:spacing w:line="600" w:lineRule="exact"/>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2.2.3联合协议（如果有）；</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2.2.4分包意向协议（如果有）；</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2.2.5符合性审查资料；</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2.2.6评标标准相应的商务技术资料；</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2.2.7商务技术偏离表；</w:t>
      </w:r>
    </w:p>
    <w:p>
      <w:pPr>
        <w:snapToGrid w:val="0"/>
        <w:spacing w:line="600" w:lineRule="exact"/>
        <w:ind w:left="420" w:leftChars="200"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所投产品具体配置表；</w:t>
      </w:r>
    </w:p>
    <w:p>
      <w:pPr>
        <w:snapToGrid w:val="0"/>
        <w:spacing w:line="600" w:lineRule="exact"/>
        <w:ind w:left="420" w:leftChars="200" w:firstLine="480" w:firstLineChars="200"/>
        <w:rPr>
          <w:rFonts w:hint="eastAsia" w:ascii="宋体" w:hAnsi="宋体" w:cs="宋体"/>
          <w:color w:val="auto"/>
          <w:sz w:val="24"/>
          <w:highlight w:val="none"/>
          <w:lang w:val="zh-CN" w:eastAsia="zh-CN"/>
        </w:rPr>
      </w:pPr>
      <w:r>
        <w:rPr>
          <w:rFonts w:hint="eastAsia" w:ascii="宋体" w:hAnsi="宋体" w:cs="宋体"/>
          <w:color w:val="auto"/>
          <w:sz w:val="24"/>
          <w:highlight w:val="none"/>
          <w:lang w:val="en-US" w:eastAsia="zh-CN"/>
        </w:rPr>
        <w:t>2.2.9</w:t>
      </w:r>
      <w:r>
        <w:rPr>
          <w:rFonts w:hint="eastAsia" w:ascii="宋体" w:hAnsi="宋体" w:cs="宋体"/>
          <w:color w:val="auto"/>
          <w:sz w:val="24"/>
          <w:highlight w:val="none"/>
          <w:lang w:val="zh-CN"/>
        </w:rPr>
        <w:t>技术偏离表；</w:t>
      </w:r>
    </w:p>
    <w:p>
      <w:pPr>
        <w:snapToGrid w:val="0"/>
        <w:spacing w:line="600" w:lineRule="exact"/>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2.2.10</w:t>
      </w:r>
      <w:r>
        <w:rPr>
          <w:rFonts w:hint="eastAsia" w:ascii="宋体" w:hAnsi="宋体" w:cs="宋体"/>
          <w:color w:val="auto"/>
          <w:sz w:val="24"/>
          <w:highlight w:val="none"/>
          <w:lang w:val="zh-CN"/>
        </w:rPr>
        <w:t>采购需求实质性内容响应表；</w:t>
      </w:r>
    </w:p>
    <w:p>
      <w:pPr>
        <w:snapToGrid w:val="0"/>
        <w:spacing w:line="600" w:lineRule="exact"/>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lang w:val="en-US" w:eastAsia="zh-CN"/>
        </w:rPr>
        <w:t>2.2.11</w:t>
      </w:r>
      <w:r>
        <w:rPr>
          <w:rFonts w:hint="eastAsia" w:ascii="宋体" w:hAnsi="宋体" w:cs="宋体"/>
          <w:color w:val="auto"/>
          <w:sz w:val="24"/>
          <w:highlight w:val="none"/>
          <w:lang w:val="zh-CN"/>
        </w:rPr>
        <w:t>政府采购供应商廉洁自律承诺书；</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600" w:lineRule="exact"/>
        <w:ind w:firstLine="5040" w:firstLineChars="21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600" w:lineRule="exact"/>
        <w:jc w:val="center"/>
        <w:rPr>
          <w:rFonts w:hint="eastAsia" w:ascii="宋体" w:hAnsi="宋体" w:cs="宋体"/>
          <w:color w:val="auto"/>
          <w:sz w:val="24"/>
          <w:highlight w:val="none"/>
        </w:rPr>
      </w:pPr>
      <w:r>
        <w:rPr>
          <w:rFonts w:hint="eastAsia" w:ascii="宋体" w:hAnsi="宋体" w:cs="宋体"/>
          <w:color w:val="auto"/>
          <w:kern w:val="0"/>
          <w:sz w:val="24"/>
          <w:highlight w:val="none"/>
          <w:lang w:val="zh-CN"/>
        </w:rPr>
        <w:t>（</w:t>
      </w:r>
      <w:r>
        <w:rPr>
          <w:rFonts w:hint="eastAsia" w:ascii="宋体" w:hAnsi="宋体" w:eastAsia="宋体" w:cs="宋体"/>
          <w:color w:val="auto"/>
          <w:sz w:val="24"/>
          <w:highlight w:val="none"/>
        </w:rPr>
        <w:t>采用联合体投标的，</w:t>
      </w:r>
      <w:r>
        <w:rPr>
          <w:rFonts w:hint="eastAsia" w:ascii="宋体" w:hAnsi="宋体" w:cs="宋体"/>
          <w:color w:val="auto"/>
          <w:kern w:val="0"/>
          <w:sz w:val="24"/>
          <w:highlight w:val="none"/>
          <w:lang w:val="zh-CN"/>
        </w:rPr>
        <w:t>至少须加盖联合体主办人的单位公章）</w:t>
      </w:r>
      <w:r>
        <w:rPr>
          <w:rFonts w:hint="eastAsia" w:ascii="宋体" w:hAnsi="宋体" w:cs="宋体"/>
          <w:color w:val="auto"/>
          <w:sz w:val="24"/>
          <w:highlight w:val="none"/>
        </w:rPr>
        <w:t xml:space="preserve">     </w:t>
      </w:r>
    </w:p>
    <w:p>
      <w:pPr>
        <w:spacing w:line="600" w:lineRule="exact"/>
        <w:jc w:val="center"/>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  年   月   日</w:t>
      </w:r>
    </w:p>
    <w:p>
      <w:pPr>
        <w:snapToGrid w:val="0"/>
        <w:spacing w:line="360" w:lineRule="auto"/>
        <w:ind w:left="420" w:leftChars="200" w:firstLine="4200" w:firstLineChars="1750"/>
        <w:rPr>
          <w:rFonts w:ascii="宋体" w:hAnsi="宋体" w:cs="宋体"/>
          <w:color w:val="auto"/>
          <w:kern w:val="0"/>
          <w:sz w:val="24"/>
          <w:highlight w:val="none"/>
          <w:u w:val="singl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28"/>
          <w:szCs w:val="28"/>
          <w:highlight w:val="none"/>
          <w:lang w:val="zh-CN"/>
        </w:rPr>
        <w:t>二、授权委托书或法定代表人（单位负责人、自然人本人）身份证</w:t>
      </w:r>
      <w:r>
        <w:rPr>
          <w:rFonts w:hint="eastAsia" w:ascii="宋体" w:hAnsi="宋体" w:cs="宋体"/>
          <w:b/>
          <w:color w:val="auto"/>
          <w:kern w:val="0"/>
          <w:sz w:val="32"/>
          <w:szCs w:val="32"/>
          <w:highlight w:val="none"/>
          <w:lang w:val="zh-CN"/>
        </w:rPr>
        <w:t>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513" w:firstLineChars="894"/>
        <w:rPr>
          <w:rFonts w:ascii="宋体" w:hAnsi="宋体" w:cs="宋体"/>
          <w:color w:val="auto"/>
          <w:highlight w:val="none"/>
        </w:rPr>
      </w:pPr>
      <w:r>
        <w:rPr>
          <w:rFonts w:hint="eastAsia" w:ascii="宋体" w:hAnsi="宋体" w:cs="宋体"/>
          <w:b/>
          <w:color w:val="auto"/>
          <w:kern w:val="0"/>
          <w:sz w:val="28"/>
          <w:szCs w:val="28"/>
          <w:highlight w:val="none"/>
          <w:lang w:val="zh-CN"/>
        </w:rPr>
        <w:t>授权委托书（适用于非联合体投标）</w:t>
      </w:r>
      <w:r>
        <w:rPr>
          <w:rFonts w:hint="eastAsia" w:ascii="宋体" w:hAnsi="宋体" w:cs="宋体"/>
          <w:color w:val="auto"/>
          <w:highlight w:val="none"/>
        </w:rPr>
        <w:t xml:space="preserve">                               </w:t>
      </w:r>
    </w:p>
    <w:p>
      <w:pPr>
        <w:snapToGrid w:val="0"/>
        <w:spacing w:line="600" w:lineRule="exact"/>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sz w:val="24"/>
          <w:highlight w:val="none"/>
          <w:lang w:eastAsia="zh-CN"/>
        </w:rPr>
        <w:t>（标项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600" w:lineRule="exact"/>
        <w:ind w:firstLine="2160" w:firstLineChars="9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w:t>
      </w:r>
      <w:r>
        <w:rPr>
          <w:rFonts w:hint="eastAsia" w:ascii="宋体" w:hAnsi="宋体" w:eastAsia="宋体" w:cs="宋体"/>
          <w:color w:val="auto"/>
          <w:sz w:val="24"/>
          <w:highlight w:val="none"/>
        </w:rPr>
        <w:t>采用联合体投标的，</w:t>
      </w:r>
      <w:r>
        <w:rPr>
          <w:rFonts w:hint="eastAsia" w:ascii="宋体" w:hAnsi="宋体" w:cs="宋体"/>
          <w:color w:val="auto"/>
          <w:kern w:val="0"/>
          <w:sz w:val="24"/>
          <w:highlight w:val="none"/>
          <w:lang w:val="zh-CN"/>
        </w:rPr>
        <w:t xml:space="preserve">至少须加盖联合体主办人的单位公章）                                                 </w:t>
      </w:r>
    </w:p>
    <w:p>
      <w:pPr>
        <w:snapToGrid w:val="0"/>
        <w:spacing w:line="600" w:lineRule="exact"/>
        <w:ind w:firstLine="6000" w:firstLineChars="25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28"/>
          <w:szCs w:val="28"/>
          <w:highlight w:val="none"/>
          <w:lang w:val="zh-CN"/>
        </w:rPr>
        <w:t xml:space="preserve"> 授权委托书（适用于联合体投标）</w:t>
      </w:r>
    </w:p>
    <w:p>
      <w:pPr>
        <w:snapToGrid w:val="0"/>
        <w:spacing w:line="600" w:lineRule="exact"/>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sz w:val="24"/>
          <w:highlight w:val="none"/>
          <w:lang w:eastAsia="zh-CN"/>
        </w:rPr>
        <w:t>（标项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600" w:lineRule="exact"/>
        <w:rPr>
          <w:rFonts w:ascii="宋体" w:hAnsi="宋体" w:cs="宋体"/>
          <w:color w:val="auto"/>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600" w:lineRule="exac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pStyle w:val="5"/>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5"/>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5"/>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5"/>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5"/>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5"/>
        <w:rPr>
          <w:rFonts w:ascii="宋体" w:hAnsi="宋体" w:cs="宋体"/>
          <w:color w:val="auto"/>
          <w:kern w:val="0"/>
          <w:sz w:val="24"/>
          <w:highlight w:val="none"/>
          <w:lang w:val="zh-CN"/>
        </w:rPr>
      </w:pPr>
    </w:p>
    <w:p>
      <w:pPr>
        <w:pStyle w:val="5"/>
        <w:spacing w:line="240" w:lineRule="auto"/>
        <w:ind w:left="0" w:firstLine="0"/>
        <w:rPr>
          <w:rFonts w:ascii="宋体" w:hAnsi="宋体" w:cs="宋体"/>
          <w:color w:val="auto"/>
          <w:highlight w:val="none"/>
          <w:lang w:val="zh-CN"/>
        </w:rPr>
      </w:pPr>
    </w:p>
    <w:p>
      <w:pPr>
        <w:rPr>
          <w:rFonts w:ascii="宋体" w:hAnsi="宋体" w:cs="宋体"/>
          <w:color w:val="auto"/>
          <w:highlight w:val="none"/>
          <w:lang w:val="zh-CN"/>
        </w:rPr>
      </w:pPr>
    </w:p>
    <w:p>
      <w:pPr>
        <w:pStyle w:val="5"/>
        <w:spacing w:line="240" w:lineRule="auto"/>
        <w:rPr>
          <w:rFonts w:ascii="宋体" w:hAnsi="宋体" w:cs="宋体"/>
          <w:color w:val="auto"/>
          <w:highlight w:val="none"/>
          <w:lang w:val="zh-CN"/>
        </w:rPr>
      </w:pPr>
    </w:p>
    <w:p>
      <w:pPr>
        <w:rPr>
          <w:rFonts w:ascii="宋体" w:hAnsi="宋体" w:cs="宋体"/>
          <w:color w:val="auto"/>
          <w:highlight w:val="none"/>
          <w:lang w:val="zh-CN"/>
        </w:rPr>
      </w:pPr>
    </w:p>
    <w:p>
      <w:pPr>
        <w:pStyle w:val="45"/>
        <w:rPr>
          <w:rFonts w:ascii="宋体" w:hAnsi="宋体" w:cs="宋体"/>
          <w:color w:val="auto"/>
          <w:highlight w:val="none"/>
          <w:lang w:val="zh-CN"/>
        </w:rPr>
      </w:pPr>
    </w:p>
    <w:p>
      <w:pPr>
        <w:rPr>
          <w:rFonts w:ascii="宋体" w:hAnsi="宋体" w:cs="宋体"/>
          <w:color w:val="auto"/>
          <w:highlight w:val="none"/>
          <w:lang w:val="zh-CN"/>
        </w:rPr>
      </w:pPr>
    </w:p>
    <w:p>
      <w:pPr>
        <w:pStyle w:val="45"/>
        <w:rPr>
          <w:rFonts w:ascii="宋体" w:hAnsi="宋体" w:cs="宋体"/>
          <w:color w:val="auto"/>
          <w:highlight w:val="none"/>
          <w:lang w:val="zh-CN"/>
        </w:rPr>
      </w:pPr>
    </w:p>
    <w:p>
      <w:pPr>
        <w:rPr>
          <w:color w:val="auto"/>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28"/>
          <w:szCs w:val="28"/>
          <w:highlight w:val="none"/>
          <w:lang w:val="zh-CN"/>
        </w:rPr>
        <w:t>法定代表人、单位负责人或自然人本人的身份证明（适用于法定代表人、单位负责人或者自然人本人代表投标人参加投标）</w:t>
      </w:r>
    </w:p>
    <w:p>
      <w:pPr>
        <w:pStyle w:val="89"/>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9"/>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w:t>
      </w:r>
      <w:r>
        <w:rPr>
          <w:rFonts w:hint="eastAsia" w:ascii="宋体" w:hAnsi="宋体" w:eastAsia="宋体" w:cs="宋体"/>
          <w:color w:val="auto"/>
          <w:sz w:val="24"/>
          <w:highlight w:val="none"/>
        </w:rPr>
        <w:t>采用联合体投标的，</w:t>
      </w:r>
      <w:r>
        <w:rPr>
          <w:rFonts w:hint="eastAsia" w:ascii="宋体" w:hAnsi="宋体" w:cs="宋体"/>
          <w:color w:val="auto"/>
          <w:kern w:val="0"/>
          <w:sz w:val="24"/>
          <w:highlight w:val="none"/>
          <w:lang w:val="zh-CN"/>
        </w:rPr>
        <w:t xml:space="preserve">至少须加盖联合体主办人的单位公章）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28"/>
          <w:szCs w:val="28"/>
          <w:highlight w:val="none"/>
        </w:rPr>
        <w:t>三、</w:t>
      </w:r>
      <w:r>
        <w:rPr>
          <w:rFonts w:hint="eastAsia" w:ascii="宋体" w:hAnsi="宋体" w:cs="宋体"/>
          <w:b/>
          <w:color w:val="auto"/>
          <w:kern w:val="0"/>
          <w:sz w:val="28"/>
          <w:szCs w:val="28"/>
          <w:highlight w:val="none"/>
          <w:lang w:val="zh-CN"/>
        </w:rPr>
        <w:t>联合协议</w:t>
      </w:r>
      <w:r>
        <w:rPr>
          <w:rFonts w:hint="eastAsia" w:ascii="宋体" w:hAnsi="宋体" w:cs="宋体"/>
          <w:b/>
          <w:color w:val="auto"/>
          <w:kern w:val="0"/>
          <w:sz w:val="28"/>
          <w:szCs w:val="28"/>
          <w:highlight w:val="none"/>
          <w:lang w:val="zh-CN" w:eastAsia="zh-CN"/>
        </w:rPr>
        <w:t>（标项</w:t>
      </w:r>
      <w:r>
        <w:rPr>
          <w:rFonts w:hint="eastAsia" w:ascii="宋体" w:hAnsi="宋体" w:cs="宋体"/>
          <w:b/>
          <w:color w:val="auto"/>
          <w:kern w:val="0"/>
          <w:sz w:val="28"/>
          <w:szCs w:val="28"/>
          <w:highlight w:val="none"/>
          <w:u w:val="single"/>
          <w:lang w:val="zh-CN" w:eastAsia="zh-CN"/>
        </w:rPr>
        <w:t xml:space="preserve">       </w:t>
      </w:r>
      <w:r>
        <w:rPr>
          <w:rFonts w:hint="eastAsia" w:ascii="宋体" w:hAnsi="宋体" w:cs="宋体"/>
          <w:b/>
          <w:color w:val="auto"/>
          <w:kern w:val="0"/>
          <w:sz w:val="28"/>
          <w:szCs w:val="28"/>
          <w:highlight w:val="none"/>
          <w:lang w:val="zh-CN" w:eastAsia="zh-CN"/>
        </w:rPr>
        <w:t>）</w:t>
      </w:r>
    </w:p>
    <w:p>
      <w:pPr>
        <w:widowControl/>
        <w:spacing w:line="60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760" w:firstLineChars="2400"/>
        <w:rPr>
          <w:rFonts w:ascii="宋体" w:hAnsi="宋体" w:cs="宋体"/>
          <w:color w:val="auto"/>
          <w:sz w:val="24"/>
          <w:highlight w:val="none"/>
        </w:rPr>
      </w:pPr>
      <w:r>
        <w:rPr>
          <w:rFonts w:hint="eastAsia" w:ascii="宋体" w:hAnsi="宋体" w:cs="宋体"/>
          <w:color w:val="auto"/>
          <w:kern w:val="0"/>
          <w:sz w:val="24"/>
          <w:highlight w:val="none"/>
          <w:lang w:val="zh-CN"/>
        </w:rPr>
        <w:t>……</w:t>
      </w:r>
    </w:p>
    <w:p>
      <w:pPr>
        <w:snapToGrid w:val="0"/>
        <w:spacing w:line="600" w:lineRule="exac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600" w:lineRule="exact"/>
        <w:ind w:right="480"/>
        <w:rPr>
          <w:rFonts w:ascii="宋体" w:hAnsi="宋体" w:cs="宋体"/>
          <w:b/>
          <w:color w:val="auto"/>
          <w:kern w:val="0"/>
          <w:sz w:val="24"/>
          <w:highlight w:val="none"/>
          <w:lang w:val="zh-CN"/>
        </w:rPr>
        <w:sectPr>
          <w:headerReference r:id="rId8" w:type="first"/>
          <w:footerReference r:id="rId10" w:type="first"/>
          <w:headerReference r:id="rId7" w:type="default"/>
          <w:footerReference r:id="rId9" w:type="default"/>
          <w:pgSz w:w="11905" w:h="16838"/>
          <w:pgMar w:top="1531" w:right="1304" w:bottom="1531" w:left="1361" w:header="851" w:footer="992" w:gutter="0"/>
          <w:cols w:space="720" w:num="1"/>
          <w:titlePg/>
          <w:docGrid w:linePitch="312" w:charSpace="0"/>
        </w:sectPr>
      </w:pPr>
    </w:p>
    <w:p>
      <w:pPr>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四、分包意向协议</w:t>
      </w:r>
    </w:p>
    <w:p>
      <w:pPr>
        <w:widowControl/>
        <w:spacing w:line="600" w:lineRule="exact"/>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sz w:val="24"/>
          <w:highlight w:val="none"/>
          <w:lang w:eastAsia="zh-CN"/>
        </w:rPr>
        <w:t>（标项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6"/>
        <w:spacing w:line="600" w:lineRule="exact"/>
        <w:ind w:left="664" w:leftChars="316" w:firstLine="229" w:firstLineChars="95"/>
        <w:rPr>
          <w:rFonts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二、分包工作履行期限、地点、方式</w:t>
      </w:r>
    </w:p>
    <w:p>
      <w:pPr>
        <w:snapToGrid w:val="0"/>
        <w:spacing w:line="600" w:lineRule="exact"/>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三、质量</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四、价款或者报酬</w:t>
      </w:r>
    </w:p>
    <w:p>
      <w:pPr>
        <w:snapToGrid w:val="0"/>
        <w:spacing w:line="600" w:lineRule="exact"/>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五、违约责任</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六、争议解决的办法</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七、其他</w:t>
      </w:r>
    </w:p>
    <w:p>
      <w:pPr>
        <w:snapToGrid w:val="0"/>
        <w:spacing w:line="600" w:lineRule="exact"/>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u w:val="single"/>
        </w:rPr>
        <w:t>（分包供应商名称）提供的货物全部由小微企业制造，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600" w:lineRule="exact"/>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投标人名称(电子签名）：</w:t>
      </w:r>
    </w:p>
    <w:p>
      <w:pPr>
        <w:snapToGrid w:val="0"/>
        <w:spacing w:line="600" w:lineRule="exact"/>
        <w:jc w:val="right"/>
        <w:rPr>
          <w:rFonts w:hint="eastAsia" w:ascii="宋体" w:hAnsi="宋体" w:eastAsia="宋体" w:cs="宋体"/>
          <w:color w:val="auto"/>
          <w:kern w:val="0"/>
          <w:sz w:val="24"/>
          <w:highlight w:val="none"/>
          <w:lang w:val="zh-CN" w:eastAsia="zh-CN"/>
        </w:rPr>
      </w:pPr>
      <w:r>
        <w:rPr>
          <w:rFonts w:hint="eastAsia" w:ascii="宋体" w:hAnsi="宋体" w:cs="宋体"/>
          <w:color w:val="auto"/>
          <w:kern w:val="0"/>
          <w:sz w:val="24"/>
          <w:highlight w:val="none"/>
          <w:lang w:val="zh-CN"/>
        </w:rPr>
        <w:t>（</w:t>
      </w:r>
      <w:r>
        <w:rPr>
          <w:rFonts w:hint="eastAsia" w:ascii="宋体" w:hAnsi="宋体" w:eastAsia="宋体" w:cs="宋体"/>
          <w:color w:val="auto"/>
          <w:sz w:val="24"/>
          <w:highlight w:val="none"/>
        </w:rPr>
        <w:t>采用联合体投标的，</w:t>
      </w:r>
      <w:r>
        <w:rPr>
          <w:rFonts w:hint="eastAsia" w:ascii="宋体" w:hAnsi="宋体" w:cs="宋体"/>
          <w:color w:val="auto"/>
          <w:kern w:val="0"/>
          <w:sz w:val="24"/>
          <w:highlight w:val="none"/>
          <w:lang w:val="zh-CN"/>
        </w:rPr>
        <w:t>至少须加盖联合体主办人的单位公章）</w:t>
      </w:r>
    </w:p>
    <w:p>
      <w:pPr>
        <w:snapToGrid w:val="0"/>
        <w:spacing w:line="600" w:lineRule="exact"/>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snapToGrid w:val="0"/>
        <w:spacing w:line="600" w:lineRule="exact"/>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28"/>
          <w:szCs w:val="28"/>
          <w:highlight w:val="none"/>
        </w:rPr>
        <w:t>五、符合性审查资料</w:t>
      </w:r>
      <w:r>
        <w:rPr>
          <w:rFonts w:hint="eastAsia" w:ascii="宋体" w:hAnsi="宋体" w:cs="宋体"/>
          <w:b/>
          <w:color w:val="auto"/>
          <w:kern w:val="0"/>
          <w:sz w:val="28"/>
          <w:szCs w:val="28"/>
          <w:highlight w:val="none"/>
          <w:lang w:eastAsia="zh-CN"/>
        </w:rPr>
        <w:t>（标项</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lang w:eastAsia="zh-CN"/>
        </w:rPr>
        <w:t>）</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pStyle w:val="6"/>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4</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28"/>
          <w:szCs w:val="28"/>
          <w:highlight w:val="none"/>
        </w:rPr>
        <w:t>六、评标标准相应的商务技术资料</w:t>
      </w:r>
      <w:r>
        <w:rPr>
          <w:rFonts w:hint="eastAsia" w:ascii="宋体" w:hAnsi="宋体" w:cs="宋体"/>
          <w:b/>
          <w:color w:val="auto"/>
          <w:kern w:val="0"/>
          <w:sz w:val="28"/>
          <w:szCs w:val="28"/>
          <w:highlight w:val="none"/>
          <w:lang w:eastAsia="zh-CN"/>
        </w:rPr>
        <w:t>（标项</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lang w:eastAsia="zh-CN"/>
        </w:rPr>
        <w:t>）</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七、商务技术偏离表</w:t>
      </w:r>
      <w:r>
        <w:rPr>
          <w:rFonts w:hint="eastAsia" w:ascii="宋体" w:hAnsi="宋体" w:cs="宋体"/>
          <w:b/>
          <w:color w:val="auto"/>
          <w:kern w:val="0"/>
          <w:sz w:val="28"/>
          <w:szCs w:val="28"/>
          <w:highlight w:val="none"/>
          <w:lang w:eastAsia="zh-CN"/>
        </w:rPr>
        <w:t>（标项</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lang w:eastAsia="zh-CN"/>
        </w:rPr>
        <w:t>）</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center"/>
          </w:tcPr>
          <w:p>
            <w:pPr>
              <w:jc w:val="center"/>
              <w:rPr>
                <w:rFonts w:ascii="宋体" w:hAnsi="宋体" w:cs="宋体"/>
                <w:b/>
                <w:color w:val="auto"/>
                <w:kern w:val="0"/>
                <w:sz w:val="32"/>
                <w:szCs w:val="32"/>
                <w:highlight w:val="none"/>
              </w:rPr>
            </w:pP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center"/>
          </w:tcPr>
          <w:p>
            <w:pPr>
              <w:jc w:val="center"/>
              <w:rPr>
                <w:rFonts w:ascii="宋体" w:hAnsi="宋体" w:cs="宋体"/>
                <w:b/>
                <w:color w:val="auto"/>
                <w:kern w:val="0"/>
                <w:sz w:val="32"/>
                <w:szCs w:val="32"/>
                <w:highlight w:val="none"/>
              </w:rPr>
            </w:pP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center"/>
          </w:tcPr>
          <w:p>
            <w:pPr>
              <w:jc w:val="center"/>
              <w:rPr>
                <w:rFonts w:ascii="宋体" w:hAnsi="宋体" w:cs="宋体"/>
                <w:b/>
                <w:color w:val="auto"/>
                <w:kern w:val="0"/>
                <w:sz w:val="32"/>
                <w:szCs w:val="32"/>
                <w:highlight w:val="none"/>
              </w:rPr>
            </w:pP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5"/>
        <w:rPr>
          <w:rFonts w:ascii="宋体" w:hAnsi="宋体" w:cs="宋体"/>
          <w:b/>
          <w:color w:val="auto"/>
          <w:kern w:val="0"/>
          <w:sz w:val="32"/>
          <w:szCs w:val="32"/>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hint="eastAsia" w:ascii="宋体" w:hAnsi="宋体" w:cs="宋体"/>
          <w:b/>
          <w:color w:val="auto"/>
          <w:sz w:val="28"/>
          <w:szCs w:val="28"/>
          <w:highlight w:val="none"/>
        </w:rPr>
      </w:pPr>
    </w:p>
    <w:p>
      <w:pPr>
        <w:snapToGrid w:val="0"/>
        <w:spacing w:line="600" w:lineRule="exact"/>
        <w:jc w:val="center"/>
        <w:outlineLvl w:val="2"/>
        <w:rPr>
          <w:rFonts w:hint="eastAsia" w:ascii="宋体" w:hAnsi="宋体" w:eastAsia="宋体" w:cs="宋体"/>
          <w:b/>
          <w:color w:val="000000"/>
          <w:sz w:val="28"/>
          <w:szCs w:val="28"/>
          <w:highlight w:val="none"/>
          <w:lang w:val="zh-CN"/>
        </w:rPr>
      </w:pPr>
      <w:r>
        <w:rPr>
          <w:rFonts w:hint="eastAsia" w:ascii="宋体" w:hAnsi="宋体" w:cs="宋体"/>
          <w:b/>
          <w:color w:val="auto"/>
          <w:sz w:val="28"/>
          <w:szCs w:val="28"/>
          <w:highlight w:val="none"/>
        </w:rPr>
        <w:t>八</w:t>
      </w:r>
      <w:r>
        <w:rPr>
          <w:rFonts w:hint="eastAsia" w:ascii="宋体" w:hAnsi="宋体" w:cs="宋体"/>
          <w:b/>
          <w:color w:val="auto"/>
          <w:sz w:val="28"/>
          <w:szCs w:val="28"/>
          <w:highlight w:val="none"/>
          <w:lang w:val="zh-CN"/>
        </w:rPr>
        <w:t>、</w:t>
      </w:r>
      <w:r>
        <w:rPr>
          <w:rFonts w:hint="eastAsia" w:ascii="宋体" w:hAnsi="宋体" w:eastAsia="宋体" w:cs="宋体"/>
          <w:b/>
          <w:color w:val="000000"/>
          <w:sz w:val="28"/>
          <w:szCs w:val="28"/>
          <w:highlight w:val="none"/>
          <w:lang w:val="zh-CN"/>
        </w:rPr>
        <w:t>所投产品具体配置表</w:t>
      </w:r>
      <w:r>
        <w:rPr>
          <w:rFonts w:hint="eastAsia" w:ascii="宋体" w:hAnsi="宋体" w:eastAsia="宋体" w:cs="宋体"/>
          <w:b/>
          <w:color w:val="000000"/>
          <w:sz w:val="28"/>
          <w:szCs w:val="28"/>
          <w:highlight w:val="none"/>
          <w:lang w:val="zh-CN" w:eastAsia="zh-CN"/>
        </w:rPr>
        <w:t>（标项       ）</w:t>
      </w:r>
    </w:p>
    <w:p>
      <w:pPr>
        <w:autoSpaceDE w:val="0"/>
        <w:autoSpaceDN w:val="0"/>
        <w:adjustRightInd w:val="0"/>
        <w:spacing w:line="440" w:lineRule="exact"/>
        <w:jc w:val="center"/>
        <w:rPr>
          <w:rFonts w:hint="eastAsia" w:ascii="宋体" w:hAnsi="宋体" w:eastAsia="宋体" w:cs="宋体"/>
          <w:b/>
          <w:kern w:val="0"/>
          <w:sz w:val="32"/>
          <w:szCs w:val="32"/>
          <w:highlight w:val="none"/>
        </w:rPr>
      </w:pPr>
    </w:p>
    <w:p>
      <w:pPr>
        <w:autoSpaceDE w:val="0"/>
        <w:autoSpaceDN w:val="0"/>
        <w:adjustRightInd w:val="0"/>
        <w:spacing w:line="44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项目编号：</w:t>
      </w:r>
      <w:r>
        <w:rPr>
          <w:rFonts w:hint="eastAsia" w:ascii="宋体" w:hAnsi="宋体" w:eastAsia="宋体" w:cs="宋体"/>
          <w:b/>
          <w:kern w:val="0"/>
          <w:sz w:val="24"/>
          <w:highlight w:val="none"/>
          <w:lang w:eastAsia="zh-CN"/>
        </w:rPr>
        <w:t>RTZFCG-2022-</w:t>
      </w:r>
      <w:r>
        <w:rPr>
          <w:rFonts w:hint="eastAsia" w:ascii="宋体" w:hAnsi="宋体" w:eastAsia="宋体" w:cs="宋体"/>
          <w:b/>
          <w:kern w:val="0"/>
          <w:sz w:val="24"/>
          <w:highlight w:val="none"/>
        </w:rPr>
        <w:t xml:space="preserve"> </w:t>
      </w:r>
    </w:p>
    <w:tbl>
      <w:tblPr>
        <w:tblStyle w:val="62"/>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705"/>
        <w:gridCol w:w="969"/>
        <w:gridCol w:w="1112"/>
        <w:gridCol w:w="1325"/>
        <w:gridCol w:w="175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1705"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产品名称</w:t>
            </w:r>
          </w:p>
        </w:tc>
        <w:tc>
          <w:tcPr>
            <w:tcW w:w="969" w:type="dxa"/>
            <w:vAlign w:val="center"/>
          </w:tcPr>
          <w:p>
            <w:pPr>
              <w:autoSpaceDE w:val="0"/>
              <w:autoSpaceDN w:val="0"/>
              <w:adjustRightInd w:val="0"/>
              <w:jc w:val="center"/>
              <w:rPr>
                <w:rFonts w:hint="eastAsia" w:ascii="宋体" w:hAnsi="宋体" w:eastAsia="宋体" w:cs="宋体"/>
                <w:b/>
                <w:sz w:val="24"/>
                <w:highlight w:val="none"/>
              </w:rPr>
            </w:pPr>
            <w:r>
              <w:rPr>
                <w:rFonts w:hint="eastAsia" w:ascii="宋体" w:hAnsi="宋体" w:eastAsia="宋体" w:cs="宋体"/>
                <w:b/>
                <w:sz w:val="24"/>
                <w:highlight w:val="none"/>
              </w:rPr>
              <w:t>数量</w:t>
            </w:r>
          </w:p>
        </w:tc>
        <w:tc>
          <w:tcPr>
            <w:tcW w:w="1112"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品牌</w:t>
            </w:r>
          </w:p>
        </w:tc>
        <w:tc>
          <w:tcPr>
            <w:tcW w:w="1325"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规格型号</w:t>
            </w:r>
          </w:p>
        </w:tc>
        <w:tc>
          <w:tcPr>
            <w:tcW w:w="1759"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性能及指标</w:t>
            </w:r>
          </w:p>
        </w:tc>
        <w:tc>
          <w:tcPr>
            <w:tcW w:w="1436"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vAlign w:val="center"/>
          </w:tcPr>
          <w:p>
            <w:pPr>
              <w:autoSpaceDE w:val="0"/>
              <w:autoSpaceDN w:val="0"/>
              <w:adjustRightInd w:val="0"/>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705" w:type="dxa"/>
            <w:vAlign w:val="center"/>
          </w:tcPr>
          <w:p>
            <w:pPr>
              <w:autoSpaceDE w:val="0"/>
              <w:autoSpaceDN w:val="0"/>
              <w:adjustRightInd w:val="0"/>
              <w:jc w:val="center"/>
              <w:rPr>
                <w:rFonts w:hint="eastAsia" w:ascii="宋体" w:hAnsi="宋体" w:eastAsia="宋体" w:cs="宋体"/>
                <w:sz w:val="24"/>
                <w:highlight w:val="none"/>
              </w:rPr>
            </w:pPr>
          </w:p>
        </w:tc>
        <w:tc>
          <w:tcPr>
            <w:tcW w:w="969" w:type="dxa"/>
            <w:vAlign w:val="center"/>
          </w:tcPr>
          <w:p>
            <w:pPr>
              <w:autoSpaceDE w:val="0"/>
              <w:autoSpaceDN w:val="0"/>
              <w:adjustRightInd w:val="0"/>
              <w:jc w:val="center"/>
              <w:rPr>
                <w:rFonts w:hint="eastAsia" w:ascii="宋体" w:hAnsi="宋体" w:eastAsia="宋体" w:cs="宋体"/>
                <w:sz w:val="24"/>
                <w:highlight w:val="none"/>
              </w:rPr>
            </w:pPr>
          </w:p>
        </w:tc>
        <w:tc>
          <w:tcPr>
            <w:tcW w:w="1112" w:type="dxa"/>
            <w:vAlign w:val="center"/>
          </w:tcPr>
          <w:p>
            <w:pPr>
              <w:jc w:val="center"/>
              <w:rPr>
                <w:rFonts w:hint="eastAsia" w:ascii="宋体" w:hAnsi="宋体" w:eastAsia="宋体" w:cs="宋体"/>
                <w:sz w:val="24"/>
                <w:highlight w:val="none"/>
              </w:rPr>
            </w:pPr>
          </w:p>
        </w:tc>
        <w:tc>
          <w:tcPr>
            <w:tcW w:w="1325" w:type="dxa"/>
            <w:vAlign w:val="center"/>
          </w:tcPr>
          <w:p>
            <w:pPr>
              <w:jc w:val="center"/>
              <w:rPr>
                <w:rFonts w:hint="eastAsia" w:ascii="宋体" w:hAnsi="宋体" w:eastAsia="宋体" w:cs="宋体"/>
                <w:sz w:val="24"/>
                <w:highlight w:val="none"/>
              </w:rPr>
            </w:pPr>
          </w:p>
        </w:tc>
        <w:tc>
          <w:tcPr>
            <w:tcW w:w="1759" w:type="dxa"/>
            <w:vAlign w:val="center"/>
          </w:tcPr>
          <w:p>
            <w:pPr>
              <w:jc w:val="center"/>
              <w:rPr>
                <w:rFonts w:hint="eastAsia" w:ascii="宋体" w:hAnsi="宋体" w:eastAsia="宋体" w:cs="宋体"/>
                <w:sz w:val="24"/>
                <w:highlight w:val="none"/>
              </w:rPr>
            </w:pPr>
          </w:p>
        </w:tc>
        <w:tc>
          <w:tcPr>
            <w:tcW w:w="1436"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34" w:type="dxa"/>
            <w:vAlign w:val="center"/>
          </w:tcPr>
          <w:p>
            <w:pPr>
              <w:autoSpaceDE w:val="0"/>
              <w:autoSpaceDN w:val="0"/>
              <w:adjustRightInd w:val="0"/>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705" w:type="dxa"/>
            <w:vAlign w:val="center"/>
          </w:tcPr>
          <w:p>
            <w:pPr>
              <w:autoSpaceDE w:val="0"/>
              <w:autoSpaceDN w:val="0"/>
              <w:adjustRightInd w:val="0"/>
              <w:jc w:val="center"/>
              <w:rPr>
                <w:rFonts w:hint="eastAsia" w:ascii="宋体" w:hAnsi="宋体" w:eastAsia="宋体" w:cs="宋体"/>
                <w:sz w:val="24"/>
                <w:highlight w:val="none"/>
              </w:rPr>
            </w:pPr>
          </w:p>
        </w:tc>
        <w:tc>
          <w:tcPr>
            <w:tcW w:w="969" w:type="dxa"/>
            <w:vAlign w:val="center"/>
          </w:tcPr>
          <w:p>
            <w:pPr>
              <w:autoSpaceDE w:val="0"/>
              <w:autoSpaceDN w:val="0"/>
              <w:adjustRightInd w:val="0"/>
              <w:jc w:val="center"/>
              <w:rPr>
                <w:rFonts w:hint="eastAsia" w:ascii="宋体" w:hAnsi="宋体" w:eastAsia="宋体" w:cs="宋体"/>
                <w:sz w:val="24"/>
                <w:highlight w:val="none"/>
              </w:rPr>
            </w:pPr>
          </w:p>
        </w:tc>
        <w:tc>
          <w:tcPr>
            <w:tcW w:w="1112" w:type="dxa"/>
            <w:vAlign w:val="center"/>
          </w:tcPr>
          <w:p>
            <w:pPr>
              <w:jc w:val="center"/>
              <w:rPr>
                <w:rFonts w:hint="eastAsia" w:ascii="宋体" w:hAnsi="宋体" w:eastAsia="宋体" w:cs="宋体"/>
                <w:sz w:val="24"/>
                <w:highlight w:val="none"/>
              </w:rPr>
            </w:pPr>
          </w:p>
        </w:tc>
        <w:tc>
          <w:tcPr>
            <w:tcW w:w="1325" w:type="dxa"/>
            <w:vAlign w:val="center"/>
          </w:tcPr>
          <w:p>
            <w:pPr>
              <w:jc w:val="center"/>
              <w:rPr>
                <w:rFonts w:hint="eastAsia" w:ascii="宋体" w:hAnsi="宋体" w:eastAsia="宋体" w:cs="宋体"/>
                <w:sz w:val="24"/>
                <w:highlight w:val="none"/>
              </w:rPr>
            </w:pPr>
          </w:p>
        </w:tc>
        <w:tc>
          <w:tcPr>
            <w:tcW w:w="1759" w:type="dxa"/>
            <w:vAlign w:val="center"/>
          </w:tcPr>
          <w:p>
            <w:pPr>
              <w:jc w:val="center"/>
              <w:rPr>
                <w:rFonts w:hint="eastAsia" w:ascii="宋体" w:hAnsi="宋体" w:eastAsia="宋体" w:cs="宋体"/>
                <w:sz w:val="24"/>
                <w:highlight w:val="none"/>
              </w:rPr>
            </w:pPr>
          </w:p>
        </w:tc>
        <w:tc>
          <w:tcPr>
            <w:tcW w:w="1436" w:type="dxa"/>
            <w:vAlign w:val="center"/>
          </w:tcPr>
          <w:p>
            <w:pPr>
              <w:autoSpaceDE w:val="0"/>
              <w:autoSpaceDN w:val="0"/>
              <w:adjustRightInd w:val="0"/>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vAlign w:val="center"/>
          </w:tcPr>
          <w:p>
            <w:pPr>
              <w:autoSpaceDE w:val="0"/>
              <w:autoSpaceDN w:val="0"/>
              <w:adjustRightInd w:val="0"/>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705" w:type="dxa"/>
            <w:vAlign w:val="center"/>
          </w:tcPr>
          <w:p>
            <w:pPr>
              <w:autoSpaceDE w:val="0"/>
              <w:autoSpaceDN w:val="0"/>
              <w:adjustRightInd w:val="0"/>
              <w:jc w:val="center"/>
              <w:rPr>
                <w:rFonts w:hint="eastAsia" w:ascii="宋体" w:hAnsi="宋体" w:eastAsia="宋体" w:cs="宋体"/>
                <w:sz w:val="24"/>
                <w:highlight w:val="none"/>
              </w:rPr>
            </w:pPr>
          </w:p>
        </w:tc>
        <w:tc>
          <w:tcPr>
            <w:tcW w:w="969" w:type="dxa"/>
            <w:vAlign w:val="center"/>
          </w:tcPr>
          <w:p>
            <w:pPr>
              <w:autoSpaceDE w:val="0"/>
              <w:autoSpaceDN w:val="0"/>
              <w:adjustRightInd w:val="0"/>
              <w:jc w:val="center"/>
              <w:rPr>
                <w:rFonts w:hint="eastAsia" w:ascii="宋体" w:hAnsi="宋体" w:eastAsia="宋体" w:cs="宋体"/>
                <w:sz w:val="24"/>
                <w:highlight w:val="none"/>
              </w:rPr>
            </w:pPr>
          </w:p>
        </w:tc>
        <w:tc>
          <w:tcPr>
            <w:tcW w:w="1112" w:type="dxa"/>
            <w:vAlign w:val="center"/>
          </w:tcPr>
          <w:p>
            <w:pPr>
              <w:jc w:val="center"/>
              <w:rPr>
                <w:rFonts w:hint="eastAsia" w:ascii="宋体" w:hAnsi="宋体" w:eastAsia="宋体" w:cs="宋体"/>
                <w:sz w:val="24"/>
                <w:highlight w:val="none"/>
              </w:rPr>
            </w:pPr>
          </w:p>
        </w:tc>
        <w:tc>
          <w:tcPr>
            <w:tcW w:w="1325" w:type="dxa"/>
            <w:vAlign w:val="center"/>
          </w:tcPr>
          <w:p>
            <w:pPr>
              <w:jc w:val="center"/>
              <w:rPr>
                <w:rFonts w:hint="eastAsia" w:ascii="宋体" w:hAnsi="宋体" w:eastAsia="宋体" w:cs="宋体"/>
                <w:sz w:val="24"/>
                <w:highlight w:val="none"/>
              </w:rPr>
            </w:pPr>
          </w:p>
        </w:tc>
        <w:tc>
          <w:tcPr>
            <w:tcW w:w="1759" w:type="dxa"/>
            <w:vAlign w:val="center"/>
          </w:tcPr>
          <w:p>
            <w:pPr>
              <w:jc w:val="center"/>
              <w:rPr>
                <w:rFonts w:hint="eastAsia" w:ascii="宋体" w:hAnsi="宋体" w:eastAsia="宋体" w:cs="宋体"/>
                <w:sz w:val="24"/>
                <w:highlight w:val="none"/>
              </w:rPr>
            </w:pPr>
          </w:p>
        </w:tc>
        <w:tc>
          <w:tcPr>
            <w:tcW w:w="1436" w:type="dxa"/>
            <w:vAlign w:val="center"/>
          </w:tcPr>
          <w:p>
            <w:pPr>
              <w:autoSpaceDE w:val="0"/>
              <w:autoSpaceDN w:val="0"/>
              <w:adjustRightInd w:val="0"/>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vAlign w:val="center"/>
          </w:tcPr>
          <w:p>
            <w:pPr>
              <w:autoSpaceDE w:val="0"/>
              <w:autoSpaceDN w:val="0"/>
              <w:adjustRightInd w:val="0"/>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1705" w:type="dxa"/>
            <w:vAlign w:val="center"/>
          </w:tcPr>
          <w:p>
            <w:pPr>
              <w:autoSpaceDE w:val="0"/>
              <w:autoSpaceDN w:val="0"/>
              <w:adjustRightInd w:val="0"/>
              <w:jc w:val="center"/>
              <w:rPr>
                <w:rFonts w:hint="eastAsia" w:ascii="宋体" w:hAnsi="宋体" w:eastAsia="宋体" w:cs="宋体"/>
                <w:sz w:val="24"/>
                <w:highlight w:val="none"/>
              </w:rPr>
            </w:pPr>
          </w:p>
        </w:tc>
        <w:tc>
          <w:tcPr>
            <w:tcW w:w="969" w:type="dxa"/>
            <w:vAlign w:val="center"/>
          </w:tcPr>
          <w:p>
            <w:pPr>
              <w:autoSpaceDE w:val="0"/>
              <w:autoSpaceDN w:val="0"/>
              <w:adjustRightInd w:val="0"/>
              <w:jc w:val="center"/>
              <w:rPr>
                <w:rFonts w:hint="eastAsia" w:ascii="宋体" w:hAnsi="宋体" w:eastAsia="宋体" w:cs="宋体"/>
                <w:sz w:val="24"/>
                <w:highlight w:val="none"/>
              </w:rPr>
            </w:pPr>
          </w:p>
        </w:tc>
        <w:tc>
          <w:tcPr>
            <w:tcW w:w="1112" w:type="dxa"/>
            <w:vAlign w:val="center"/>
          </w:tcPr>
          <w:p>
            <w:pPr>
              <w:jc w:val="center"/>
              <w:rPr>
                <w:rFonts w:hint="eastAsia" w:ascii="宋体" w:hAnsi="宋体" w:eastAsia="宋体" w:cs="宋体"/>
                <w:sz w:val="24"/>
                <w:highlight w:val="none"/>
              </w:rPr>
            </w:pPr>
          </w:p>
        </w:tc>
        <w:tc>
          <w:tcPr>
            <w:tcW w:w="1325" w:type="dxa"/>
            <w:vAlign w:val="center"/>
          </w:tcPr>
          <w:p>
            <w:pPr>
              <w:jc w:val="center"/>
              <w:rPr>
                <w:rFonts w:hint="eastAsia" w:ascii="宋体" w:hAnsi="宋体" w:eastAsia="宋体" w:cs="宋体"/>
                <w:sz w:val="24"/>
                <w:highlight w:val="none"/>
              </w:rPr>
            </w:pPr>
          </w:p>
        </w:tc>
        <w:tc>
          <w:tcPr>
            <w:tcW w:w="1759" w:type="dxa"/>
            <w:vAlign w:val="center"/>
          </w:tcPr>
          <w:p>
            <w:pPr>
              <w:jc w:val="center"/>
              <w:rPr>
                <w:rFonts w:hint="eastAsia" w:ascii="宋体" w:hAnsi="宋体" w:eastAsia="宋体" w:cs="宋体"/>
                <w:sz w:val="24"/>
                <w:highlight w:val="none"/>
              </w:rPr>
            </w:pPr>
          </w:p>
        </w:tc>
        <w:tc>
          <w:tcPr>
            <w:tcW w:w="1436" w:type="dxa"/>
            <w:vAlign w:val="center"/>
          </w:tcPr>
          <w:p>
            <w:pPr>
              <w:autoSpaceDE w:val="0"/>
              <w:autoSpaceDN w:val="0"/>
              <w:adjustRightInd w:val="0"/>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34" w:type="dxa"/>
            <w:vAlign w:val="center"/>
          </w:tcPr>
          <w:p>
            <w:pPr>
              <w:autoSpaceDE w:val="0"/>
              <w:autoSpaceDN w:val="0"/>
              <w:adjustRightInd w:val="0"/>
              <w:jc w:val="center"/>
              <w:rPr>
                <w:rFonts w:hint="eastAsia" w:ascii="宋体" w:hAnsi="宋体" w:eastAsia="宋体" w:cs="宋体"/>
                <w:sz w:val="24"/>
                <w:highlight w:val="none"/>
              </w:rPr>
            </w:pPr>
            <w:r>
              <w:rPr>
                <w:rFonts w:hint="eastAsia" w:ascii="宋体" w:hAnsi="宋体" w:eastAsia="宋体" w:cs="宋体"/>
                <w:sz w:val="24"/>
                <w:highlight w:val="none"/>
              </w:rPr>
              <w:t>…</w:t>
            </w:r>
          </w:p>
        </w:tc>
        <w:tc>
          <w:tcPr>
            <w:tcW w:w="1705" w:type="dxa"/>
            <w:vAlign w:val="center"/>
          </w:tcPr>
          <w:p>
            <w:pPr>
              <w:autoSpaceDE w:val="0"/>
              <w:autoSpaceDN w:val="0"/>
              <w:adjustRightInd w:val="0"/>
              <w:jc w:val="center"/>
              <w:rPr>
                <w:rFonts w:hint="eastAsia" w:ascii="宋体" w:hAnsi="宋体" w:eastAsia="宋体" w:cs="宋体"/>
                <w:sz w:val="24"/>
                <w:highlight w:val="none"/>
              </w:rPr>
            </w:pPr>
          </w:p>
        </w:tc>
        <w:tc>
          <w:tcPr>
            <w:tcW w:w="969" w:type="dxa"/>
            <w:vAlign w:val="center"/>
          </w:tcPr>
          <w:p>
            <w:pPr>
              <w:autoSpaceDE w:val="0"/>
              <w:autoSpaceDN w:val="0"/>
              <w:adjustRightInd w:val="0"/>
              <w:jc w:val="center"/>
              <w:rPr>
                <w:rFonts w:hint="eastAsia" w:ascii="宋体" w:hAnsi="宋体" w:eastAsia="宋体" w:cs="宋体"/>
                <w:sz w:val="24"/>
                <w:highlight w:val="none"/>
              </w:rPr>
            </w:pPr>
          </w:p>
        </w:tc>
        <w:tc>
          <w:tcPr>
            <w:tcW w:w="1112" w:type="dxa"/>
            <w:vAlign w:val="center"/>
          </w:tcPr>
          <w:p>
            <w:pPr>
              <w:jc w:val="center"/>
              <w:rPr>
                <w:rFonts w:hint="eastAsia" w:ascii="宋体" w:hAnsi="宋体" w:eastAsia="宋体" w:cs="宋体"/>
                <w:sz w:val="24"/>
                <w:highlight w:val="none"/>
              </w:rPr>
            </w:pPr>
          </w:p>
        </w:tc>
        <w:tc>
          <w:tcPr>
            <w:tcW w:w="1325" w:type="dxa"/>
            <w:vAlign w:val="center"/>
          </w:tcPr>
          <w:p>
            <w:pPr>
              <w:jc w:val="center"/>
              <w:rPr>
                <w:rFonts w:hint="eastAsia" w:ascii="宋体" w:hAnsi="宋体" w:eastAsia="宋体" w:cs="宋体"/>
                <w:sz w:val="24"/>
                <w:highlight w:val="none"/>
              </w:rPr>
            </w:pPr>
          </w:p>
        </w:tc>
        <w:tc>
          <w:tcPr>
            <w:tcW w:w="1759" w:type="dxa"/>
            <w:vAlign w:val="center"/>
          </w:tcPr>
          <w:p>
            <w:pPr>
              <w:jc w:val="center"/>
              <w:rPr>
                <w:rFonts w:hint="eastAsia" w:ascii="宋体" w:hAnsi="宋体" w:eastAsia="宋体" w:cs="宋体"/>
                <w:sz w:val="24"/>
                <w:highlight w:val="none"/>
              </w:rPr>
            </w:pPr>
          </w:p>
        </w:tc>
        <w:tc>
          <w:tcPr>
            <w:tcW w:w="1436" w:type="dxa"/>
            <w:vAlign w:val="center"/>
          </w:tcPr>
          <w:p>
            <w:pPr>
              <w:autoSpaceDE w:val="0"/>
              <w:autoSpaceDN w:val="0"/>
              <w:adjustRightInd w:val="0"/>
              <w:jc w:val="center"/>
              <w:rPr>
                <w:rFonts w:hint="eastAsia" w:ascii="宋体" w:hAnsi="宋体" w:eastAsia="宋体" w:cs="宋体"/>
                <w:sz w:val="24"/>
                <w:highlight w:val="none"/>
              </w:rPr>
            </w:pPr>
            <w:r>
              <w:rPr>
                <w:rFonts w:hint="eastAsia" w:ascii="宋体" w:hAnsi="宋体" w:eastAsia="宋体" w:cs="宋体"/>
                <w:sz w:val="24"/>
                <w:highlight w:val="none"/>
              </w:rPr>
              <w:t>…</w:t>
            </w:r>
          </w:p>
        </w:tc>
      </w:tr>
    </w:tbl>
    <w:p>
      <w:pPr>
        <w:spacing w:line="460" w:lineRule="exact"/>
        <w:rPr>
          <w:rFonts w:hint="eastAsia" w:ascii="宋体" w:hAnsi="宋体" w:eastAsia="宋体" w:cs="宋体"/>
          <w:sz w:val="24"/>
          <w:highlight w:val="none"/>
        </w:rPr>
      </w:pPr>
    </w:p>
    <w:p>
      <w:pPr>
        <w:pStyle w:val="26"/>
        <w:rPr>
          <w:rFonts w:hint="eastAsia" w:ascii="宋体" w:hAnsi="宋体" w:eastAsia="宋体" w:cs="宋体"/>
          <w:highlight w:val="none"/>
        </w:rPr>
      </w:pPr>
    </w:p>
    <w:p>
      <w:pPr>
        <w:snapToGrid w:val="0"/>
        <w:spacing w:line="600" w:lineRule="exact"/>
        <w:jc w:val="right"/>
        <w:outlineLvl w:val="2"/>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投标人（公章）：</w:t>
      </w:r>
    </w:p>
    <w:p>
      <w:pPr>
        <w:snapToGrid w:val="0"/>
        <w:spacing w:line="600" w:lineRule="exact"/>
        <w:jc w:val="right"/>
        <w:outlineLvl w:val="2"/>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法定代表人或授权代表（签字）：</w:t>
      </w:r>
    </w:p>
    <w:p>
      <w:pPr>
        <w:snapToGrid w:val="0"/>
        <w:spacing w:line="600" w:lineRule="exact"/>
        <w:jc w:val="right"/>
        <w:outlineLvl w:val="2"/>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rPr>
        <w:t>采用联合体投标的，</w:t>
      </w:r>
      <w:r>
        <w:rPr>
          <w:rFonts w:hint="eastAsia" w:ascii="宋体" w:hAnsi="宋体" w:eastAsia="宋体" w:cs="宋体"/>
          <w:kern w:val="0"/>
          <w:sz w:val="24"/>
          <w:highlight w:val="none"/>
          <w:lang w:val="zh-CN"/>
        </w:rPr>
        <w:t>至少须加盖联合体主办人的公章、签字）</w:t>
      </w:r>
    </w:p>
    <w:p>
      <w:pPr>
        <w:snapToGrid w:val="0"/>
        <w:spacing w:line="600" w:lineRule="exact"/>
        <w:jc w:val="right"/>
        <w:outlineLvl w:val="2"/>
        <w:rPr>
          <w:rFonts w:hint="eastAsia" w:ascii="宋体" w:hAnsi="宋体" w:eastAsia="宋体" w:cs="宋体"/>
          <w:b/>
          <w:color w:val="000000"/>
          <w:sz w:val="28"/>
          <w:szCs w:val="28"/>
          <w:highlight w:val="none"/>
        </w:rPr>
      </w:pPr>
      <w:r>
        <w:rPr>
          <w:rFonts w:hint="eastAsia" w:ascii="宋体" w:hAnsi="宋体" w:eastAsia="宋体" w:cs="宋体"/>
          <w:kern w:val="0"/>
          <w:sz w:val="24"/>
          <w:highlight w:val="none"/>
          <w:lang w:val="zh-CN"/>
        </w:rPr>
        <w:t xml:space="preserve">日期：20  年  月   日   </w:t>
      </w:r>
    </w:p>
    <w:p>
      <w:pPr>
        <w:snapToGrid w:val="0"/>
        <w:spacing w:line="600" w:lineRule="exact"/>
        <w:jc w:val="center"/>
        <w:outlineLvl w:val="2"/>
        <w:rPr>
          <w:rFonts w:hint="eastAsia" w:ascii="宋体" w:hAnsi="宋体" w:eastAsia="宋体" w:cs="宋体"/>
          <w:b/>
          <w:color w:val="000000"/>
          <w:sz w:val="28"/>
          <w:szCs w:val="28"/>
          <w:highlight w:val="none"/>
        </w:rPr>
      </w:pPr>
    </w:p>
    <w:p>
      <w:pPr>
        <w:snapToGrid w:val="0"/>
        <w:spacing w:line="600" w:lineRule="exact"/>
        <w:jc w:val="center"/>
        <w:outlineLvl w:val="2"/>
        <w:rPr>
          <w:rFonts w:hint="eastAsia" w:ascii="宋体" w:hAnsi="宋体" w:eastAsia="宋体" w:cs="宋体"/>
          <w:b/>
          <w:color w:val="000000"/>
          <w:sz w:val="28"/>
          <w:szCs w:val="28"/>
          <w:highlight w:val="none"/>
        </w:rPr>
      </w:pPr>
    </w:p>
    <w:p>
      <w:pPr>
        <w:snapToGrid w:val="0"/>
        <w:spacing w:line="600" w:lineRule="exact"/>
        <w:jc w:val="center"/>
        <w:outlineLvl w:val="2"/>
        <w:rPr>
          <w:rFonts w:hint="eastAsia" w:ascii="宋体" w:hAnsi="宋体" w:eastAsia="宋体" w:cs="宋体"/>
          <w:b/>
          <w:color w:val="000000"/>
          <w:sz w:val="28"/>
          <w:szCs w:val="28"/>
          <w:highlight w:val="none"/>
          <w:lang w:val="zh-CN"/>
        </w:rPr>
        <w:sectPr>
          <w:pgSz w:w="11906" w:h="16838"/>
          <w:pgMar w:top="1531" w:right="1304" w:bottom="1531" w:left="1361" w:header="851" w:footer="641" w:gutter="0"/>
          <w:cols w:space="720" w:num="1"/>
          <w:rtlGutter w:val="0"/>
          <w:docGrid w:type="lines" w:linePitch="320" w:charSpace="0"/>
        </w:sectPr>
      </w:pPr>
    </w:p>
    <w:p>
      <w:pPr>
        <w:snapToGrid w:val="0"/>
        <w:spacing w:line="600" w:lineRule="exact"/>
        <w:jc w:val="center"/>
        <w:outlineLvl w:val="2"/>
        <w:rPr>
          <w:rFonts w:hint="eastAsia" w:ascii="宋体" w:hAnsi="宋体" w:eastAsia="宋体" w:cs="宋体"/>
          <w:b/>
          <w:color w:val="000000"/>
          <w:sz w:val="28"/>
          <w:szCs w:val="28"/>
          <w:highlight w:val="none"/>
          <w:lang w:val="zh-CN"/>
        </w:rPr>
      </w:pPr>
      <w:r>
        <w:rPr>
          <w:rFonts w:hint="eastAsia" w:ascii="宋体" w:hAnsi="宋体" w:eastAsia="宋体" w:cs="宋体"/>
          <w:b/>
          <w:color w:val="000000"/>
          <w:sz w:val="28"/>
          <w:szCs w:val="28"/>
          <w:highlight w:val="none"/>
          <w:lang w:val="zh-CN"/>
        </w:rPr>
        <w:t>九、技术偏离表</w:t>
      </w:r>
      <w:r>
        <w:rPr>
          <w:rFonts w:hint="eastAsia" w:ascii="宋体" w:hAnsi="宋体" w:eastAsia="宋体" w:cs="宋体"/>
          <w:b/>
          <w:color w:val="000000"/>
          <w:sz w:val="28"/>
          <w:szCs w:val="28"/>
          <w:highlight w:val="none"/>
          <w:lang w:val="zh-CN" w:eastAsia="zh-CN"/>
        </w:rPr>
        <w:t>（标项       ）</w:t>
      </w:r>
    </w:p>
    <w:p>
      <w:pPr>
        <w:autoSpaceDE w:val="0"/>
        <w:autoSpaceDN w:val="0"/>
        <w:adjustRightInd w:val="0"/>
        <w:spacing w:line="440" w:lineRule="exact"/>
        <w:ind w:firstLine="361" w:firstLineChars="150"/>
        <w:rPr>
          <w:rFonts w:hint="eastAsia" w:ascii="宋体" w:hAnsi="宋体" w:eastAsia="宋体" w:cs="宋体"/>
          <w:b/>
          <w:kern w:val="0"/>
          <w:sz w:val="24"/>
          <w:highlight w:val="none"/>
        </w:rPr>
      </w:pPr>
      <w:r>
        <w:rPr>
          <w:rFonts w:hint="eastAsia" w:ascii="宋体" w:hAnsi="宋体" w:eastAsia="宋体" w:cs="宋体"/>
          <w:b/>
          <w:kern w:val="0"/>
          <w:sz w:val="24"/>
          <w:highlight w:val="none"/>
        </w:rPr>
        <w:t>项目编号：</w:t>
      </w:r>
      <w:r>
        <w:rPr>
          <w:rFonts w:hint="eastAsia" w:ascii="宋体" w:hAnsi="宋体" w:eastAsia="宋体" w:cs="宋体"/>
          <w:b/>
          <w:kern w:val="0"/>
          <w:sz w:val="24"/>
          <w:highlight w:val="none"/>
          <w:lang w:eastAsia="zh-CN"/>
        </w:rPr>
        <w:t>RTZFCG-2022-</w:t>
      </w:r>
      <w:r>
        <w:rPr>
          <w:rFonts w:hint="eastAsia" w:ascii="宋体" w:hAnsi="宋体" w:eastAsia="宋体" w:cs="宋体"/>
          <w:b/>
          <w:kern w:val="0"/>
          <w:sz w:val="24"/>
          <w:highlight w:val="none"/>
        </w:rPr>
        <w:t xml:space="preserve"> </w:t>
      </w:r>
    </w:p>
    <w:tbl>
      <w:tblPr>
        <w:tblStyle w:val="6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1855" w:type="dxa"/>
            <w:tcBorders>
              <w:bottom w:val="single" w:color="auto" w:sz="4" w:space="0"/>
            </w:tcBorders>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内  容</w:t>
            </w:r>
          </w:p>
        </w:tc>
        <w:tc>
          <w:tcPr>
            <w:tcW w:w="1957" w:type="dxa"/>
            <w:tcBorders>
              <w:bottom w:val="single" w:color="auto" w:sz="4" w:space="0"/>
            </w:tcBorders>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招标文件</w:t>
            </w:r>
          </w:p>
          <w:p>
            <w:pPr>
              <w:jc w:val="center"/>
              <w:rPr>
                <w:rFonts w:hint="eastAsia" w:ascii="宋体" w:hAnsi="宋体" w:eastAsia="宋体" w:cs="宋体"/>
                <w:b/>
                <w:sz w:val="24"/>
                <w:highlight w:val="none"/>
              </w:rPr>
            </w:pPr>
            <w:r>
              <w:rPr>
                <w:rFonts w:hint="eastAsia" w:ascii="宋体" w:hAnsi="宋体" w:eastAsia="宋体" w:cs="宋体"/>
                <w:b/>
                <w:sz w:val="24"/>
                <w:highlight w:val="none"/>
              </w:rPr>
              <w:t>规范要求</w:t>
            </w:r>
          </w:p>
        </w:tc>
        <w:tc>
          <w:tcPr>
            <w:tcW w:w="1620" w:type="dxa"/>
            <w:tcBorders>
              <w:bottom w:val="single" w:color="auto" w:sz="4" w:space="0"/>
            </w:tcBorders>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投标文件</w:t>
            </w:r>
          </w:p>
          <w:p>
            <w:pPr>
              <w:jc w:val="center"/>
              <w:rPr>
                <w:rFonts w:hint="eastAsia" w:ascii="宋体" w:hAnsi="宋体" w:eastAsia="宋体" w:cs="宋体"/>
                <w:b/>
                <w:sz w:val="24"/>
                <w:highlight w:val="none"/>
              </w:rPr>
            </w:pPr>
            <w:r>
              <w:rPr>
                <w:rFonts w:hint="eastAsia" w:ascii="宋体" w:hAnsi="宋体" w:eastAsia="宋体" w:cs="宋体"/>
                <w:b/>
                <w:sz w:val="24"/>
                <w:highlight w:val="none"/>
              </w:rPr>
              <w:t>对应规范</w:t>
            </w:r>
          </w:p>
        </w:tc>
        <w:tc>
          <w:tcPr>
            <w:tcW w:w="2524" w:type="dxa"/>
            <w:tcBorders>
              <w:bottom w:val="single" w:color="auto" w:sz="4" w:space="0"/>
            </w:tcBorders>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Align w:val="top"/>
          </w:tcPr>
          <w:p>
            <w:pPr>
              <w:spacing w:line="360" w:lineRule="auto"/>
              <w:jc w:val="center"/>
              <w:rPr>
                <w:rFonts w:hint="eastAsia" w:ascii="宋体" w:hAnsi="宋体" w:eastAsia="宋体" w:cs="宋体"/>
                <w:sz w:val="24"/>
                <w:highlight w:val="none"/>
              </w:rPr>
            </w:pPr>
          </w:p>
        </w:tc>
        <w:tc>
          <w:tcPr>
            <w:tcW w:w="1855" w:type="dxa"/>
            <w:vAlign w:val="top"/>
          </w:tcPr>
          <w:p>
            <w:pPr>
              <w:spacing w:line="360" w:lineRule="auto"/>
              <w:rPr>
                <w:rFonts w:hint="eastAsia" w:ascii="宋体" w:hAnsi="宋体" w:eastAsia="宋体" w:cs="宋体"/>
                <w:sz w:val="24"/>
                <w:highlight w:val="none"/>
              </w:rPr>
            </w:pPr>
          </w:p>
        </w:tc>
        <w:tc>
          <w:tcPr>
            <w:tcW w:w="1957" w:type="dxa"/>
            <w:vAlign w:val="top"/>
          </w:tcPr>
          <w:p>
            <w:pPr>
              <w:spacing w:line="360" w:lineRule="auto"/>
              <w:rPr>
                <w:rFonts w:hint="eastAsia" w:ascii="宋体" w:hAnsi="宋体" w:eastAsia="宋体" w:cs="宋体"/>
                <w:sz w:val="24"/>
                <w:highlight w:val="none"/>
              </w:rPr>
            </w:pPr>
          </w:p>
        </w:tc>
        <w:tc>
          <w:tcPr>
            <w:tcW w:w="1620" w:type="dxa"/>
            <w:vAlign w:val="top"/>
          </w:tcPr>
          <w:p>
            <w:pPr>
              <w:spacing w:line="360" w:lineRule="auto"/>
              <w:rPr>
                <w:rFonts w:hint="eastAsia" w:ascii="宋体" w:hAnsi="宋体" w:eastAsia="宋体" w:cs="宋体"/>
                <w:sz w:val="24"/>
                <w:highlight w:val="none"/>
              </w:rPr>
            </w:pPr>
          </w:p>
        </w:tc>
        <w:tc>
          <w:tcPr>
            <w:tcW w:w="2524" w:type="dxa"/>
            <w:vAlign w:val="top"/>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Align w:val="top"/>
          </w:tcPr>
          <w:p>
            <w:pPr>
              <w:spacing w:line="360" w:lineRule="auto"/>
              <w:rPr>
                <w:rFonts w:hint="eastAsia" w:ascii="宋体" w:hAnsi="宋体" w:eastAsia="宋体" w:cs="宋体"/>
                <w:sz w:val="24"/>
                <w:highlight w:val="none"/>
              </w:rPr>
            </w:pPr>
          </w:p>
        </w:tc>
        <w:tc>
          <w:tcPr>
            <w:tcW w:w="1855" w:type="dxa"/>
            <w:vAlign w:val="top"/>
          </w:tcPr>
          <w:p>
            <w:pPr>
              <w:spacing w:line="360" w:lineRule="auto"/>
              <w:rPr>
                <w:rFonts w:hint="eastAsia" w:ascii="宋体" w:hAnsi="宋体" w:eastAsia="宋体" w:cs="宋体"/>
                <w:sz w:val="24"/>
                <w:highlight w:val="none"/>
              </w:rPr>
            </w:pPr>
          </w:p>
        </w:tc>
        <w:tc>
          <w:tcPr>
            <w:tcW w:w="1957" w:type="dxa"/>
            <w:vAlign w:val="top"/>
          </w:tcPr>
          <w:p>
            <w:pPr>
              <w:spacing w:line="360" w:lineRule="auto"/>
              <w:rPr>
                <w:rFonts w:hint="eastAsia" w:ascii="宋体" w:hAnsi="宋体" w:eastAsia="宋体" w:cs="宋体"/>
                <w:sz w:val="24"/>
                <w:highlight w:val="none"/>
              </w:rPr>
            </w:pPr>
          </w:p>
        </w:tc>
        <w:tc>
          <w:tcPr>
            <w:tcW w:w="1620" w:type="dxa"/>
            <w:vAlign w:val="top"/>
          </w:tcPr>
          <w:p>
            <w:pPr>
              <w:spacing w:line="360" w:lineRule="auto"/>
              <w:rPr>
                <w:rFonts w:hint="eastAsia" w:ascii="宋体" w:hAnsi="宋体" w:eastAsia="宋体" w:cs="宋体"/>
                <w:sz w:val="24"/>
                <w:highlight w:val="none"/>
              </w:rPr>
            </w:pPr>
          </w:p>
        </w:tc>
        <w:tc>
          <w:tcPr>
            <w:tcW w:w="2524" w:type="dxa"/>
            <w:vAlign w:val="top"/>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Align w:val="top"/>
          </w:tcPr>
          <w:p>
            <w:pPr>
              <w:spacing w:line="360" w:lineRule="auto"/>
              <w:rPr>
                <w:rFonts w:hint="eastAsia" w:ascii="宋体" w:hAnsi="宋体" w:eastAsia="宋体" w:cs="宋体"/>
                <w:sz w:val="24"/>
                <w:highlight w:val="none"/>
              </w:rPr>
            </w:pPr>
          </w:p>
        </w:tc>
        <w:tc>
          <w:tcPr>
            <w:tcW w:w="1855" w:type="dxa"/>
            <w:vAlign w:val="top"/>
          </w:tcPr>
          <w:p>
            <w:pPr>
              <w:spacing w:line="360" w:lineRule="auto"/>
              <w:rPr>
                <w:rFonts w:hint="eastAsia" w:ascii="宋体" w:hAnsi="宋体" w:eastAsia="宋体" w:cs="宋体"/>
                <w:sz w:val="24"/>
                <w:highlight w:val="none"/>
              </w:rPr>
            </w:pPr>
          </w:p>
        </w:tc>
        <w:tc>
          <w:tcPr>
            <w:tcW w:w="1957" w:type="dxa"/>
            <w:vAlign w:val="top"/>
          </w:tcPr>
          <w:p>
            <w:pPr>
              <w:spacing w:line="360" w:lineRule="auto"/>
              <w:rPr>
                <w:rFonts w:hint="eastAsia" w:ascii="宋体" w:hAnsi="宋体" w:eastAsia="宋体" w:cs="宋体"/>
                <w:sz w:val="24"/>
                <w:highlight w:val="none"/>
              </w:rPr>
            </w:pPr>
          </w:p>
        </w:tc>
        <w:tc>
          <w:tcPr>
            <w:tcW w:w="1620" w:type="dxa"/>
            <w:vAlign w:val="top"/>
          </w:tcPr>
          <w:p>
            <w:pPr>
              <w:spacing w:line="360" w:lineRule="auto"/>
              <w:rPr>
                <w:rFonts w:hint="eastAsia" w:ascii="宋体" w:hAnsi="宋体" w:eastAsia="宋体" w:cs="宋体"/>
                <w:sz w:val="24"/>
                <w:highlight w:val="none"/>
              </w:rPr>
            </w:pPr>
          </w:p>
        </w:tc>
        <w:tc>
          <w:tcPr>
            <w:tcW w:w="2524" w:type="dxa"/>
            <w:vAlign w:val="top"/>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vAlign w:val="top"/>
          </w:tcPr>
          <w:p>
            <w:pPr>
              <w:spacing w:line="360" w:lineRule="auto"/>
              <w:rPr>
                <w:rFonts w:hint="eastAsia" w:ascii="宋体" w:hAnsi="宋体" w:eastAsia="宋体" w:cs="宋体"/>
                <w:sz w:val="24"/>
                <w:highlight w:val="none"/>
              </w:rPr>
            </w:pPr>
          </w:p>
        </w:tc>
        <w:tc>
          <w:tcPr>
            <w:tcW w:w="1855" w:type="dxa"/>
            <w:vAlign w:val="top"/>
          </w:tcPr>
          <w:p>
            <w:pPr>
              <w:spacing w:line="360" w:lineRule="auto"/>
              <w:rPr>
                <w:rFonts w:hint="eastAsia" w:ascii="宋体" w:hAnsi="宋体" w:eastAsia="宋体" w:cs="宋体"/>
                <w:sz w:val="24"/>
                <w:highlight w:val="none"/>
              </w:rPr>
            </w:pPr>
          </w:p>
        </w:tc>
        <w:tc>
          <w:tcPr>
            <w:tcW w:w="1957" w:type="dxa"/>
            <w:vAlign w:val="top"/>
          </w:tcPr>
          <w:p>
            <w:pPr>
              <w:spacing w:line="360" w:lineRule="auto"/>
              <w:rPr>
                <w:rFonts w:hint="eastAsia" w:ascii="宋体" w:hAnsi="宋体" w:eastAsia="宋体" w:cs="宋体"/>
                <w:sz w:val="24"/>
                <w:highlight w:val="none"/>
              </w:rPr>
            </w:pPr>
          </w:p>
        </w:tc>
        <w:tc>
          <w:tcPr>
            <w:tcW w:w="1620" w:type="dxa"/>
            <w:vAlign w:val="top"/>
          </w:tcPr>
          <w:p>
            <w:pPr>
              <w:spacing w:line="360" w:lineRule="auto"/>
              <w:rPr>
                <w:rFonts w:hint="eastAsia" w:ascii="宋体" w:hAnsi="宋体" w:eastAsia="宋体" w:cs="宋体"/>
                <w:sz w:val="24"/>
                <w:highlight w:val="none"/>
              </w:rPr>
            </w:pPr>
          </w:p>
        </w:tc>
        <w:tc>
          <w:tcPr>
            <w:tcW w:w="2524" w:type="dxa"/>
            <w:vAlign w:val="top"/>
          </w:tcPr>
          <w:p>
            <w:pPr>
              <w:spacing w:line="360" w:lineRule="auto"/>
              <w:rPr>
                <w:rFonts w:hint="eastAsia" w:ascii="宋体" w:hAnsi="宋体" w:eastAsia="宋体" w:cs="宋体"/>
                <w:sz w:val="24"/>
                <w:highlight w:val="none"/>
              </w:rPr>
            </w:pPr>
          </w:p>
        </w:tc>
      </w:tr>
    </w:tbl>
    <w:p>
      <w:pPr>
        <w:autoSpaceDE w:val="0"/>
        <w:autoSpaceDN w:val="0"/>
        <w:adjustRightInd w:val="0"/>
        <w:spacing w:line="44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备注：投标人应根据投标设备的性能指标、对照招标文件要求在“偏离情况”栏注明“正偏离”、“负偏离”或“无偏离”。</w:t>
      </w:r>
    </w:p>
    <w:p>
      <w:pPr>
        <w:wordWrap w:val="0"/>
        <w:autoSpaceDE w:val="0"/>
        <w:autoSpaceDN w:val="0"/>
        <w:adjustRightInd w:val="0"/>
        <w:spacing w:line="440" w:lineRule="exact"/>
        <w:jc w:val="right"/>
        <w:rPr>
          <w:rFonts w:hint="eastAsia" w:ascii="宋体" w:hAnsi="宋体" w:eastAsia="宋体" w:cs="宋体"/>
          <w:color w:val="000000"/>
          <w:sz w:val="24"/>
          <w:highlight w:val="none"/>
        </w:rPr>
      </w:pPr>
      <w:r>
        <w:rPr>
          <w:rFonts w:hint="eastAsia" w:ascii="宋体" w:hAnsi="宋体" w:eastAsia="宋体" w:cs="宋体"/>
          <w:kern w:val="0"/>
          <w:sz w:val="24"/>
          <w:highlight w:val="none"/>
          <w:lang w:val="zh-CN"/>
        </w:rPr>
        <w:t xml:space="preserve">        </w:t>
      </w:r>
    </w:p>
    <w:p>
      <w:pPr>
        <w:snapToGrid w:val="0"/>
        <w:spacing w:line="600" w:lineRule="exact"/>
        <w:ind w:firstLine="240" w:firstLineChars="100"/>
        <w:rPr>
          <w:rFonts w:hint="eastAsia" w:ascii="宋体" w:hAnsi="宋体" w:eastAsia="宋体" w:cs="宋体"/>
          <w:color w:val="000000"/>
          <w:sz w:val="24"/>
          <w:highlight w:val="none"/>
        </w:rPr>
      </w:pPr>
    </w:p>
    <w:p>
      <w:pPr>
        <w:snapToGrid w:val="0"/>
        <w:spacing w:line="600" w:lineRule="exact"/>
        <w:ind w:firstLine="240" w:firstLineChars="100"/>
        <w:rPr>
          <w:rFonts w:hint="eastAsia" w:ascii="宋体" w:hAnsi="宋体" w:eastAsia="宋体" w:cs="宋体"/>
          <w:color w:val="000000"/>
          <w:sz w:val="24"/>
          <w:highlight w:val="none"/>
        </w:rPr>
      </w:pPr>
    </w:p>
    <w:p>
      <w:pPr>
        <w:snapToGrid w:val="0"/>
        <w:spacing w:line="600" w:lineRule="exact"/>
        <w:ind w:firstLine="240" w:firstLineChars="100"/>
        <w:rPr>
          <w:rFonts w:hint="eastAsia" w:ascii="宋体" w:hAnsi="宋体" w:eastAsia="宋体" w:cs="宋体"/>
          <w:color w:val="000000"/>
          <w:sz w:val="24"/>
          <w:highlight w:val="none"/>
        </w:rPr>
      </w:pPr>
    </w:p>
    <w:p>
      <w:pPr>
        <w:snapToGrid w:val="0"/>
        <w:spacing w:line="600" w:lineRule="exact"/>
        <w:ind w:firstLine="241" w:firstLineChars="100"/>
        <w:rPr>
          <w:rFonts w:hint="eastAsia" w:ascii="宋体" w:hAnsi="宋体" w:eastAsia="宋体" w:cs="宋体"/>
          <w:b/>
          <w:bCs/>
          <w:color w:val="000000"/>
          <w:sz w:val="24"/>
          <w:highlight w:val="none"/>
        </w:rPr>
      </w:pPr>
    </w:p>
    <w:p>
      <w:pPr>
        <w:autoSpaceDE w:val="0"/>
        <w:autoSpaceDN w:val="0"/>
        <w:snapToGrid w:val="0"/>
        <w:spacing w:line="600" w:lineRule="exact"/>
        <w:ind w:firstLine="5160" w:firstLineChars="2150"/>
        <w:rPr>
          <w:rFonts w:hint="eastAsia" w:ascii="宋体" w:hAnsi="宋体" w:eastAsia="宋体" w:cs="宋体"/>
          <w:color w:val="000000"/>
          <w:kern w:val="0"/>
          <w:sz w:val="24"/>
          <w:highlight w:val="none"/>
          <w:lang w:val="zh-CN"/>
        </w:rPr>
      </w:pPr>
    </w:p>
    <w:p>
      <w:pPr>
        <w:autoSpaceDE w:val="0"/>
        <w:autoSpaceDN w:val="0"/>
        <w:snapToGrid w:val="0"/>
        <w:spacing w:line="600" w:lineRule="exact"/>
        <w:ind w:firstLine="5160" w:firstLineChars="215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zh-CN"/>
        </w:rPr>
        <w:t xml:space="preserve">投标人名称（公章）：      </w:t>
      </w:r>
    </w:p>
    <w:p>
      <w:pPr>
        <w:autoSpaceDE w:val="0"/>
        <w:autoSpaceDN w:val="0"/>
        <w:snapToGrid w:val="0"/>
        <w:spacing w:line="600" w:lineRule="exact"/>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val="zh-CN"/>
        </w:rPr>
        <w:t xml:space="preserve">                                           授权代表人（签字）：</w:t>
      </w:r>
    </w:p>
    <w:p>
      <w:pPr>
        <w:autoSpaceDE w:val="0"/>
        <w:autoSpaceDN w:val="0"/>
        <w:snapToGrid w:val="0"/>
        <w:spacing w:line="600" w:lineRule="exact"/>
        <w:ind w:firstLine="960" w:firstLineChars="400"/>
        <w:rPr>
          <w:rFonts w:hint="eastAsia" w:ascii="宋体" w:hAnsi="宋体" w:eastAsia="宋体" w:cs="宋体"/>
          <w:color w:val="000000"/>
          <w:kern w:val="0"/>
          <w:sz w:val="24"/>
          <w:highlight w:val="none"/>
          <w:lang w:val="zh-CN"/>
        </w:rPr>
      </w:pP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rPr>
        <w:t>采用联合体投标的，</w:t>
      </w:r>
      <w:r>
        <w:rPr>
          <w:rFonts w:hint="eastAsia" w:ascii="宋体" w:hAnsi="宋体" w:eastAsia="宋体" w:cs="宋体"/>
          <w:kern w:val="0"/>
          <w:sz w:val="24"/>
          <w:highlight w:val="none"/>
          <w:lang w:val="zh-CN"/>
        </w:rPr>
        <w:t>至少须加盖联合体主办人的公章、签字）</w:t>
      </w:r>
    </w:p>
    <w:p>
      <w:pPr>
        <w:autoSpaceDE w:val="0"/>
        <w:autoSpaceDN w:val="0"/>
        <w:snapToGrid w:val="0"/>
        <w:spacing w:line="600" w:lineRule="exact"/>
        <w:ind w:firstLine="5160" w:firstLineChars="2150"/>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val="zh-CN"/>
        </w:rPr>
        <w:t>日期：   年  月   日</w:t>
      </w:r>
    </w:p>
    <w:p>
      <w:pPr>
        <w:autoSpaceDE w:val="0"/>
        <w:autoSpaceDN w:val="0"/>
        <w:snapToGrid w:val="0"/>
        <w:spacing w:line="600" w:lineRule="exact"/>
        <w:ind w:firstLine="5160" w:firstLineChars="2150"/>
        <w:rPr>
          <w:rFonts w:hint="eastAsia" w:ascii="宋体" w:hAnsi="宋体" w:eastAsia="宋体" w:cs="宋体"/>
          <w:color w:val="000000"/>
          <w:kern w:val="0"/>
          <w:sz w:val="24"/>
          <w:highlight w:val="none"/>
          <w:lang w:val="zh-CN"/>
        </w:rPr>
      </w:pPr>
    </w:p>
    <w:p>
      <w:pPr>
        <w:snapToGrid w:val="0"/>
        <w:spacing w:line="600" w:lineRule="exact"/>
        <w:jc w:val="center"/>
        <w:outlineLvl w:val="2"/>
        <w:rPr>
          <w:rFonts w:hint="eastAsia" w:ascii="宋体" w:hAnsi="宋体" w:eastAsia="宋体" w:cs="宋体"/>
          <w:b/>
          <w:color w:val="000000"/>
          <w:sz w:val="28"/>
          <w:szCs w:val="28"/>
          <w:highlight w:val="none"/>
        </w:rPr>
        <w:sectPr>
          <w:pgSz w:w="11906" w:h="16838"/>
          <w:pgMar w:top="1531" w:right="1304" w:bottom="1531" w:left="1361" w:header="851" w:footer="641" w:gutter="0"/>
          <w:cols w:space="720" w:num="1"/>
          <w:rtlGutter w:val="0"/>
          <w:docGrid w:type="lines" w:linePitch="320" w:charSpace="0"/>
        </w:sectPr>
      </w:pPr>
    </w:p>
    <w:p>
      <w:pPr>
        <w:adjustRightInd/>
        <w:spacing w:line="600" w:lineRule="exact"/>
        <w:jc w:val="right"/>
        <w:rPr>
          <w:rFonts w:ascii="宋体" w:hAnsi="宋体" w:cs="宋体"/>
          <w:color w:val="auto"/>
          <w:kern w:val="0"/>
          <w:sz w:val="24"/>
          <w:highlight w:val="none"/>
          <w:lang w:val="zh-CN"/>
        </w:rPr>
      </w:pPr>
    </w:p>
    <w:p>
      <w:pPr>
        <w:numPr>
          <w:ilvl w:val="0"/>
          <w:numId w:val="0"/>
        </w:numPr>
        <w:jc w:val="center"/>
        <w:rPr>
          <w:rFonts w:hint="eastAsia" w:ascii="宋体" w:hAnsi="宋体" w:cs="宋体"/>
          <w:b/>
          <w:color w:val="auto"/>
          <w:kern w:val="0"/>
          <w:sz w:val="28"/>
          <w:szCs w:val="28"/>
          <w:highlight w:val="none"/>
          <w:lang w:val="zh-CN" w:eastAsia="zh-CN"/>
        </w:rPr>
      </w:pPr>
      <w:r>
        <w:rPr>
          <w:rFonts w:hint="eastAsia" w:ascii="宋体" w:hAnsi="宋体" w:cs="宋体"/>
          <w:b/>
          <w:color w:val="auto"/>
          <w:kern w:val="0"/>
          <w:sz w:val="28"/>
          <w:szCs w:val="28"/>
          <w:highlight w:val="none"/>
          <w:lang w:val="zh-CN"/>
        </w:rPr>
        <w:t>八、政府采购供应商廉洁自律承诺书</w:t>
      </w:r>
      <w:r>
        <w:rPr>
          <w:rFonts w:hint="eastAsia" w:ascii="宋体" w:hAnsi="宋体" w:cs="宋体"/>
          <w:b/>
          <w:color w:val="auto"/>
          <w:kern w:val="0"/>
          <w:sz w:val="28"/>
          <w:szCs w:val="28"/>
          <w:highlight w:val="none"/>
          <w:lang w:val="zh-CN" w:eastAsia="zh-CN"/>
        </w:rPr>
        <w:t>（标项       ）</w:t>
      </w:r>
    </w:p>
    <w:p>
      <w:pPr>
        <w:pStyle w:val="27"/>
        <w:numPr>
          <w:ilvl w:val="0"/>
          <w:numId w:val="0"/>
        </w:numPr>
        <w:ind w:leftChars="400"/>
        <w:rPr>
          <w:highlight w:val="none"/>
        </w:rPr>
      </w:pP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lang w:val="zh-CN"/>
        </w:rPr>
        <w:t>杭州市临平区教育综合服务中心、杭州瑞拓工程咨询有限公司：</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600" w:lineRule="exact"/>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600" w:lineRule="exact"/>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600" w:lineRule="exact"/>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600" w:lineRule="exact"/>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60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600" w:lineRule="exact"/>
        <w:jc w:val="left"/>
        <w:rPr>
          <w:rFonts w:ascii="宋体" w:hAnsi="宋体" w:cs="宋体"/>
          <w:color w:val="auto"/>
          <w:kern w:val="0"/>
          <w:sz w:val="24"/>
          <w:highlight w:val="none"/>
          <w:lang w:val="zh-CN"/>
        </w:rPr>
      </w:pPr>
    </w:p>
    <w:p>
      <w:pPr>
        <w:autoSpaceDE w:val="0"/>
        <w:autoSpaceDN w:val="0"/>
        <w:spacing w:line="600" w:lineRule="exact"/>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600" w:lineRule="exact"/>
        <w:ind w:left="0" w:leftChars="0" w:firstLine="720" w:firstLineChars="300"/>
        <w:rPr>
          <w:rFonts w:hint="eastAsia" w:ascii="宋体" w:hAnsi="宋体" w:cs="宋体"/>
          <w:color w:val="auto"/>
          <w:kern w:val="0"/>
          <w:sz w:val="24"/>
          <w:highlight w:val="none"/>
          <w:lang w:val="zh-CN"/>
        </w:rPr>
      </w:pP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rPr>
        <w:t>采用联合体投标的，</w:t>
      </w:r>
      <w:r>
        <w:rPr>
          <w:rFonts w:hint="eastAsia" w:ascii="宋体" w:hAnsi="宋体" w:eastAsia="宋体" w:cs="宋体"/>
          <w:kern w:val="0"/>
          <w:sz w:val="24"/>
          <w:highlight w:val="none"/>
          <w:lang w:val="zh-CN"/>
        </w:rPr>
        <w:t>至少须加盖联合体主办人的公章、签字）</w:t>
      </w:r>
    </w:p>
    <w:p>
      <w:pPr>
        <w:spacing w:line="600" w:lineRule="exact"/>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jc w:val="center"/>
        <w:rPr>
          <w:rFonts w:ascii="宋体" w:hAnsi="宋体" w:cs="宋体"/>
          <w:b/>
          <w:bCs/>
          <w:color w:val="auto"/>
          <w:sz w:val="24"/>
          <w:highlight w:val="none"/>
        </w:rPr>
        <w:sectPr>
          <w:headerReference r:id="rId12" w:type="first"/>
          <w:footerReference r:id="rId14" w:type="first"/>
          <w:headerReference r:id="rId11" w:type="default"/>
          <w:footerReference r:id="rId13" w:type="default"/>
          <w:pgSz w:w="11905" w:h="16838"/>
          <w:pgMar w:top="1531" w:right="1304" w:bottom="1531" w:left="1361"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8"/>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6" w:type="first"/>
          <w:footerReference r:id="rId18" w:type="first"/>
          <w:headerReference r:id="rId15" w:type="default"/>
          <w:footerReference r:id="rId17" w:type="default"/>
          <w:pgSz w:w="11905" w:h="16838"/>
          <w:pgMar w:top="1531" w:right="1304" w:bottom="1531" w:left="1361" w:header="851" w:footer="992" w:gutter="0"/>
          <w:cols w:space="720" w:num="1"/>
          <w:titlePg/>
          <w:docGrid w:linePitch="312" w:charSpace="0"/>
        </w:sectPr>
      </w:pPr>
    </w:p>
    <w:p>
      <w:pPr>
        <w:pStyle w:val="378"/>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600" w:lineRule="exact"/>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600" w:lineRule="exact"/>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w:t>
      </w:r>
      <w:r>
        <w:rPr>
          <w:rFonts w:hint="eastAsia" w:ascii="宋体" w:hAnsi="宋体" w:cs="宋体"/>
          <w:color w:val="auto"/>
          <w:sz w:val="24"/>
          <w:highlight w:val="none"/>
          <w:lang w:eastAsia="zh-CN"/>
        </w:rPr>
        <w:t>（标项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50"/>
        <w:gridCol w:w="1455"/>
        <w:gridCol w:w="3570"/>
        <w:gridCol w:w="720"/>
        <w:gridCol w:w="750"/>
        <w:gridCol w:w="73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75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455" w:type="dxa"/>
            <w:vAlign w:val="top"/>
          </w:tcPr>
          <w:p>
            <w:pPr>
              <w:jc w:val="center"/>
              <w:rPr>
                <w:rFonts w:ascii="宋体" w:hAnsi="宋体" w:cs="宋体"/>
                <w:b/>
                <w:color w:val="auto"/>
                <w:sz w:val="24"/>
                <w:highlight w:val="none"/>
              </w:rPr>
            </w:pPr>
          </w:p>
          <w:p>
            <w:pPr>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357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规格型号（或具体服务）</w:t>
            </w:r>
          </w:p>
        </w:tc>
        <w:tc>
          <w:tcPr>
            <w:tcW w:w="72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75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73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总价</w:t>
            </w:r>
          </w:p>
        </w:tc>
        <w:tc>
          <w:tcPr>
            <w:tcW w:w="825" w:type="dxa"/>
            <w:vAlign w:val="center"/>
          </w:tcPr>
          <w:p>
            <w:pPr>
              <w:jc w:val="center"/>
              <w:rPr>
                <w:rFonts w:ascii="宋体" w:hAnsi="宋体" w:cs="宋体"/>
                <w:b/>
                <w:color w:val="auto"/>
                <w:sz w:val="24"/>
                <w:highlight w:val="none"/>
              </w:rPr>
            </w:pPr>
          </w:p>
          <w:p>
            <w:pPr>
              <w:jc w:val="center"/>
              <w:rPr>
                <w:rFonts w:ascii="宋体" w:hAnsi="宋体" w:cs="宋体"/>
                <w:b/>
                <w:color w:val="auto"/>
                <w:sz w:val="24"/>
                <w:highlight w:val="none"/>
              </w:rPr>
            </w:pPr>
            <w:r>
              <w:rPr>
                <w:rFonts w:hint="eastAsia" w:ascii="宋体" w:hAnsi="宋体" w:cs="宋体"/>
                <w:b/>
                <w:color w:val="auto"/>
                <w:sz w:val="24"/>
                <w:highlight w:val="none"/>
              </w:rPr>
              <w:t>服务要求（年限）</w:t>
            </w:r>
          </w:p>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01" w:type="dxa"/>
            <w:gridSpan w:val="4"/>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3030" w:type="dxa"/>
            <w:gridSpan w:val="4"/>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01" w:type="dxa"/>
            <w:gridSpan w:val="4"/>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3030" w:type="dxa"/>
            <w:gridSpan w:val="4"/>
            <w:vAlign w:val="center"/>
          </w:tcPr>
          <w:p>
            <w:pPr>
              <w:jc w:val="center"/>
              <w:rPr>
                <w:rFonts w:ascii="宋体" w:hAnsi="宋体" w:cs="宋体"/>
                <w:color w:val="auto"/>
                <w:sz w:val="24"/>
                <w:highlight w:val="none"/>
              </w:rPr>
            </w:pPr>
          </w:p>
        </w:tc>
      </w:tr>
    </w:tbl>
    <w:p>
      <w:pPr>
        <w:snapToGrid w:val="0"/>
        <w:spacing w:line="600" w:lineRule="exact"/>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600" w:lineRule="exact"/>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1、投标人需按本表格式填写，不得自行更改。</w:t>
      </w:r>
    </w:p>
    <w:p>
      <w:pPr>
        <w:spacing w:line="60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投标文件含有采购人不能接受的附加条件的，投标无效</w:t>
      </w:r>
      <w:r>
        <w:rPr>
          <w:rFonts w:hint="eastAsia" w:ascii="宋体" w:hAnsi="宋体" w:cs="宋体"/>
          <w:b/>
          <w:color w:val="auto"/>
          <w:kern w:val="0"/>
          <w:sz w:val="24"/>
          <w:highlight w:val="none"/>
          <w:lang w:val="zh-CN"/>
        </w:rPr>
        <w:t>。</w:t>
      </w:r>
    </w:p>
    <w:p>
      <w:pPr>
        <w:snapToGrid w:val="0"/>
        <w:spacing w:line="60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60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600" w:lineRule="exact"/>
        <w:ind w:firstLine="480" w:firstLineChars="200"/>
        <w:jc w:val="left"/>
        <w:rPr>
          <w:rFonts w:ascii="宋体" w:hAnsi="宋体" w:cs="宋体"/>
          <w:color w:val="auto"/>
          <w:sz w:val="32"/>
          <w:szCs w:val="32"/>
          <w:highlight w:val="none"/>
        </w:rPr>
      </w:pPr>
      <w:r>
        <w:rPr>
          <w:rFonts w:hint="eastAsia" w:ascii="宋体" w:hAnsi="宋体" w:cs="宋体"/>
          <w:color w:val="auto"/>
          <w:kern w:val="0"/>
          <w:sz w:val="24"/>
          <w:szCs w:val="22"/>
          <w:highlight w:val="none"/>
          <w:lang w:val="zh-CN"/>
        </w:rPr>
        <w:t>5、</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8"/>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5" w:h="16838"/>
          <w:pgMar w:top="1531" w:right="1304" w:bottom="1531" w:left="1361" w:header="851" w:footer="992" w:gutter="0"/>
          <w:cols w:space="720" w:num="1"/>
          <w:titlePg/>
          <w:docGrid w:linePitch="312" w:charSpace="0"/>
        </w:sectPr>
      </w:pPr>
    </w:p>
    <w:p>
      <w:pPr>
        <w:pStyle w:val="378"/>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r>
        <w:rPr>
          <w:rFonts w:hint="eastAsia" w:ascii="宋体" w:hAnsi="宋体" w:eastAsia="宋体" w:cs="宋体"/>
          <w:color w:val="auto"/>
          <w:sz w:val="32"/>
          <w:szCs w:val="32"/>
          <w:highlight w:val="none"/>
          <w:lang w:eastAsia="zh-CN"/>
        </w:rPr>
        <w:t>（标项</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lang w:eastAsia="zh-CN"/>
        </w:rPr>
        <w:t>）</w:t>
      </w:r>
    </w:p>
    <w:p>
      <w:pPr>
        <w:widowControl/>
        <w:spacing w:line="600" w:lineRule="exact"/>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ascii="宋体" w:hAnsi="宋体" w:cs="宋体"/>
          <w:b/>
          <w:color w:val="auto"/>
          <w:kern w:val="0"/>
          <w:sz w:val="36"/>
          <w:szCs w:val="36"/>
          <w:highlight w:val="none"/>
        </w:rPr>
      </w:pPr>
    </w:p>
    <w:p>
      <w:pPr>
        <w:tabs>
          <w:tab w:val="left" w:pos="8085"/>
        </w:tabs>
        <w:spacing w:line="360" w:lineRule="auto"/>
        <w:ind w:firstLine="1285" w:firstLineChars="400"/>
        <w:jc w:val="left"/>
        <w:rPr>
          <w:rFonts w:ascii="宋体" w:hAns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60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600" w:lineRule="exac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一、适用对象</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凡已在浙江政府采购网上注册入库，并取得杭州市政府采购合同的中小企业供应商（以下简称“供应商”），均可申请政府采购信用融资。</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二、相关信息获取方式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三、　政府采购信用融资操作流程：</w:t>
      </w:r>
    </w:p>
    <w:p>
      <w:pPr>
        <w:spacing w:line="60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（一）线上融资模式：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1.供应商根据合作银行提供的方案，自行选择金融产品，并办理开户等手续；</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2.供应商中标后，可通过杭州市政府采购网或“浙里办”测算授信额度；</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3.采购合同签订后，供应商在杭州市政府采购网或“浙里办”向合作银行发出融资申请；</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4.审批通过后，在线办理放贷手续。</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（二）线下融资模式：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1.供应商根据合作银行提供的方案，自行选择金融产品，向合作银行提出信用资格预审，并办理开户等手续；</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2.采购合同签订后，供应商在杭州市政府采购网或“浙里办”向合作银行发出融资申请；</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4.审批通过后，合作银行应按照合作备忘录中约定的审批放款期限和优惠利率及时予以放款。</w:t>
      </w:r>
    </w:p>
    <w:p>
      <w:pPr>
        <w:pStyle w:val="6"/>
        <w:spacing w:line="600" w:lineRule="exact"/>
        <w:ind w:left="0"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6"/>
        <w:spacing w:line="600" w:lineRule="exact"/>
        <w:ind w:left="0"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四、注意事项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1、对拟用于信用融资的政府采购合同，供应商在签订合同时应当在合同中注明融资银行名称及账号，作为在该银行的唯一收款账号。</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546" w:name="_Toc465665161"/>
      <w:r>
        <w:rPr>
          <w:rFonts w:hint="eastAsia" w:ascii="宋体" w:hAnsi="宋体" w:cs="宋体"/>
          <w:color w:val="auto"/>
          <w:highlight w:val="none"/>
        </w:rPr>
        <w:t>附件</w:t>
      </w:r>
      <w:bookmarkEnd w:id="546"/>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47" w:name="OLE_LINK13"/>
      <w:bookmarkStart w:id="548" w:name="OLE_LINK14"/>
      <w:r>
        <w:rPr>
          <w:rFonts w:hint="eastAsia" w:ascii="宋体" w:hAnsi="宋体" w:cs="宋体"/>
          <w:b/>
          <w:color w:val="auto"/>
          <w:spacing w:val="6"/>
          <w:sz w:val="32"/>
          <w:szCs w:val="32"/>
          <w:highlight w:val="none"/>
        </w:rPr>
        <w:t>残疾人福利性单位声明函</w:t>
      </w:r>
    </w:p>
    <w:bookmarkEnd w:id="547"/>
    <w:bookmarkEnd w:id="548"/>
    <w:p>
      <w:pPr>
        <w:spacing w:line="600" w:lineRule="exact"/>
        <w:rPr>
          <w:rFonts w:ascii="宋体" w:hAnsi="宋体" w:cs="宋体"/>
          <w:b/>
          <w:color w:val="auto"/>
          <w:spacing w:val="6"/>
          <w:sz w:val="30"/>
          <w:szCs w:val="30"/>
          <w:highlight w:val="none"/>
        </w:rPr>
      </w:pP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600" w:lineRule="exact"/>
        <w:ind w:firstLine="480" w:firstLineChars="200"/>
        <w:rPr>
          <w:rFonts w:ascii="宋体" w:hAnsi="宋体" w:cs="宋体"/>
          <w:color w:val="auto"/>
          <w:sz w:val="24"/>
          <w:highlight w:val="none"/>
        </w:rPr>
      </w:pPr>
    </w:p>
    <w:p>
      <w:pPr>
        <w:spacing w:line="600" w:lineRule="exact"/>
        <w:ind w:firstLine="480" w:firstLineChars="200"/>
        <w:rPr>
          <w:rFonts w:ascii="宋体" w:hAnsi="宋体" w:cs="宋体"/>
          <w:color w:val="auto"/>
          <w:sz w:val="24"/>
          <w:highlight w:val="none"/>
        </w:rPr>
      </w:pPr>
    </w:p>
    <w:p>
      <w:pPr>
        <w:tabs>
          <w:tab w:val="left" w:pos="4860"/>
        </w:tabs>
        <w:spacing w:line="600"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600"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600" w:lineRule="exact"/>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你方组织的（项目名称）项目【招标编号：（采购编号）】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eastAsia="宋体" w:cs="宋体"/>
          <w:b/>
          <w:bCs/>
          <w:color w:val="auto"/>
          <w:kern w:val="2"/>
          <w:sz w:val="24"/>
          <w:szCs w:val="24"/>
          <w:highlight w:val="none"/>
          <w:lang w:val="en-US" w:eastAsia="zh-CN" w:bidi="ar-SA"/>
        </w:rPr>
        <w:pict>
          <v:rect id="Rectangle 17" o:spid="_x0000_s1028"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宋体" w:hAnsi="宋体" w:eastAsia="宋体" w:cs="宋体"/>
          <w:b/>
          <w:bCs/>
          <w:color w:val="auto"/>
          <w:kern w:val="2"/>
          <w:sz w:val="24"/>
          <w:szCs w:val="24"/>
          <w:highlight w:val="none"/>
          <w:lang w:val="en-US" w:eastAsia="zh-CN" w:bidi="ar-SA"/>
        </w:rPr>
        <w:pict>
          <v:rect id="Rectangle 16" o:spid="_x0000_s1029"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5"/>
        <w:rPr>
          <w:rFonts w:ascii="宋体" w:hAnsi="宋体" w:cs="宋体"/>
          <w:color w:val="auto"/>
          <w:spacing w:val="6"/>
          <w:sz w:val="32"/>
          <w:szCs w:val="32"/>
          <w:highlight w:val="none"/>
        </w:rPr>
      </w:pPr>
    </w:p>
    <w:p>
      <w:pPr>
        <w:pStyle w:val="5"/>
        <w:spacing w:line="240" w:lineRule="auto"/>
        <w:ind w:left="0" w:firstLine="0"/>
        <w:rPr>
          <w:rFonts w:ascii="宋体" w:hAnsi="宋体" w:cs="宋体"/>
          <w:color w:val="auto"/>
          <w:highlight w:val="none"/>
        </w:rPr>
      </w:pPr>
    </w:p>
    <w:p>
      <w:pPr>
        <w:rPr>
          <w:rFonts w:ascii="宋体" w:hAnsi="宋体" w:cs="宋体"/>
          <w:color w:val="auto"/>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附件5：</w:t>
      </w:r>
      <w:r>
        <w:rPr>
          <w:rFonts w:hint="eastAsia" w:ascii="宋体" w:hAnsi="宋体" w:cs="宋体"/>
          <w:b/>
          <w:color w:val="auto"/>
          <w:sz w:val="32"/>
          <w:szCs w:val="32"/>
          <w:highlight w:val="none"/>
        </w:rPr>
        <w:t>中小企业声明函</w:t>
      </w:r>
      <w:r>
        <w:rPr>
          <w:rFonts w:hint="eastAsia" w:ascii="宋体" w:hAnsi="宋体" w:cs="宋体"/>
          <w:b/>
          <w:color w:val="auto"/>
          <w:sz w:val="32"/>
          <w:szCs w:val="32"/>
          <w:highlight w:val="none"/>
          <w:lang w:eastAsia="zh-CN"/>
        </w:rPr>
        <w:t>（标项</w:t>
      </w:r>
      <w:r>
        <w:rPr>
          <w:rFonts w:hint="eastAsia" w:ascii="宋体" w:hAnsi="宋体" w:cs="宋体"/>
          <w:b/>
          <w:color w:val="auto"/>
          <w:sz w:val="32"/>
          <w:szCs w:val="32"/>
          <w:highlight w:val="none"/>
          <w:lang w:val="en-US" w:eastAsia="zh-CN"/>
        </w:rPr>
        <w:t xml:space="preserve">       </w:t>
      </w:r>
      <w:r>
        <w:rPr>
          <w:rFonts w:hint="eastAsia" w:ascii="宋体" w:hAnsi="宋体" w:cs="宋体"/>
          <w:b/>
          <w:color w:val="auto"/>
          <w:sz w:val="32"/>
          <w:szCs w:val="32"/>
          <w:highlight w:val="none"/>
          <w:lang w:eastAsia="zh-CN"/>
        </w:rPr>
        <w:t>）</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中小企业声明函（工程、服务）</w:t>
      </w:r>
      <w:r>
        <w:rPr>
          <w:rFonts w:hint="eastAsia" w:ascii="宋体" w:hAnsi="宋体" w:cs="宋体"/>
          <w:b/>
          <w:color w:val="auto"/>
          <w:sz w:val="32"/>
          <w:szCs w:val="32"/>
          <w:highlight w:val="none"/>
          <w:lang w:eastAsia="zh-CN"/>
        </w:rPr>
        <w:t>（标项</w:t>
      </w:r>
      <w:r>
        <w:rPr>
          <w:rFonts w:hint="eastAsia" w:ascii="宋体" w:hAnsi="宋体" w:cs="宋体"/>
          <w:b/>
          <w:color w:val="auto"/>
          <w:sz w:val="32"/>
          <w:szCs w:val="32"/>
          <w:highlight w:val="none"/>
          <w:lang w:val="en-US" w:eastAsia="zh-CN"/>
        </w:rPr>
        <w:t xml:space="preserve">       </w:t>
      </w:r>
      <w:r>
        <w:rPr>
          <w:rFonts w:hint="eastAsia" w:ascii="宋体" w:hAnsi="宋体" w:cs="宋体"/>
          <w:b/>
          <w:color w:val="auto"/>
          <w:sz w:val="32"/>
          <w:szCs w:val="32"/>
          <w:highlight w:val="none"/>
          <w:lang w:eastAsia="zh-CN"/>
        </w:rPr>
        <w:t>）</w:t>
      </w:r>
    </w:p>
    <w:p>
      <w:pPr>
        <w:spacing w:line="360" w:lineRule="auto"/>
        <w:rPr>
          <w:rFonts w:ascii="宋体" w:hAnsi="宋体" w:cs="宋体"/>
          <w:color w:val="auto"/>
          <w:highlight w:val="none"/>
        </w:rPr>
      </w:pP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p>
      <w:pPr>
        <w:rPr>
          <w:highlight w:val="none"/>
        </w:rPr>
      </w:pPr>
    </w:p>
    <w:p>
      <w:pPr>
        <w:rPr>
          <w:highlight w:val="none"/>
        </w:rPr>
      </w:pPr>
    </w:p>
    <w:p>
      <w:pPr>
        <w:rPr>
          <w:highlight w:val="none"/>
        </w:rPr>
      </w:pPr>
    </w:p>
    <w:sectPr>
      <w:headerReference r:id="rId20" w:type="first"/>
      <w:footerReference r:id="rId23" w:type="first"/>
      <w:headerReference r:id="rId19" w:type="default"/>
      <w:footerReference r:id="rId21" w:type="default"/>
      <w:footerReference r:id="rId22" w:type="even"/>
      <w:pgSz w:w="11905" w:h="16838"/>
      <w:pgMar w:top="1531" w:right="1304" w:bottom="1531" w:left="136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bookmarkStart w:id="549" w:name="_Toc131845147"/>
    <w:bookmarkStart w:id="550" w:name="_Toc164085800"/>
    <w:bookmarkStart w:id="551" w:name="_Toc91899912"/>
    <w:bookmarkStart w:id="552" w:name="_Toc36110187"/>
    <w:r>
      <w:rPr>
        <w:rFonts w:hint="eastAsia" w:ascii="仿宋_GB2312" w:eastAsia="仿宋_GB2312"/>
        <w:kern w:val="0"/>
        <w:szCs w:val="21"/>
      </w:rPr>
      <w:t xml:space="preserve"> 页</w:t>
    </w:r>
    <w:bookmarkEnd w:id="549"/>
    <w:bookmarkEnd w:id="550"/>
    <w:bookmarkEnd w:id="551"/>
    <w:bookmarkEnd w:id="55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FA5DF"/>
    <w:multiLevelType w:val="singleLevel"/>
    <w:tmpl w:val="E96FA5DF"/>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767"/>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247"/>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425"/>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3EA"/>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B4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E9C"/>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559"/>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AC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D02"/>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10B"/>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6C7"/>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7C"/>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916"/>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0958"/>
    <w:rsid w:val="011F6449"/>
    <w:rsid w:val="01236AFB"/>
    <w:rsid w:val="015D2A36"/>
    <w:rsid w:val="019F7441"/>
    <w:rsid w:val="01A66D3C"/>
    <w:rsid w:val="01B37585"/>
    <w:rsid w:val="01BA1319"/>
    <w:rsid w:val="01D55165"/>
    <w:rsid w:val="01DF6BF8"/>
    <w:rsid w:val="01EC2C57"/>
    <w:rsid w:val="021A09FD"/>
    <w:rsid w:val="026B2E25"/>
    <w:rsid w:val="02824D4D"/>
    <w:rsid w:val="02DC4B10"/>
    <w:rsid w:val="02DD76CE"/>
    <w:rsid w:val="02F36323"/>
    <w:rsid w:val="02F5619C"/>
    <w:rsid w:val="0326446A"/>
    <w:rsid w:val="032D5555"/>
    <w:rsid w:val="036634D2"/>
    <w:rsid w:val="038B5F44"/>
    <w:rsid w:val="03DD35E4"/>
    <w:rsid w:val="04076900"/>
    <w:rsid w:val="041A5A3B"/>
    <w:rsid w:val="042311BA"/>
    <w:rsid w:val="042B157A"/>
    <w:rsid w:val="048F763B"/>
    <w:rsid w:val="049F330E"/>
    <w:rsid w:val="04AA775C"/>
    <w:rsid w:val="04AF1889"/>
    <w:rsid w:val="04D32555"/>
    <w:rsid w:val="04F66F48"/>
    <w:rsid w:val="05251E14"/>
    <w:rsid w:val="05A16594"/>
    <w:rsid w:val="05A7762D"/>
    <w:rsid w:val="060E5941"/>
    <w:rsid w:val="06110FAF"/>
    <w:rsid w:val="06493CA7"/>
    <w:rsid w:val="065A6178"/>
    <w:rsid w:val="066F1CF3"/>
    <w:rsid w:val="06930BB8"/>
    <w:rsid w:val="07245D42"/>
    <w:rsid w:val="07264C62"/>
    <w:rsid w:val="076874D4"/>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B32D5"/>
    <w:rsid w:val="0A1C0718"/>
    <w:rsid w:val="0A3E7710"/>
    <w:rsid w:val="0A5B7E63"/>
    <w:rsid w:val="0AA374A5"/>
    <w:rsid w:val="0AAB2F8F"/>
    <w:rsid w:val="0AAB7649"/>
    <w:rsid w:val="0ABC5606"/>
    <w:rsid w:val="0B30404E"/>
    <w:rsid w:val="0B4C6C14"/>
    <w:rsid w:val="0B631A88"/>
    <w:rsid w:val="0B683D45"/>
    <w:rsid w:val="0B7F3F11"/>
    <w:rsid w:val="0B884417"/>
    <w:rsid w:val="0BD53BE7"/>
    <w:rsid w:val="0BDC3980"/>
    <w:rsid w:val="0BF6188C"/>
    <w:rsid w:val="0BF73C91"/>
    <w:rsid w:val="0C136C39"/>
    <w:rsid w:val="0C170175"/>
    <w:rsid w:val="0C1901D3"/>
    <w:rsid w:val="0C571A41"/>
    <w:rsid w:val="0C5C1171"/>
    <w:rsid w:val="0C5E1CBC"/>
    <w:rsid w:val="0C615B50"/>
    <w:rsid w:val="0C8445DA"/>
    <w:rsid w:val="0C87121B"/>
    <w:rsid w:val="0CC007F7"/>
    <w:rsid w:val="0CFE707A"/>
    <w:rsid w:val="0D063BDA"/>
    <w:rsid w:val="0D08375F"/>
    <w:rsid w:val="0D184CFB"/>
    <w:rsid w:val="0D4A7419"/>
    <w:rsid w:val="0D6771E5"/>
    <w:rsid w:val="0D827401"/>
    <w:rsid w:val="0D84094E"/>
    <w:rsid w:val="0D8A00E9"/>
    <w:rsid w:val="0D8D589E"/>
    <w:rsid w:val="0DA01C73"/>
    <w:rsid w:val="0DD63300"/>
    <w:rsid w:val="0DF50604"/>
    <w:rsid w:val="0DF702FE"/>
    <w:rsid w:val="0DFA06E1"/>
    <w:rsid w:val="0E060E51"/>
    <w:rsid w:val="0E5604B2"/>
    <w:rsid w:val="0E6D5D79"/>
    <w:rsid w:val="0E832BBA"/>
    <w:rsid w:val="0E9D0089"/>
    <w:rsid w:val="0EA448B4"/>
    <w:rsid w:val="0EB803EE"/>
    <w:rsid w:val="0EF94D4B"/>
    <w:rsid w:val="0F2F5983"/>
    <w:rsid w:val="0F4958DC"/>
    <w:rsid w:val="0F515DF7"/>
    <w:rsid w:val="0F596BA8"/>
    <w:rsid w:val="0F6248D2"/>
    <w:rsid w:val="0F693536"/>
    <w:rsid w:val="0F7B0511"/>
    <w:rsid w:val="0F7B76D9"/>
    <w:rsid w:val="0F816ACD"/>
    <w:rsid w:val="0F8B0E7B"/>
    <w:rsid w:val="0F9832DB"/>
    <w:rsid w:val="0FA17F69"/>
    <w:rsid w:val="0FBF3FD2"/>
    <w:rsid w:val="0FBF7FF3"/>
    <w:rsid w:val="0FE86D17"/>
    <w:rsid w:val="10646583"/>
    <w:rsid w:val="107D4B15"/>
    <w:rsid w:val="107F6B40"/>
    <w:rsid w:val="108A3C80"/>
    <w:rsid w:val="1097230C"/>
    <w:rsid w:val="10C26171"/>
    <w:rsid w:val="10F33360"/>
    <w:rsid w:val="10FC16EA"/>
    <w:rsid w:val="110F1D40"/>
    <w:rsid w:val="11266F33"/>
    <w:rsid w:val="116A3642"/>
    <w:rsid w:val="118963A1"/>
    <w:rsid w:val="11C6522A"/>
    <w:rsid w:val="11E104CC"/>
    <w:rsid w:val="11E20309"/>
    <w:rsid w:val="11E21816"/>
    <w:rsid w:val="12255233"/>
    <w:rsid w:val="12384D5E"/>
    <w:rsid w:val="12530213"/>
    <w:rsid w:val="127723A9"/>
    <w:rsid w:val="12862074"/>
    <w:rsid w:val="12883966"/>
    <w:rsid w:val="129E45B4"/>
    <w:rsid w:val="12D81596"/>
    <w:rsid w:val="13072A44"/>
    <w:rsid w:val="135155CA"/>
    <w:rsid w:val="135F4BE2"/>
    <w:rsid w:val="139B1A0A"/>
    <w:rsid w:val="139D25C7"/>
    <w:rsid w:val="13BF3CE4"/>
    <w:rsid w:val="141008D8"/>
    <w:rsid w:val="14125FE6"/>
    <w:rsid w:val="141E5095"/>
    <w:rsid w:val="143E3DC5"/>
    <w:rsid w:val="146D271E"/>
    <w:rsid w:val="14982588"/>
    <w:rsid w:val="149A5AD9"/>
    <w:rsid w:val="14A7619D"/>
    <w:rsid w:val="150536C3"/>
    <w:rsid w:val="150C1963"/>
    <w:rsid w:val="151447A0"/>
    <w:rsid w:val="154A6454"/>
    <w:rsid w:val="15762120"/>
    <w:rsid w:val="16390F1E"/>
    <w:rsid w:val="16A8729C"/>
    <w:rsid w:val="16B33777"/>
    <w:rsid w:val="16BC70A7"/>
    <w:rsid w:val="16C6339E"/>
    <w:rsid w:val="172F2D79"/>
    <w:rsid w:val="17557BEF"/>
    <w:rsid w:val="178533B6"/>
    <w:rsid w:val="17BF5F86"/>
    <w:rsid w:val="17D349C1"/>
    <w:rsid w:val="17E23670"/>
    <w:rsid w:val="18140BEB"/>
    <w:rsid w:val="1830729E"/>
    <w:rsid w:val="1870062C"/>
    <w:rsid w:val="18817102"/>
    <w:rsid w:val="18830A15"/>
    <w:rsid w:val="18852B28"/>
    <w:rsid w:val="188B5321"/>
    <w:rsid w:val="19932372"/>
    <w:rsid w:val="19A20DD5"/>
    <w:rsid w:val="19AE03F1"/>
    <w:rsid w:val="19F83EC4"/>
    <w:rsid w:val="1A071A03"/>
    <w:rsid w:val="1A1F16AE"/>
    <w:rsid w:val="1A3B5C77"/>
    <w:rsid w:val="1A984BAD"/>
    <w:rsid w:val="1AB8220E"/>
    <w:rsid w:val="1ABF0FF7"/>
    <w:rsid w:val="1ACD11E1"/>
    <w:rsid w:val="1AE4166C"/>
    <w:rsid w:val="1AF06CFB"/>
    <w:rsid w:val="1AF11B8D"/>
    <w:rsid w:val="1B11359C"/>
    <w:rsid w:val="1B2A271F"/>
    <w:rsid w:val="1B530544"/>
    <w:rsid w:val="1B713184"/>
    <w:rsid w:val="1BA209CF"/>
    <w:rsid w:val="1BB4777D"/>
    <w:rsid w:val="1BD75AB8"/>
    <w:rsid w:val="1BF87504"/>
    <w:rsid w:val="1C0459C2"/>
    <w:rsid w:val="1C1B3B4A"/>
    <w:rsid w:val="1C88086E"/>
    <w:rsid w:val="1CE41CE6"/>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991C22"/>
    <w:rsid w:val="20B26522"/>
    <w:rsid w:val="20B44310"/>
    <w:rsid w:val="211116EB"/>
    <w:rsid w:val="216133FC"/>
    <w:rsid w:val="21D56769"/>
    <w:rsid w:val="21E52EF3"/>
    <w:rsid w:val="21FB5D7B"/>
    <w:rsid w:val="220B1C3D"/>
    <w:rsid w:val="221D1D20"/>
    <w:rsid w:val="22334A87"/>
    <w:rsid w:val="22BE6801"/>
    <w:rsid w:val="22CE0335"/>
    <w:rsid w:val="233500BF"/>
    <w:rsid w:val="23377FF7"/>
    <w:rsid w:val="236B425F"/>
    <w:rsid w:val="23836192"/>
    <w:rsid w:val="23901F29"/>
    <w:rsid w:val="23992CC8"/>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6B90404"/>
    <w:rsid w:val="27044A29"/>
    <w:rsid w:val="271D34C8"/>
    <w:rsid w:val="276142BF"/>
    <w:rsid w:val="27783712"/>
    <w:rsid w:val="27907362"/>
    <w:rsid w:val="281B6ECB"/>
    <w:rsid w:val="28333E1D"/>
    <w:rsid w:val="28454BD6"/>
    <w:rsid w:val="28455253"/>
    <w:rsid w:val="28551971"/>
    <w:rsid w:val="285B1C53"/>
    <w:rsid w:val="28696559"/>
    <w:rsid w:val="2882644C"/>
    <w:rsid w:val="289F7086"/>
    <w:rsid w:val="28C32028"/>
    <w:rsid w:val="28C500B0"/>
    <w:rsid w:val="28CC490F"/>
    <w:rsid w:val="28DE40AA"/>
    <w:rsid w:val="292D3A45"/>
    <w:rsid w:val="29345E77"/>
    <w:rsid w:val="294C65AD"/>
    <w:rsid w:val="29806583"/>
    <w:rsid w:val="298B3C4C"/>
    <w:rsid w:val="29E733CD"/>
    <w:rsid w:val="29F26D24"/>
    <w:rsid w:val="2A15033F"/>
    <w:rsid w:val="2A1662C1"/>
    <w:rsid w:val="2A1C7367"/>
    <w:rsid w:val="2A2815FA"/>
    <w:rsid w:val="2A6D6092"/>
    <w:rsid w:val="2A795AEB"/>
    <w:rsid w:val="2A7D76B4"/>
    <w:rsid w:val="2ADE6290"/>
    <w:rsid w:val="2B437463"/>
    <w:rsid w:val="2B5B5EB8"/>
    <w:rsid w:val="2B7807EE"/>
    <w:rsid w:val="2BBF00EC"/>
    <w:rsid w:val="2BC37CFD"/>
    <w:rsid w:val="2BD5237F"/>
    <w:rsid w:val="2BE536CE"/>
    <w:rsid w:val="2BE758D9"/>
    <w:rsid w:val="2C09049E"/>
    <w:rsid w:val="2C0A653C"/>
    <w:rsid w:val="2C191F85"/>
    <w:rsid w:val="2CE82D6F"/>
    <w:rsid w:val="2D325F3C"/>
    <w:rsid w:val="2D343236"/>
    <w:rsid w:val="2D483437"/>
    <w:rsid w:val="2DD15014"/>
    <w:rsid w:val="2DE927D1"/>
    <w:rsid w:val="2DF72DE4"/>
    <w:rsid w:val="2E0220AF"/>
    <w:rsid w:val="2E4B082A"/>
    <w:rsid w:val="2E5D4E86"/>
    <w:rsid w:val="2E5D790B"/>
    <w:rsid w:val="2E9A3C18"/>
    <w:rsid w:val="2EBB0FEE"/>
    <w:rsid w:val="2EC63002"/>
    <w:rsid w:val="2F0A6B38"/>
    <w:rsid w:val="2F946CCB"/>
    <w:rsid w:val="2FAF7B4B"/>
    <w:rsid w:val="2FD25781"/>
    <w:rsid w:val="2FFD7934"/>
    <w:rsid w:val="30733ACD"/>
    <w:rsid w:val="308C3862"/>
    <w:rsid w:val="309379D8"/>
    <w:rsid w:val="30A270F7"/>
    <w:rsid w:val="30DF1478"/>
    <w:rsid w:val="30EC586F"/>
    <w:rsid w:val="319C1C9A"/>
    <w:rsid w:val="319C6071"/>
    <w:rsid w:val="31AC537E"/>
    <w:rsid w:val="31E3679B"/>
    <w:rsid w:val="31E732FD"/>
    <w:rsid w:val="32517576"/>
    <w:rsid w:val="32BE5C2C"/>
    <w:rsid w:val="32FB6478"/>
    <w:rsid w:val="33263B3F"/>
    <w:rsid w:val="3340363E"/>
    <w:rsid w:val="336963EB"/>
    <w:rsid w:val="33816EEB"/>
    <w:rsid w:val="33A16F36"/>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6F7C87"/>
    <w:rsid w:val="367B6A5C"/>
    <w:rsid w:val="36A74ADA"/>
    <w:rsid w:val="36AD60D5"/>
    <w:rsid w:val="36B224F9"/>
    <w:rsid w:val="36EC0CC9"/>
    <w:rsid w:val="373F410B"/>
    <w:rsid w:val="37EE7094"/>
    <w:rsid w:val="38296C89"/>
    <w:rsid w:val="383002EB"/>
    <w:rsid w:val="38586797"/>
    <w:rsid w:val="38965357"/>
    <w:rsid w:val="38BC0149"/>
    <w:rsid w:val="38D87D1C"/>
    <w:rsid w:val="39636459"/>
    <w:rsid w:val="396B7F6C"/>
    <w:rsid w:val="3998736C"/>
    <w:rsid w:val="39B417A9"/>
    <w:rsid w:val="39FC5695"/>
    <w:rsid w:val="3A006D8E"/>
    <w:rsid w:val="3A3651E5"/>
    <w:rsid w:val="3A634D1A"/>
    <w:rsid w:val="3A744481"/>
    <w:rsid w:val="3A8C7BEF"/>
    <w:rsid w:val="3A906246"/>
    <w:rsid w:val="3B2349B7"/>
    <w:rsid w:val="3B616CFF"/>
    <w:rsid w:val="3B6259F6"/>
    <w:rsid w:val="3B712735"/>
    <w:rsid w:val="3B976654"/>
    <w:rsid w:val="3BC01EFC"/>
    <w:rsid w:val="3BCA786A"/>
    <w:rsid w:val="3BD31E2F"/>
    <w:rsid w:val="3BF15831"/>
    <w:rsid w:val="3C105946"/>
    <w:rsid w:val="3C471448"/>
    <w:rsid w:val="3C5F759A"/>
    <w:rsid w:val="3C6C525A"/>
    <w:rsid w:val="3CBA5508"/>
    <w:rsid w:val="3CCE23CB"/>
    <w:rsid w:val="3CD17D17"/>
    <w:rsid w:val="3D3C7F39"/>
    <w:rsid w:val="3D440F09"/>
    <w:rsid w:val="3D4504A0"/>
    <w:rsid w:val="3D8734BB"/>
    <w:rsid w:val="3D9A11D4"/>
    <w:rsid w:val="3DA16D89"/>
    <w:rsid w:val="3DA364BE"/>
    <w:rsid w:val="3DE041CB"/>
    <w:rsid w:val="3DE44CB4"/>
    <w:rsid w:val="3DE77818"/>
    <w:rsid w:val="3E065A2B"/>
    <w:rsid w:val="3E0D48F6"/>
    <w:rsid w:val="3E1868B4"/>
    <w:rsid w:val="3E377251"/>
    <w:rsid w:val="3E42664B"/>
    <w:rsid w:val="3E5A7334"/>
    <w:rsid w:val="3E5C4FE6"/>
    <w:rsid w:val="3E7B5D6B"/>
    <w:rsid w:val="3E843E66"/>
    <w:rsid w:val="3E8F51FE"/>
    <w:rsid w:val="3E926F87"/>
    <w:rsid w:val="3E9A59DE"/>
    <w:rsid w:val="3EAF4836"/>
    <w:rsid w:val="3EC33DFA"/>
    <w:rsid w:val="3F060E16"/>
    <w:rsid w:val="3F1D1096"/>
    <w:rsid w:val="3F2F0234"/>
    <w:rsid w:val="3F6363FE"/>
    <w:rsid w:val="3F756B8F"/>
    <w:rsid w:val="3F95482B"/>
    <w:rsid w:val="4019356B"/>
    <w:rsid w:val="40241FAA"/>
    <w:rsid w:val="402500C4"/>
    <w:rsid w:val="40592157"/>
    <w:rsid w:val="406E1CAE"/>
    <w:rsid w:val="40855AEF"/>
    <w:rsid w:val="40A0133A"/>
    <w:rsid w:val="40C31A53"/>
    <w:rsid w:val="40FF545D"/>
    <w:rsid w:val="410067C8"/>
    <w:rsid w:val="413B6C9C"/>
    <w:rsid w:val="41890A2A"/>
    <w:rsid w:val="418F0D2A"/>
    <w:rsid w:val="41923FAB"/>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450924"/>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AA7866"/>
    <w:rsid w:val="46C4686E"/>
    <w:rsid w:val="46FF153C"/>
    <w:rsid w:val="477B778F"/>
    <w:rsid w:val="478203EC"/>
    <w:rsid w:val="47B025FA"/>
    <w:rsid w:val="4809698F"/>
    <w:rsid w:val="4811697D"/>
    <w:rsid w:val="487A3E25"/>
    <w:rsid w:val="488B5503"/>
    <w:rsid w:val="48937E21"/>
    <w:rsid w:val="489A0361"/>
    <w:rsid w:val="48A13A32"/>
    <w:rsid w:val="48B94FF3"/>
    <w:rsid w:val="48C95677"/>
    <w:rsid w:val="48E37AAB"/>
    <w:rsid w:val="48FD4B4C"/>
    <w:rsid w:val="490A68E0"/>
    <w:rsid w:val="491055FE"/>
    <w:rsid w:val="495F5B3E"/>
    <w:rsid w:val="496F77D7"/>
    <w:rsid w:val="497654FD"/>
    <w:rsid w:val="49B64211"/>
    <w:rsid w:val="49C70D9C"/>
    <w:rsid w:val="49F6167F"/>
    <w:rsid w:val="4A064FA0"/>
    <w:rsid w:val="4A16615C"/>
    <w:rsid w:val="4A4424D7"/>
    <w:rsid w:val="4AB82D0F"/>
    <w:rsid w:val="4AEB7664"/>
    <w:rsid w:val="4AFD7C19"/>
    <w:rsid w:val="4B0567D1"/>
    <w:rsid w:val="4B236AAE"/>
    <w:rsid w:val="4B6D5F6B"/>
    <w:rsid w:val="4B707271"/>
    <w:rsid w:val="4B9739F7"/>
    <w:rsid w:val="4BEE2503"/>
    <w:rsid w:val="4C245A30"/>
    <w:rsid w:val="4C81270B"/>
    <w:rsid w:val="4C87000A"/>
    <w:rsid w:val="4CB6685F"/>
    <w:rsid w:val="4CC367FE"/>
    <w:rsid w:val="4D077F3C"/>
    <w:rsid w:val="4D123355"/>
    <w:rsid w:val="4D2A3B31"/>
    <w:rsid w:val="4D312C52"/>
    <w:rsid w:val="4D905305"/>
    <w:rsid w:val="4D964A72"/>
    <w:rsid w:val="4D9C1254"/>
    <w:rsid w:val="4DFC6D6D"/>
    <w:rsid w:val="4E793892"/>
    <w:rsid w:val="4E800872"/>
    <w:rsid w:val="4E8F31A6"/>
    <w:rsid w:val="4E917F4B"/>
    <w:rsid w:val="4EC569ED"/>
    <w:rsid w:val="4ED50EA1"/>
    <w:rsid w:val="4EEC050C"/>
    <w:rsid w:val="4F104EC3"/>
    <w:rsid w:val="4F47354A"/>
    <w:rsid w:val="4F475357"/>
    <w:rsid w:val="4F876296"/>
    <w:rsid w:val="4F911C54"/>
    <w:rsid w:val="4FE625E0"/>
    <w:rsid w:val="4FE7441C"/>
    <w:rsid w:val="5021480F"/>
    <w:rsid w:val="50260E58"/>
    <w:rsid w:val="50750E8F"/>
    <w:rsid w:val="50962ECB"/>
    <w:rsid w:val="50A42E38"/>
    <w:rsid w:val="50A4577F"/>
    <w:rsid w:val="50B73D1F"/>
    <w:rsid w:val="50BD5BC9"/>
    <w:rsid w:val="50C11EEE"/>
    <w:rsid w:val="50C13FAD"/>
    <w:rsid w:val="50E97CFC"/>
    <w:rsid w:val="50FA4028"/>
    <w:rsid w:val="510D65B7"/>
    <w:rsid w:val="511157AB"/>
    <w:rsid w:val="511A7CA5"/>
    <w:rsid w:val="5142540C"/>
    <w:rsid w:val="518832C8"/>
    <w:rsid w:val="51A0432A"/>
    <w:rsid w:val="51A86090"/>
    <w:rsid w:val="51B7396D"/>
    <w:rsid w:val="522E4CC3"/>
    <w:rsid w:val="5244713B"/>
    <w:rsid w:val="52554957"/>
    <w:rsid w:val="52615633"/>
    <w:rsid w:val="52977FD4"/>
    <w:rsid w:val="52A25790"/>
    <w:rsid w:val="52A96B6F"/>
    <w:rsid w:val="52B45975"/>
    <w:rsid w:val="52D94AA4"/>
    <w:rsid w:val="52EA3A62"/>
    <w:rsid w:val="52F50BB8"/>
    <w:rsid w:val="53087B23"/>
    <w:rsid w:val="53097272"/>
    <w:rsid w:val="53544462"/>
    <w:rsid w:val="535F3E7B"/>
    <w:rsid w:val="5397158E"/>
    <w:rsid w:val="539E4EE8"/>
    <w:rsid w:val="54013861"/>
    <w:rsid w:val="54487265"/>
    <w:rsid w:val="544D6070"/>
    <w:rsid w:val="54605E1E"/>
    <w:rsid w:val="54B3506A"/>
    <w:rsid w:val="54CA0D16"/>
    <w:rsid w:val="54D40874"/>
    <w:rsid w:val="54DD4057"/>
    <w:rsid w:val="54E7490F"/>
    <w:rsid w:val="550764A4"/>
    <w:rsid w:val="550B2BF6"/>
    <w:rsid w:val="55214EB5"/>
    <w:rsid w:val="55364EFD"/>
    <w:rsid w:val="553B2782"/>
    <w:rsid w:val="55430002"/>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463DE"/>
    <w:rsid w:val="58917D2F"/>
    <w:rsid w:val="5894085C"/>
    <w:rsid w:val="58AE4F0C"/>
    <w:rsid w:val="58B85899"/>
    <w:rsid w:val="58E363A9"/>
    <w:rsid w:val="595E1678"/>
    <w:rsid w:val="596D5BD4"/>
    <w:rsid w:val="597D0C5C"/>
    <w:rsid w:val="597E3DD8"/>
    <w:rsid w:val="597F7E2F"/>
    <w:rsid w:val="59EA775C"/>
    <w:rsid w:val="59F80043"/>
    <w:rsid w:val="5A09252F"/>
    <w:rsid w:val="5A0B2778"/>
    <w:rsid w:val="5A114A1E"/>
    <w:rsid w:val="5A2A7C7B"/>
    <w:rsid w:val="5A3E2560"/>
    <w:rsid w:val="5A5D3B6E"/>
    <w:rsid w:val="5A637A76"/>
    <w:rsid w:val="5A6D33BA"/>
    <w:rsid w:val="5A792B1F"/>
    <w:rsid w:val="5A874767"/>
    <w:rsid w:val="5AAD6F28"/>
    <w:rsid w:val="5AD50114"/>
    <w:rsid w:val="5AD63A24"/>
    <w:rsid w:val="5B2E1A1D"/>
    <w:rsid w:val="5B843A1C"/>
    <w:rsid w:val="5B867196"/>
    <w:rsid w:val="5B873E3F"/>
    <w:rsid w:val="5BDF04A3"/>
    <w:rsid w:val="5BFE359D"/>
    <w:rsid w:val="5C02690E"/>
    <w:rsid w:val="5C196DA7"/>
    <w:rsid w:val="5C2A048C"/>
    <w:rsid w:val="5C80234E"/>
    <w:rsid w:val="5C8A680C"/>
    <w:rsid w:val="5CAB0919"/>
    <w:rsid w:val="5CDC1CAC"/>
    <w:rsid w:val="5D0C4701"/>
    <w:rsid w:val="5D0F0395"/>
    <w:rsid w:val="5D221076"/>
    <w:rsid w:val="5D397964"/>
    <w:rsid w:val="5D5A391C"/>
    <w:rsid w:val="5D5F10C0"/>
    <w:rsid w:val="5D8518DD"/>
    <w:rsid w:val="5D891B7B"/>
    <w:rsid w:val="5DAD38EE"/>
    <w:rsid w:val="5E006862"/>
    <w:rsid w:val="5E0207B9"/>
    <w:rsid w:val="5E1834A1"/>
    <w:rsid w:val="5E261785"/>
    <w:rsid w:val="5E4A7017"/>
    <w:rsid w:val="5E552BBA"/>
    <w:rsid w:val="5E611C10"/>
    <w:rsid w:val="5EBC2D32"/>
    <w:rsid w:val="5EFC7377"/>
    <w:rsid w:val="5F06174D"/>
    <w:rsid w:val="5F3A3602"/>
    <w:rsid w:val="5F6277C6"/>
    <w:rsid w:val="5F6D0B1D"/>
    <w:rsid w:val="5F8D0B82"/>
    <w:rsid w:val="5FCC5339"/>
    <w:rsid w:val="5FD51FE8"/>
    <w:rsid w:val="5FE34A5B"/>
    <w:rsid w:val="5FFE1E36"/>
    <w:rsid w:val="600D47E2"/>
    <w:rsid w:val="601B50B8"/>
    <w:rsid w:val="60232584"/>
    <w:rsid w:val="607330CE"/>
    <w:rsid w:val="60825176"/>
    <w:rsid w:val="609F2AC4"/>
    <w:rsid w:val="60FA2EE8"/>
    <w:rsid w:val="61054A27"/>
    <w:rsid w:val="610A52BC"/>
    <w:rsid w:val="611D2366"/>
    <w:rsid w:val="61421856"/>
    <w:rsid w:val="614C4F26"/>
    <w:rsid w:val="615227C4"/>
    <w:rsid w:val="61654E3F"/>
    <w:rsid w:val="6182292A"/>
    <w:rsid w:val="619F7F92"/>
    <w:rsid w:val="61F94C26"/>
    <w:rsid w:val="62000E56"/>
    <w:rsid w:val="620152D8"/>
    <w:rsid w:val="624F3E49"/>
    <w:rsid w:val="62632286"/>
    <w:rsid w:val="62885958"/>
    <w:rsid w:val="62F40B65"/>
    <w:rsid w:val="62FC2CFE"/>
    <w:rsid w:val="63024505"/>
    <w:rsid w:val="63380866"/>
    <w:rsid w:val="635B1DB5"/>
    <w:rsid w:val="63711FED"/>
    <w:rsid w:val="63880DDC"/>
    <w:rsid w:val="638D750D"/>
    <w:rsid w:val="63991151"/>
    <w:rsid w:val="63AC6CC0"/>
    <w:rsid w:val="64055776"/>
    <w:rsid w:val="64240056"/>
    <w:rsid w:val="643E143A"/>
    <w:rsid w:val="648B6EEF"/>
    <w:rsid w:val="64C158BF"/>
    <w:rsid w:val="64CE2EAA"/>
    <w:rsid w:val="653C3090"/>
    <w:rsid w:val="65715046"/>
    <w:rsid w:val="65854376"/>
    <w:rsid w:val="658767BE"/>
    <w:rsid w:val="65892531"/>
    <w:rsid w:val="66195831"/>
    <w:rsid w:val="662E75B1"/>
    <w:rsid w:val="66342C2E"/>
    <w:rsid w:val="663E784C"/>
    <w:rsid w:val="668B6A45"/>
    <w:rsid w:val="66D32B9C"/>
    <w:rsid w:val="672F3F24"/>
    <w:rsid w:val="673E055F"/>
    <w:rsid w:val="67551CE3"/>
    <w:rsid w:val="67A22552"/>
    <w:rsid w:val="67B22DCC"/>
    <w:rsid w:val="67BE71AA"/>
    <w:rsid w:val="67D90273"/>
    <w:rsid w:val="67DE5875"/>
    <w:rsid w:val="67E55852"/>
    <w:rsid w:val="67EB1AB4"/>
    <w:rsid w:val="67FA1285"/>
    <w:rsid w:val="68551F4F"/>
    <w:rsid w:val="68554D7F"/>
    <w:rsid w:val="687C10C9"/>
    <w:rsid w:val="68840C16"/>
    <w:rsid w:val="68876EFB"/>
    <w:rsid w:val="68884654"/>
    <w:rsid w:val="689F444F"/>
    <w:rsid w:val="68B96DBB"/>
    <w:rsid w:val="68CA2805"/>
    <w:rsid w:val="68E937A3"/>
    <w:rsid w:val="693764BC"/>
    <w:rsid w:val="693E15D3"/>
    <w:rsid w:val="69627681"/>
    <w:rsid w:val="6977531D"/>
    <w:rsid w:val="69CC2BFF"/>
    <w:rsid w:val="69FD55B8"/>
    <w:rsid w:val="6A0B1C62"/>
    <w:rsid w:val="6A2406C8"/>
    <w:rsid w:val="6A3E7D5B"/>
    <w:rsid w:val="6AA92CE1"/>
    <w:rsid w:val="6ADE0BD1"/>
    <w:rsid w:val="6AE96859"/>
    <w:rsid w:val="6B147746"/>
    <w:rsid w:val="6B24787C"/>
    <w:rsid w:val="6B2F2C83"/>
    <w:rsid w:val="6B573233"/>
    <w:rsid w:val="6B5B6274"/>
    <w:rsid w:val="6B935D53"/>
    <w:rsid w:val="6C196F71"/>
    <w:rsid w:val="6C226FCB"/>
    <w:rsid w:val="6C31226F"/>
    <w:rsid w:val="6C552F0B"/>
    <w:rsid w:val="6C8C67B7"/>
    <w:rsid w:val="6C9D744C"/>
    <w:rsid w:val="6CC85DA9"/>
    <w:rsid w:val="6CDF13C2"/>
    <w:rsid w:val="6D167928"/>
    <w:rsid w:val="6D26299B"/>
    <w:rsid w:val="6D4772EC"/>
    <w:rsid w:val="6D9078AF"/>
    <w:rsid w:val="6DAA3FEF"/>
    <w:rsid w:val="6DC0172B"/>
    <w:rsid w:val="6DCB690C"/>
    <w:rsid w:val="6DD41A5B"/>
    <w:rsid w:val="6DF43C2E"/>
    <w:rsid w:val="6DF51CA3"/>
    <w:rsid w:val="6E8335BD"/>
    <w:rsid w:val="6E8E12EF"/>
    <w:rsid w:val="6E901ECA"/>
    <w:rsid w:val="6E972936"/>
    <w:rsid w:val="6ED446C5"/>
    <w:rsid w:val="6F2A7D94"/>
    <w:rsid w:val="6F8331F1"/>
    <w:rsid w:val="6F854425"/>
    <w:rsid w:val="6FAE1A09"/>
    <w:rsid w:val="6FD75BF8"/>
    <w:rsid w:val="707723D0"/>
    <w:rsid w:val="70ED4BFF"/>
    <w:rsid w:val="70F5661B"/>
    <w:rsid w:val="71360107"/>
    <w:rsid w:val="713B688E"/>
    <w:rsid w:val="714840D2"/>
    <w:rsid w:val="71A018ED"/>
    <w:rsid w:val="71CF7F01"/>
    <w:rsid w:val="71D43752"/>
    <w:rsid w:val="71F1796A"/>
    <w:rsid w:val="72154626"/>
    <w:rsid w:val="72262B5D"/>
    <w:rsid w:val="72283FF7"/>
    <w:rsid w:val="722E7212"/>
    <w:rsid w:val="723A0474"/>
    <w:rsid w:val="725923E4"/>
    <w:rsid w:val="72864BF7"/>
    <w:rsid w:val="729023FC"/>
    <w:rsid w:val="72B37F7D"/>
    <w:rsid w:val="73B83B1F"/>
    <w:rsid w:val="73C0646E"/>
    <w:rsid w:val="73FA1330"/>
    <w:rsid w:val="742222F5"/>
    <w:rsid w:val="74382F6B"/>
    <w:rsid w:val="74476126"/>
    <w:rsid w:val="74706664"/>
    <w:rsid w:val="747F3682"/>
    <w:rsid w:val="747F4E5B"/>
    <w:rsid w:val="749C4185"/>
    <w:rsid w:val="74AF0AA4"/>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60A60"/>
    <w:rsid w:val="77052AA4"/>
    <w:rsid w:val="77136511"/>
    <w:rsid w:val="77340A39"/>
    <w:rsid w:val="77351FD0"/>
    <w:rsid w:val="77472422"/>
    <w:rsid w:val="777F31F2"/>
    <w:rsid w:val="77D1700D"/>
    <w:rsid w:val="77EC04CC"/>
    <w:rsid w:val="784D7F55"/>
    <w:rsid w:val="78775729"/>
    <w:rsid w:val="78A42DB0"/>
    <w:rsid w:val="78A656AB"/>
    <w:rsid w:val="78B2245C"/>
    <w:rsid w:val="78E172CC"/>
    <w:rsid w:val="78EA1D1F"/>
    <w:rsid w:val="7904172F"/>
    <w:rsid w:val="790F7E27"/>
    <w:rsid w:val="792A231A"/>
    <w:rsid w:val="79316829"/>
    <w:rsid w:val="79570BE0"/>
    <w:rsid w:val="797E66A9"/>
    <w:rsid w:val="798F25E7"/>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CA4C90"/>
    <w:rsid w:val="7BEE0103"/>
    <w:rsid w:val="7C0A0FE4"/>
    <w:rsid w:val="7C254906"/>
    <w:rsid w:val="7C590818"/>
    <w:rsid w:val="7C7C10F6"/>
    <w:rsid w:val="7C853BEA"/>
    <w:rsid w:val="7C881368"/>
    <w:rsid w:val="7CE27788"/>
    <w:rsid w:val="7D0C32F1"/>
    <w:rsid w:val="7D0F408D"/>
    <w:rsid w:val="7D491C6C"/>
    <w:rsid w:val="7D5429C0"/>
    <w:rsid w:val="7D6B3705"/>
    <w:rsid w:val="7D6E6D43"/>
    <w:rsid w:val="7DB57A34"/>
    <w:rsid w:val="7DE60973"/>
    <w:rsid w:val="7DEF0916"/>
    <w:rsid w:val="7E1E5218"/>
    <w:rsid w:val="7E836BED"/>
    <w:rsid w:val="7E9A4E1F"/>
    <w:rsid w:val="7EA7723A"/>
    <w:rsid w:val="7EA96017"/>
    <w:rsid w:val="7EF56FBB"/>
    <w:rsid w:val="7F0768EB"/>
    <w:rsid w:val="7F125A9B"/>
    <w:rsid w:val="7F143BEC"/>
    <w:rsid w:val="7F6000C3"/>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931"/>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833"/>
    <w:qFormat/>
    <w:uiPriority w:val="0"/>
    <w:pPr>
      <w:ind w:firstLine="420"/>
    </w:pPr>
    <w:rPr>
      <w:rFonts w:hAnsi="Calibri" w:cs="Times New Roman"/>
      <w:szCs w:val="20"/>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75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6"/>
    <w:qFormat/>
    <w:uiPriority w:val="0"/>
    <w:pPr>
      <w:shd w:val="clear" w:color="auto" w:fill="000080"/>
    </w:pPr>
  </w:style>
  <w:style w:type="paragraph" w:styleId="22">
    <w:name w:val="annotation text"/>
    <w:basedOn w:val="1"/>
    <w:link w:val="854"/>
    <w:qFormat/>
    <w:uiPriority w:val="99"/>
    <w:pPr>
      <w:jc w:val="left"/>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2"/>
    <w:qFormat/>
    <w:uiPriority w:val="0"/>
    <w:pPr>
      <w:spacing w:line="480" w:lineRule="exact"/>
      <w:ind w:firstLine="480" w:firstLineChars="200"/>
    </w:pPr>
    <w:rPr>
      <w:rFonts w:ascii="宋体" w:hAnsi="宋体"/>
      <w:sz w:val="24"/>
    </w:rPr>
  </w:style>
  <w:style w:type="paragraph" w:styleId="27">
    <w:name w:val="Body Text First Indent 2"/>
    <w:basedOn w:val="26"/>
    <w:link w:val="654"/>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8"/>
    <w:qFormat/>
    <w:uiPriority w:val="0"/>
    <w:pPr>
      <w:ind w:left="100" w:leftChars="2500"/>
    </w:pPr>
    <w:rPr>
      <w:rFonts w:ascii="宋体"/>
      <w:sz w:val="24"/>
      <w:szCs w:val="21"/>
      <w:lang w:val="zh-CN"/>
    </w:rPr>
  </w:style>
  <w:style w:type="paragraph" w:styleId="39">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0">
    <w:name w:val="endnote text"/>
    <w:basedOn w:val="1"/>
    <w:link w:val="939"/>
    <w:qFormat/>
    <w:uiPriority w:val="0"/>
    <w:rPr>
      <w:lang w:val="zh-CN"/>
    </w:rPr>
  </w:style>
  <w:style w:type="paragraph" w:styleId="41">
    <w:name w:val="Balloon Text"/>
    <w:basedOn w:val="1"/>
    <w:link w:val="715"/>
    <w:qFormat/>
    <w:uiPriority w:val="0"/>
    <w:rPr>
      <w:sz w:val="18"/>
      <w:szCs w:val="18"/>
    </w:rPr>
  </w:style>
  <w:style w:type="paragraph" w:styleId="42">
    <w:name w:val="footer"/>
    <w:basedOn w:val="1"/>
    <w:link w:val="890"/>
    <w:qFormat/>
    <w:uiPriority w:val="99"/>
    <w:pPr>
      <w:tabs>
        <w:tab w:val="center" w:pos="4153"/>
        <w:tab w:val="right" w:pos="8306"/>
      </w:tabs>
      <w:snapToGrid w:val="0"/>
      <w:jc w:val="left"/>
    </w:pPr>
    <w:rPr>
      <w:sz w:val="18"/>
      <w:szCs w:val="18"/>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824"/>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8"/>
    <w:qFormat/>
    <w:uiPriority w:val="0"/>
    <w:pPr>
      <w:spacing w:after="120" w:line="480" w:lineRule="auto"/>
    </w:pPr>
  </w:style>
  <w:style w:type="paragraph" w:styleId="58">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2"/>
    <w:next w:val="22"/>
    <w:link w:val="631"/>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 2"/>
    <w:basedOn w:val="26"/>
    <w:qFormat/>
    <w:uiPriority w:val="99"/>
    <w:pPr>
      <w:spacing w:line="200" w:lineRule="atLeast"/>
      <w:ind w:firstLine="420"/>
    </w:pPr>
    <w:rPr>
      <w:rFonts w:ascii="宋体" w:hAnsi="Courier New"/>
      <w:spacing w:val="-4"/>
      <w:sz w:val="18"/>
    </w:rPr>
  </w:style>
  <w:style w:type="paragraph" w:customStyle="1" w:styleId="80">
    <w:name w:val="正文首行缩进 21"/>
    <w:basedOn w:val="81"/>
    <w:qFormat/>
    <w:uiPriority w:val="0"/>
    <w:pPr>
      <w:ind w:firstLine="420"/>
    </w:pPr>
  </w:style>
  <w:style w:type="paragraph" w:customStyle="1" w:styleId="81">
    <w:name w:val="Body Text Indent1"/>
    <w:basedOn w:val="1"/>
    <w:next w:val="1"/>
    <w:qFormat/>
    <w:uiPriority w:val="0"/>
    <w:pPr>
      <w:spacing w:after="120"/>
      <w:ind w:left="420" w:leftChars="200"/>
    </w:pPr>
    <w:rPr>
      <w:color w:val="000000"/>
      <w:szCs w:val="21"/>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6"/>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8"/>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列出段落1"/>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8"/>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18"/>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8"/>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无间隔2"/>
    <w:basedOn w:val="1"/>
    <w:link w:val="940"/>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7"/>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9"/>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7"/>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8"/>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1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7"/>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5"/>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8"/>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9"/>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7"/>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
    <w:qFormat/>
    <w:uiPriority w:val="0"/>
    <w:pPr>
      <w:snapToGrid w:val="0"/>
      <w:ind w:firstLine="480" w:firstLineChars="200"/>
    </w:pPr>
    <w:rPr>
      <w:rFonts w:ascii="Times New Roman"/>
      <w:szCs w:val="24"/>
      <w:lang w:val="en-US"/>
    </w:rPr>
  </w:style>
  <w:style w:type="paragraph" w:customStyle="1" w:styleId="455">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21"/>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7"/>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3"/>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4"/>
    <w:qFormat/>
    <w:uiPriority w:val="0"/>
    <w:rPr>
      <w:b w:val="0"/>
      <w:sz w:val="20"/>
    </w:rPr>
  </w:style>
  <w:style w:type="paragraph" w:customStyle="1" w:styleId="579">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9"/>
    <w:next w:val="1"/>
    <w:qFormat/>
    <w:uiPriority w:val="0"/>
    <w:pPr>
      <w:tabs>
        <w:tab w:val="left" w:pos="1080"/>
        <w:tab w:val="clear" w:pos="1008"/>
      </w:tabs>
      <w:ind w:left="1080" w:hanging="1080"/>
    </w:pPr>
  </w:style>
  <w:style w:type="paragraph" w:customStyle="1" w:styleId="582">
    <w:name w:val="数字标题1"/>
    <w:basedOn w:val="5"/>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28"/>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7"/>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8">
    <w:name w:val="_Style 947"/>
    <w:basedOn w:val="1"/>
    <w:next w:val="102"/>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1"/>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27"/>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9"/>
    <w:qFormat/>
    <w:uiPriority w:val="0"/>
    <w:rPr>
      <w:rFonts w:ascii="Arial" w:hAnsi="Arial" w:eastAsia="黑体" w:cs="Arial"/>
      <w:snapToGrid w:val="0"/>
      <w:kern w:val="0"/>
      <w:szCs w:val="21"/>
    </w:rPr>
  </w:style>
  <w:style w:type="character" w:customStyle="1" w:styleId="65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0"/>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8"/>
    <w:qFormat/>
    <w:uiPriority w:val="0"/>
    <w:rPr>
      <w:rFonts w:ascii="宋体"/>
      <w:kern w:val="2"/>
      <w:sz w:val="24"/>
      <w:szCs w:val="21"/>
      <w:lang w:val="zh-CN"/>
    </w:rPr>
  </w:style>
  <w:style w:type="character" w:customStyle="1" w:styleId="709">
    <w:name w:val="标题 9 Char"/>
    <w:link w:val="13"/>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1"/>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18"/>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1"/>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9"/>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2"/>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9"/>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5"/>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0"/>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9"/>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8"/>
    <w:qFormat/>
    <w:uiPriority w:val="0"/>
    <w:rPr>
      <w:rFonts w:ascii="黑体" w:hAnsi="Courier New" w:eastAsia="黑体"/>
    </w:rPr>
  </w:style>
  <w:style w:type="character" w:customStyle="1" w:styleId="818">
    <w:name w:val="正文文本 2 Char1"/>
    <w:link w:val="57"/>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1"/>
    <w:qFormat/>
    <w:uiPriority w:val="0"/>
    <w:rPr>
      <w:b/>
      <w:bCs/>
      <w:kern w:val="2"/>
      <w:sz w:val="24"/>
      <w:szCs w:val="24"/>
    </w:rPr>
  </w:style>
  <w:style w:type="character" w:customStyle="1" w:styleId="822">
    <w:name w:val="正文文本缩进 2 Char"/>
    <w:link w:val="39"/>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3"/>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8"/>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2"/>
    <w:qFormat/>
    <w:uiPriority w:val="0"/>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12"/>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4"/>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2"/>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9"/>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932">
    <w:name w:val="gray6"/>
    <w:basedOn w:val="69"/>
    <w:qFormat/>
    <w:uiPriority w:val="0"/>
    <w:rPr>
      <w:rFonts w:ascii="Arial" w:hAnsi="Arial" w:eastAsia="黑体" w:cs="Arial"/>
      <w:snapToGrid w:val="0"/>
      <w:kern w:val="0"/>
      <w:szCs w:val="21"/>
    </w:rPr>
  </w:style>
  <w:style w:type="character" w:customStyle="1" w:styleId="933">
    <w:name w:val="hui"/>
    <w:basedOn w:val="69"/>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0"/>
    <w:qFormat/>
    <w:uiPriority w:val="0"/>
    <w:rPr>
      <w:kern w:val="2"/>
      <w:sz w:val="21"/>
      <w:szCs w:val="24"/>
      <w:lang w:val="zh-CN"/>
    </w:rPr>
  </w:style>
  <w:style w:type="character" w:customStyle="1" w:styleId="940">
    <w:name w:val="无间隔 Char"/>
    <w:link w:val="168"/>
    <w:qFormat/>
    <w:uiPriority w:val="99"/>
    <w:rPr>
      <w:kern w:val="2"/>
      <w:sz w:val="21"/>
      <w:szCs w:val="22"/>
    </w:rPr>
  </w:style>
  <w:style w:type="character" w:customStyle="1" w:styleId="941">
    <w:name w:val="标准文本 Char Char"/>
    <w:link w:val="607"/>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9"/>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101</Pages>
  <Words>7808</Words>
  <Characters>44506</Characters>
  <Lines>370</Lines>
  <Paragraphs>104</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2022-01-14T08:22:00Z</dcterms:created>
  <dc:creator>玥</dc:creator>
  <cp:lastModifiedBy>杭州瑞拓工程咨询有限公司</cp:lastModifiedBy>
  <cp:lastPrinted>2021-12-27T03:06:00Z</cp:lastPrinted>
  <dcterms:modified xsi:type="dcterms:W3CDTF">2022-03-04T06:32:34Z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C3C93B690A6D49A698D271D7D54B89FF</vt:lpwstr>
  </property>
</Properties>
</file>