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楷体" w:hAnsi="楷体" w:eastAsia="楷体"/>
          <w:b/>
          <w:spacing w:val="-6"/>
          <w:sz w:val="44"/>
          <w:szCs w:val="44"/>
        </w:rPr>
      </w:pPr>
    </w:p>
    <w:p>
      <w:pPr>
        <w:spacing w:line="360" w:lineRule="auto"/>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教务处公共教室提升设备</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widowControl/>
        <w:spacing w:line="360" w:lineRule="auto"/>
        <w:ind w:right="-2"/>
        <w:jc w:val="center"/>
        <w:rPr>
          <w:rFonts w:ascii="宋体" w:hAnsi="宋体"/>
          <w:b/>
          <w:color w:val="000000"/>
          <w:sz w:val="36"/>
        </w:rPr>
      </w:pPr>
      <w:r>
        <w:rPr>
          <w:rFonts w:hint="eastAsia" w:ascii="宋体" w:hAnsi="宋体"/>
          <w:b/>
          <w:color w:val="000000"/>
          <w:sz w:val="36"/>
        </w:rPr>
        <w:t>（线上电子招投标）</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项目名称：教务处公共教室提升设备</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项目编号：QSZB-Z(H)-C20054(GK)</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采 购 人：中国美术学院</w:t>
      </w:r>
    </w:p>
    <w:p>
      <w:pPr>
        <w:spacing w:line="360" w:lineRule="auto"/>
        <w:ind w:firstLine="1735" w:firstLineChars="600"/>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spacing w:line="360" w:lineRule="auto"/>
        <w:rPr>
          <w:rFonts w:ascii="楷体" w:hAnsi="楷体" w:eastAsia="楷体"/>
          <w:b/>
          <w:sz w:val="21"/>
          <w:szCs w:val="21"/>
        </w:rPr>
        <w:sectPr>
          <w:headerReference r:id="rId3" w:type="default"/>
          <w:pgSz w:w="11906" w:h="16838"/>
          <w:pgMar w:top="1440" w:right="1247" w:bottom="1440" w:left="1247" w:header="283" w:footer="850" w:gutter="0"/>
          <w:cols w:space="720" w:num="1"/>
          <w:docGrid w:linePitch="381" w:charSpace="0"/>
        </w:sectPr>
      </w:pPr>
    </w:p>
    <w:p>
      <w:pPr>
        <w:spacing w:line="480" w:lineRule="auto"/>
        <w:rPr>
          <w:rFonts w:ascii="楷体" w:hAnsi="楷体" w:eastAsia="楷体"/>
          <w:b/>
          <w:sz w:val="21"/>
          <w:szCs w:val="21"/>
        </w:rPr>
      </w:pPr>
    </w:p>
    <w:p>
      <w:pPr>
        <w:pStyle w:val="12"/>
        <w:spacing w:before="0" w:beforeLines="0" w:after="0" w:afterLines="0" w:line="480"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第一章  投标邀请</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第二章  采购需求</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第三章  投标人须知</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第四章  评标办法及评分标准</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第五章  拟签订的合同文本</w:t>
      </w:r>
    </w:p>
    <w:p>
      <w:pPr>
        <w:spacing w:line="360" w:lineRule="auto"/>
        <w:ind w:firstLine="578" w:firstLineChars="200"/>
        <w:rPr>
          <w:rFonts w:ascii="楷体" w:hAnsi="楷体" w:eastAsia="楷体"/>
          <w:b/>
          <w:spacing w:val="-6"/>
          <w:sz w:val="30"/>
          <w:szCs w:val="30"/>
        </w:rPr>
      </w:pPr>
      <w:r>
        <w:rPr>
          <w:rFonts w:hint="eastAsia" w:ascii="楷体" w:hAnsi="楷体" w:eastAsia="楷体"/>
          <w:b/>
          <w:spacing w:val="-6"/>
          <w:sz w:val="30"/>
          <w:szCs w:val="30"/>
        </w:rPr>
        <w:t>第六章  投标文件格式</w:t>
      </w:r>
    </w:p>
    <w:p>
      <w:pPr>
        <w:pStyle w:val="12"/>
        <w:spacing w:before="0" w:beforeLines="0" w:after="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t>第一章  投标邀请</w:t>
      </w:r>
    </w:p>
    <w:p>
      <w:pPr>
        <w:spacing w:line="288" w:lineRule="auto"/>
        <w:ind w:firstLine="420" w:firstLineChars="200"/>
        <w:rPr>
          <w:rFonts w:ascii="宋体" w:hAnsi="宋体"/>
          <w:sz w:val="21"/>
          <w:szCs w:val="21"/>
        </w:rPr>
      </w:pPr>
      <w:r>
        <w:rPr>
          <w:rFonts w:hint="eastAsia" w:ascii="宋体" w:hAnsi="宋体"/>
          <w:sz w:val="21"/>
          <w:szCs w:val="21"/>
        </w:rPr>
        <w:t>根据</w:t>
      </w:r>
      <w:r>
        <w:rPr>
          <w:rFonts w:ascii="宋体" w:hAnsi="宋体"/>
          <w:sz w:val="21"/>
          <w:szCs w:val="21"/>
        </w:rPr>
        <w:t>《中华人民共和国政府采购法》</w:t>
      </w:r>
      <w:r>
        <w:rPr>
          <w:rFonts w:hint="eastAsia" w:ascii="宋体" w:hAnsi="宋体"/>
          <w:sz w:val="21"/>
          <w:szCs w:val="21"/>
        </w:rPr>
        <w:t>等有关规定，经浙江省财政厅[2020]13067号确认书批准，浙江求是招标代理有限公司受中国美术学院委托，现</w:t>
      </w:r>
      <w:r>
        <w:rPr>
          <w:rFonts w:ascii="宋体" w:hAnsi="宋体"/>
          <w:sz w:val="21"/>
          <w:szCs w:val="21"/>
        </w:rPr>
        <w:t>就</w:t>
      </w:r>
      <w:r>
        <w:rPr>
          <w:rFonts w:hint="eastAsia" w:ascii="宋体" w:hAnsi="宋体"/>
          <w:sz w:val="21"/>
          <w:szCs w:val="21"/>
        </w:rPr>
        <w:t>教务处公共教室提升设备</w:t>
      </w:r>
      <w:r>
        <w:rPr>
          <w:rFonts w:ascii="宋体" w:hAnsi="宋体"/>
          <w:sz w:val="21"/>
          <w:szCs w:val="21"/>
        </w:rPr>
        <w:t>进行</w:t>
      </w:r>
      <w:r>
        <w:rPr>
          <w:rFonts w:hint="eastAsia" w:ascii="宋体" w:hAnsi="宋体"/>
          <w:sz w:val="21"/>
          <w:szCs w:val="21"/>
        </w:rPr>
        <w:t>公开招标（线上电子招投标）</w:t>
      </w:r>
      <w:r>
        <w:rPr>
          <w:rFonts w:ascii="宋体" w:hAnsi="宋体"/>
          <w:sz w:val="21"/>
          <w:szCs w:val="21"/>
        </w:rPr>
        <w:t>，</w:t>
      </w:r>
      <w:r>
        <w:rPr>
          <w:rFonts w:hint="eastAsia" w:ascii="宋体" w:hAnsi="宋体"/>
          <w:sz w:val="21"/>
          <w:szCs w:val="21"/>
        </w:rPr>
        <w:t>欢迎</w:t>
      </w:r>
      <w:r>
        <w:rPr>
          <w:rFonts w:ascii="宋体" w:hAnsi="宋体"/>
          <w:sz w:val="21"/>
          <w:szCs w:val="21"/>
        </w:rPr>
        <w:t>国内合格的</w:t>
      </w:r>
      <w:r>
        <w:rPr>
          <w:rFonts w:hint="eastAsia" w:ascii="宋体" w:hAnsi="宋体"/>
          <w:sz w:val="21"/>
          <w:szCs w:val="21"/>
        </w:rPr>
        <w:t>投标人</w:t>
      </w:r>
      <w:r>
        <w:rPr>
          <w:rFonts w:ascii="宋体" w:hAnsi="宋体"/>
          <w:sz w:val="21"/>
          <w:szCs w:val="21"/>
        </w:rPr>
        <w:t>前来</w:t>
      </w:r>
      <w:r>
        <w:rPr>
          <w:rFonts w:hint="eastAsia" w:ascii="宋体" w:hAnsi="宋体"/>
          <w:sz w:val="21"/>
          <w:szCs w:val="21"/>
        </w:rPr>
        <w:t>投标</w:t>
      </w:r>
      <w:r>
        <w:rPr>
          <w:rFonts w:ascii="宋体" w:hAnsi="宋体"/>
          <w:sz w:val="21"/>
          <w:szCs w:val="21"/>
        </w:rPr>
        <w:t>。</w:t>
      </w:r>
    </w:p>
    <w:p>
      <w:pPr>
        <w:spacing w:line="288" w:lineRule="auto"/>
        <w:rPr>
          <w:rFonts w:ascii="宋体" w:hAnsi="宋体"/>
          <w:sz w:val="21"/>
          <w:szCs w:val="21"/>
        </w:rPr>
      </w:pPr>
      <w:r>
        <w:rPr>
          <w:rFonts w:hint="eastAsia" w:ascii="宋体" w:hAnsi="宋体"/>
          <w:b/>
          <w:sz w:val="24"/>
        </w:rPr>
        <w:t>一、项目名称：</w:t>
      </w:r>
      <w:r>
        <w:rPr>
          <w:rFonts w:hint="eastAsia" w:ascii="宋体" w:hAnsi="宋体"/>
          <w:sz w:val="21"/>
          <w:szCs w:val="21"/>
        </w:rPr>
        <w:t>教务处公共教室提升设备</w:t>
      </w:r>
    </w:p>
    <w:p>
      <w:pPr>
        <w:spacing w:line="288" w:lineRule="auto"/>
        <w:rPr>
          <w:rFonts w:ascii="宋体" w:hAnsi="宋体"/>
          <w:sz w:val="21"/>
          <w:szCs w:val="21"/>
        </w:rPr>
      </w:pPr>
      <w:r>
        <w:rPr>
          <w:rFonts w:hint="eastAsia" w:ascii="宋体" w:hAnsi="宋体"/>
          <w:b/>
          <w:sz w:val="24"/>
        </w:rPr>
        <w:t>二、</w:t>
      </w:r>
      <w:r>
        <w:rPr>
          <w:rFonts w:ascii="宋体" w:hAnsi="宋体"/>
          <w:b/>
          <w:sz w:val="24"/>
        </w:rPr>
        <w:t>项目编号</w:t>
      </w:r>
      <w:r>
        <w:rPr>
          <w:rFonts w:hint="eastAsia" w:ascii="宋体" w:hAnsi="宋体"/>
          <w:b/>
          <w:sz w:val="24"/>
        </w:rPr>
        <w:t>：</w:t>
      </w:r>
      <w:r>
        <w:rPr>
          <w:rFonts w:hint="eastAsia" w:ascii="宋体" w:hAnsi="宋体"/>
          <w:sz w:val="21"/>
          <w:szCs w:val="21"/>
        </w:rPr>
        <w:t>QSZB-Z(H)-C20054(GK)</w:t>
      </w:r>
    </w:p>
    <w:p>
      <w:pPr>
        <w:spacing w:line="288" w:lineRule="auto"/>
        <w:rPr>
          <w:rFonts w:ascii="宋体" w:hAnsi="宋体"/>
          <w:sz w:val="21"/>
          <w:szCs w:val="21"/>
        </w:rPr>
      </w:pPr>
      <w:r>
        <w:rPr>
          <w:rFonts w:hint="eastAsia" w:ascii="宋体" w:hAnsi="宋体"/>
          <w:b/>
          <w:sz w:val="24"/>
        </w:rPr>
        <w:t>三、组织形式：</w:t>
      </w:r>
      <w:r>
        <w:rPr>
          <w:rFonts w:hint="eastAsia" w:ascii="宋体" w:hAnsi="宋体"/>
          <w:sz w:val="21"/>
          <w:szCs w:val="21"/>
        </w:rPr>
        <w:t>分散采购</w:t>
      </w:r>
    </w:p>
    <w:p>
      <w:pPr>
        <w:spacing w:line="288" w:lineRule="auto"/>
        <w:rPr>
          <w:rFonts w:ascii="宋体" w:hAnsi="宋体"/>
          <w:b/>
          <w:sz w:val="24"/>
        </w:rPr>
      </w:pPr>
      <w:r>
        <w:rPr>
          <w:rFonts w:hint="eastAsia" w:ascii="宋体" w:hAnsi="宋体"/>
          <w:b/>
          <w:sz w:val="24"/>
        </w:rPr>
        <w:t>四、</w:t>
      </w:r>
      <w:r>
        <w:rPr>
          <w:rFonts w:ascii="宋体" w:hAnsi="宋体"/>
          <w:b/>
          <w:sz w:val="24"/>
        </w:rPr>
        <w:t>招标</w:t>
      </w:r>
      <w:r>
        <w:rPr>
          <w:rFonts w:hint="eastAsia" w:ascii="宋体" w:hAnsi="宋体"/>
          <w:b/>
          <w:sz w:val="24"/>
        </w:rPr>
        <w:t>项目概况：</w:t>
      </w:r>
    </w:p>
    <w:tbl>
      <w:tblPr>
        <w:tblStyle w:val="22"/>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1283"/>
        <w:gridCol w:w="716"/>
        <w:gridCol w:w="709"/>
        <w:gridCol w:w="196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288" w:lineRule="auto"/>
              <w:jc w:val="center"/>
              <w:rPr>
                <w:rFonts w:ascii="宋体" w:hAnsi="宋体"/>
                <w:b/>
                <w:sz w:val="21"/>
                <w:szCs w:val="21"/>
              </w:rPr>
            </w:pPr>
            <w:r>
              <w:rPr>
                <w:rFonts w:hint="eastAsia" w:ascii="宋体" w:hAnsi="宋体"/>
                <w:b/>
                <w:sz w:val="21"/>
                <w:szCs w:val="21"/>
              </w:rPr>
              <w:t>序号</w:t>
            </w:r>
          </w:p>
        </w:tc>
        <w:tc>
          <w:tcPr>
            <w:tcW w:w="1560" w:type="dxa"/>
            <w:vAlign w:val="center"/>
          </w:tcPr>
          <w:p>
            <w:pPr>
              <w:spacing w:line="288" w:lineRule="auto"/>
              <w:jc w:val="center"/>
              <w:rPr>
                <w:rFonts w:ascii="宋体" w:hAnsi="宋体"/>
                <w:b/>
                <w:sz w:val="21"/>
                <w:szCs w:val="21"/>
              </w:rPr>
            </w:pPr>
            <w:r>
              <w:rPr>
                <w:rFonts w:hint="eastAsia" w:ascii="宋体" w:hAnsi="宋体"/>
                <w:b/>
                <w:sz w:val="21"/>
                <w:szCs w:val="21"/>
              </w:rPr>
              <w:t>名称</w:t>
            </w:r>
          </w:p>
        </w:tc>
        <w:tc>
          <w:tcPr>
            <w:tcW w:w="1283" w:type="dxa"/>
            <w:vAlign w:val="center"/>
          </w:tcPr>
          <w:p>
            <w:pPr>
              <w:spacing w:line="288" w:lineRule="auto"/>
              <w:jc w:val="center"/>
              <w:rPr>
                <w:rFonts w:ascii="宋体" w:hAnsi="宋体"/>
                <w:b/>
                <w:sz w:val="21"/>
                <w:szCs w:val="21"/>
              </w:rPr>
            </w:pPr>
            <w:r>
              <w:rPr>
                <w:rFonts w:hint="eastAsia" w:ascii="宋体" w:hAnsi="宋体"/>
                <w:b/>
                <w:sz w:val="21"/>
                <w:szCs w:val="21"/>
              </w:rPr>
              <w:t>是否允许采购进口产品</w:t>
            </w:r>
          </w:p>
        </w:tc>
        <w:tc>
          <w:tcPr>
            <w:tcW w:w="716" w:type="dxa"/>
            <w:vAlign w:val="center"/>
          </w:tcPr>
          <w:p>
            <w:pPr>
              <w:spacing w:line="288" w:lineRule="auto"/>
              <w:jc w:val="left"/>
              <w:rPr>
                <w:rFonts w:ascii="宋体" w:hAnsi="宋体"/>
                <w:b/>
                <w:sz w:val="21"/>
                <w:szCs w:val="21"/>
              </w:rPr>
            </w:pPr>
            <w:r>
              <w:rPr>
                <w:rFonts w:hint="eastAsia" w:ascii="宋体" w:hAnsi="宋体"/>
                <w:b/>
                <w:sz w:val="21"/>
                <w:szCs w:val="21"/>
              </w:rPr>
              <w:t>数量</w:t>
            </w:r>
          </w:p>
        </w:tc>
        <w:tc>
          <w:tcPr>
            <w:tcW w:w="709" w:type="dxa"/>
            <w:vAlign w:val="center"/>
          </w:tcPr>
          <w:p>
            <w:pPr>
              <w:spacing w:line="288" w:lineRule="auto"/>
              <w:jc w:val="center"/>
              <w:rPr>
                <w:rFonts w:ascii="宋体" w:hAnsi="宋体"/>
                <w:b/>
                <w:sz w:val="21"/>
                <w:szCs w:val="21"/>
              </w:rPr>
            </w:pPr>
            <w:r>
              <w:rPr>
                <w:rFonts w:hint="eastAsia" w:ascii="宋体" w:hAnsi="宋体"/>
                <w:b/>
                <w:sz w:val="21"/>
                <w:szCs w:val="21"/>
              </w:rPr>
              <w:t>单位</w:t>
            </w:r>
          </w:p>
        </w:tc>
        <w:tc>
          <w:tcPr>
            <w:tcW w:w="1969" w:type="dxa"/>
            <w:vAlign w:val="center"/>
          </w:tcPr>
          <w:p>
            <w:pPr>
              <w:spacing w:line="288" w:lineRule="auto"/>
              <w:jc w:val="center"/>
              <w:rPr>
                <w:rFonts w:ascii="宋体" w:hAnsi="宋体"/>
                <w:b/>
                <w:sz w:val="21"/>
                <w:szCs w:val="21"/>
              </w:rPr>
            </w:pPr>
            <w:r>
              <w:rPr>
                <w:rFonts w:hint="eastAsia" w:ascii="宋体" w:hAnsi="宋体"/>
                <w:b/>
                <w:sz w:val="21"/>
                <w:szCs w:val="21"/>
              </w:rPr>
              <w:t>简要规格描述或标项</w:t>
            </w:r>
            <w:r>
              <w:rPr>
                <w:rFonts w:ascii="宋体" w:hAnsi="宋体"/>
                <w:b/>
                <w:sz w:val="21"/>
                <w:szCs w:val="21"/>
              </w:rPr>
              <w:t>基本概况介绍</w:t>
            </w:r>
          </w:p>
        </w:tc>
        <w:tc>
          <w:tcPr>
            <w:tcW w:w="1559" w:type="dxa"/>
            <w:vAlign w:val="center"/>
          </w:tcPr>
          <w:p>
            <w:pPr>
              <w:spacing w:line="288" w:lineRule="auto"/>
              <w:jc w:val="center"/>
              <w:rPr>
                <w:rFonts w:ascii="宋体" w:hAnsi="宋体"/>
                <w:b/>
                <w:sz w:val="21"/>
                <w:szCs w:val="21"/>
              </w:rPr>
            </w:pPr>
            <w:r>
              <w:rPr>
                <w:rFonts w:hint="eastAsia" w:ascii="宋体" w:hAnsi="宋体"/>
                <w:b/>
                <w:sz w:val="21"/>
                <w:szCs w:val="21"/>
              </w:rPr>
              <w:t>预算金额</w:t>
            </w:r>
          </w:p>
          <w:p>
            <w:pPr>
              <w:spacing w:line="288" w:lineRule="auto"/>
              <w:jc w:val="center"/>
              <w:rPr>
                <w:rFonts w:ascii="宋体" w:hAnsi="宋体"/>
                <w:b/>
                <w:sz w:val="21"/>
                <w:szCs w:val="21"/>
              </w:rPr>
            </w:pPr>
            <w:r>
              <w:rPr>
                <w:rFonts w:hint="eastAsia" w:ascii="宋体" w:hAnsi="宋体"/>
                <w:b/>
                <w:sz w:val="21"/>
                <w:szCs w:val="21"/>
              </w:rPr>
              <w:t>(万元人民币)</w:t>
            </w:r>
          </w:p>
        </w:tc>
        <w:tc>
          <w:tcPr>
            <w:tcW w:w="1560" w:type="dxa"/>
            <w:vAlign w:val="center"/>
          </w:tcPr>
          <w:p>
            <w:pPr>
              <w:spacing w:line="288" w:lineRule="auto"/>
              <w:jc w:val="center"/>
              <w:rPr>
                <w:rFonts w:ascii="宋体" w:hAnsi="宋体"/>
                <w:b/>
                <w:sz w:val="21"/>
                <w:szCs w:val="21"/>
              </w:rPr>
            </w:pPr>
            <w:r>
              <w:rPr>
                <w:rFonts w:hint="eastAsia" w:ascii="宋体" w:hAnsi="宋体"/>
                <w:b/>
                <w:sz w:val="21"/>
                <w:szCs w:val="21"/>
              </w:rPr>
              <w:t>最高限价</w:t>
            </w:r>
          </w:p>
          <w:p>
            <w:pPr>
              <w:spacing w:line="288" w:lineRule="auto"/>
              <w:jc w:val="center"/>
              <w:rPr>
                <w:rFonts w:ascii="宋体" w:hAnsi="宋体"/>
                <w:b/>
                <w:sz w:val="21"/>
                <w:szCs w:val="21"/>
              </w:rPr>
            </w:pPr>
            <w:r>
              <w:rPr>
                <w:rFonts w:hint="eastAsia" w:ascii="宋体" w:hAnsi="宋体"/>
                <w:b/>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line="288" w:lineRule="auto"/>
              <w:jc w:val="center"/>
              <w:rPr>
                <w:rFonts w:ascii="宋体" w:hAnsi="宋体"/>
                <w:sz w:val="21"/>
                <w:szCs w:val="21"/>
              </w:rPr>
            </w:pPr>
            <w:r>
              <w:rPr>
                <w:rFonts w:hint="eastAsia" w:ascii="宋体" w:hAnsi="宋体"/>
                <w:sz w:val="21"/>
                <w:szCs w:val="21"/>
              </w:rPr>
              <w:t>一</w:t>
            </w:r>
          </w:p>
        </w:tc>
        <w:tc>
          <w:tcPr>
            <w:tcW w:w="1560" w:type="dxa"/>
            <w:vAlign w:val="center"/>
          </w:tcPr>
          <w:p>
            <w:pPr>
              <w:spacing w:line="288" w:lineRule="auto"/>
              <w:jc w:val="center"/>
              <w:rPr>
                <w:rFonts w:ascii="宋体" w:hAnsi="宋体"/>
                <w:sz w:val="21"/>
                <w:szCs w:val="21"/>
              </w:rPr>
            </w:pPr>
            <w:r>
              <w:rPr>
                <w:rFonts w:hint="eastAsia" w:ascii="宋体" w:hAnsi="宋体"/>
                <w:sz w:val="21"/>
                <w:szCs w:val="21"/>
              </w:rPr>
              <w:t>教务处公共教室提升设备</w:t>
            </w:r>
          </w:p>
        </w:tc>
        <w:tc>
          <w:tcPr>
            <w:tcW w:w="1283" w:type="dxa"/>
            <w:vAlign w:val="center"/>
          </w:tcPr>
          <w:p>
            <w:pPr>
              <w:spacing w:line="288" w:lineRule="auto"/>
              <w:jc w:val="center"/>
              <w:rPr>
                <w:rFonts w:ascii="宋体" w:hAnsi="宋体"/>
                <w:sz w:val="21"/>
                <w:szCs w:val="21"/>
              </w:rPr>
            </w:pPr>
            <w:r>
              <w:rPr>
                <w:rFonts w:hint="eastAsia" w:ascii="宋体" w:hAnsi="宋体"/>
                <w:sz w:val="21"/>
                <w:szCs w:val="21"/>
              </w:rPr>
              <w:t>否</w:t>
            </w:r>
          </w:p>
        </w:tc>
        <w:tc>
          <w:tcPr>
            <w:tcW w:w="716" w:type="dxa"/>
            <w:vAlign w:val="center"/>
          </w:tcPr>
          <w:p>
            <w:pPr>
              <w:spacing w:line="288" w:lineRule="auto"/>
              <w:jc w:val="center"/>
              <w:rPr>
                <w:rFonts w:ascii="宋体" w:hAnsi="宋体"/>
                <w:sz w:val="21"/>
                <w:szCs w:val="21"/>
              </w:rPr>
            </w:pPr>
            <w:r>
              <w:rPr>
                <w:rFonts w:ascii="宋体" w:hAnsi="宋体"/>
                <w:sz w:val="21"/>
                <w:szCs w:val="21"/>
              </w:rPr>
              <w:t>1</w:t>
            </w:r>
          </w:p>
        </w:tc>
        <w:tc>
          <w:tcPr>
            <w:tcW w:w="709" w:type="dxa"/>
            <w:vAlign w:val="center"/>
          </w:tcPr>
          <w:p>
            <w:pPr>
              <w:spacing w:line="288" w:lineRule="auto"/>
              <w:jc w:val="center"/>
              <w:rPr>
                <w:rFonts w:ascii="宋体" w:hAnsi="宋体"/>
                <w:sz w:val="21"/>
                <w:szCs w:val="21"/>
              </w:rPr>
            </w:pPr>
            <w:r>
              <w:rPr>
                <w:rFonts w:hint="eastAsia" w:ascii="宋体" w:hAnsi="宋体"/>
                <w:sz w:val="21"/>
                <w:szCs w:val="21"/>
              </w:rPr>
              <w:t>批</w:t>
            </w:r>
          </w:p>
        </w:tc>
        <w:tc>
          <w:tcPr>
            <w:tcW w:w="1969" w:type="dxa"/>
            <w:vAlign w:val="center"/>
          </w:tcPr>
          <w:p>
            <w:pPr>
              <w:spacing w:line="288" w:lineRule="auto"/>
              <w:jc w:val="center"/>
              <w:rPr>
                <w:rFonts w:ascii="宋体" w:hAnsi="宋体"/>
                <w:sz w:val="21"/>
                <w:szCs w:val="21"/>
              </w:rPr>
            </w:pPr>
            <w:r>
              <w:rPr>
                <w:rFonts w:hint="eastAsia" w:ascii="宋体" w:hAnsi="宋体"/>
                <w:sz w:val="21"/>
                <w:szCs w:val="21"/>
              </w:rPr>
              <w:t>详见采购需求</w:t>
            </w:r>
          </w:p>
        </w:tc>
        <w:tc>
          <w:tcPr>
            <w:tcW w:w="1559" w:type="dxa"/>
            <w:vAlign w:val="center"/>
          </w:tcPr>
          <w:p>
            <w:pPr>
              <w:spacing w:line="288" w:lineRule="auto"/>
              <w:jc w:val="center"/>
              <w:rPr>
                <w:rFonts w:ascii="宋体" w:hAnsi="宋体"/>
                <w:sz w:val="21"/>
                <w:szCs w:val="21"/>
              </w:rPr>
            </w:pPr>
            <w:r>
              <w:rPr>
                <w:rFonts w:hint="eastAsia" w:ascii="宋体" w:hAnsi="宋体"/>
                <w:sz w:val="21"/>
                <w:szCs w:val="21"/>
              </w:rPr>
              <w:t>153</w:t>
            </w:r>
          </w:p>
        </w:tc>
        <w:tc>
          <w:tcPr>
            <w:tcW w:w="1560" w:type="dxa"/>
            <w:vAlign w:val="center"/>
          </w:tcPr>
          <w:p>
            <w:pPr>
              <w:spacing w:line="288" w:lineRule="auto"/>
              <w:jc w:val="center"/>
              <w:rPr>
                <w:rFonts w:ascii="宋体" w:hAnsi="宋体"/>
                <w:sz w:val="21"/>
                <w:szCs w:val="21"/>
              </w:rPr>
            </w:pPr>
            <w:r>
              <w:rPr>
                <w:rFonts w:ascii="宋体" w:hAnsi="宋体"/>
                <w:sz w:val="21"/>
                <w:szCs w:val="21"/>
              </w:rPr>
              <w:t>153</w:t>
            </w:r>
          </w:p>
        </w:tc>
      </w:tr>
    </w:tbl>
    <w:p>
      <w:pPr>
        <w:spacing w:line="288" w:lineRule="auto"/>
        <w:rPr>
          <w:rFonts w:ascii="宋体" w:hAnsi="宋体"/>
          <w:sz w:val="21"/>
          <w:szCs w:val="21"/>
        </w:rPr>
      </w:pPr>
      <w:r>
        <w:rPr>
          <w:rFonts w:hint="eastAsia" w:ascii="宋体" w:hAnsi="宋体"/>
          <w:b/>
          <w:sz w:val="24"/>
        </w:rPr>
        <w:t>五、采购需求：</w:t>
      </w:r>
      <w:r>
        <w:rPr>
          <w:rFonts w:hint="eastAsia" w:ascii="宋体" w:hAnsi="宋体"/>
          <w:sz w:val="21"/>
          <w:szCs w:val="21"/>
        </w:rPr>
        <w:t>详见招标文件（招标公告附件，仅供阅览使用）</w:t>
      </w:r>
    </w:p>
    <w:p>
      <w:pPr>
        <w:spacing w:line="288" w:lineRule="auto"/>
        <w:rPr>
          <w:rFonts w:ascii="宋体" w:hAnsi="宋体"/>
          <w:b/>
          <w:sz w:val="24"/>
        </w:rPr>
      </w:pPr>
      <w:r>
        <w:rPr>
          <w:rFonts w:hint="eastAsia" w:ascii="宋体" w:hAnsi="宋体"/>
          <w:b/>
          <w:sz w:val="24"/>
        </w:rPr>
        <w:t>六、</w:t>
      </w:r>
      <w:r>
        <w:rPr>
          <w:rFonts w:ascii="宋体" w:hAnsi="宋体"/>
          <w:b/>
          <w:sz w:val="24"/>
        </w:rPr>
        <w:t>投标</w:t>
      </w:r>
      <w:r>
        <w:rPr>
          <w:rFonts w:hint="eastAsia" w:ascii="宋体" w:hAnsi="宋体"/>
          <w:b/>
          <w:sz w:val="24"/>
        </w:rPr>
        <w:t>人</w:t>
      </w:r>
      <w:r>
        <w:rPr>
          <w:rFonts w:ascii="宋体" w:hAnsi="宋体"/>
          <w:b/>
          <w:sz w:val="24"/>
        </w:rPr>
        <w:t>资格要求</w:t>
      </w:r>
      <w:r>
        <w:rPr>
          <w:rFonts w:hint="eastAsia" w:ascii="宋体" w:hAnsi="宋体"/>
          <w:b/>
          <w:sz w:val="24"/>
        </w:rPr>
        <w:t>：</w:t>
      </w:r>
    </w:p>
    <w:p>
      <w:pPr>
        <w:spacing w:line="288" w:lineRule="auto"/>
        <w:ind w:firstLine="420" w:firstLineChars="200"/>
        <w:rPr>
          <w:rFonts w:ascii="宋体" w:hAnsi="宋体"/>
          <w:sz w:val="21"/>
          <w:szCs w:val="21"/>
        </w:rPr>
      </w:pPr>
      <w:r>
        <w:rPr>
          <w:rFonts w:hint="eastAsia" w:ascii="宋体" w:hAnsi="宋体"/>
          <w:sz w:val="21"/>
          <w:szCs w:val="21"/>
        </w:rPr>
        <w:t>符合《中华人民共和国政府采购法》第二十二条规定的投标人资格条件：</w:t>
      </w:r>
    </w:p>
    <w:p>
      <w:pPr>
        <w:spacing w:line="288"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288"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288" w:lineRule="auto"/>
        <w:ind w:firstLine="420" w:firstLineChars="200"/>
        <w:rPr>
          <w:rFonts w:ascii="宋体" w:hAnsi="宋体"/>
          <w:sz w:val="21"/>
          <w:szCs w:val="21"/>
        </w:rPr>
      </w:pPr>
      <w:r>
        <w:rPr>
          <w:rFonts w:hint="eastAsia" w:ascii="宋体" w:hAnsi="宋体"/>
          <w:sz w:val="21"/>
          <w:szCs w:val="21"/>
        </w:rPr>
        <w:t>3.具有履行合同所必需的设备和专业技术能力；</w:t>
      </w:r>
    </w:p>
    <w:p>
      <w:pPr>
        <w:spacing w:line="288" w:lineRule="auto"/>
        <w:ind w:firstLine="420" w:firstLineChars="200"/>
        <w:rPr>
          <w:rFonts w:ascii="宋体" w:hAnsi="宋体"/>
          <w:sz w:val="21"/>
          <w:szCs w:val="21"/>
        </w:rPr>
      </w:pPr>
      <w:r>
        <w:rPr>
          <w:rFonts w:hint="eastAsia" w:ascii="宋体" w:hAnsi="宋体"/>
          <w:sz w:val="21"/>
          <w:szCs w:val="21"/>
        </w:rPr>
        <w:t>4.有依法缴纳税收和社会保障资金的良好记录；</w:t>
      </w:r>
    </w:p>
    <w:p>
      <w:pPr>
        <w:spacing w:line="288" w:lineRule="auto"/>
        <w:ind w:firstLine="420" w:firstLineChars="200"/>
        <w:rPr>
          <w:rFonts w:ascii="宋体" w:hAnsi="宋体"/>
          <w:sz w:val="21"/>
          <w:szCs w:val="21"/>
        </w:rPr>
      </w:pPr>
      <w:r>
        <w:rPr>
          <w:rFonts w:hint="eastAsia" w:ascii="宋体" w:hAnsi="宋体"/>
          <w:sz w:val="21"/>
          <w:szCs w:val="21"/>
        </w:rPr>
        <w:t>5.参加政府采购活动前三年内，在经营活动中没有重大违法记录；</w:t>
      </w:r>
    </w:p>
    <w:p>
      <w:pPr>
        <w:spacing w:line="288" w:lineRule="auto"/>
        <w:ind w:firstLine="420" w:firstLineChars="200"/>
        <w:rPr>
          <w:rFonts w:ascii="宋体" w:hAnsi="宋体"/>
          <w:sz w:val="21"/>
          <w:szCs w:val="21"/>
        </w:rPr>
      </w:pPr>
      <w:r>
        <w:rPr>
          <w:rFonts w:hint="eastAsia" w:ascii="宋体" w:hAnsi="宋体"/>
          <w:sz w:val="21"/>
          <w:szCs w:val="21"/>
        </w:rPr>
        <w:t>6.法律、行政法规规定的其他条件。</w:t>
      </w:r>
    </w:p>
    <w:p>
      <w:pPr>
        <w:spacing w:line="288" w:lineRule="auto"/>
        <w:ind w:firstLine="422" w:firstLineChars="200"/>
        <w:rPr>
          <w:rFonts w:ascii="宋体" w:hAnsi="宋体"/>
          <w:b/>
          <w:sz w:val="21"/>
          <w:szCs w:val="21"/>
        </w:rPr>
      </w:pPr>
      <w:r>
        <w:rPr>
          <w:rFonts w:hint="eastAsia" w:ascii="宋体" w:hAnsi="宋体"/>
          <w:b/>
          <w:sz w:val="21"/>
          <w:szCs w:val="21"/>
        </w:rPr>
        <w:t>备注：本项目不接受联合体投标。</w:t>
      </w:r>
    </w:p>
    <w:p>
      <w:pPr>
        <w:spacing w:line="288" w:lineRule="auto"/>
        <w:rPr>
          <w:rFonts w:ascii="宋体" w:hAnsi="宋体"/>
          <w:b/>
          <w:sz w:val="24"/>
        </w:rPr>
      </w:pPr>
      <w:r>
        <w:rPr>
          <w:rFonts w:hint="eastAsia" w:ascii="宋体" w:hAnsi="宋体"/>
          <w:b/>
          <w:sz w:val="24"/>
        </w:rPr>
        <w:t>七、招标文件的获取时间、地址、方式及售价：</w:t>
      </w:r>
    </w:p>
    <w:p>
      <w:pPr>
        <w:spacing w:line="288"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时间：2020年6月12日至2020年6月19日</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地址：政府采购云平台（https://login.zcygov.cn）</w:t>
      </w:r>
    </w:p>
    <w:p>
      <w:pPr>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售价</w:t>
      </w:r>
      <w:r>
        <w:rPr>
          <w:rFonts w:ascii="宋体" w:hAnsi="宋体"/>
          <w:sz w:val="21"/>
          <w:szCs w:val="21"/>
        </w:rPr>
        <w:t>：</w:t>
      </w:r>
      <w:r>
        <w:rPr>
          <w:rFonts w:hint="eastAsia" w:ascii="宋体" w:hAnsi="宋体"/>
          <w:sz w:val="21"/>
          <w:szCs w:val="21"/>
        </w:rPr>
        <w:t>免费</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sz w:val="21"/>
          <w:szCs w:val="21"/>
        </w:rPr>
      </w:pPr>
      <w:r>
        <w:rPr>
          <w:rFonts w:hint="eastAsia" w:ascii="宋体" w:hAnsi="宋体"/>
          <w:sz w:val="21"/>
          <w:szCs w:val="21"/>
        </w:rPr>
        <w:t>1）获取招标文件截止时间之后潜在投标人依然可以获取招标文件，如对招标文件有质疑的应在规定的质疑期限内提出；</w:t>
      </w:r>
    </w:p>
    <w:p>
      <w:pPr>
        <w:spacing w:line="288" w:lineRule="auto"/>
        <w:ind w:firstLine="420" w:firstLineChars="200"/>
        <w:rPr>
          <w:rFonts w:ascii="宋体" w:hAnsi="宋体"/>
          <w:sz w:val="21"/>
          <w:szCs w:val="21"/>
        </w:rPr>
      </w:pPr>
      <w:r>
        <w:rPr>
          <w:rFonts w:hint="eastAsia" w:ascii="宋体" w:hAnsi="宋体"/>
          <w:sz w:val="21"/>
          <w:szCs w:val="21"/>
        </w:rPr>
        <w:t>2）公告规定的招标文件获取方式为依法获取招标文件的方式，未按照公告规定的方式获取招标文件的，不得对招标文件提起质疑、投诉。</w:t>
      </w:r>
    </w:p>
    <w:p>
      <w:pPr>
        <w:spacing w:line="288" w:lineRule="auto"/>
        <w:rPr>
          <w:rFonts w:ascii="宋体" w:hAnsi="宋体"/>
          <w:b/>
          <w:sz w:val="24"/>
        </w:rPr>
      </w:pPr>
      <w:r>
        <w:rPr>
          <w:rFonts w:hint="eastAsia" w:ascii="宋体" w:hAnsi="宋体"/>
          <w:b/>
          <w:sz w:val="24"/>
        </w:rPr>
        <w:t>八、投标人获取招标文件时应提交的资料：</w:t>
      </w:r>
      <w:r>
        <w:rPr>
          <w:rFonts w:hint="eastAsia" w:ascii="宋体" w:hAnsi="宋体"/>
          <w:sz w:val="21"/>
          <w:szCs w:val="21"/>
        </w:rPr>
        <w:t>无</w:t>
      </w:r>
    </w:p>
    <w:p>
      <w:pPr>
        <w:spacing w:line="288" w:lineRule="auto"/>
        <w:rPr>
          <w:rFonts w:ascii="宋体" w:hAnsi="宋体"/>
          <w:sz w:val="21"/>
          <w:szCs w:val="21"/>
        </w:rPr>
      </w:pPr>
      <w:r>
        <w:rPr>
          <w:rFonts w:hint="eastAsia" w:ascii="宋体" w:hAnsi="宋体"/>
          <w:b/>
          <w:sz w:val="24"/>
        </w:rPr>
        <w:t>九、</w:t>
      </w:r>
      <w:r>
        <w:rPr>
          <w:rFonts w:ascii="宋体" w:hAnsi="宋体"/>
          <w:b/>
          <w:sz w:val="24"/>
        </w:rPr>
        <w:t>投标截止时间：</w:t>
      </w:r>
      <w:r>
        <w:rPr>
          <w:rFonts w:hint="eastAsia" w:ascii="宋体" w:hAnsi="宋体"/>
          <w:sz w:val="21"/>
          <w:szCs w:val="21"/>
        </w:rPr>
        <w:t>2020年7月2日上午9:30:00（北京时间）</w:t>
      </w:r>
    </w:p>
    <w:p>
      <w:pPr>
        <w:spacing w:line="288" w:lineRule="auto"/>
        <w:rPr>
          <w:rFonts w:ascii="宋体" w:hAnsi="宋体"/>
          <w:sz w:val="21"/>
          <w:szCs w:val="21"/>
        </w:rPr>
      </w:pPr>
      <w:r>
        <w:rPr>
          <w:rFonts w:hint="eastAsia" w:ascii="宋体" w:hAnsi="宋体"/>
          <w:b/>
          <w:sz w:val="24"/>
        </w:rPr>
        <w:t>十、</w:t>
      </w:r>
      <w:r>
        <w:rPr>
          <w:rFonts w:ascii="宋体" w:hAnsi="宋体"/>
          <w:b/>
          <w:sz w:val="24"/>
        </w:rPr>
        <w:t>投标地址</w:t>
      </w:r>
      <w:r>
        <w:rPr>
          <w:rFonts w:hint="eastAsia" w:ascii="宋体" w:hAnsi="宋体"/>
          <w:b/>
          <w:sz w:val="24"/>
        </w:rPr>
        <w:t>、方式</w:t>
      </w:r>
      <w:r>
        <w:rPr>
          <w:rFonts w:ascii="宋体" w:hAnsi="宋体"/>
          <w:b/>
          <w:sz w:val="24"/>
        </w:rPr>
        <w:t>：</w:t>
      </w:r>
      <w:r>
        <w:rPr>
          <w:rFonts w:hint="eastAsia" w:ascii="宋体" w:hAnsi="宋体"/>
          <w:sz w:val="21"/>
          <w:szCs w:val="21"/>
        </w:rPr>
        <w:t>通过政府采购云平台在线电子投标</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sz w:val="21"/>
          <w:szCs w:val="21"/>
        </w:rPr>
      </w:pPr>
      <w:r>
        <w:rPr>
          <w:rFonts w:hint="eastAsia" w:ascii="宋体" w:hAnsi="宋体"/>
          <w:sz w:val="21"/>
          <w:szCs w:val="21"/>
        </w:rPr>
        <w:t>1）投标人未按规定编制加密或者投标截止时间后上传的投标文件政府采购云平台将予以拒收；</w:t>
      </w:r>
    </w:p>
    <w:p>
      <w:pPr>
        <w:spacing w:line="288" w:lineRule="auto"/>
        <w:ind w:firstLine="420" w:firstLineChars="200"/>
        <w:rPr>
          <w:rFonts w:ascii="宋体" w:hAnsi="宋体"/>
          <w:sz w:val="21"/>
          <w:szCs w:val="21"/>
        </w:rPr>
      </w:pPr>
      <w:r>
        <w:rPr>
          <w:rFonts w:hint="eastAsia" w:ascii="宋体" w:hAnsi="宋体"/>
          <w:sz w:val="21"/>
          <w:szCs w:val="21"/>
        </w:rPr>
        <w:t>2）投标人逾期送达或者未密封包装的备份投标文件采购代理机构将予以拒收。</w:t>
      </w:r>
    </w:p>
    <w:p>
      <w:pPr>
        <w:spacing w:line="288" w:lineRule="auto"/>
        <w:rPr>
          <w:rFonts w:ascii="宋体" w:hAnsi="宋体"/>
          <w:sz w:val="21"/>
          <w:szCs w:val="21"/>
        </w:rPr>
      </w:pPr>
      <w:r>
        <w:rPr>
          <w:rFonts w:hint="eastAsia" w:ascii="宋体" w:hAnsi="宋体"/>
          <w:b/>
          <w:sz w:val="24"/>
        </w:rPr>
        <w:t>十一、</w:t>
      </w:r>
      <w:r>
        <w:rPr>
          <w:rFonts w:ascii="宋体" w:hAnsi="宋体"/>
          <w:b/>
          <w:sz w:val="24"/>
        </w:rPr>
        <w:t>开标时间：</w:t>
      </w:r>
      <w:r>
        <w:rPr>
          <w:rFonts w:hint="eastAsia" w:ascii="宋体" w:hAnsi="宋体"/>
          <w:sz w:val="21"/>
          <w:szCs w:val="21"/>
        </w:rPr>
        <w:t>2020年7月2日上午9:30:00（北京时间）</w:t>
      </w:r>
    </w:p>
    <w:p>
      <w:pPr>
        <w:spacing w:line="288" w:lineRule="auto"/>
        <w:ind w:firstLine="420" w:firstLineChars="200"/>
        <w:rPr>
          <w:rFonts w:ascii="宋体" w:hAnsi="宋体"/>
          <w:b/>
          <w:sz w:val="24"/>
        </w:rPr>
      </w:pPr>
      <w:r>
        <w:rPr>
          <w:rFonts w:hint="eastAsia" w:ascii="宋体" w:hAnsi="宋体"/>
          <w:sz w:val="21"/>
          <w:szCs w:val="21"/>
        </w:rPr>
        <w:t>备注：</w:t>
      </w:r>
      <w:r>
        <w:rPr>
          <w:rFonts w:hint="eastAsia" w:ascii="宋体" w:hAnsi="宋体"/>
          <w:spacing w:val="-6"/>
          <w:sz w:val="21"/>
          <w:szCs w:val="21"/>
        </w:rPr>
        <w:t>投标人应在开标时间在线参加开标并按时解密电子加密投标文件。</w:t>
      </w:r>
    </w:p>
    <w:p>
      <w:pPr>
        <w:spacing w:line="288" w:lineRule="auto"/>
        <w:rPr>
          <w:rFonts w:ascii="宋体" w:hAnsi="宋体"/>
          <w:sz w:val="21"/>
          <w:szCs w:val="21"/>
        </w:rPr>
      </w:pPr>
      <w:r>
        <w:rPr>
          <w:rFonts w:hint="eastAsia" w:ascii="宋体" w:hAnsi="宋体"/>
          <w:b/>
          <w:sz w:val="24"/>
        </w:rPr>
        <w:t>十二、开标地址：</w:t>
      </w:r>
      <w:r>
        <w:rPr>
          <w:rFonts w:hint="eastAsia" w:ascii="宋体" w:hAnsi="宋体"/>
          <w:sz w:val="21"/>
          <w:szCs w:val="21"/>
        </w:rPr>
        <w:t>杭州市西湖区玉古路173号中田大厦16楼求是招标会议室</w:t>
      </w:r>
    </w:p>
    <w:p>
      <w:pPr>
        <w:spacing w:line="288" w:lineRule="auto"/>
        <w:rPr>
          <w:rFonts w:ascii="宋体" w:hAnsi="宋体"/>
          <w:sz w:val="21"/>
          <w:szCs w:val="21"/>
        </w:rPr>
      </w:pPr>
      <w:r>
        <w:rPr>
          <w:rFonts w:hint="eastAsia" w:ascii="宋体" w:hAnsi="宋体"/>
          <w:b/>
          <w:sz w:val="24"/>
        </w:rPr>
        <w:t>十三、公告期限：</w:t>
      </w:r>
      <w:r>
        <w:rPr>
          <w:rFonts w:hint="eastAsia" w:ascii="宋体" w:hAnsi="宋体"/>
          <w:sz w:val="21"/>
          <w:szCs w:val="21"/>
        </w:rPr>
        <w:t>5个工作日</w:t>
      </w:r>
    </w:p>
    <w:p>
      <w:pPr>
        <w:spacing w:line="288" w:lineRule="auto"/>
        <w:rPr>
          <w:rFonts w:ascii="宋体" w:hAnsi="宋体"/>
          <w:b/>
          <w:sz w:val="24"/>
        </w:rPr>
      </w:pPr>
      <w:r>
        <w:rPr>
          <w:rFonts w:hint="eastAsia" w:ascii="宋体" w:hAnsi="宋体"/>
          <w:b/>
          <w:sz w:val="24"/>
        </w:rPr>
        <w:t>十四、在线电子投标说明：</w:t>
      </w:r>
    </w:p>
    <w:p>
      <w:pPr>
        <w:spacing w:line="288" w:lineRule="auto"/>
        <w:ind w:firstLine="422" w:firstLineChars="200"/>
        <w:rPr>
          <w:rFonts w:ascii="宋体" w:hAnsi="宋体"/>
          <w:b/>
          <w:bCs/>
          <w:sz w:val="21"/>
          <w:szCs w:val="21"/>
        </w:rPr>
      </w:pPr>
      <w:r>
        <w:rPr>
          <w:rFonts w:hint="eastAsia" w:ascii="宋体" w:hAnsi="宋体"/>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b/>
          <w:bCs/>
          <w:sz w:val="21"/>
          <w:szCs w:val="21"/>
        </w:rPr>
      </w:pPr>
      <w:r>
        <w:rPr>
          <w:rFonts w:hint="eastAsia" w:ascii="宋体" w:hAnsi="宋体"/>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b/>
          <w:bCs/>
          <w:sz w:val="21"/>
          <w:szCs w:val="21"/>
        </w:rPr>
      </w:pPr>
      <w:r>
        <w:rPr>
          <w:rFonts w:hint="eastAsia" w:ascii="宋体" w:hAnsi="宋体"/>
          <w:b/>
          <w:bCs/>
          <w:sz w:val="21"/>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b/>
          <w:bCs/>
          <w:sz w:val="21"/>
          <w:szCs w:val="21"/>
        </w:rPr>
        <w:t>CA驱动和申领流程</w:t>
      </w:r>
      <w:r>
        <w:rPr>
          <w:rFonts w:hint="eastAsia" w:ascii="宋体" w:hAnsi="宋体"/>
          <w:b/>
          <w:bCs/>
          <w:sz w:val="21"/>
          <w:szCs w:val="21"/>
        </w:rPr>
        <w:fldChar w:fldCharType="end"/>
      </w:r>
      <w:r>
        <w:rPr>
          <w:rFonts w:hint="eastAsia" w:ascii="宋体" w:hAnsi="宋体"/>
          <w:b/>
          <w:bCs/>
          <w:sz w:val="21"/>
          <w:szCs w:val="21"/>
        </w:rPr>
        <w:t>”进行查阅；</w:t>
      </w:r>
    </w:p>
    <w:p>
      <w:pPr>
        <w:spacing w:line="288" w:lineRule="auto"/>
        <w:ind w:firstLine="422" w:firstLineChars="200"/>
        <w:rPr>
          <w:rFonts w:ascii="宋体" w:hAnsi="宋体"/>
          <w:b/>
          <w:bCs/>
          <w:sz w:val="21"/>
          <w:szCs w:val="21"/>
        </w:rPr>
      </w:pPr>
      <w:r>
        <w:rPr>
          <w:rFonts w:hint="eastAsia" w:ascii="宋体" w:hAnsi="宋体"/>
          <w:b/>
          <w:bCs/>
          <w:sz w:val="21"/>
          <w:szCs w:val="21"/>
        </w:rPr>
        <w:t>3.投标人应当在投标截止时间前将在政采云电子交易客户端（政采云投标客户端）生成的电子加密投标文件上传至政府采购云平台；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b/>
          <w:bCs/>
          <w:sz w:val="21"/>
          <w:szCs w:val="21"/>
        </w:rPr>
      </w:pPr>
      <w:r>
        <w:rPr>
          <w:rFonts w:hint="eastAsia" w:ascii="宋体" w:hAnsi="宋体"/>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pPr>
        <w:spacing w:line="288" w:lineRule="auto"/>
        <w:ind w:firstLine="422" w:firstLineChars="200"/>
        <w:rPr>
          <w:rFonts w:ascii="宋体" w:hAnsi="宋体"/>
          <w:b/>
          <w:bCs/>
          <w:sz w:val="21"/>
          <w:szCs w:val="21"/>
        </w:rPr>
      </w:pPr>
      <w:r>
        <w:rPr>
          <w:rFonts w:hint="eastAsia" w:ascii="宋体" w:hAnsi="宋体"/>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pPr>
      <w:r>
        <w:rPr>
          <w:rFonts w:hint="eastAsia" w:ascii="宋体" w:hAnsi="宋体"/>
          <w:b/>
          <w:bCs/>
          <w:sz w:val="21"/>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rPr>
          <w:rFonts w:ascii="宋体" w:hAnsi="宋体"/>
          <w:b/>
          <w:sz w:val="24"/>
        </w:rPr>
      </w:pPr>
      <w:r>
        <w:rPr>
          <w:rFonts w:hint="eastAsia" w:ascii="宋体" w:hAnsi="宋体"/>
          <w:b/>
          <w:sz w:val="24"/>
        </w:rPr>
        <w:t>十五、其他：</w:t>
      </w:r>
    </w:p>
    <w:p>
      <w:pPr>
        <w:spacing w:line="288" w:lineRule="auto"/>
        <w:ind w:firstLine="422" w:firstLineChars="200"/>
        <w:rPr>
          <w:rFonts w:ascii="宋体" w:hAnsi="宋体"/>
          <w:b/>
          <w:bCs/>
          <w:sz w:val="21"/>
          <w:szCs w:val="21"/>
        </w:rPr>
      </w:pPr>
      <w:r>
        <w:rPr>
          <w:rFonts w:hint="eastAsia" w:ascii="宋体" w:hAnsi="宋体"/>
          <w:b/>
          <w:bCs/>
          <w:sz w:val="21"/>
          <w:szCs w:val="21"/>
        </w:rPr>
        <w:t>1.质疑和投诉</w:t>
      </w:r>
    </w:p>
    <w:p>
      <w:pPr>
        <w:spacing w:line="288" w:lineRule="auto"/>
        <w:ind w:firstLine="420" w:firstLineChars="200"/>
        <w:rPr>
          <w:rFonts w:ascii="宋体" w:hAnsi="宋体"/>
          <w:sz w:val="21"/>
          <w:szCs w:val="21"/>
        </w:rPr>
      </w:pPr>
      <w:r>
        <w:rPr>
          <w:rFonts w:hint="eastAsia" w:ascii="宋体" w:hAnsi="宋体"/>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rPr>
      </w:pPr>
      <w:r>
        <w:rPr>
          <w:rFonts w:hint="eastAsia" w:ascii="宋体" w:hAnsi="宋体"/>
          <w:b/>
          <w:bCs/>
          <w:sz w:val="21"/>
          <w:szCs w:val="21"/>
        </w:rPr>
        <w:t>2.采购项目需要落实的政府采购政策</w:t>
      </w:r>
    </w:p>
    <w:p>
      <w:pPr>
        <w:spacing w:line="288" w:lineRule="auto"/>
        <w:ind w:firstLine="420" w:firstLineChars="200"/>
        <w:rPr>
          <w:rFonts w:ascii="宋体" w:hAnsi="宋体"/>
          <w:sz w:val="21"/>
          <w:szCs w:val="21"/>
        </w:rPr>
      </w:pPr>
      <w:bookmarkStart w:id="0" w:name="_Toc30654"/>
      <w:bookmarkStart w:id="1" w:name="B36_其他事项"/>
      <w:r>
        <w:rPr>
          <w:rFonts w:hint="eastAsia" w:ascii="宋体" w:hAnsi="宋体"/>
          <w:sz w:val="21"/>
          <w:szCs w:val="21"/>
        </w:rPr>
        <w:t>1）政府采购促进中小企业发展</w:t>
      </w:r>
      <w:bookmarkEnd w:id="0"/>
    </w:p>
    <w:p>
      <w:pPr>
        <w:spacing w:line="288" w:lineRule="auto"/>
        <w:ind w:firstLine="420" w:firstLineChars="200"/>
        <w:rPr>
          <w:rFonts w:ascii="宋体" w:hAnsi="宋体"/>
          <w:sz w:val="21"/>
          <w:szCs w:val="21"/>
        </w:rPr>
      </w:pPr>
      <w:bookmarkStart w:id="2" w:name="_Toc21083"/>
      <w:r>
        <w:rPr>
          <w:rFonts w:hint="eastAsia" w:ascii="宋体" w:hAnsi="宋体"/>
          <w:sz w:val="21"/>
          <w:szCs w:val="21"/>
        </w:rPr>
        <w:t>2）政府采购支持监狱企业发展</w:t>
      </w:r>
      <w:bookmarkEnd w:id="2"/>
    </w:p>
    <w:p>
      <w:pPr>
        <w:spacing w:line="288" w:lineRule="auto"/>
        <w:ind w:firstLine="420" w:firstLineChars="200"/>
        <w:rPr>
          <w:rFonts w:ascii="宋体" w:hAnsi="宋体"/>
          <w:sz w:val="21"/>
          <w:szCs w:val="21"/>
        </w:rPr>
      </w:pPr>
      <w:bookmarkStart w:id="3" w:name="_Toc9829"/>
      <w:r>
        <w:rPr>
          <w:rFonts w:hint="eastAsia" w:ascii="宋体" w:hAnsi="宋体"/>
          <w:sz w:val="21"/>
          <w:szCs w:val="21"/>
        </w:rPr>
        <w:t>3）政府采购促进残疾人就业</w:t>
      </w:r>
      <w:bookmarkEnd w:id="3"/>
    </w:p>
    <w:p>
      <w:pPr>
        <w:spacing w:line="288" w:lineRule="auto"/>
        <w:ind w:firstLine="420" w:firstLineChars="200"/>
        <w:rPr>
          <w:rFonts w:ascii="宋体" w:hAnsi="宋体"/>
          <w:sz w:val="21"/>
          <w:szCs w:val="21"/>
        </w:rPr>
      </w:pPr>
      <w:r>
        <w:rPr>
          <w:rFonts w:hint="eastAsia" w:ascii="宋体" w:hAnsi="宋体"/>
          <w:sz w:val="21"/>
          <w:szCs w:val="21"/>
        </w:rPr>
        <w:t>4）政府强制采购节能产品</w:t>
      </w:r>
    </w:p>
    <w:p>
      <w:pPr>
        <w:spacing w:line="288" w:lineRule="auto"/>
        <w:ind w:firstLine="420" w:firstLineChars="200"/>
        <w:rPr>
          <w:rFonts w:ascii="宋体" w:hAnsi="宋体"/>
          <w:sz w:val="21"/>
          <w:szCs w:val="21"/>
        </w:rPr>
      </w:pPr>
      <w:r>
        <w:rPr>
          <w:rFonts w:hint="eastAsia" w:ascii="宋体" w:hAnsi="宋体"/>
          <w:sz w:val="21"/>
          <w:szCs w:val="21"/>
        </w:rPr>
        <w:t>5）政府优先采购节能、环保产品</w:t>
      </w:r>
    </w:p>
    <w:p>
      <w:pPr>
        <w:spacing w:line="288" w:lineRule="auto"/>
        <w:ind w:firstLine="422" w:firstLineChars="200"/>
        <w:rPr>
          <w:rFonts w:ascii="宋体" w:hAnsi="宋体"/>
          <w:b/>
          <w:bCs/>
          <w:sz w:val="21"/>
          <w:szCs w:val="21"/>
        </w:rPr>
      </w:pPr>
      <w:r>
        <w:rPr>
          <w:rFonts w:hint="eastAsia" w:ascii="宋体" w:hAnsi="宋体"/>
          <w:b/>
          <w:bCs/>
          <w:sz w:val="21"/>
          <w:szCs w:val="21"/>
        </w:rPr>
        <w:t>3.信用记录</w:t>
      </w:r>
    </w:p>
    <w:p>
      <w:pPr>
        <w:spacing w:line="288" w:lineRule="auto"/>
        <w:ind w:firstLine="420" w:firstLineChars="200"/>
        <w:rPr>
          <w:rFonts w:ascii="宋体" w:hAnsi="宋体"/>
          <w:sz w:val="21"/>
          <w:szCs w:val="21"/>
        </w:rPr>
      </w:pPr>
      <w:r>
        <w:rPr>
          <w:rFonts w:hint="eastAsia" w:ascii="宋体" w:hAnsi="宋体"/>
          <w:sz w:val="21"/>
          <w:szCs w:val="21"/>
        </w:rPr>
        <w:t>根据财库[2016]125号《关于在政府采购活动中查询及使用信用记录有关问题的通知》要求，采购代理机构会对投标人信用记录进行查询并甄别。</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信用信息查询的截止时点：投标截止时间；</w:t>
      </w:r>
    </w:p>
    <w:p>
      <w:pPr>
        <w:numPr>
          <w:ilvl w:val="0"/>
          <w:numId w:val="1"/>
        </w:numPr>
        <w:spacing w:line="288" w:lineRule="auto"/>
        <w:ind w:firstLine="420" w:firstLineChars="200"/>
        <w:rPr>
          <w:rFonts w:ascii="宋体" w:hAnsi="宋体"/>
          <w:sz w:val="21"/>
          <w:szCs w:val="21"/>
        </w:rPr>
      </w:pPr>
      <w:r>
        <w:rPr>
          <w:rFonts w:hint="eastAsia" w:ascii="宋体" w:hAnsi="宋体"/>
          <w:sz w:val="21"/>
          <w:szCs w:val="21"/>
        </w:rPr>
        <w:t>查询渠道：“信用中国”（www.creditchina.gov.cn）、“中国政府采购网”（www.ccgp.gov.cn）；</w:t>
      </w:r>
    </w:p>
    <w:p>
      <w:pPr>
        <w:spacing w:line="288" w:lineRule="auto"/>
        <w:ind w:firstLine="420" w:firstLineChars="200"/>
        <w:rPr>
          <w:rFonts w:ascii="宋体" w:hAnsi="宋体"/>
          <w:sz w:val="21"/>
          <w:szCs w:val="21"/>
        </w:rPr>
      </w:pPr>
      <w:r>
        <w:rPr>
          <w:rFonts w:hint="eastAsia" w:ascii="宋体" w:hAnsi="宋体"/>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rPr>
      </w:pPr>
      <w:r>
        <w:rPr>
          <w:rFonts w:hint="eastAsia" w:ascii="宋体" w:hAnsi="宋体"/>
          <w:sz w:val="21"/>
          <w:szCs w:val="21"/>
        </w:rPr>
        <w:t>4）信用信息的使用规则：投标人存在不良信用记录的，其投标将被作为无效投标处理。</w:t>
      </w:r>
    </w:p>
    <w:p>
      <w:pPr>
        <w:spacing w:line="288" w:lineRule="auto"/>
        <w:ind w:firstLine="420" w:firstLineChars="200"/>
        <w:rPr>
          <w:rFonts w:ascii="宋体" w:hAnsi="宋体"/>
          <w:sz w:val="21"/>
          <w:szCs w:val="21"/>
        </w:rPr>
      </w:pPr>
      <w:r>
        <w:rPr>
          <w:rFonts w:hint="eastAsia" w:ascii="宋体" w:hAnsi="宋体"/>
          <w:sz w:val="21"/>
          <w:szCs w:val="21"/>
        </w:rPr>
        <w:t>不良信用记录指：被列入失信被执行人、重大税收违法案件当事人名单、政府采购严重违法失信行为记录名单。</w:t>
      </w:r>
      <w:bookmarkEnd w:id="1"/>
    </w:p>
    <w:p>
      <w:pPr>
        <w:spacing w:line="288" w:lineRule="auto"/>
        <w:ind w:firstLine="422" w:firstLineChars="200"/>
        <w:rPr>
          <w:rFonts w:ascii="宋体" w:hAnsi="宋体"/>
          <w:b/>
          <w:bCs/>
          <w:sz w:val="21"/>
          <w:szCs w:val="21"/>
        </w:rPr>
      </w:pPr>
      <w:r>
        <w:rPr>
          <w:rFonts w:hint="eastAsia" w:ascii="宋体" w:hAnsi="宋体"/>
          <w:b/>
          <w:bCs/>
          <w:sz w:val="21"/>
          <w:szCs w:val="21"/>
        </w:rPr>
        <w:t>4.投标保证金</w:t>
      </w:r>
    </w:p>
    <w:p>
      <w:pPr>
        <w:spacing w:line="288" w:lineRule="auto"/>
        <w:ind w:firstLine="420" w:firstLineChars="200"/>
        <w:rPr>
          <w:rFonts w:ascii="宋体" w:hAnsi="宋体"/>
          <w:b/>
          <w:sz w:val="24"/>
        </w:rPr>
      </w:pPr>
      <w:r>
        <w:rPr>
          <w:rFonts w:hint="eastAsia" w:ascii="宋体" w:hAnsi="宋体"/>
          <w:sz w:val="21"/>
          <w:szCs w:val="21"/>
        </w:rPr>
        <w:t>本项目无投标保证金</w:t>
      </w:r>
    </w:p>
    <w:p>
      <w:pPr>
        <w:spacing w:line="288" w:lineRule="auto"/>
        <w:rPr>
          <w:rFonts w:ascii="宋体" w:hAnsi="宋体"/>
          <w:b/>
          <w:sz w:val="24"/>
        </w:rPr>
      </w:pPr>
      <w:r>
        <w:rPr>
          <w:rFonts w:hint="eastAsia" w:ascii="宋体" w:hAnsi="宋体"/>
          <w:b/>
          <w:sz w:val="24"/>
        </w:rPr>
        <w:t>十六、联系方式:</w:t>
      </w:r>
    </w:p>
    <w:p>
      <w:pPr>
        <w:spacing w:line="288" w:lineRule="auto"/>
        <w:ind w:firstLine="420" w:firstLineChars="200"/>
        <w:rPr>
          <w:rFonts w:ascii="宋体" w:hAnsi="宋体"/>
          <w:sz w:val="21"/>
          <w:szCs w:val="21"/>
        </w:rPr>
      </w:pPr>
      <w:r>
        <w:rPr>
          <w:rFonts w:hint="eastAsia" w:ascii="宋体" w:hAnsi="宋体"/>
          <w:sz w:val="21"/>
          <w:szCs w:val="21"/>
        </w:rPr>
        <w:t>1.采购人名称：中国美术学院</w:t>
      </w:r>
    </w:p>
    <w:p>
      <w:pPr>
        <w:spacing w:line="288" w:lineRule="auto"/>
        <w:ind w:firstLine="630" w:firstLineChars="300"/>
        <w:rPr>
          <w:rFonts w:ascii="宋体" w:hAnsi="宋体" w:cs="宋体"/>
          <w:spacing w:val="-6"/>
          <w:kern w:val="0"/>
          <w:sz w:val="21"/>
          <w:szCs w:val="21"/>
        </w:rPr>
      </w:pPr>
      <w:r>
        <w:rPr>
          <w:rFonts w:hint="eastAsia" w:ascii="宋体" w:hAnsi="宋体"/>
          <w:sz w:val="21"/>
          <w:szCs w:val="21"/>
        </w:rPr>
        <w:t>地址：杭州市南山路218号</w:t>
      </w:r>
    </w:p>
    <w:p>
      <w:pPr>
        <w:spacing w:line="288" w:lineRule="auto"/>
        <w:ind w:firstLine="630" w:firstLineChars="300"/>
        <w:rPr>
          <w:rFonts w:ascii="宋体" w:hAnsi="宋体" w:cs="宋体"/>
          <w:spacing w:val="-6"/>
          <w:kern w:val="0"/>
          <w:sz w:val="21"/>
          <w:szCs w:val="21"/>
        </w:rPr>
      </w:pPr>
      <w:r>
        <w:rPr>
          <w:rFonts w:hint="eastAsia" w:ascii="宋体" w:hAnsi="宋体"/>
          <w:sz w:val="21"/>
          <w:szCs w:val="21"/>
        </w:rPr>
        <w:t>联系人：陈老师</w:t>
      </w:r>
    </w:p>
    <w:p>
      <w:pPr>
        <w:spacing w:line="288" w:lineRule="auto"/>
        <w:ind w:firstLine="630" w:firstLineChars="300"/>
        <w:rPr>
          <w:rFonts w:ascii="宋体" w:hAnsi="宋体"/>
          <w:sz w:val="21"/>
          <w:szCs w:val="21"/>
        </w:rPr>
      </w:pPr>
      <w:r>
        <w:rPr>
          <w:rFonts w:hint="eastAsia" w:ascii="宋体" w:hAnsi="宋体"/>
          <w:sz w:val="21"/>
          <w:szCs w:val="21"/>
        </w:rPr>
        <w:t>联系方法：0571-87164696</w:t>
      </w:r>
    </w:p>
    <w:p>
      <w:pPr>
        <w:spacing w:line="288" w:lineRule="auto"/>
        <w:ind w:firstLine="630" w:firstLineChars="300"/>
        <w:rPr>
          <w:rFonts w:ascii="宋体" w:hAnsi="宋体"/>
          <w:sz w:val="21"/>
          <w:szCs w:val="21"/>
        </w:rPr>
      </w:pPr>
      <w:r>
        <w:rPr>
          <w:rFonts w:hint="eastAsia" w:ascii="宋体" w:hAnsi="宋体"/>
          <w:sz w:val="21"/>
          <w:szCs w:val="21"/>
        </w:rPr>
        <w:t>采购项目联系人：陈老师</w:t>
      </w:r>
    </w:p>
    <w:p>
      <w:pPr>
        <w:spacing w:line="288" w:lineRule="auto"/>
        <w:ind w:firstLine="630" w:firstLineChars="300"/>
        <w:rPr>
          <w:rFonts w:ascii="宋体" w:hAnsi="宋体"/>
          <w:sz w:val="21"/>
          <w:szCs w:val="21"/>
        </w:rPr>
      </w:pPr>
      <w:r>
        <w:rPr>
          <w:rFonts w:hint="eastAsia" w:ascii="宋体" w:hAnsi="宋体"/>
          <w:sz w:val="21"/>
          <w:szCs w:val="21"/>
        </w:rPr>
        <w:t>电话：</w:t>
      </w:r>
      <w:r>
        <w:rPr>
          <w:rFonts w:ascii="宋体" w:hAnsi="宋体"/>
          <w:sz w:val="21"/>
          <w:szCs w:val="21"/>
        </w:rPr>
        <w:t>13819100227</w:t>
      </w:r>
    </w:p>
    <w:p>
      <w:pPr>
        <w:spacing w:line="288" w:lineRule="auto"/>
        <w:ind w:firstLine="630" w:firstLineChars="300"/>
        <w:rPr>
          <w:rFonts w:ascii="宋体" w:hAnsi="宋体"/>
          <w:sz w:val="21"/>
          <w:szCs w:val="21"/>
        </w:rPr>
      </w:pPr>
      <w:r>
        <w:rPr>
          <w:rFonts w:hint="eastAsia" w:ascii="宋体" w:hAnsi="宋体"/>
          <w:sz w:val="21"/>
          <w:szCs w:val="21"/>
        </w:rPr>
        <w:t>采购人质疑联系人：陈老师</w:t>
      </w:r>
    </w:p>
    <w:p>
      <w:pPr>
        <w:spacing w:line="288" w:lineRule="auto"/>
        <w:ind w:firstLine="630" w:firstLineChars="300"/>
        <w:rPr>
          <w:rFonts w:ascii="宋体" w:hAnsi="宋体"/>
          <w:sz w:val="21"/>
          <w:szCs w:val="21"/>
        </w:rPr>
      </w:pPr>
      <w:r>
        <w:rPr>
          <w:rFonts w:hint="eastAsia" w:ascii="宋体" w:hAnsi="宋体"/>
          <w:sz w:val="21"/>
          <w:szCs w:val="21"/>
        </w:rPr>
        <w:t>联系方法：0571-87164696</w:t>
      </w:r>
    </w:p>
    <w:p>
      <w:pPr>
        <w:spacing w:line="288" w:lineRule="auto"/>
        <w:ind w:firstLine="420" w:firstLineChars="200"/>
        <w:rPr>
          <w:rFonts w:ascii="宋体" w:hAnsi="宋体"/>
          <w:sz w:val="21"/>
          <w:szCs w:val="21"/>
        </w:rPr>
      </w:pPr>
      <w:r>
        <w:rPr>
          <w:rFonts w:hint="eastAsia" w:ascii="宋体" w:hAnsi="宋体"/>
          <w:sz w:val="21"/>
          <w:szCs w:val="21"/>
        </w:rPr>
        <w:t>2.采购代理机构名称：浙江求是招标代理有限公司</w:t>
      </w:r>
    </w:p>
    <w:p>
      <w:pPr>
        <w:spacing w:line="288" w:lineRule="auto"/>
        <w:ind w:firstLine="630" w:firstLineChars="300"/>
        <w:rPr>
          <w:rFonts w:ascii="宋体" w:hAnsi="宋体"/>
          <w:sz w:val="21"/>
          <w:szCs w:val="21"/>
        </w:rPr>
      </w:pPr>
      <w:r>
        <w:rPr>
          <w:rFonts w:hint="eastAsia" w:ascii="宋体" w:hAnsi="宋体"/>
          <w:sz w:val="21"/>
          <w:szCs w:val="21"/>
        </w:rPr>
        <w:t>地址：杭州市西湖区玉古路173号中田大厦16楼</w:t>
      </w:r>
    </w:p>
    <w:p>
      <w:pPr>
        <w:spacing w:line="288" w:lineRule="auto"/>
        <w:ind w:firstLine="630" w:firstLineChars="300"/>
        <w:rPr>
          <w:rFonts w:ascii="宋体" w:hAnsi="宋体"/>
          <w:sz w:val="21"/>
          <w:szCs w:val="21"/>
        </w:rPr>
      </w:pPr>
      <w:r>
        <w:rPr>
          <w:rFonts w:hint="eastAsia" w:ascii="宋体" w:hAnsi="宋体"/>
          <w:sz w:val="21"/>
          <w:szCs w:val="21"/>
        </w:rPr>
        <w:t>业务及备份投标文件递交联系人：李聪</w:t>
      </w:r>
    </w:p>
    <w:p>
      <w:pPr>
        <w:spacing w:line="288" w:lineRule="auto"/>
        <w:ind w:firstLine="630" w:firstLineChars="300"/>
        <w:rPr>
          <w:rFonts w:ascii="宋体" w:hAnsi="宋体"/>
          <w:sz w:val="21"/>
          <w:szCs w:val="21"/>
        </w:rPr>
      </w:pPr>
      <w:r>
        <w:rPr>
          <w:rFonts w:hint="eastAsia" w:ascii="宋体" w:hAnsi="宋体"/>
          <w:sz w:val="21"/>
          <w:szCs w:val="21"/>
        </w:rPr>
        <w:t>联系方法：0571-87666115</w:t>
      </w:r>
    </w:p>
    <w:p>
      <w:pPr>
        <w:spacing w:line="288" w:lineRule="auto"/>
        <w:ind w:firstLine="630" w:firstLineChars="300"/>
        <w:rPr>
          <w:rFonts w:ascii="宋体" w:hAnsi="宋体"/>
          <w:sz w:val="21"/>
          <w:szCs w:val="21"/>
        </w:rPr>
      </w:pPr>
      <w:r>
        <w:rPr>
          <w:rFonts w:hint="eastAsia" w:ascii="宋体" w:hAnsi="宋体"/>
          <w:sz w:val="21"/>
          <w:szCs w:val="21"/>
        </w:rPr>
        <w:t>传真：0571-87666116</w:t>
      </w:r>
    </w:p>
    <w:p>
      <w:pPr>
        <w:spacing w:line="288" w:lineRule="auto"/>
        <w:ind w:firstLine="630" w:firstLineChars="300"/>
        <w:rPr>
          <w:rFonts w:ascii="宋体" w:hAnsi="宋体"/>
          <w:sz w:val="21"/>
          <w:szCs w:val="21"/>
        </w:rPr>
      </w:pPr>
      <w:r>
        <w:rPr>
          <w:rFonts w:hint="eastAsia" w:ascii="宋体" w:hAnsi="宋体"/>
          <w:sz w:val="21"/>
          <w:szCs w:val="21"/>
        </w:rPr>
        <w:t>采购代理机构质疑联系人：余水星</w:t>
      </w:r>
    </w:p>
    <w:p>
      <w:pPr>
        <w:spacing w:line="288" w:lineRule="auto"/>
        <w:ind w:firstLine="630" w:firstLineChars="300"/>
        <w:rPr>
          <w:rFonts w:ascii="宋体" w:hAnsi="宋体"/>
          <w:sz w:val="21"/>
          <w:szCs w:val="21"/>
        </w:rPr>
      </w:pPr>
      <w:r>
        <w:rPr>
          <w:rFonts w:hint="eastAsia" w:ascii="宋体" w:hAnsi="宋体"/>
          <w:sz w:val="21"/>
          <w:szCs w:val="21"/>
        </w:rPr>
        <w:t>联系方法：</w:t>
      </w:r>
      <w:r>
        <w:rPr>
          <w:rFonts w:ascii="宋体" w:hAnsi="宋体"/>
          <w:sz w:val="21"/>
          <w:szCs w:val="21"/>
        </w:rPr>
        <w:t>0571-56532513</w:t>
      </w:r>
    </w:p>
    <w:p>
      <w:pPr>
        <w:spacing w:line="288" w:lineRule="auto"/>
        <w:ind w:firstLine="630" w:firstLineChars="3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630" w:firstLineChars="300"/>
        <w:rPr>
          <w:rFonts w:ascii="宋体" w:hAnsi="宋体"/>
          <w:sz w:val="21"/>
          <w:szCs w:val="21"/>
        </w:rPr>
      </w:pPr>
      <w:r>
        <w:rPr>
          <w:rFonts w:hint="eastAsia" w:ascii="宋体" w:hAnsi="宋体"/>
          <w:sz w:val="21"/>
          <w:szCs w:val="21"/>
        </w:rPr>
        <w:t>联系人：倪文良</w:t>
      </w:r>
    </w:p>
    <w:p>
      <w:pPr>
        <w:spacing w:line="288" w:lineRule="auto"/>
        <w:ind w:firstLine="630" w:firstLineChars="300"/>
        <w:rPr>
          <w:rFonts w:ascii="宋体" w:hAnsi="宋体"/>
          <w:sz w:val="21"/>
          <w:szCs w:val="21"/>
        </w:rPr>
      </w:pPr>
      <w:r>
        <w:rPr>
          <w:rFonts w:hint="eastAsia" w:ascii="宋体" w:hAnsi="宋体"/>
          <w:sz w:val="21"/>
          <w:szCs w:val="21"/>
        </w:rPr>
        <w:t>监督投诉电话：0571-87057615</w:t>
      </w:r>
    </w:p>
    <w:p>
      <w:pPr>
        <w:spacing w:line="288" w:lineRule="auto"/>
        <w:ind w:firstLine="630" w:firstLineChars="300"/>
        <w:rPr>
          <w:rFonts w:ascii="宋体" w:hAnsi="宋体"/>
          <w:sz w:val="21"/>
          <w:szCs w:val="21"/>
        </w:rPr>
      </w:pPr>
      <w:r>
        <w:rPr>
          <w:rFonts w:hint="eastAsia" w:ascii="宋体" w:hAnsi="宋体"/>
          <w:sz w:val="21"/>
          <w:szCs w:val="21"/>
        </w:rPr>
        <w:t>地址：杭州市环城西路37号</w:t>
      </w:r>
    </w:p>
    <w:p>
      <w:pPr>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2863" w:type="dxa"/>
            <w:vAlign w:val="center"/>
          </w:tcPr>
          <w:p>
            <w:pPr>
              <w:jc w:val="center"/>
              <w:rPr>
                <w:rFonts w:ascii="宋体" w:hAnsi="宋体" w:cs="宋体"/>
                <w:b/>
                <w:bCs/>
                <w:sz w:val="21"/>
                <w:szCs w:val="21"/>
              </w:rPr>
            </w:pPr>
            <w:r>
              <w:rPr>
                <w:rFonts w:hint="eastAsia" w:ascii="宋体" w:hAnsi="宋体" w:cs="宋体"/>
                <w:b/>
                <w:bCs/>
                <w:sz w:val="21"/>
                <w:szCs w:val="21"/>
              </w:rPr>
              <w:t>政策名称</w:t>
            </w:r>
          </w:p>
        </w:tc>
        <w:tc>
          <w:tcPr>
            <w:tcW w:w="6057" w:type="dxa"/>
            <w:vAlign w:val="center"/>
          </w:tcPr>
          <w:p>
            <w:pPr>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1</w:t>
            </w:r>
          </w:p>
        </w:tc>
        <w:tc>
          <w:tcPr>
            <w:tcW w:w="2863" w:type="dxa"/>
            <w:vAlign w:val="center"/>
          </w:tcPr>
          <w:p>
            <w:pPr>
              <w:jc w:val="center"/>
              <w:rPr>
                <w:rFonts w:ascii="宋体" w:hAnsi="宋体" w:cs="宋体"/>
                <w:sz w:val="21"/>
                <w:szCs w:val="21"/>
              </w:rPr>
            </w:pPr>
            <w:r>
              <w:rPr>
                <w:rFonts w:hint="eastAsia" w:ascii="宋体" w:hAnsi="宋体" w:cs="宋体"/>
                <w:sz w:val="21"/>
                <w:szCs w:val="21"/>
              </w:rPr>
              <w:t>政府采购促进中小企业发展</w:t>
            </w:r>
          </w:p>
        </w:tc>
        <w:tc>
          <w:tcPr>
            <w:tcW w:w="6057" w:type="dxa"/>
            <w:vAlign w:val="center"/>
          </w:tcPr>
          <w:p>
            <w:pPr>
              <w:rPr>
                <w:rFonts w:ascii="宋体" w:hAnsi="宋体" w:cs="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2</w:t>
            </w:r>
          </w:p>
        </w:tc>
        <w:tc>
          <w:tcPr>
            <w:tcW w:w="2863" w:type="dxa"/>
            <w:vAlign w:val="center"/>
          </w:tcPr>
          <w:p>
            <w:pPr>
              <w:jc w:val="center"/>
              <w:rPr>
                <w:rFonts w:ascii="宋体" w:hAnsi="宋体" w:cs="宋体"/>
                <w:sz w:val="21"/>
                <w:szCs w:val="21"/>
              </w:rPr>
            </w:pPr>
            <w:r>
              <w:rPr>
                <w:rFonts w:hint="eastAsia" w:ascii="宋体" w:hAnsi="宋体" w:cs="宋体"/>
                <w:sz w:val="21"/>
                <w:szCs w:val="21"/>
              </w:rPr>
              <w:t>政府采购支持监狱企业发展</w:t>
            </w:r>
          </w:p>
        </w:tc>
        <w:tc>
          <w:tcPr>
            <w:tcW w:w="6057" w:type="dxa"/>
            <w:vAlign w:val="center"/>
          </w:tcPr>
          <w:p>
            <w:pPr>
              <w:rPr>
                <w:rFonts w:ascii="宋体" w:hAnsi="宋体" w:cs="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3</w:t>
            </w:r>
          </w:p>
        </w:tc>
        <w:tc>
          <w:tcPr>
            <w:tcW w:w="2863" w:type="dxa"/>
            <w:vAlign w:val="center"/>
          </w:tcPr>
          <w:p>
            <w:pPr>
              <w:jc w:val="center"/>
              <w:rPr>
                <w:rFonts w:ascii="宋体" w:hAnsi="宋体" w:cs="宋体"/>
                <w:sz w:val="21"/>
                <w:szCs w:val="21"/>
              </w:rPr>
            </w:pPr>
            <w:r>
              <w:rPr>
                <w:rFonts w:hint="eastAsia" w:ascii="宋体" w:hAnsi="宋体" w:cs="宋体"/>
                <w:sz w:val="21"/>
                <w:szCs w:val="21"/>
              </w:rPr>
              <w:t>政府采购促进残疾人就业</w:t>
            </w:r>
          </w:p>
        </w:tc>
        <w:tc>
          <w:tcPr>
            <w:tcW w:w="6057" w:type="dxa"/>
            <w:vAlign w:val="center"/>
          </w:tcPr>
          <w:p>
            <w:pPr>
              <w:rPr>
                <w:rFonts w:ascii="宋体" w:hAnsi="宋体" w:cs="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4</w:t>
            </w:r>
          </w:p>
        </w:tc>
        <w:tc>
          <w:tcPr>
            <w:tcW w:w="2863" w:type="dxa"/>
            <w:vAlign w:val="center"/>
          </w:tcPr>
          <w:p>
            <w:pPr>
              <w:jc w:val="center"/>
              <w:rPr>
                <w:rFonts w:ascii="宋体" w:hAnsi="宋体" w:cs="宋体"/>
                <w:sz w:val="21"/>
                <w:szCs w:val="21"/>
              </w:rPr>
            </w:pPr>
            <w:r>
              <w:rPr>
                <w:rFonts w:hint="eastAsia" w:ascii="宋体" w:hAnsi="宋体" w:cs="宋体"/>
                <w:sz w:val="21"/>
                <w:szCs w:val="21"/>
              </w:rPr>
              <w:t>政府强制采购节能产品</w:t>
            </w:r>
          </w:p>
        </w:tc>
        <w:tc>
          <w:tcPr>
            <w:tcW w:w="6057" w:type="dxa"/>
            <w:vAlign w:val="center"/>
          </w:tcPr>
          <w:p>
            <w:pPr>
              <w:rPr>
                <w:rFonts w:ascii="宋体" w:hAnsi="宋体" w:cs="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5</w:t>
            </w:r>
          </w:p>
        </w:tc>
        <w:tc>
          <w:tcPr>
            <w:tcW w:w="2863" w:type="dxa"/>
            <w:vAlign w:val="center"/>
          </w:tcPr>
          <w:p>
            <w:pPr>
              <w:jc w:val="center"/>
              <w:rPr>
                <w:rFonts w:ascii="宋体" w:hAnsi="宋体" w:cs="宋体"/>
                <w:sz w:val="21"/>
                <w:szCs w:val="21"/>
              </w:rPr>
            </w:pPr>
            <w:r>
              <w:rPr>
                <w:rFonts w:hint="eastAsia" w:ascii="宋体" w:hAnsi="宋体" w:cs="宋体"/>
                <w:sz w:val="21"/>
                <w:szCs w:val="21"/>
              </w:rPr>
              <w:t>政府优先采购节能、环保产品</w:t>
            </w:r>
          </w:p>
        </w:tc>
        <w:tc>
          <w:tcPr>
            <w:tcW w:w="6057" w:type="dxa"/>
            <w:vAlign w:val="center"/>
          </w:tcPr>
          <w:p>
            <w:pPr>
              <w:rPr>
                <w:rFonts w:ascii="宋体" w:hAnsi="宋体" w:cs="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 w:val="21"/>
                <w:szCs w:val="21"/>
              </w:rPr>
            </w:pPr>
            <w:r>
              <w:rPr>
                <w:rFonts w:hint="eastAsia" w:ascii="宋体" w:hAnsi="宋体" w:cs="宋体"/>
                <w:sz w:val="21"/>
                <w:szCs w:val="21"/>
              </w:rPr>
              <w:t>6</w:t>
            </w:r>
          </w:p>
        </w:tc>
        <w:tc>
          <w:tcPr>
            <w:tcW w:w="2863" w:type="dxa"/>
            <w:vAlign w:val="center"/>
          </w:tcPr>
          <w:p>
            <w:pPr>
              <w:jc w:val="center"/>
              <w:rPr>
                <w:rFonts w:ascii="宋体" w:hAnsi="宋体" w:cs="宋体"/>
                <w:sz w:val="21"/>
                <w:szCs w:val="21"/>
              </w:rPr>
            </w:pPr>
            <w:r>
              <w:rPr>
                <w:rFonts w:hint="eastAsia" w:ascii="宋体" w:hAnsi="宋体" w:cs="宋体"/>
                <w:sz w:val="21"/>
                <w:szCs w:val="21"/>
              </w:rPr>
              <w:t>政府采购进口产品</w:t>
            </w:r>
          </w:p>
        </w:tc>
        <w:tc>
          <w:tcPr>
            <w:tcW w:w="6057" w:type="dxa"/>
            <w:vAlign w:val="center"/>
          </w:tcPr>
          <w:p>
            <w:pPr>
              <w:rPr>
                <w:rFonts w:ascii="宋体" w:hAnsi="宋体" w:cs="宋体"/>
                <w:sz w:val="21"/>
                <w:szCs w:val="21"/>
              </w:rPr>
            </w:pPr>
            <w:r>
              <w:rPr>
                <w:rFonts w:hint="eastAsia" w:ascii="宋体" w:hAnsi="宋体" w:cs="宋体"/>
                <w:sz w:val="21"/>
                <w:szCs w:val="21"/>
              </w:rPr>
              <w:t>不允许采购进口产品</w:t>
            </w:r>
          </w:p>
        </w:tc>
      </w:tr>
    </w:tbl>
    <w:p>
      <w:pPr>
        <w:spacing w:line="288" w:lineRule="auto"/>
        <w:rPr>
          <w:rFonts w:ascii="宋体" w:hAnsi="宋体"/>
          <w:b/>
          <w:sz w:val="24"/>
        </w:rPr>
      </w:pPr>
    </w:p>
    <w:p>
      <w:pPr>
        <w:spacing w:line="288" w:lineRule="auto"/>
        <w:rPr>
          <w:rFonts w:ascii="宋体" w:hAnsi="宋体"/>
          <w:b/>
          <w:sz w:val="24"/>
        </w:rPr>
      </w:pPr>
      <w:r>
        <w:rPr>
          <w:rFonts w:hint="eastAsia" w:ascii="宋体" w:hAnsi="宋体"/>
          <w:b/>
          <w:sz w:val="24"/>
        </w:rPr>
        <w:t>二、采购资金的支付方式、时间、条件：</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1.合同签订后一周内，中标人向采购人提交合同金额5%的履约保证金，履约保证金在质保期内无质量问题和维护问题，质保期满后，于一周内退还（不计息）；</w:t>
            </w:r>
          </w:p>
          <w:p>
            <w:pPr>
              <w:spacing w:line="288" w:lineRule="auto"/>
              <w:rPr>
                <w:rFonts w:ascii="宋体" w:hAnsi="宋体"/>
                <w:spacing w:val="-6"/>
                <w:sz w:val="21"/>
                <w:szCs w:val="21"/>
              </w:rPr>
            </w:pPr>
            <w:r>
              <w:rPr>
                <w:rFonts w:hint="eastAsia" w:ascii="宋体" w:hAnsi="宋体"/>
                <w:spacing w:val="-6"/>
                <w:sz w:val="21"/>
                <w:szCs w:val="21"/>
              </w:rPr>
              <w:t>2.提交方式：支票、汇票、本票等非现金形式。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合同签订后15日内，采购人向中标人支付合同金额的50%；货物送达指定地点，经采购人验收合格后30个工作日内且中标人已提交履约保证金的，采购人向中标人支付合同金额的50%。</w:t>
            </w:r>
          </w:p>
        </w:tc>
      </w:tr>
    </w:tbl>
    <w:p>
      <w:pPr>
        <w:spacing w:line="288" w:lineRule="auto"/>
        <w:rPr>
          <w:rFonts w:ascii="宋体" w:hAnsi="宋体"/>
          <w:b/>
          <w:sz w:val="24"/>
        </w:rPr>
      </w:pPr>
    </w:p>
    <w:p>
      <w:pPr>
        <w:pStyle w:val="2"/>
        <w:spacing w:line="288" w:lineRule="auto"/>
        <w:ind w:firstLine="0"/>
      </w:pPr>
    </w:p>
    <w:p>
      <w:pPr>
        <w:spacing w:line="288"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pacing w:val="-6"/>
          <w:sz w:val="24"/>
        </w:rPr>
        <w:t>（技术要求里另有注明的以技术要求为准）</w:t>
      </w:r>
      <w:r>
        <w:rPr>
          <w:rFonts w:ascii="宋体" w:hAnsi="宋体"/>
          <w:b/>
          <w:sz w:val="24"/>
        </w:rPr>
        <w:t>：</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5"/>
        <w:gridCol w:w="7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质保期</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ascii="宋体" w:hAnsi="宋体" w:cs="宋体"/>
                <w:sz w:val="21"/>
                <w:szCs w:val="21"/>
              </w:rPr>
              <w:t>3</w:t>
            </w:r>
            <w:r>
              <w:rPr>
                <w:rFonts w:hint="eastAsia" w:ascii="宋体" w:hAnsi="宋体" w:cs="宋体"/>
                <w:sz w:val="21"/>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服务标准</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质保期内因不能排除的故障而影响工作的情况每发生一次，其质保期相应延长60天，质保期内因货物本身缺陷造成各种故障应由中标人免费予以更换，否则将扣除履约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服务效率</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合同货物出现故障后，中标人接到采购人通知应在不超过2小时内做出响应，不超过2个工作日内解决故障。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交付时间和地点</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交付时间：合同签订后30日内交付并</w:t>
            </w:r>
            <w:r>
              <w:rPr>
                <w:rFonts w:ascii="宋体" w:hAnsi="宋体"/>
                <w:spacing w:val="-6"/>
                <w:sz w:val="21"/>
                <w:szCs w:val="21"/>
              </w:rPr>
              <w:t>安装完毕。</w:t>
            </w:r>
          </w:p>
          <w:p>
            <w:pPr>
              <w:rPr>
                <w:rFonts w:ascii="宋体" w:hAnsi="宋体"/>
                <w:spacing w:val="-6"/>
                <w:sz w:val="21"/>
                <w:szCs w:val="21"/>
              </w:rPr>
            </w:pPr>
            <w:r>
              <w:rPr>
                <w:rFonts w:hint="eastAsia" w:ascii="宋体" w:hAnsi="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验收标准</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如中标人委托国内代理（或其他机构）负责安装或配合安装，应在签约时指明，但中标人仍要对合同货物及其安装质量负全部责任。</w:t>
            </w:r>
          </w:p>
          <w:p>
            <w:pPr>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其他技术、服务要求</w:t>
            </w:r>
          </w:p>
        </w:tc>
        <w:tc>
          <w:tcPr>
            <w:tcW w:w="759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培训：</w:t>
            </w:r>
          </w:p>
          <w:p>
            <w:pPr>
              <w:rPr>
                <w:rFonts w:ascii="宋体" w:hAnsi="宋体"/>
                <w:sz w:val="21"/>
                <w:szCs w:val="21"/>
              </w:rPr>
            </w:pPr>
            <w:r>
              <w:rPr>
                <w:rFonts w:hint="eastAsia" w:ascii="宋体" w:hAnsi="宋体"/>
                <w:sz w:val="21"/>
                <w:szCs w:val="21"/>
              </w:rPr>
              <w:t>1</w:t>
            </w:r>
            <w:r>
              <w:rPr>
                <w:rFonts w:ascii="宋体" w:hAnsi="宋体"/>
                <w:sz w:val="21"/>
                <w:szCs w:val="21"/>
              </w:rPr>
              <w:t xml:space="preserve">.1 </w:t>
            </w:r>
            <w:r>
              <w:rPr>
                <w:rFonts w:hint="eastAsia" w:ascii="宋体" w:hAnsi="宋体"/>
                <w:sz w:val="21"/>
                <w:szCs w:val="21"/>
              </w:rPr>
              <w:t>中标人应对采购人的操作人员、维修人员免费进行培训。</w:t>
            </w:r>
          </w:p>
          <w:p>
            <w:pPr>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中标人应提供相应的培训计划：培训3年内不少于3次，每次不少于8个小时。</w:t>
            </w:r>
          </w:p>
          <w:p>
            <w:pPr>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 xml:space="preserve"> </w:t>
            </w:r>
            <w:r>
              <w:rPr>
                <w:rFonts w:hint="eastAsia" w:ascii="宋体" w:hAnsi="宋体"/>
                <w:sz w:val="21"/>
                <w:szCs w:val="21"/>
              </w:rPr>
              <w:t>标人应对上述内容的实现方式、地点、人数、时间在投标文件中详细说明。</w:t>
            </w:r>
          </w:p>
          <w:p>
            <w:pPr>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技术支持：</w:t>
            </w:r>
          </w:p>
          <w:p>
            <w:pPr>
              <w:rPr>
                <w:rFonts w:ascii="宋体" w:hAnsi="宋体"/>
                <w:sz w:val="21"/>
                <w:szCs w:val="21"/>
              </w:rPr>
            </w:pPr>
            <w:r>
              <w:rPr>
                <w:rFonts w:hint="eastAsia" w:ascii="宋体" w:hAnsi="宋体"/>
                <w:sz w:val="21"/>
                <w:szCs w:val="21"/>
              </w:rPr>
              <w:t>中标人应及时免费提供合同货物软件的升级，免费提供合同货物新功能和应用的资料。</w:t>
            </w:r>
          </w:p>
          <w:p>
            <w:pPr>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安装调试（若需要安装调试）：</w:t>
            </w:r>
          </w:p>
          <w:p>
            <w:pPr>
              <w:rPr>
                <w:rFonts w:ascii="宋体" w:hAnsi="宋体"/>
                <w:sz w:val="21"/>
                <w:szCs w:val="21"/>
              </w:rPr>
            </w:pPr>
            <w:r>
              <w:rPr>
                <w:rFonts w:hint="eastAsia" w:ascii="宋体" w:hAnsi="宋体"/>
                <w:sz w:val="21"/>
                <w:szCs w:val="21"/>
              </w:rPr>
              <w:t>3</w:t>
            </w:r>
            <w:r>
              <w:rPr>
                <w:rFonts w:ascii="宋体" w:hAnsi="宋体"/>
                <w:sz w:val="21"/>
                <w:szCs w:val="21"/>
              </w:rPr>
              <w:t xml:space="preserve">.1 </w:t>
            </w:r>
            <w:r>
              <w:rPr>
                <w:rFonts w:hint="eastAsia" w:ascii="宋体" w:hAnsi="宋体"/>
                <w:sz w:val="21"/>
                <w:szCs w:val="21"/>
              </w:rPr>
              <w:t>安装地点：采购人指定地点。</w:t>
            </w:r>
          </w:p>
          <w:p>
            <w:pPr>
              <w:rPr>
                <w:rFonts w:ascii="宋体" w:hAnsi="宋体"/>
                <w:sz w:val="21"/>
                <w:szCs w:val="21"/>
              </w:rPr>
            </w:pPr>
            <w:r>
              <w:rPr>
                <w:rFonts w:hint="eastAsia" w:ascii="宋体" w:hAnsi="宋体"/>
                <w:sz w:val="21"/>
                <w:szCs w:val="21"/>
              </w:rPr>
              <w:t>3</w:t>
            </w:r>
            <w:r>
              <w:rPr>
                <w:rFonts w:ascii="宋体" w:hAnsi="宋体"/>
                <w:sz w:val="21"/>
                <w:szCs w:val="21"/>
              </w:rPr>
              <w:t xml:space="preserve">.2 </w:t>
            </w:r>
            <w:r>
              <w:rPr>
                <w:rFonts w:hint="eastAsia" w:ascii="宋体" w:hAnsi="宋体"/>
                <w:sz w:val="21"/>
                <w:szCs w:val="21"/>
              </w:rPr>
              <w:t>安装完成时间：接到采购人通知后在7日内完成安装和调试，如在规定的时间内由于中标人的原因不能完成安装和调试，中标人应承担由此给采购人造成的损失。</w:t>
            </w:r>
          </w:p>
          <w:p>
            <w:pPr>
              <w:rPr>
                <w:rFonts w:ascii="宋体" w:hAnsi="宋体"/>
                <w:sz w:val="21"/>
                <w:szCs w:val="21"/>
              </w:rPr>
            </w:pPr>
            <w:r>
              <w:rPr>
                <w:rFonts w:hint="eastAsia" w:ascii="宋体" w:hAnsi="宋体"/>
                <w:sz w:val="21"/>
                <w:szCs w:val="21"/>
              </w:rPr>
              <w:t>3</w:t>
            </w:r>
            <w:r>
              <w:rPr>
                <w:rFonts w:ascii="宋体" w:hAnsi="宋体"/>
                <w:sz w:val="21"/>
                <w:szCs w:val="21"/>
              </w:rPr>
              <w:t xml:space="preserve">.3 </w:t>
            </w:r>
            <w:r>
              <w:rPr>
                <w:rFonts w:hint="eastAsia" w:ascii="宋体" w:hAnsi="宋体"/>
                <w:sz w:val="21"/>
                <w:szCs w:val="21"/>
              </w:rPr>
              <w:t>安装标准：符合我国国家有关技术规范要求和技术标准，所有的软件和硬件必须保证同时安装到位。</w:t>
            </w:r>
          </w:p>
          <w:p>
            <w:pPr>
              <w:rPr>
                <w:rFonts w:ascii="宋体" w:hAnsi="宋体"/>
                <w:sz w:val="21"/>
                <w:szCs w:val="21"/>
              </w:rPr>
            </w:pPr>
            <w:r>
              <w:rPr>
                <w:rFonts w:hint="eastAsia" w:ascii="宋体" w:hAnsi="宋体"/>
                <w:sz w:val="21"/>
                <w:szCs w:val="21"/>
              </w:rPr>
              <w:t>3</w:t>
            </w:r>
            <w:r>
              <w:rPr>
                <w:rFonts w:ascii="宋体" w:hAnsi="宋体"/>
                <w:sz w:val="21"/>
                <w:szCs w:val="21"/>
              </w:rPr>
              <w:t xml:space="preserve">.4 </w:t>
            </w:r>
            <w:r>
              <w:rPr>
                <w:rFonts w:hint="eastAsia" w:ascii="宋体" w:hAnsi="宋体"/>
                <w:sz w:val="21"/>
                <w:szCs w:val="21"/>
              </w:rPr>
              <w:t>中标人免费提供合同货物的安装服务。</w:t>
            </w:r>
          </w:p>
          <w:p>
            <w:pPr>
              <w:rPr>
                <w:rFonts w:ascii="宋体" w:hAnsi="宋体"/>
                <w:sz w:val="21"/>
                <w:szCs w:val="21"/>
              </w:rPr>
            </w:pPr>
            <w:r>
              <w:rPr>
                <w:rFonts w:hint="eastAsia" w:ascii="宋体" w:hAnsi="宋体"/>
                <w:sz w:val="21"/>
                <w:szCs w:val="21"/>
              </w:rPr>
              <w:t>3</w:t>
            </w:r>
            <w:r>
              <w:rPr>
                <w:rFonts w:ascii="宋体" w:hAnsi="宋体"/>
                <w:sz w:val="21"/>
                <w:szCs w:val="21"/>
              </w:rPr>
              <w:t xml:space="preserve">.5 </w:t>
            </w:r>
            <w:r>
              <w:rPr>
                <w:rFonts w:hint="eastAsia" w:ascii="宋体" w:hAnsi="宋体"/>
                <w:sz w:val="21"/>
                <w:szCs w:val="21"/>
              </w:rPr>
              <w:t>中标人在投标文件中应提供安装调试计划、对安装场地和环境的要求。</w:t>
            </w:r>
          </w:p>
        </w:tc>
      </w:tr>
    </w:tbl>
    <w:p>
      <w:pPr>
        <w:spacing w:line="288" w:lineRule="auto"/>
        <w:rPr>
          <w:rFonts w:ascii="宋体" w:hAnsi="宋体"/>
          <w:b/>
          <w:sz w:val="24"/>
        </w:rPr>
      </w:pPr>
    </w:p>
    <w:p>
      <w:pPr>
        <w:spacing w:line="288" w:lineRule="auto"/>
        <w:rPr>
          <w:rFonts w:ascii="宋体" w:hAnsi="宋体"/>
          <w:b/>
          <w:sz w:val="24"/>
        </w:rPr>
      </w:pPr>
      <w:r>
        <w:rPr>
          <w:rFonts w:hint="eastAsia" w:ascii="宋体" w:hAnsi="宋体"/>
          <w:b/>
          <w:sz w:val="24"/>
        </w:rPr>
        <w:t>四</w:t>
      </w:r>
      <w:r>
        <w:rPr>
          <w:rFonts w:ascii="宋体" w:hAnsi="宋体"/>
          <w:b/>
          <w:sz w:val="24"/>
        </w:rPr>
        <w:t>、技术要求</w:t>
      </w:r>
    </w:p>
    <w:p>
      <w:pPr>
        <w:spacing w:line="288" w:lineRule="auto"/>
        <w:ind w:firstLine="422" w:firstLineChars="200"/>
        <w:rPr>
          <w:rFonts w:ascii="宋体" w:hAnsi="宋体"/>
          <w:bCs/>
          <w:sz w:val="21"/>
          <w:szCs w:val="21"/>
        </w:rPr>
      </w:pPr>
      <w:r>
        <w:rPr>
          <w:rFonts w:hint="eastAsia" w:ascii="宋体" w:hAnsi="宋体"/>
          <w:b/>
          <w:bCs/>
          <w:sz w:val="21"/>
          <w:szCs w:val="21"/>
        </w:rPr>
        <w:t>1</w:t>
      </w:r>
      <w:r>
        <w:rPr>
          <w:rFonts w:ascii="宋体" w:hAnsi="宋体"/>
          <w:b/>
          <w:bCs/>
          <w:sz w:val="21"/>
          <w:szCs w:val="21"/>
        </w:rPr>
        <w:t>.</w:t>
      </w:r>
      <w:r>
        <w:rPr>
          <w:rFonts w:hint="eastAsia" w:ascii="宋体" w:hAnsi="宋体"/>
          <w:b/>
          <w:bCs/>
          <w:sz w:val="21"/>
          <w:szCs w:val="21"/>
        </w:rPr>
        <w:t>需实现的功能或者目标：</w:t>
      </w:r>
    </w:p>
    <w:p>
      <w:pPr>
        <w:pStyle w:val="2"/>
        <w:spacing w:line="288" w:lineRule="auto"/>
        <w:ind w:firstLine="404" w:firstLineChars="200"/>
        <w:rPr>
          <w:sz w:val="21"/>
          <w:lang w:val="en-US"/>
        </w:rPr>
      </w:pPr>
      <w:r>
        <w:rPr>
          <w:rFonts w:hint="eastAsia"/>
          <w:sz w:val="21"/>
          <w:lang w:val="en-US"/>
        </w:rPr>
        <w:t>本次初步改造的教室为16间中小型教室和1间大型阶梯教室，原有多媒体教学设备采用投影和PC机等传统设备，设备均超期运行，在亮度、噪声、能耗、维修等各方面已经严重影响到了教学的正常进行，亟需进行改造。</w:t>
      </w:r>
    </w:p>
    <w:p>
      <w:pPr>
        <w:pStyle w:val="2"/>
        <w:spacing w:line="288" w:lineRule="auto"/>
        <w:ind w:firstLine="404" w:firstLineChars="200"/>
        <w:rPr>
          <w:sz w:val="21"/>
          <w:lang w:val="en-US"/>
        </w:rPr>
      </w:pPr>
      <w:r>
        <w:rPr>
          <w:rFonts w:hint="eastAsia"/>
          <w:sz w:val="21"/>
          <w:lang w:val="en-US"/>
        </w:rPr>
        <w:t>本次项目在高校信息化相关政策指导下，以现代教育信息技术的发展方向为指引，经过的市场调研和产品调测，紧扣学校教学特点和专业发展的应用需求，从创新性、实用性、可靠性和扩展性等各个方面进行了充分的技术验证和方案论证，主要实现以下两个方面建设目标：</w:t>
      </w:r>
    </w:p>
    <w:p>
      <w:pPr>
        <w:pStyle w:val="2"/>
        <w:spacing w:line="288" w:lineRule="auto"/>
        <w:ind w:firstLine="406" w:firstLineChars="200"/>
        <w:rPr>
          <w:b/>
          <w:sz w:val="21"/>
          <w:lang w:val="en-US"/>
        </w:rPr>
      </w:pPr>
      <w:r>
        <w:rPr>
          <w:rFonts w:hint="eastAsia"/>
          <w:b/>
          <w:sz w:val="21"/>
          <w:lang w:val="en-US"/>
        </w:rPr>
        <w:t>1.1教学展示部分建设目标： 引进高度集成的屏幕和书写展示一体化黑板。</w:t>
      </w:r>
    </w:p>
    <w:p>
      <w:pPr>
        <w:pStyle w:val="2"/>
        <w:spacing w:line="288" w:lineRule="auto"/>
        <w:ind w:firstLine="0"/>
        <w:jc w:val="center"/>
        <w:rPr>
          <w:rFonts w:hAnsi="宋体" w:cs="宋体"/>
          <w:lang w:val="en-US"/>
        </w:rPr>
      </w:pPr>
      <w:r>
        <w:rPr>
          <w:rFonts w:hAnsi="宋体" w:cs="宋体"/>
          <w:lang w:val="en-US"/>
        </w:rPr>
        <w:drawing>
          <wp:inline distT="0" distB="0" distL="0" distR="0">
            <wp:extent cx="3495675" cy="1914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95675" cy="1914525"/>
                    </a:xfrm>
                    <a:prstGeom prst="rect">
                      <a:avLst/>
                    </a:prstGeom>
                    <a:noFill/>
                    <a:ln>
                      <a:noFill/>
                    </a:ln>
                  </pic:spPr>
                </pic:pic>
              </a:graphicData>
            </a:graphic>
          </wp:inline>
        </w:drawing>
      </w:r>
    </w:p>
    <w:p>
      <w:pPr>
        <w:pStyle w:val="2"/>
        <w:spacing w:line="288" w:lineRule="auto"/>
        <w:ind w:firstLine="404" w:firstLineChars="200"/>
        <w:rPr>
          <w:sz w:val="21"/>
          <w:lang w:val="en-US"/>
        </w:rPr>
      </w:pPr>
      <w:r>
        <w:rPr>
          <w:rFonts w:hint="eastAsia"/>
          <w:sz w:val="21"/>
          <w:lang w:val="en-US"/>
        </w:rPr>
        <w:t>黑板也被称作纳米触控黑板，采用的是改良型电容触控原理，由于靠内部的纳米触控膜来实现触控感知的，不像红外屏一样需要边框的发射/接收线来感知定位，因此可以做到拟态纯平，看上去跟普通黑板无差别；更重要的是，它保留了黑板原始的基本的粉笔书写功能，老师无须改变板书教学模式。</w:t>
      </w:r>
    </w:p>
    <w:p>
      <w:pPr>
        <w:pStyle w:val="2"/>
        <w:spacing w:line="288" w:lineRule="auto"/>
        <w:ind w:firstLine="404" w:firstLineChars="200"/>
        <w:rPr>
          <w:sz w:val="21"/>
          <w:lang w:val="en-US"/>
        </w:rPr>
      </w:pPr>
      <w:r>
        <w:rPr>
          <w:rFonts w:hint="eastAsia"/>
          <w:sz w:val="21"/>
          <w:lang w:val="en-US"/>
        </w:rPr>
        <w:t>通过黑板的引入，教学工作还会在以下几个方面得到有效提升：</w:t>
      </w:r>
    </w:p>
    <w:p>
      <w:pPr>
        <w:pStyle w:val="2"/>
        <w:spacing w:line="288" w:lineRule="auto"/>
        <w:ind w:firstLine="404" w:firstLineChars="200"/>
        <w:rPr>
          <w:sz w:val="21"/>
          <w:lang w:val="en-US"/>
        </w:rPr>
      </w:pPr>
      <w:r>
        <w:rPr>
          <w:rFonts w:hint="eastAsia"/>
          <w:sz w:val="21"/>
          <w:lang w:val="en-US"/>
        </w:rPr>
        <w:t>（1）屏幕显示的成像清晰度大幅提升。跟传统的投影电子白板(或幕布)相比是质的飞跃，1080P高清显示技术保障了画面的清晰度，色彩饱满生动；</w:t>
      </w:r>
    </w:p>
    <w:p>
      <w:pPr>
        <w:pStyle w:val="2"/>
        <w:spacing w:line="288" w:lineRule="auto"/>
        <w:ind w:firstLine="404" w:firstLineChars="200"/>
        <w:rPr>
          <w:sz w:val="21"/>
          <w:lang w:val="en-US"/>
        </w:rPr>
      </w:pPr>
      <w:r>
        <w:rPr>
          <w:rFonts w:hint="eastAsia"/>
          <w:sz w:val="21"/>
          <w:lang w:val="en-US"/>
        </w:rPr>
        <w:t>（2）学生视力保护方面大幅提升。纳米触控黑板表面添加纳米涂层，能过滤掉70—80%的有害光（蓝光），有效保护使用者视力。</w:t>
      </w:r>
    </w:p>
    <w:p>
      <w:pPr>
        <w:pStyle w:val="2"/>
        <w:spacing w:line="288" w:lineRule="auto"/>
        <w:ind w:firstLine="404" w:firstLineChars="200"/>
        <w:rPr>
          <w:sz w:val="21"/>
          <w:lang w:val="en-US"/>
        </w:rPr>
      </w:pPr>
      <w:r>
        <w:rPr>
          <w:rFonts w:hint="eastAsia"/>
          <w:sz w:val="21"/>
          <w:lang w:val="en-US"/>
        </w:rPr>
        <w:t>（3）产品寿命大幅提升。在实际应用中，纳米触控黑板的使用寿命在50000小时以上，而教学一体机的使用寿命在15000小时左右，投影机则更短，而且需要经常进行灯泡维护。纳米触控黑板在使用寿命、应用环境等附加性因素方面具备较大优势。</w:t>
      </w:r>
    </w:p>
    <w:p>
      <w:pPr>
        <w:pStyle w:val="2"/>
        <w:spacing w:line="288" w:lineRule="auto"/>
        <w:ind w:firstLine="404" w:firstLineChars="200"/>
        <w:rPr>
          <w:sz w:val="21"/>
          <w:lang w:val="en-US"/>
        </w:rPr>
      </w:pPr>
      <w:r>
        <w:rPr>
          <w:rFonts w:hint="eastAsia"/>
          <w:sz w:val="21"/>
          <w:lang w:val="en-US"/>
        </w:rPr>
        <w:t>（4）产品可靠性和对环境的适应性有大幅提升。纳米触控黑板的核心部件密封在表面钢化玻璃下方，表面遇到灰尘、积水都不会影响触控互动，莫氏7级硬度抗外力击打。</w:t>
      </w:r>
    </w:p>
    <w:p>
      <w:pPr>
        <w:pStyle w:val="2"/>
        <w:spacing w:line="288" w:lineRule="auto"/>
        <w:ind w:firstLine="404" w:firstLineChars="200"/>
        <w:rPr>
          <w:sz w:val="21"/>
          <w:lang w:val="en-US"/>
        </w:rPr>
      </w:pPr>
      <w:r>
        <w:rPr>
          <w:rFonts w:hint="eastAsia"/>
          <w:sz w:val="21"/>
          <w:lang w:val="en-US"/>
        </w:rPr>
        <w:t>（5）产品维护和升级能力有大幅提升。纳米触控黑板PC端采用模块化OPS设计，采用插接式主机，维护和升级相对容易。</w:t>
      </w:r>
    </w:p>
    <w:p>
      <w:pPr>
        <w:pStyle w:val="2"/>
        <w:spacing w:line="288" w:lineRule="auto"/>
        <w:ind w:firstLine="404" w:firstLineChars="200"/>
        <w:rPr>
          <w:sz w:val="21"/>
          <w:lang w:val="en-US"/>
        </w:rPr>
      </w:pPr>
      <w:r>
        <w:rPr>
          <w:rFonts w:hint="eastAsia"/>
          <w:sz w:val="21"/>
          <w:lang w:val="en-US"/>
        </w:rPr>
        <w:t>（6）教室整体观感有大幅提升。纳米触控黑板安装在教室前墙壁上，整体性强，且非常美观，能充分激发和调动使用者的积极性，给使用者带来愉悦的教学心情。</w:t>
      </w:r>
    </w:p>
    <w:p>
      <w:pPr>
        <w:pStyle w:val="2"/>
        <w:spacing w:line="288" w:lineRule="auto"/>
        <w:ind w:firstLine="0"/>
        <w:rPr>
          <w:sz w:val="21"/>
          <w:lang w:val="en-US"/>
        </w:rPr>
      </w:pPr>
    </w:p>
    <w:p>
      <w:pPr>
        <w:pStyle w:val="2"/>
        <w:spacing w:line="288" w:lineRule="auto"/>
        <w:ind w:firstLine="406" w:firstLineChars="200"/>
        <w:rPr>
          <w:b/>
          <w:sz w:val="21"/>
          <w:lang w:val="en-US"/>
        </w:rPr>
      </w:pPr>
      <w:r>
        <w:rPr>
          <w:rFonts w:hint="eastAsia"/>
          <w:b/>
          <w:sz w:val="21"/>
          <w:lang w:val="en-US"/>
        </w:rPr>
        <w:t>1.2智慧教室设备管控部分建设目标：构建一个超融合的智慧教室设备管控系统。</w:t>
      </w:r>
    </w:p>
    <w:p>
      <w:pPr>
        <w:pStyle w:val="2"/>
        <w:spacing w:line="288" w:lineRule="auto"/>
        <w:ind w:firstLine="404" w:firstLineChars="200"/>
        <w:rPr>
          <w:sz w:val="21"/>
          <w:lang w:val="en-US"/>
        </w:rPr>
      </w:pPr>
      <w:r>
        <w:rPr>
          <w:rFonts w:hint="eastAsia"/>
          <w:sz w:val="21"/>
          <w:lang w:val="en-US"/>
        </w:rPr>
        <w:t>通过技术手段将闭路电视、校园广播、多媒体集控、视频广播、物联管理、IP对讲、DSP扩音7大业务子系统融合在一起，通过一套软件、一个高度集成的硬件、一根网线帮学校构建一个超融合的基础应用平台，真正的实现一网多用，多网融合。</w:t>
      </w:r>
    </w:p>
    <w:p>
      <w:pPr>
        <w:pStyle w:val="2"/>
        <w:spacing w:line="288" w:lineRule="auto"/>
        <w:ind w:firstLine="344" w:firstLineChars="200"/>
        <w:jc w:val="center"/>
        <w:rPr>
          <w:sz w:val="21"/>
          <w:lang w:val="en-US"/>
        </w:rPr>
      </w:pPr>
      <w:r>
        <w:rPr>
          <w:rFonts w:hint="eastAsia" w:asciiTheme="minorEastAsia" w:hAnsiTheme="minorEastAsia" w:eastAsiaTheme="minorEastAsia" w:cstheme="minorEastAsia"/>
          <w:lang w:val="en-US"/>
        </w:rPr>
        <w:drawing>
          <wp:inline distT="0" distB="0" distL="114300" distR="114300">
            <wp:extent cx="5763260" cy="3048000"/>
            <wp:effectExtent l="0" t="0" r="8890" b="0"/>
            <wp:docPr id="5" name="图片 5" descr="超融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超融合"/>
                    <pic:cNvPicPr>
                      <a:picLocks noChangeAspect="1"/>
                    </pic:cNvPicPr>
                  </pic:nvPicPr>
                  <pic:blipFill>
                    <a:blip r:embed="rId7"/>
                    <a:stretch>
                      <a:fillRect/>
                    </a:stretch>
                  </pic:blipFill>
                  <pic:spPr>
                    <a:xfrm>
                      <a:off x="0" y="0"/>
                      <a:ext cx="5766131" cy="3049470"/>
                    </a:xfrm>
                    <a:prstGeom prst="rect">
                      <a:avLst/>
                    </a:prstGeom>
                  </pic:spPr>
                </pic:pic>
              </a:graphicData>
            </a:graphic>
          </wp:inline>
        </w:drawing>
      </w:r>
    </w:p>
    <w:p>
      <w:pPr>
        <w:pStyle w:val="2"/>
        <w:spacing w:line="288" w:lineRule="auto"/>
        <w:ind w:firstLine="404" w:firstLineChars="200"/>
        <w:jc w:val="center"/>
        <w:rPr>
          <w:sz w:val="21"/>
          <w:lang w:val="en-US"/>
        </w:rPr>
      </w:pPr>
      <w:r>
        <w:rPr>
          <w:rFonts w:hint="eastAsia"/>
          <w:sz w:val="21"/>
          <w:lang w:val="en-US"/>
        </w:rPr>
        <w:t>传统系统 VS超融合系统</w:t>
      </w:r>
    </w:p>
    <w:p>
      <w:pPr>
        <w:pStyle w:val="2"/>
        <w:spacing w:line="288" w:lineRule="auto"/>
        <w:ind w:firstLine="404" w:firstLineChars="200"/>
        <w:rPr>
          <w:sz w:val="21"/>
          <w:lang w:val="en-US"/>
        </w:rPr>
      </w:pPr>
    </w:p>
    <w:p>
      <w:pPr>
        <w:pStyle w:val="2"/>
        <w:spacing w:line="288" w:lineRule="auto"/>
        <w:ind w:firstLine="406" w:firstLineChars="200"/>
        <w:rPr>
          <w:b/>
          <w:sz w:val="21"/>
          <w:lang w:val="en-US"/>
        </w:rPr>
      </w:pPr>
      <w:r>
        <w:rPr>
          <w:rFonts w:hint="eastAsia"/>
          <w:b/>
          <w:sz w:val="21"/>
          <w:lang w:val="en-US"/>
        </w:rPr>
        <w:t>1.3系统整体功能要求实现：</w:t>
      </w:r>
    </w:p>
    <w:p>
      <w:pPr>
        <w:pStyle w:val="2"/>
        <w:spacing w:line="288" w:lineRule="auto"/>
        <w:ind w:firstLine="404" w:firstLineChars="200"/>
        <w:rPr>
          <w:sz w:val="21"/>
          <w:lang w:val="en-US"/>
        </w:rPr>
      </w:pPr>
      <w:r>
        <w:rPr>
          <w:rFonts w:hint="eastAsia"/>
          <w:sz w:val="21"/>
          <w:lang w:val="en-US"/>
        </w:rPr>
        <w:t>1.3.1电教设备集控系统</w:t>
      </w:r>
    </w:p>
    <w:p>
      <w:pPr>
        <w:pStyle w:val="2"/>
        <w:spacing w:line="288" w:lineRule="auto"/>
        <w:ind w:firstLine="404" w:firstLineChars="200"/>
        <w:rPr>
          <w:sz w:val="21"/>
          <w:lang w:val="en-US"/>
        </w:rPr>
      </w:pPr>
      <w:r>
        <w:rPr>
          <w:sz w:val="21"/>
          <w:lang w:val="en-US"/>
        </w:rPr>
        <w:t>（1）</w:t>
      </w:r>
      <w:r>
        <w:rPr>
          <w:rFonts w:hint="eastAsia"/>
          <w:sz w:val="21"/>
          <w:lang w:val="en-US"/>
        </w:rPr>
        <w:t>可对教室内的电教设备（电脑、投影仪、大屏一体机等）进行智能管理；</w:t>
      </w:r>
    </w:p>
    <w:p>
      <w:pPr>
        <w:pStyle w:val="2"/>
        <w:spacing w:line="288" w:lineRule="auto"/>
        <w:ind w:firstLine="404" w:firstLineChars="200"/>
        <w:rPr>
          <w:sz w:val="21"/>
          <w:lang w:val="en-US"/>
        </w:rPr>
      </w:pPr>
      <w:r>
        <w:rPr>
          <w:sz w:val="21"/>
          <w:lang w:val="en-US"/>
        </w:rPr>
        <w:t>（2）</w:t>
      </w:r>
      <w:r>
        <w:rPr>
          <w:rFonts w:hint="eastAsia"/>
          <w:sz w:val="21"/>
          <w:lang w:val="en-US"/>
        </w:rPr>
        <w:t>可对教室内的用电设备（灯光、空调、电动窗帘等）进行物联管理；</w:t>
      </w:r>
    </w:p>
    <w:p>
      <w:pPr>
        <w:pStyle w:val="2"/>
        <w:spacing w:line="288" w:lineRule="auto"/>
        <w:ind w:firstLine="404" w:firstLineChars="200"/>
        <w:rPr>
          <w:sz w:val="21"/>
          <w:lang w:val="en-US"/>
        </w:rPr>
      </w:pPr>
      <w:r>
        <w:rPr>
          <w:sz w:val="21"/>
          <w:lang w:val="en-US"/>
        </w:rPr>
        <w:t>（3）</w:t>
      </w:r>
      <w:r>
        <w:rPr>
          <w:rFonts w:hint="eastAsia"/>
          <w:sz w:val="21"/>
          <w:lang w:val="en-US"/>
        </w:rPr>
        <w:t>实现多媒体教室内的本地</w:t>
      </w:r>
      <w:r>
        <w:rPr>
          <w:sz w:val="21"/>
          <w:lang w:val="en-US"/>
        </w:rPr>
        <w:t>/</w:t>
      </w:r>
      <w:r>
        <w:rPr>
          <w:rFonts w:hint="eastAsia"/>
          <w:sz w:val="21"/>
          <w:lang w:val="en-US"/>
        </w:rPr>
        <w:t>无线扩音；</w:t>
      </w:r>
    </w:p>
    <w:p>
      <w:pPr>
        <w:pStyle w:val="2"/>
        <w:spacing w:line="288" w:lineRule="auto"/>
        <w:ind w:firstLine="404" w:firstLineChars="200"/>
        <w:rPr>
          <w:sz w:val="21"/>
          <w:lang w:val="en-US"/>
        </w:rPr>
      </w:pPr>
      <w:r>
        <w:rPr>
          <w:sz w:val="21"/>
          <w:lang w:val="en-US"/>
        </w:rPr>
        <w:t>（4）</w:t>
      </w:r>
      <w:r>
        <w:rPr>
          <w:rFonts w:hint="eastAsia"/>
          <w:sz w:val="21"/>
          <w:lang w:val="en-US"/>
        </w:rPr>
        <w:t>通过</w:t>
      </w:r>
      <w:r>
        <w:rPr>
          <w:sz w:val="21"/>
          <w:lang w:val="en-US"/>
        </w:rPr>
        <w:t>TCP/IP</w:t>
      </w:r>
      <w:r>
        <w:rPr>
          <w:rFonts w:hint="eastAsia"/>
          <w:sz w:val="21"/>
          <w:lang w:val="en-US"/>
        </w:rPr>
        <w:t>网络实现教室设备的策略管理、监控、启用、禁用等功能；</w:t>
      </w:r>
    </w:p>
    <w:p>
      <w:pPr>
        <w:pStyle w:val="2"/>
        <w:spacing w:line="288" w:lineRule="auto"/>
        <w:ind w:firstLine="404" w:firstLineChars="200"/>
        <w:rPr>
          <w:sz w:val="21"/>
          <w:lang w:val="en-US"/>
        </w:rPr>
      </w:pPr>
      <w:r>
        <w:rPr>
          <w:sz w:val="21"/>
          <w:lang w:val="en-US"/>
        </w:rPr>
        <w:t>（5）</w:t>
      </w:r>
      <w:r>
        <w:rPr>
          <w:rFonts w:hint="eastAsia"/>
          <w:sz w:val="21"/>
          <w:lang w:val="en-US"/>
        </w:rPr>
        <w:t>系统服务器集成</w:t>
      </w:r>
      <w:r>
        <w:rPr>
          <w:sz w:val="21"/>
          <w:lang w:val="en-US"/>
        </w:rPr>
        <w:t>SQL</w:t>
      </w:r>
      <w:r>
        <w:rPr>
          <w:rFonts w:hint="eastAsia"/>
          <w:sz w:val="21"/>
          <w:lang w:val="en-US"/>
        </w:rPr>
        <w:t>数据库，可记录并统计终端的使用日志、事件等。</w:t>
      </w:r>
    </w:p>
    <w:p>
      <w:pPr>
        <w:pStyle w:val="2"/>
        <w:spacing w:line="288" w:lineRule="auto"/>
        <w:ind w:firstLine="404" w:firstLineChars="200"/>
        <w:rPr>
          <w:sz w:val="21"/>
          <w:lang w:val="en-US"/>
        </w:rPr>
      </w:pPr>
      <w:r>
        <w:rPr>
          <w:rFonts w:hint="eastAsia"/>
          <w:sz w:val="21"/>
          <w:lang w:val="en-US"/>
        </w:rPr>
        <w:t>1.3.2智能运维控制系统</w:t>
      </w:r>
    </w:p>
    <w:p>
      <w:pPr>
        <w:pStyle w:val="2"/>
        <w:spacing w:line="288" w:lineRule="auto"/>
        <w:ind w:firstLine="404" w:firstLineChars="200"/>
        <w:rPr>
          <w:sz w:val="21"/>
          <w:lang w:val="en-US"/>
        </w:rPr>
      </w:pPr>
      <w:r>
        <w:rPr>
          <w:rFonts w:hint="eastAsia"/>
          <w:sz w:val="21"/>
          <w:lang w:val="en-US"/>
        </w:rPr>
        <w:t>（1）通过</w:t>
      </w:r>
      <w:r>
        <w:rPr>
          <w:sz w:val="21"/>
          <w:lang w:val="en-US"/>
        </w:rPr>
        <w:t>TCP/IP</w:t>
      </w:r>
      <w:r>
        <w:rPr>
          <w:rFonts w:hint="eastAsia"/>
          <w:sz w:val="21"/>
          <w:lang w:val="en-US"/>
        </w:rPr>
        <w:t>网络实现校园运维管理和控制；</w:t>
      </w:r>
    </w:p>
    <w:p>
      <w:pPr>
        <w:pStyle w:val="2"/>
        <w:spacing w:line="288" w:lineRule="auto"/>
        <w:ind w:firstLine="404" w:firstLineChars="200"/>
        <w:rPr>
          <w:sz w:val="21"/>
          <w:lang w:val="en-US"/>
        </w:rPr>
      </w:pPr>
      <w:r>
        <w:rPr>
          <w:sz w:val="21"/>
          <w:lang w:val="en-US"/>
        </w:rPr>
        <w:t>（2）</w:t>
      </w:r>
      <w:r>
        <w:rPr>
          <w:rFonts w:hint="eastAsia"/>
          <w:sz w:val="21"/>
          <w:lang w:val="en-US"/>
        </w:rPr>
        <w:t>可与校园监控系统融合，并实时调取监控画面，后期可拓展实现微信小程序实时在线巡课功能；</w:t>
      </w:r>
    </w:p>
    <w:p>
      <w:pPr>
        <w:pStyle w:val="2"/>
        <w:spacing w:line="288" w:lineRule="auto"/>
        <w:ind w:firstLine="404" w:firstLineChars="200"/>
        <w:rPr>
          <w:sz w:val="21"/>
          <w:lang w:val="en-US"/>
        </w:rPr>
      </w:pPr>
      <w:r>
        <w:rPr>
          <w:sz w:val="21"/>
          <w:lang w:val="en-US"/>
        </w:rPr>
        <w:t>（3）</w:t>
      </w:r>
      <w:r>
        <w:rPr>
          <w:rFonts w:hint="eastAsia"/>
          <w:sz w:val="21"/>
          <w:lang w:val="en-US"/>
        </w:rPr>
        <w:t>控制面板集成音频解码模块，配合软件可直接远程</w:t>
      </w:r>
      <w:r>
        <w:rPr>
          <w:sz w:val="21"/>
          <w:lang w:val="en-US"/>
        </w:rPr>
        <w:t>IP</w:t>
      </w:r>
      <w:r>
        <w:rPr>
          <w:rFonts w:hint="eastAsia"/>
          <w:sz w:val="21"/>
          <w:lang w:val="en-US"/>
        </w:rPr>
        <w:t>呼叫及对讲；</w:t>
      </w:r>
    </w:p>
    <w:p>
      <w:pPr>
        <w:pStyle w:val="2"/>
        <w:spacing w:line="288" w:lineRule="auto"/>
        <w:ind w:firstLine="404" w:firstLineChars="200"/>
        <w:rPr>
          <w:sz w:val="21"/>
          <w:lang w:val="en-US"/>
        </w:rPr>
      </w:pPr>
      <w:r>
        <w:rPr>
          <w:sz w:val="21"/>
          <w:lang w:val="en-US"/>
        </w:rPr>
        <w:t>（4）</w:t>
      </w:r>
      <w:r>
        <w:rPr>
          <w:rFonts w:hint="eastAsia"/>
          <w:sz w:val="21"/>
          <w:lang w:val="en-US"/>
        </w:rPr>
        <w:t>具备分级权限设定，可对指定设备授权；</w:t>
      </w:r>
    </w:p>
    <w:p>
      <w:pPr>
        <w:pStyle w:val="2"/>
        <w:spacing w:line="288" w:lineRule="auto"/>
        <w:ind w:firstLine="404" w:firstLineChars="200"/>
        <w:rPr>
          <w:sz w:val="21"/>
          <w:lang w:val="en-US"/>
        </w:rPr>
      </w:pPr>
      <w:r>
        <w:rPr>
          <w:sz w:val="21"/>
          <w:lang w:val="en-US"/>
        </w:rPr>
        <w:t>（5）</w:t>
      </w:r>
      <w:r>
        <w:rPr>
          <w:rFonts w:hint="eastAsia"/>
          <w:sz w:val="21"/>
          <w:lang w:val="en-US"/>
        </w:rPr>
        <w:t>集成物联协议，可接入同品牌无线麦克风；</w:t>
      </w:r>
    </w:p>
    <w:p>
      <w:pPr>
        <w:pStyle w:val="2"/>
        <w:spacing w:line="288" w:lineRule="auto"/>
        <w:ind w:firstLine="404" w:firstLineChars="200"/>
        <w:rPr>
          <w:sz w:val="21"/>
          <w:lang w:val="en-US"/>
        </w:rPr>
      </w:pPr>
      <w:r>
        <w:rPr>
          <w:sz w:val="21"/>
          <w:lang w:val="en-US"/>
        </w:rPr>
        <w:t>（6）</w:t>
      </w:r>
      <w:r>
        <w:rPr>
          <w:rFonts w:hint="eastAsia"/>
          <w:sz w:val="21"/>
          <w:lang w:val="en-US"/>
        </w:rPr>
        <w:t>集成</w:t>
      </w:r>
      <w:r>
        <w:rPr>
          <w:sz w:val="21"/>
          <w:lang w:val="en-US"/>
        </w:rPr>
        <w:t>IC</w:t>
      </w:r>
      <w:r>
        <w:rPr>
          <w:rFonts w:hint="eastAsia"/>
          <w:sz w:val="21"/>
          <w:lang w:val="en-US"/>
        </w:rPr>
        <w:t>卡读卡器，支持插卡与刷卡两种开机模式。</w:t>
      </w:r>
    </w:p>
    <w:p>
      <w:pPr>
        <w:pStyle w:val="2"/>
        <w:spacing w:line="288" w:lineRule="auto"/>
        <w:ind w:firstLine="404" w:firstLineChars="200"/>
        <w:rPr>
          <w:sz w:val="21"/>
          <w:lang w:val="en-US"/>
        </w:rPr>
      </w:pPr>
      <w:r>
        <w:rPr>
          <w:rFonts w:hint="eastAsia"/>
          <w:sz w:val="21"/>
          <w:lang w:val="en-US"/>
        </w:rPr>
        <w:t>1.3.3智能物联管理系统</w:t>
      </w:r>
    </w:p>
    <w:p>
      <w:pPr>
        <w:pStyle w:val="2"/>
        <w:spacing w:line="288" w:lineRule="auto"/>
        <w:ind w:firstLine="404" w:firstLineChars="200"/>
        <w:rPr>
          <w:sz w:val="21"/>
          <w:lang w:val="en-US"/>
        </w:rPr>
      </w:pPr>
      <w:r>
        <w:rPr>
          <w:sz w:val="21"/>
          <w:lang w:val="en-US"/>
        </w:rPr>
        <w:t>（1）</w:t>
      </w:r>
      <w:r>
        <w:rPr>
          <w:rFonts w:hint="eastAsia"/>
          <w:sz w:val="21"/>
          <w:lang w:val="en-US"/>
        </w:rPr>
        <w:t>采用</w:t>
      </w:r>
      <w:r>
        <w:rPr>
          <w:sz w:val="21"/>
          <w:lang w:val="en-US"/>
        </w:rPr>
        <w:t>2.4G</w:t>
      </w:r>
      <w:r>
        <w:rPr>
          <w:rFonts w:hint="eastAsia"/>
          <w:sz w:val="21"/>
          <w:lang w:val="en-US"/>
        </w:rPr>
        <w:t>无线信号传输及动态接入方式；</w:t>
      </w:r>
    </w:p>
    <w:p>
      <w:pPr>
        <w:pStyle w:val="2"/>
        <w:spacing w:line="288" w:lineRule="auto"/>
        <w:ind w:firstLine="404" w:firstLineChars="200"/>
        <w:rPr>
          <w:sz w:val="21"/>
          <w:lang w:val="en-US"/>
        </w:rPr>
      </w:pPr>
      <w:r>
        <w:rPr>
          <w:sz w:val="21"/>
          <w:lang w:val="en-US"/>
        </w:rPr>
        <w:t>（2）</w:t>
      </w:r>
      <w:r>
        <w:rPr>
          <w:rFonts w:hint="eastAsia"/>
          <w:sz w:val="21"/>
          <w:lang w:val="en-US"/>
        </w:rPr>
        <w:t>具备远程控制教室空调的开关机及运行模式；</w:t>
      </w:r>
    </w:p>
    <w:p>
      <w:pPr>
        <w:pStyle w:val="2"/>
        <w:spacing w:line="288" w:lineRule="auto"/>
        <w:ind w:firstLine="404" w:firstLineChars="200"/>
        <w:rPr>
          <w:sz w:val="21"/>
          <w:lang w:val="en-US"/>
        </w:rPr>
      </w:pPr>
      <w:r>
        <w:rPr>
          <w:sz w:val="21"/>
          <w:lang w:val="en-US"/>
        </w:rPr>
        <w:t>（3）</w:t>
      </w:r>
      <w:r>
        <w:rPr>
          <w:rFonts w:hint="eastAsia"/>
          <w:sz w:val="21"/>
          <w:lang w:val="en-US"/>
        </w:rPr>
        <w:t>可对教室灯光及电动窗帘进行本地或远程控制；</w:t>
      </w:r>
    </w:p>
    <w:p>
      <w:pPr>
        <w:pStyle w:val="2"/>
        <w:spacing w:line="288" w:lineRule="auto"/>
        <w:ind w:firstLine="404" w:firstLineChars="200"/>
        <w:rPr>
          <w:sz w:val="21"/>
          <w:lang w:val="en-US"/>
        </w:rPr>
      </w:pPr>
      <w:r>
        <w:rPr>
          <w:sz w:val="21"/>
          <w:lang w:val="en-US"/>
        </w:rPr>
        <w:t>（4）</w:t>
      </w:r>
      <w:r>
        <w:rPr>
          <w:rFonts w:hint="eastAsia"/>
          <w:sz w:val="21"/>
          <w:lang w:val="en-US"/>
        </w:rPr>
        <w:t>可统计设备运行时长及功率能耗；</w:t>
      </w:r>
    </w:p>
    <w:p>
      <w:pPr>
        <w:pStyle w:val="2"/>
        <w:spacing w:line="288" w:lineRule="auto"/>
        <w:ind w:firstLine="404" w:firstLineChars="200"/>
        <w:rPr>
          <w:sz w:val="21"/>
          <w:lang w:val="en-US"/>
        </w:rPr>
      </w:pPr>
      <w:r>
        <w:rPr>
          <w:sz w:val="21"/>
          <w:lang w:val="en-US"/>
        </w:rPr>
        <w:t>（5）</w:t>
      </w:r>
      <w:r>
        <w:rPr>
          <w:rFonts w:hint="eastAsia"/>
          <w:sz w:val="21"/>
          <w:lang w:val="en-US"/>
        </w:rPr>
        <w:t>支持手机微信小程序对设备运行状态查看或控制。</w:t>
      </w:r>
    </w:p>
    <w:p>
      <w:pPr>
        <w:pStyle w:val="2"/>
        <w:spacing w:line="288" w:lineRule="auto"/>
        <w:ind w:firstLine="404" w:firstLineChars="200"/>
        <w:rPr>
          <w:sz w:val="21"/>
          <w:lang w:val="en-US"/>
        </w:rPr>
      </w:pPr>
      <w:r>
        <w:rPr>
          <w:rFonts w:hint="eastAsia"/>
          <w:sz w:val="21"/>
          <w:lang w:val="en-US"/>
        </w:rPr>
        <w:t>1.3.4校园数字广播系统</w:t>
      </w:r>
    </w:p>
    <w:p>
      <w:pPr>
        <w:pStyle w:val="2"/>
        <w:spacing w:line="288" w:lineRule="auto"/>
        <w:ind w:firstLine="404" w:firstLineChars="200"/>
        <w:rPr>
          <w:sz w:val="21"/>
          <w:lang w:val="en-US"/>
        </w:rPr>
      </w:pPr>
      <w:r>
        <w:rPr>
          <w:sz w:val="21"/>
          <w:lang w:val="en-US"/>
        </w:rPr>
        <w:t>（1）</w:t>
      </w:r>
      <w:r>
        <w:rPr>
          <w:rFonts w:hint="eastAsia"/>
          <w:sz w:val="21"/>
          <w:lang w:val="en-US"/>
        </w:rPr>
        <w:t>定时打铃：预编排日程表，</w:t>
      </w:r>
      <w:r>
        <w:rPr>
          <w:sz w:val="21"/>
          <w:lang w:val="en-US"/>
        </w:rPr>
        <w:t>24</w:t>
      </w:r>
      <w:r>
        <w:rPr>
          <w:rFonts w:hint="eastAsia"/>
          <w:sz w:val="21"/>
          <w:lang w:val="en-US"/>
        </w:rPr>
        <w:t>小时无人值守；</w:t>
      </w:r>
    </w:p>
    <w:p>
      <w:pPr>
        <w:pStyle w:val="2"/>
        <w:spacing w:line="288" w:lineRule="auto"/>
        <w:ind w:firstLine="404" w:firstLineChars="200"/>
        <w:rPr>
          <w:sz w:val="21"/>
          <w:lang w:val="en-US"/>
        </w:rPr>
      </w:pPr>
      <w:r>
        <w:rPr>
          <w:sz w:val="21"/>
          <w:lang w:val="en-US"/>
        </w:rPr>
        <w:t>（2）</w:t>
      </w:r>
      <w:r>
        <w:rPr>
          <w:rFonts w:hint="eastAsia"/>
          <w:sz w:val="21"/>
          <w:lang w:val="en-US"/>
        </w:rPr>
        <w:t>日常广播：背景音乐，播送通知，转播电台；</w:t>
      </w:r>
    </w:p>
    <w:p>
      <w:pPr>
        <w:pStyle w:val="2"/>
        <w:spacing w:line="288" w:lineRule="auto"/>
        <w:ind w:firstLine="404" w:firstLineChars="200"/>
        <w:rPr>
          <w:sz w:val="21"/>
          <w:lang w:val="en-US"/>
        </w:rPr>
      </w:pPr>
      <w:r>
        <w:rPr>
          <w:sz w:val="21"/>
          <w:lang w:val="en-US"/>
        </w:rPr>
        <w:t>（3）</w:t>
      </w:r>
      <w:r>
        <w:rPr>
          <w:rFonts w:hint="eastAsia"/>
          <w:sz w:val="21"/>
          <w:lang w:val="en-US"/>
        </w:rPr>
        <w:t>实时呼叫：分组、分点进行实时呼叫；</w:t>
      </w:r>
    </w:p>
    <w:p>
      <w:pPr>
        <w:pStyle w:val="2"/>
        <w:spacing w:line="288" w:lineRule="auto"/>
        <w:ind w:firstLine="404" w:firstLineChars="200"/>
        <w:rPr>
          <w:sz w:val="21"/>
          <w:lang w:val="en-US"/>
        </w:rPr>
      </w:pPr>
      <w:r>
        <w:rPr>
          <w:sz w:val="21"/>
          <w:lang w:val="en-US"/>
        </w:rPr>
        <w:t>（4）</w:t>
      </w:r>
      <w:r>
        <w:rPr>
          <w:rFonts w:hint="eastAsia"/>
          <w:sz w:val="21"/>
          <w:lang w:val="en-US"/>
        </w:rPr>
        <w:t>听力考试：同一时间多任务、不同分组、分点播放；</w:t>
      </w:r>
    </w:p>
    <w:p>
      <w:pPr>
        <w:pStyle w:val="2"/>
        <w:spacing w:line="288" w:lineRule="auto"/>
        <w:ind w:firstLine="404" w:firstLineChars="200"/>
        <w:rPr>
          <w:sz w:val="21"/>
          <w:lang w:val="en-US"/>
        </w:rPr>
      </w:pPr>
      <w:r>
        <w:rPr>
          <w:sz w:val="21"/>
          <w:lang w:val="en-US"/>
        </w:rPr>
        <w:t>（5）</w:t>
      </w:r>
      <w:r>
        <w:rPr>
          <w:rFonts w:hint="eastAsia"/>
          <w:sz w:val="21"/>
          <w:lang w:val="en-US"/>
        </w:rPr>
        <w:t>调课管理：按照日期进行多任务调课管理；</w:t>
      </w:r>
    </w:p>
    <w:p>
      <w:pPr>
        <w:pStyle w:val="2"/>
        <w:spacing w:line="288" w:lineRule="auto"/>
        <w:ind w:firstLine="404" w:firstLineChars="200"/>
        <w:rPr>
          <w:sz w:val="21"/>
          <w:lang w:val="en-US"/>
        </w:rPr>
      </w:pPr>
      <w:r>
        <w:rPr>
          <w:sz w:val="21"/>
          <w:lang w:val="en-US"/>
        </w:rPr>
        <w:t>（6）</w:t>
      </w:r>
      <w:r>
        <w:rPr>
          <w:rFonts w:hint="eastAsia"/>
          <w:sz w:val="21"/>
          <w:lang w:val="en-US"/>
        </w:rPr>
        <w:t>情景广播：预设多任务不同情景模式播放，启用、禁用模式功能；</w:t>
      </w:r>
    </w:p>
    <w:p>
      <w:pPr>
        <w:pStyle w:val="2"/>
        <w:spacing w:line="288" w:lineRule="auto"/>
        <w:ind w:firstLine="404" w:firstLineChars="200"/>
        <w:rPr>
          <w:sz w:val="21"/>
          <w:lang w:val="en-US"/>
        </w:rPr>
      </w:pPr>
      <w:r>
        <w:rPr>
          <w:sz w:val="21"/>
          <w:lang w:val="en-US"/>
        </w:rPr>
        <w:t>（7）</w:t>
      </w:r>
      <w:r>
        <w:rPr>
          <w:rFonts w:hint="eastAsia"/>
          <w:sz w:val="21"/>
          <w:lang w:val="en-US"/>
        </w:rPr>
        <w:t>遥控点播：遥控点播国歌、广播体操等音频资源；</w:t>
      </w:r>
    </w:p>
    <w:p>
      <w:pPr>
        <w:pStyle w:val="2"/>
        <w:spacing w:line="288" w:lineRule="auto"/>
        <w:ind w:firstLine="404" w:firstLineChars="200"/>
        <w:rPr>
          <w:sz w:val="21"/>
          <w:lang w:val="en-US"/>
        </w:rPr>
      </w:pPr>
      <w:r>
        <w:rPr>
          <w:sz w:val="21"/>
          <w:lang w:val="en-US"/>
        </w:rPr>
        <w:t>（8）</w:t>
      </w:r>
      <w:r>
        <w:rPr>
          <w:rFonts w:hint="eastAsia"/>
          <w:sz w:val="21"/>
          <w:lang w:val="en-US"/>
        </w:rPr>
        <w:t>多媒体管理：多媒体平台与</w:t>
      </w:r>
      <w:r>
        <w:rPr>
          <w:sz w:val="21"/>
          <w:lang w:val="en-US"/>
        </w:rPr>
        <w:t>IP</w:t>
      </w:r>
      <w:r>
        <w:rPr>
          <w:rFonts w:hint="eastAsia"/>
          <w:sz w:val="21"/>
          <w:lang w:val="en-US"/>
        </w:rPr>
        <w:t>数字广播融合。</w:t>
      </w:r>
    </w:p>
    <w:p>
      <w:pPr>
        <w:pStyle w:val="2"/>
        <w:spacing w:line="288" w:lineRule="auto"/>
        <w:ind w:firstLine="404" w:firstLineChars="200"/>
        <w:rPr>
          <w:sz w:val="21"/>
          <w:lang w:val="en-US"/>
        </w:rPr>
      </w:pPr>
      <w:r>
        <w:rPr>
          <w:rFonts w:hint="eastAsia"/>
          <w:sz w:val="21"/>
          <w:lang w:val="en-US"/>
        </w:rPr>
        <w:t>1.3.5校园视频直播系统</w:t>
      </w:r>
    </w:p>
    <w:p>
      <w:pPr>
        <w:pStyle w:val="2"/>
        <w:spacing w:line="288" w:lineRule="auto"/>
        <w:ind w:firstLine="404" w:firstLineChars="200"/>
        <w:rPr>
          <w:sz w:val="21"/>
          <w:lang w:val="en-US"/>
        </w:rPr>
      </w:pPr>
      <w:r>
        <w:rPr>
          <w:sz w:val="21"/>
          <w:lang w:val="en-US"/>
        </w:rPr>
        <w:t>（1）</w:t>
      </w:r>
      <w:r>
        <w:rPr>
          <w:rFonts w:hint="eastAsia"/>
          <w:sz w:val="21"/>
          <w:lang w:val="en-US"/>
        </w:rPr>
        <w:t>支持全高清</w:t>
      </w:r>
      <w:r>
        <w:rPr>
          <w:sz w:val="21"/>
          <w:lang w:val="en-US"/>
        </w:rPr>
        <w:t>1920*1080P</w:t>
      </w:r>
      <w:r>
        <w:rPr>
          <w:rFonts w:hint="eastAsia"/>
          <w:sz w:val="21"/>
          <w:lang w:val="en-US"/>
        </w:rPr>
        <w:t>编解码并实现媒体的直播或转播；</w:t>
      </w:r>
    </w:p>
    <w:p>
      <w:pPr>
        <w:pStyle w:val="2"/>
        <w:spacing w:line="288" w:lineRule="auto"/>
        <w:ind w:firstLine="404" w:firstLineChars="200"/>
        <w:rPr>
          <w:sz w:val="21"/>
          <w:lang w:val="en-US"/>
        </w:rPr>
      </w:pPr>
      <w:r>
        <w:rPr>
          <w:sz w:val="21"/>
          <w:lang w:val="en-US"/>
        </w:rPr>
        <w:t>（2）</w:t>
      </w:r>
      <w:r>
        <w:rPr>
          <w:rFonts w:hint="eastAsia"/>
          <w:sz w:val="21"/>
          <w:lang w:val="en-US"/>
        </w:rPr>
        <w:t>支持对直转播的流媒体帧率和码率进行设置；</w:t>
      </w:r>
    </w:p>
    <w:p>
      <w:pPr>
        <w:pStyle w:val="2"/>
        <w:spacing w:line="288" w:lineRule="auto"/>
        <w:ind w:firstLine="404" w:firstLineChars="200"/>
        <w:rPr>
          <w:sz w:val="21"/>
          <w:lang w:val="en-US"/>
        </w:rPr>
      </w:pPr>
      <w:r>
        <w:rPr>
          <w:sz w:val="21"/>
          <w:lang w:val="en-US"/>
        </w:rPr>
        <w:t>（3）</w:t>
      </w:r>
      <w:r>
        <w:rPr>
          <w:rFonts w:hint="eastAsia"/>
          <w:sz w:val="21"/>
          <w:lang w:val="en-US"/>
        </w:rPr>
        <w:t>可对设置组成员进行分组、点直转播，同一时间可分组、点进行多任务播放；</w:t>
      </w:r>
    </w:p>
    <w:p>
      <w:pPr>
        <w:pStyle w:val="2"/>
        <w:spacing w:line="288" w:lineRule="auto"/>
        <w:ind w:firstLine="404" w:firstLineChars="200"/>
        <w:rPr>
          <w:sz w:val="21"/>
          <w:lang w:val="en-US"/>
        </w:rPr>
      </w:pPr>
      <w:r>
        <w:rPr>
          <w:sz w:val="21"/>
          <w:lang w:val="en-US"/>
        </w:rPr>
        <w:t>（4）</w:t>
      </w:r>
      <w:r>
        <w:rPr>
          <w:rFonts w:hint="eastAsia"/>
          <w:sz w:val="21"/>
          <w:lang w:val="en-US"/>
        </w:rPr>
        <w:t>具备授权管理，可临时插播或转播重要通知或新闻事件；</w:t>
      </w:r>
    </w:p>
    <w:p>
      <w:pPr>
        <w:pStyle w:val="2"/>
        <w:spacing w:line="288" w:lineRule="auto"/>
        <w:ind w:firstLine="404" w:firstLineChars="200"/>
        <w:rPr>
          <w:sz w:val="21"/>
          <w:lang w:val="en-US"/>
        </w:rPr>
      </w:pPr>
      <w:r>
        <w:rPr>
          <w:sz w:val="21"/>
          <w:lang w:val="en-US"/>
        </w:rPr>
        <w:t>（5）</w:t>
      </w:r>
      <w:r>
        <w:rPr>
          <w:rFonts w:hint="eastAsia"/>
          <w:sz w:val="21"/>
          <w:lang w:val="en-US"/>
        </w:rPr>
        <w:t>可按日期设定定时播放计划；</w:t>
      </w:r>
    </w:p>
    <w:p>
      <w:pPr>
        <w:pStyle w:val="2"/>
        <w:spacing w:line="288" w:lineRule="auto"/>
        <w:ind w:firstLine="404" w:firstLineChars="200"/>
        <w:rPr>
          <w:sz w:val="21"/>
          <w:lang w:val="en-US"/>
        </w:rPr>
      </w:pPr>
      <w:r>
        <w:rPr>
          <w:sz w:val="21"/>
          <w:lang w:val="en-US"/>
        </w:rPr>
        <w:t>（6）</w:t>
      </w:r>
      <w:r>
        <w:rPr>
          <w:rFonts w:hint="eastAsia"/>
          <w:sz w:val="21"/>
          <w:lang w:val="en-US"/>
        </w:rPr>
        <w:t>系统最大支持</w:t>
      </w:r>
      <w:r>
        <w:rPr>
          <w:sz w:val="21"/>
          <w:lang w:val="en-US"/>
        </w:rPr>
        <w:t>32</w:t>
      </w:r>
      <w:r>
        <w:rPr>
          <w:rFonts w:hint="eastAsia"/>
          <w:sz w:val="21"/>
          <w:lang w:val="en-US"/>
        </w:rPr>
        <w:t>路音频流、</w:t>
      </w:r>
      <w:r>
        <w:rPr>
          <w:sz w:val="21"/>
          <w:lang w:val="en-US"/>
        </w:rPr>
        <w:t>8</w:t>
      </w:r>
      <w:r>
        <w:rPr>
          <w:rFonts w:hint="eastAsia"/>
          <w:sz w:val="21"/>
          <w:lang w:val="en-US"/>
        </w:rPr>
        <w:t>路高清视频流的播放；</w:t>
      </w:r>
    </w:p>
    <w:p>
      <w:pPr>
        <w:pStyle w:val="2"/>
        <w:spacing w:line="288" w:lineRule="auto"/>
        <w:ind w:firstLine="404" w:firstLineChars="200"/>
        <w:rPr>
          <w:sz w:val="21"/>
          <w:lang w:val="en-US"/>
        </w:rPr>
      </w:pPr>
      <w:r>
        <w:rPr>
          <w:sz w:val="21"/>
          <w:lang w:val="en-US"/>
        </w:rPr>
        <w:t>（7）</w:t>
      </w:r>
      <w:r>
        <w:rPr>
          <w:rFonts w:hint="eastAsia"/>
          <w:sz w:val="21"/>
          <w:lang w:val="en-US"/>
        </w:rPr>
        <w:t>可强制推送到任意接收视频的终端（无须事先开机），终端教室无需人为操作。</w:t>
      </w:r>
    </w:p>
    <w:p>
      <w:pPr>
        <w:pStyle w:val="2"/>
        <w:spacing w:line="288" w:lineRule="auto"/>
        <w:ind w:firstLine="404" w:firstLineChars="200"/>
        <w:rPr>
          <w:sz w:val="21"/>
          <w:lang w:val="en-US"/>
        </w:rPr>
      </w:pPr>
      <w:r>
        <w:rPr>
          <w:rFonts w:hint="eastAsia"/>
          <w:sz w:val="21"/>
          <w:lang w:val="en-US"/>
        </w:rPr>
        <w:t>1.3.6智慧课堂管理系统</w:t>
      </w:r>
    </w:p>
    <w:p>
      <w:pPr>
        <w:pStyle w:val="2"/>
        <w:spacing w:line="288" w:lineRule="auto"/>
        <w:ind w:firstLine="404" w:firstLineChars="200"/>
        <w:rPr>
          <w:sz w:val="21"/>
          <w:lang w:val="en-US"/>
        </w:rPr>
      </w:pPr>
      <w:r>
        <w:rPr>
          <w:sz w:val="21"/>
          <w:lang w:val="en-US"/>
        </w:rPr>
        <w:t>（1）</w:t>
      </w:r>
      <w:r>
        <w:rPr>
          <w:rFonts w:hint="eastAsia"/>
          <w:sz w:val="21"/>
          <w:lang w:val="en-US"/>
        </w:rPr>
        <w:t>与学校现有账号进行管理，可实现终端系统直接操作；</w:t>
      </w:r>
    </w:p>
    <w:p>
      <w:pPr>
        <w:pStyle w:val="2"/>
        <w:spacing w:line="288" w:lineRule="auto"/>
        <w:ind w:firstLine="404" w:firstLineChars="200"/>
        <w:rPr>
          <w:sz w:val="21"/>
          <w:lang w:val="en-US"/>
        </w:rPr>
      </w:pPr>
      <w:r>
        <w:rPr>
          <w:sz w:val="21"/>
          <w:lang w:val="en-US"/>
        </w:rPr>
        <w:t>（2）</w:t>
      </w:r>
      <w:r>
        <w:rPr>
          <w:rFonts w:hint="eastAsia"/>
          <w:sz w:val="21"/>
          <w:lang w:val="en-US"/>
        </w:rPr>
        <w:t>对于学校在线教育及直播课堂进行线上管理；</w:t>
      </w:r>
    </w:p>
    <w:p>
      <w:pPr>
        <w:pStyle w:val="2"/>
        <w:spacing w:line="288" w:lineRule="auto"/>
        <w:ind w:firstLine="404" w:firstLineChars="200"/>
        <w:rPr>
          <w:sz w:val="21"/>
          <w:lang w:val="en-US"/>
        </w:rPr>
      </w:pPr>
      <w:r>
        <w:rPr>
          <w:sz w:val="21"/>
          <w:lang w:val="en-US"/>
        </w:rPr>
        <w:t>（3）</w:t>
      </w:r>
      <w:r>
        <w:rPr>
          <w:rFonts w:hint="eastAsia"/>
          <w:sz w:val="21"/>
          <w:lang w:val="en-US"/>
        </w:rPr>
        <w:t>通过软件对直播课堂对现有学员信息和学校信息进行可视化无缝对接管理；</w:t>
      </w:r>
    </w:p>
    <w:p>
      <w:pPr>
        <w:pStyle w:val="2"/>
        <w:spacing w:line="288" w:lineRule="auto"/>
        <w:ind w:firstLine="404" w:firstLineChars="200"/>
        <w:rPr>
          <w:sz w:val="21"/>
          <w:lang w:val="en-US"/>
        </w:rPr>
      </w:pPr>
      <w:r>
        <w:rPr>
          <w:sz w:val="21"/>
          <w:lang w:val="en-US"/>
        </w:rPr>
        <w:t>（4）</w:t>
      </w:r>
      <w:r>
        <w:rPr>
          <w:rFonts w:hint="eastAsia"/>
          <w:sz w:val="21"/>
          <w:lang w:val="en-US"/>
        </w:rPr>
        <w:t>通过系统对考勤信息可直接对接到学校现有系统中。</w:t>
      </w:r>
    </w:p>
    <w:p>
      <w:pPr>
        <w:pStyle w:val="2"/>
        <w:spacing w:line="288" w:lineRule="auto"/>
        <w:ind w:firstLine="404" w:firstLineChars="200"/>
        <w:rPr>
          <w:sz w:val="21"/>
          <w:lang w:val="en-US"/>
        </w:rPr>
      </w:pPr>
      <w:r>
        <w:rPr>
          <w:rFonts w:hint="eastAsia"/>
          <w:sz w:val="21"/>
          <w:lang w:val="en-US"/>
        </w:rPr>
        <w:t>1.3.7校园信息发布系统</w:t>
      </w:r>
    </w:p>
    <w:p>
      <w:pPr>
        <w:pStyle w:val="2"/>
        <w:spacing w:line="288" w:lineRule="auto"/>
        <w:ind w:firstLine="404" w:firstLineChars="200"/>
        <w:rPr>
          <w:sz w:val="21"/>
          <w:lang w:val="en-US"/>
        </w:rPr>
      </w:pPr>
      <w:r>
        <w:rPr>
          <w:sz w:val="21"/>
          <w:lang w:val="en-US"/>
        </w:rPr>
        <w:t>（1）</w:t>
      </w:r>
      <w:r>
        <w:rPr>
          <w:rFonts w:hint="eastAsia"/>
          <w:sz w:val="21"/>
          <w:lang w:val="en-US"/>
        </w:rPr>
        <w:t>支持全高清</w:t>
      </w:r>
      <w:r>
        <w:rPr>
          <w:sz w:val="21"/>
          <w:lang w:val="en-US"/>
        </w:rPr>
        <w:t>1920*1080P</w:t>
      </w:r>
      <w:r>
        <w:rPr>
          <w:rFonts w:hint="eastAsia"/>
          <w:sz w:val="21"/>
          <w:lang w:val="en-US"/>
        </w:rPr>
        <w:t>视频发布或播放；</w:t>
      </w:r>
    </w:p>
    <w:p>
      <w:pPr>
        <w:pStyle w:val="2"/>
        <w:spacing w:line="288" w:lineRule="auto"/>
        <w:ind w:firstLine="404" w:firstLineChars="200"/>
        <w:rPr>
          <w:sz w:val="21"/>
          <w:lang w:val="en-US"/>
        </w:rPr>
      </w:pPr>
      <w:r>
        <w:rPr>
          <w:sz w:val="21"/>
          <w:lang w:val="en-US"/>
        </w:rPr>
        <w:t>（2）</w:t>
      </w:r>
      <w:r>
        <w:rPr>
          <w:rFonts w:hint="eastAsia"/>
          <w:sz w:val="21"/>
          <w:lang w:val="en-US"/>
        </w:rPr>
        <w:t>支持</w:t>
      </w:r>
      <w:r>
        <w:rPr>
          <w:sz w:val="21"/>
          <w:lang w:val="en-US"/>
        </w:rPr>
        <w:t>LED</w:t>
      </w:r>
      <w:r>
        <w:rPr>
          <w:rFonts w:hint="eastAsia"/>
          <w:sz w:val="21"/>
          <w:lang w:val="en-US"/>
        </w:rPr>
        <w:t>文字信息发布；</w:t>
      </w:r>
    </w:p>
    <w:p>
      <w:pPr>
        <w:pStyle w:val="2"/>
        <w:spacing w:line="288" w:lineRule="auto"/>
        <w:ind w:firstLine="404" w:firstLineChars="200"/>
        <w:rPr>
          <w:sz w:val="21"/>
          <w:lang w:val="en-US"/>
        </w:rPr>
      </w:pPr>
      <w:r>
        <w:rPr>
          <w:sz w:val="21"/>
          <w:lang w:val="en-US"/>
        </w:rPr>
        <w:t>（3）</w:t>
      </w:r>
      <w:r>
        <w:rPr>
          <w:rFonts w:hint="eastAsia"/>
          <w:sz w:val="21"/>
          <w:lang w:val="en-US"/>
        </w:rPr>
        <w:t>具备与服务器进行同步校时的电子时钟；</w:t>
      </w:r>
    </w:p>
    <w:p>
      <w:pPr>
        <w:pStyle w:val="2"/>
        <w:spacing w:line="288" w:lineRule="auto"/>
        <w:ind w:firstLine="404" w:firstLineChars="200"/>
        <w:rPr>
          <w:sz w:val="21"/>
          <w:lang w:val="en-US"/>
        </w:rPr>
      </w:pPr>
      <w:r>
        <w:rPr>
          <w:sz w:val="21"/>
          <w:lang w:val="en-US"/>
        </w:rPr>
        <w:t>（4）</w:t>
      </w:r>
      <w:r>
        <w:rPr>
          <w:rFonts w:hint="eastAsia"/>
          <w:sz w:val="21"/>
          <w:lang w:val="en-US"/>
        </w:rPr>
        <w:t>可对设置组成员进行分组、分点的信息发布或播放；</w:t>
      </w:r>
    </w:p>
    <w:p>
      <w:pPr>
        <w:pStyle w:val="2"/>
        <w:spacing w:line="288" w:lineRule="auto"/>
        <w:ind w:firstLine="404" w:firstLineChars="200"/>
        <w:rPr>
          <w:sz w:val="21"/>
          <w:lang w:val="en-US"/>
        </w:rPr>
      </w:pPr>
      <w:r>
        <w:rPr>
          <w:sz w:val="21"/>
          <w:lang w:val="en-US"/>
        </w:rPr>
        <w:t>（5）</w:t>
      </w:r>
      <w:r>
        <w:rPr>
          <w:rFonts w:hint="eastAsia"/>
          <w:sz w:val="21"/>
          <w:lang w:val="en-US"/>
        </w:rPr>
        <w:t>可在同一时间进行多任务、不同分组、分点播放；</w:t>
      </w:r>
    </w:p>
    <w:p>
      <w:pPr>
        <w:pStyle w:val="2"/>
        <w:spacing w:line="288" w:lineRule="auto"/>
        <w:ind w:firstLine="404" w:firstLineChars="200"/>
        <w:rPr>
          <w:sz w:val="21"/>
          <w:lang w:val="en-US"/>
        </w:rPr>
      </w:pPr>
      <w:r>
        <w:rPr>
          <w:sz w:val="21"/>
          <w:lang w:val="en-US"/>
        </w:rPr>
        <w:t>（6）</w:t>
      </w:r>
      <w:r>
        <w:rPr>
          <w:rFonts w:hint="eastAsia"/>
          <w:sz w:val="21"/>
          <w:lang w:val="en-US"/>
        </w:rPr>
        <w:t>具备授权管理，可临时插播或转播重要通知或新闻事件；</w:t>
      </w:r>
    </w:p>
    <w:p>
      <w:pPr>
        <w:pStyle w:val="2"/>
        <w:spacing w:line="288" w:lineRule="auto"/>
        <w:ind w:firstLine="404" w:firstLineChars="200"/>
        <w:rPr>
          <w:sz w:val="21"/>
          <w:lang w:val="en-US"/>
        </w:rPr>
      </w:pPr>
      <w:r>
        <w:rPr>
          <w:rFonts w:hint="eastAsia"/>
          <w:sz w:val="21"/>
          <w:lang w:val="en-US"/>
        </w:rPr>
        <w:t>（7）可按日期设定定时播放计划。</w:t>
      </w:r>
    </w:p>
    <w:p>
      <w:pPr>
        <w:pStyle w:val="2"/>
        <w:spacing w:line="288" w:lineRule="auto"/>
        <w:ind w:firstLine="404" w:firstLineChars="200"/>
        <w:rPr>
          <w:sz w:val="21"/>
          <w:lang w:val="en-US"/>
        </w:rPr>
      </w:pPr>
      <w:r>
        <w:rPr>
          <w:rFonts w:hint="eastAsia"/>
          <w:sz w:val="21"/>
          <w:lang w:val="en-US"/>
        </w:rPr>
        <w:t>1.3.8 DSP无线数字扩音系统</w:t>
      </w:r>
    </w:p>
    <w:p>
      <w:pPr>
        <w:pStyle w:val="2"/>
        <w:spacing w:line="288" w:lineRule="auto"/>
        <w:ind w:firstLine="404" w:firstLineChars="200"/>
        <w:rPr>
          <w:sz w:val="21"/>
          <w:lang w:val="en-US"/>
        </w:rPr>
      </w:pPr>
      <w:r>
        <w:rPr>
          <w:sz w:val="21"/>
          <w:lang w:val="en-US"/>
        </w:rPr>
        <w:t>（1）</w:t>
      </w:r>
      <w:r>
        <w:rPr>
          <w:rFonts w:hint="eastAsia"/>
          <w:sz w:val="21"/>
          <w:lang w:val="en-US"/>
        </w:rPr>
        <w:t>采用</w:t>
      </w:r>
      <w:r>
        <w:rPr>
          <w:sz w:val="21"/>
          <w:lang w:val="en-US"/>
        </w:rPr>
        <w:t>DSP</w:t>
      </w:r>
      <w:r>
        <w:rPr>
          <w:rFonts w:hint="eastAsia"/>
          <w:sz w:val="21"/>
          <w:lang w:val="en-US"/>
        </w:rPr>
        <w:t>数字信号处理技术，对音频数据实时解码及传输；</w:t>
      </w:r>
    </w:p>
    <w:p>
      <w:pPr>
        <w:pStyle w:val="2"/>
        <w:spacing w:line="288" w:lineRule="auto"/>
        <w:ind w:firstLine="404" w:firstLineChars="200"/>
        <w:rPr>
          <w:sz w:val="21"/>
          <w:lang w:val="en-US"/>
        </w:rPr>
      </w:pPr>
      <w:r>
        <w:rPr>
          <w:sz w:val="21"/>
          <w:lang w:val="en-US"/>
        </w:rPr>
        <w:t>（2）</w:t>
      </w:r>
      <w:r>
        <w:rPr>
          <w:rFonts w:hint="eastAsia"/>
          <w:sz w:val="21"/>
          <w:lang w:val="en-US"/>
        </w:rPr>
        <w:t>采用</w:t>
      </w:r>
      <w:r>
        <w:rPr>
          <w:sz w:val="21"/>
          <w:lang w:val="en-US"/>
        </w:rPr>
        <w:t>2.4G</w:t>
      </w:r>
      <w:r>
        <w:rPr>
          <w:rFonts w:hint="eastAsia"/>
          <w:sz w:val="21"/>
          <w:lang w:val="en-US"/>
        </w:rPr>
        <w:t>无线信号传输及动态接入方式；</w:t>
      </w:r>
    </w:p>
    <w:p>
      <w:pPr>
        <w:pStyle w:val="2"/>
        <w:spacing w:line="288" w:lineRule="auto"/>
        <w:ind w:firstLine="404" w:firstLineChars="200"/>
        <w:rPr>
          <w:sz w:val="21"/>
          <w:lang w:val="en-US"/>
        </w:rPr>
      </w:pPr>
      <w:r>
        <w:rPr>
          <w:sz w:val="21"/>
          <w:lang w:val="en-US"/>
        </w:rPr>
        <w:t>（3）</w:t>
      </w:r>
      <w:r>
        <w:rPr>
          <w:rFonts w:hint="eastAsia"/>
          <w:sz w:val="21"/>
          <w:lang w:val="en-US"/>
        </w:rPr>
        <w:t>号角式设计的音箱更具备高保真的音质还原；</w:t>
      </w:r>
    </w:p>
    <w:p>
      <w:pPr>
        <w:pStyle w:val="2"/>
        <w:spacing w:line="288" w:lineRule="auto"/>
        <w:ind w:firstLine="404" w:firstLineChars="200"/>
        <w:rPr>
          <w:sz w:val="21"/>
          <w:lang w:val="en-US"/>
        </w:rPr>
      </w:pPr>
      <w:r>
        <w:rPr>
          <w:sz w:val="21"/>
          <w:lang w:val="en-US"/>
        </w:rPr>
        <w:t>（4）</w:t>
      </w:r>
      <w:r>
        <w:rPr>
          <w:rFonts w:hint="eastAsia"/>
          <w:sz w:val="21"/>
          <w:lang w:val="en-US"/>
        </w:rPr>
        <w:t>采用</w:t>
      </w:r>
      <w:r>
        <w:rPr>
          <w:sz w:val="21"/>
          <w:lang w:val="en-US"/>
        </w:rPr>
        <w:t>D</w:t>
      </w:r>
      <w:r>
        <w:rPr>
          <w:rFonts w:hint="eastAsia"/>
          <w:sz w:val="21"/>
          <w:lang w:val="en-US"/>
        </w:rPr>
        <w:t>类数字功放技术的全频带音频功率放大器。</w:t>
      </w:r>
    </w:p>
    <w:p>
      <w:pPr>
        <w:pStyle w:val="2"/>
        <w:spacing w:line="288" w:lineRule="auto"/>
        <w:ind w:firstLine="404" w:firstLineChars="200"/>
        <w:rPr>
          <w:sz w:val="21"/>
          <w:lang w:val="en-US"/>
        </w:rPr>
      </w:pPr>
    </w:p>
    <w:p>
      <w:pPr>
        <w:spacing w:line="288" w:lineRule="auto"/>
        <w:ind w:firstLine="422" w:firstLineChars="200"/>
        <w:rPr>
          <w:rFonts w:ascii="宋体" w:hAnsi="宋体"/>
          <w:b/>
          <w:bCs/>
          <w:sz w:val="21"/>
          <w:szCs w:val="21"/>
        </w:rPr>
      </w:pPr>
      <w:r>
        <w:rPr>
          <w:rFonts w:hint="eastAsia" w:ascii="宋体" w:hAnsi="宋体"/>
          <w:b/>
          <w:bCs/>
          <w:sz w:val="21"/>
          <w:szCs w:val="21"/>
        </w:rPr>
        <w:t>2.需执行的国家相关标准、行业标准、地方标准或者其他标准、规范：</w:t>
      </w:r>
      <w:r>
        <w:rPr>
          <w:rFonts w:hint="eastAsia" w:ascii="宋体" w:hAnsi="宋体"/>
          <w:sz w:val="21"/>
          <w:szCs w:val="21"/>
        </w:rPr>
        <w:t>产品制造国有强制性标准的执行产品制造国强制性标准，无的统一执行我国最新相关标准、规范；</w:t>
      </w:r>
    </w:p>
    <w:p>
      <w:pPr>
        <w:spacing w:line="288" w:lineRule="auto"/>
        <w:ind w:firstLine="422" w:firstLineChars="200"/>
        <w:rPr>
          <w:rFonts w:ascii="宋体" w:hAnsi="宋体"/>
          <w:b/>
          <w:bCs/>
          <w:sz w:val="21"/>
          <w:szCs w:val="21"/>
        </w:rPr>
      </w:pPr>
      <w:r>
        <w:rPr>
          <w:rFonts w:hint="eastAsia" w:ascii="宋体" w:hAnsi="宋体"/>
          <w:b/>
          <w:bCs/>
          <w:sz w:val="21"/>
          <w:szCs w:val="21"/>
        </w:rPr>
        <w:t>3</w:t>
      </w:r>
      <w:r>
        <w:rPr>
          <w:rFonts w:ascii="宋体" w:hAnsi="宋体"/>
          <w:b/>
          <w:bCs/>
          <w:sz w:val="21"/>
          <w:szCs w:val="21"/>
        </w:rPr>
        <w:t>.</w:t>
      </w:r>
      <w:r>
        <w:rPr>
          <w:rFonts w:hint="eastAsia" w:ascii="宋体" w:hAnsi="宋体"/>
          <w:b/>
          <w:bCs/>
          <w:sz w:val="21"/>
          <w:szCs w:val="21"/>
        </w:rPr>
        <w:t>需满足的质量、安全、技术规格、物理特性等要求：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1"/>
        <w:gridCol w:w="709"/>
        <w:gridCol w:w="709"/>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721" w:type="dxa"/>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货物名称</w:t>
            </w:r>
          </w:p>
        </w:tc>
        <w:tc>
          <w:tcPr>
            <w:tcW w:w="709" w:type="dxa"/>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数量</w:t>
            </w:r>
          </w:p>
        </w:tc>
        <w:tc>
          <w:tcPr>
            <w:tcW w:w="709" w:type="dxa"/>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5834" w:type="dxa"/>
            <w:vAlign w:val="center"/>
          </w:tcPr>
          <w:p>
            <w:pPr>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纳米智能触控黑板一体机</w:t>
            </w:r>
          </w:p>
          <w:p>
            <w:pPr>
              <w:widowControl/>
              <w:jc w:val="center"/>
              <w:textAlignment w:val="center"/>
              <w:rPr>
                <w:b/>
                <w:lang w:bidi="ar"/>
              </w:rPr>
            </w:pPr>
            <w:r>
              <w:rPr>
                <w:rFonts w:hint="eastAsia" w:asciiTheme="minorEastAsia" w:hAnsiTheme="minorEastAsia" w:eastAsiaTheme="minorEastAsia" w:cstheme="minorEastAsia"/>
                <w:b/>
                <w:kern w:val="0"/>
                <w:sz w:val="21"/>
                <w:szCs w:val="21"/>
                <w:lang w:bidi="ar"/>
              </w:rPr>
              <w:t>（核心产品）</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c>
          <w:tcPr>
            <w:tcW w:w="583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1.整体技术要求</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1.1多媒体黑板整体外观尺寸：宽度≥4000mm ，高度≥1200mm ，厚度≤90mm，正面显示为一个由三块拼接而成的平面普通黑板，支持水笔、普通粉笔、无尘粉笔等多种书写方式。整个黑板无推拉式结构，可实现整块黑板唯一平面书写。</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★1.2智能黑板核心采用86英寸液晶显示屏，对比度≥1400:1，亮度≥450cd/㎡，可视角度≥178°，响应速度≤8ms。</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黑板具备至少8个前置自定义多功能按键，按键要求为实体物理按键，确保使用寿命和操作便利稳定性（不可采用电容或触摸方式），至少应具备电源开关、系统还原、背光关闭、声音开关、信号源切换、录屏、帮助等功能；录屏和帮助按键可同时具备多重功能，短按可实现声音增减，长按即实现录屏和帮助功能；为方便教学使用，具备至少6个前置USB接口。</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1.4液晶显示屏与纳米银电容膜和玻璃双面全胶贴合，使中间无空气层，防止玻璃在使用过程中晃动，增强安全可靠性，提高画面清晰度，增强可视角度以及触摸灵敏度。</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1.5黑板自带前内置音响，为保证音质效果，达到立式立体声环绕效果，黑板音响应前置于黑板两侧，采用铝镁合金包裹，与黑板成为一个整体，输出功率≥2*15W。</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1.6全高清 AI 摄像头：黑板自带高清AI 摄像头，高清摄像头≥500万像素。</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1.7黑板支持在HDMI、window、Android等多种信号源模式下实现显示窗口下移，同时触摸可以正常使用。</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1.8多媒体黑板产品应配备遥控器，所配遥控器需要实现鼠标和键盘功能。</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1.9多媒体黑板能实现U盘密钥对黑板进行管理，控制黑板的启动及操作，杜绝随意使用黑板，规避乱操作黑板。</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1.10多媒体黑板产品应通过静电放电、浪涌（冲击）检测。</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1.11为降低设备辐射确保电磁兼容性：产品通过射频感应的传导骚扰抗扰度，射频电磁场辐射抗扰度，电压暂降、短时中断和电压变化等试验检测。</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1.12整机具备抗振动、防跌落特性，保证整机运输或使用过程中不易受损。整机应通过抗振动测试。</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1.13电源模块与核心驱动模块独立抽插，多媒体黑板的电源模块可独立插拔，核心驱动模块可独立插拔，强弱电分离。</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1.14智能亮度调节，多媒体黑板可通过触控菜单快捷设置白天、夜晚两种亮度模式，以达到在不同光照环境下的最佳显示效果。</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1.15产品应具有在任意显示通道下均可通过手势在屏幕上调取触摸菜单功能，可实现黑板信号源切换、windows系统快捷还原、网络还原、快捷关闭电源等基本功能。</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 PPT课件批注功能，PPT全屏播放时可自动开启工具菜单，手指误碰到黑板不会自动翻页，需点击对应的翻页键翻页，可将批注保存在PPT上。</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1.17多媒体黑板具备良好的色彩显示效果，通过色域覆盖率检测，色域覆盖值≥130%。多媒体黑板通过蓝光危害检测，无蓝光危害，蓝光透过率≤70%。</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1.18多媒体黑板整机具有较好的抗快速脉冲群干扰性能，有效防止设备或电网其他设备、雷电带来的电脉冲干扰。</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多媒体黑板支持无线MIC功能，多媒体黑板整机具有无线MIC接收功能，可以将无线MIC音频输出到内置音箱；多媒体黑板支持无线MIC功能，多媒体黑板整机扩音不受Windows影响，即使关闭Windows也可以正常扩音；多媒体黑板整机支持无线MIC和本机声音混音功能；可以同时录制MIC和本机电脑音频。</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1.20为方便教学，系统具有智能手势开关黑板背光功能、系统一键切换、系统共享USB接口、HDMI输出共享、系统网络共享。</w:t>
            </w:r>
          </w:p>
          <w:p>
            <w:pPr>
              <w:tabs>
                <w:tab w:val="left" w:pos="0"/>
              </w:tabs>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1.21多媒体黑板产品要求保证其在产品电磁兼容，低电压等关键技术指标安全，稳定，适合在教学领域长期运行。为保证设备用电安全，智能黑板制造商应具有自主知识产权的智能黑板电能管理系统。</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2.表面材质要求</w:t>
            </w:r>
          </w:p>
          <w:p>
            <w:pPr>
              <w:rPr>
                <w:rFonts w:ascii="宋体" w:hAnsi="宋体" w:cs="宋体"/>
                <w:sz w:val="21"/>
                <w:szCs w:val="21"/>
              </w:rPr>
            </w:pPr>
            <w:r>
              <w:rPr>
                <w:rFonts w:hint="eastAsia" w:ascii="宋体" w:hAnsi="宋体" w:cs="宋体"/>
                <w:sz w:val="21"/>
                <w:szCs w:val="21"/>
              </w:rPr>
              <w:t>★2.1智能互动黑板触控玻璃通过防飞溅、碎片状态、耐热冲击性能、玻璃外观质量、弯曲度、玻璃表面应力、抗冲击、霰弹袋冲击性能、抗磨性能检验。</w:t>
            </w:r>
            <w:r>
              <w:rPr>
                <w:rFonts w:hint="eastAsia" w:ascii="宋体" w:hAnsi="宋体" w:cs="宋体"/>
                <w:b/>
                <w:sz w:val="21"/>
                <w:szCs w:val="21"/>
              </w:rPr>
              <w:t>提供权威检验中心出具的并盖有CMA、CNAS章的检验合格报告</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2.2智能互动黑板触控玻璃符合GB11614-2009《平板玻璃》标准中优等品的技术要求。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3.触摸功能参数</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3.1采用电容触控技术，在任意通道下支持十点及以上同时书写，书写方式：手指或笔触摸，首点响应时间≤8毫秒，连续响应时间≤10毫秒，触摸有效识别≤3毫米。</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3.2要求智能黑板产品任意信号下，通过按压屏幕任意位置来实现对屏幕的开关，实现触控功能与传统书写功能瞬间切换。</w:t>
            </w:r>
          </w:p>
          <w:p>
            <w:pPr>
              <w:numPr>
                <w:ilvl w:val="255"/>
                <w:numId w:val="0"/>
              </w:num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4.内置电脑模块</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4.1采用模块化电脑方案，抽拉内置式(不接受背包式外挂方式)，实现无单独接线的插拔。</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4.2处理器：不低于Intel Corei5；内存：不低于4G；硬盘：不低于128G-SSD 固态硬盘；自带window10系统。</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4.3模块内置AP网络模块，支持无线和有线网络连接，支持 WiFi：IEEE 802.11n 标准，保证足够的信号强度；</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4.4模块自带无线AP网络共享功能，满足支持不低于20个用户终端在线网络连接，不得附加额外无线AP网络设备或者热点软件来实现，高度集成化。</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5.投屏互动功能要求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5.1设备各连接端，IOS端、安卓端均通过软件实现，无需插入外接设备，例如即插即用接收端硬件，教师无需考虑接收端设备的保管问题。</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5.2投屏端支持IOS移动端，安卓移动端投屏显示，视频播放流畅无延时、卡顿现象。</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5.3兼容IOS端音视频传输协议，IOS端音视频播放可直接通过黑板端的音箱输出声音，达到移动端教学素材实时在教室中分享播放的要求。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5.4支持直播功能，满足实物展示教学、理科实验等操作教学，实现边讲解边在黑板端显示观看的功能；</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5.5具有移动展台功能，教师可方便将课本、试卷等实物通过移动设备拍照上传至大屏讲解。</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5.6无需外网的情况下，教师即可在自己的平板上直接录制微课，做到“随时、随地”录微课；微课内容需包括课件内容、原笔迹板书、教师讲解视频、教师讲解语音。</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5.7可轻松播放移动设备上的所有教学文件，包括ppt、word、pdf、图片、音频、视频等，并可通过移动设备端控制播放，包括全屏、快进、快退、停止等。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5.8为确保整机系统的兼容性与可靠性，软件与多媒体黑板优先考虑高兼容性产品。</w:t>
            </w:r>
          </w:p>
          <w:p>
            <w:pPr>
              <w:autoSpaceDN w:val="0"/>
              <w:adjustRightInd w:val="0"/>
              <w:snapToGrid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bCs/>
                <w:sz w:val="21"/>
                <w:szCs w:val="21"/>
              </w:rPr>
              <w:t>无线展台要求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6.1像素不低于500万；嵌入式设计结构，与黑板为一整体，防盗式设计，支持 USB 充电和探针充电，配置大容量锂电池，可持续使用6小时以上。设备插入黑板自动充电，自带4颗蓝色LED指示灯，直观体现电池电量。</w:t>
            </w:r>
          </w:p>
          <w:p>
            <w:pPr>
              <w:widowControl/>
              <w:rPr>
                <w:rFonts w:ascii="宋体" w:hAnsi="宋体" w:cs="宋体"/>
                <w:sz w:val="21"/>
                <w:szCs w:val="21"/>
              </w:rPr>
            </w:pPr>
            <w:r>
              <w:rPr>
                <w:rFonts w:hint="eastAsia" w:ascii="宋体" w:hAnsi="宋体" w:cs="宋体"/>
                <w:sz w:val="21"/>
                <w:szCs w:val="21"/>
              </w:rPr>
              <w:t xml:space="preserve">6.2为方便教室内部使用,采用无线方式连接，展台连接黑板无需额外配置无线网卡，打开视频展台软件连接黑板自带的WIFI热点后即可使用视频。 </w:t>
            </w:r>
          </w:p>
          <w:p>
            <w:pPr>
              <w:widowControl/>
              <w:rPr>
                <w:rFonts w:ascii="宋体" w:hAnsi="宋体" w:cs="宋体"/>
                <w:sz w:val="21"/>
                <w:szCs w:val="21"/>
              </w:rPr>
            </w:pPr>
            <w:r>
              <w:rPr>
                <w:rFonts w:hint="eastAsia" w:ascii="宋体" w:hAnsi="宋体" w:cs="宋体"/>
                <w:sz w:val="21"/>
                <w:szCs w:val="21"/>
              </w:rPr>
              <w:t>6.3展台白板软件可将视频展台拍的图片批量保存到本地电脑，保存格式可为pdf/pptx，白板软件也支持批量删除图片功能。</w:t>
            </w:r>
          </w:p>
          <w:p>
            <w:pPr>
              <w:widowControl/>
              <w:rPr>
                <w:rFonts w:ascii="宋体" w:hAnsi="宋体" w:cs="宋体"/>
                <w:sz w:val="21"/>
                <w:szCs w:val="21"/>
              </w:rPr>
            </w:pPr>
            <w:r>
              <w:rPr>
                <w:rFonts w:hint="eastAsia" w:ascii="宋体" w:hAnsi="宋体" w:cs="宋体"/>
                <w:sz w:val="21"/>
                <w:szCs w:val="21"/>
              </w:rPr>
              <w:t>6.4展台白板软件可支持对图片的亮度调节，对比度调节，锐化，平滑，去色，马赛克，二值化，雾化，底片，浮雕等功能。</w:t>
            </w:r>
          </w:p>
          <w:p>
            <w:pPr>
              <w:widowControl/>
              <w:rPr>
                <w:rFonts w:cs="宋体" w:asciiTheme="minorEastAsia" w:hAnsiTheme="minorEastAsia" w:eastAsiaTheme="minorEastAsia"/>
                <w:b/>
                <w:bCs/>
                <w:sz w:val="21"/>
                <w:szCs w:val="21"/>
              </w:rPr>
            </w:pPr>
            <w:r>
              <w:rPr>
                <w:rFonts w:hint="eastAsia" w:ascii="宋体" w:hAnsi="宋体" w:cs="宋体"/>
                <w:sz w:val="21"/>
                <w:szCs w:val="21"/>
              </w:rPr>
              <w:t>6.5按键防抖动和防重拍功能：按下1次按键后无抖动无重复拍摄，在 WiFi 环境较差图像传输较慢用户连续按拍摄按键的极端场景 下，也能正常使用。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显示终端</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34</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c>
          <w:tcPr>
            <w:tcW w:w="5834" w:type="dxa"/>
            <w:vAlign w:val="center"/>
          </w:tcPr>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1.背光源：LED；</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2.屏幕尺寸：60寸 153mm；</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3.最大可视图像尺寸：133.1X74.8cm；</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4.亮度：≤200cd/平方米；</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5.对比度：≤150:1；</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6.分辨力：3840（水平）×2160（垂直）；</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7.静态清晰度：HDTV:水平≥600，垂直≥600以上；</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8.色域覆盖率：≥25%；</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9.面板液晶物理响应时间： TYP：8.5ms；</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10.电视标准：</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10.1电视制式：</w:t>
            </w:r>
          </w:p>
          <w:p>
            <w:pPr>
              <w:ind w:firstLine="420" w:firstLineChars="200"/>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ATV:PAL:B/G,D/K,I: NTSC: M, N; SECAM: B/G, D/K；</w:t>
            </w:r>
          </w:p>
          <w:p>
            <w:pPr>
              <w:ind w:firstLine="420" w:firstLineChars="200"/>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DTV:DTMB,DVB-C；</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10.2接收频率:</w:t>
            </w:r>
          </w:p>
          <w:p>
            <w:pPr>
              <w:ind w:firstLine="420" w:firstLineChars="200"/>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ATV:44.25-863.25MHZ；</w:t>
            </w:r>
          </w:p>
          <w:p>
            <w:pPr>
              <w:ind w:firstLine="420" w:firstLineChars="200"/>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DTV:48-898MHZ；</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10.3接收频道：VHF/UHF:C1-C20,C21-C69；</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10.4有线电视: Z1-Z7,Z8-Z16,Z17-238；</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10.5立体声/双语:D/K, B/G, I,M,丽音(NCAM)；</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10.6视频彩色制式:I PAL/NTSC 3.58/NTSC 4.43/PAL 60；</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10.7音频输出功率：10W X2（左右），AV输入，负载6欧姆、失真度为10%时；</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11.扬声器：(L125mm x W34 x H31mm)x2(L197mm x W28 x H27mm)x2；</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12.端子：</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12.1侧面：</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Micro SD：Micro SD(TF存储卡</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USB1:2.0输入</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USB2:2.0输入</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天线:UHFNHF75gDN型插座</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HDMI: HDM|HDM输入)(480/576i/480p/576p/</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7200@50Hz&amp;60H2/1080@50Hz&amp;60Hz/1080p@24H2,25Hz,30Hz,</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50Hz&amp;60Hz/2160@30Hz&amp;60H (仅60寸支持)；</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12.2下面：</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服务专用端子：直径3.5mm插孔(用于服务)</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数字音频输出：数字光纤输出</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LAN:网络接口</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HDMI 3：(480i/576i/480p/576p/</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720p@50Hz&amp;60Hz/1080@50Hz&amp;60H2/1080@24H2,25Hz,30Hz</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60Hz/2160p@30Hz&amp;60H(仅60寸支持)</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HDMI2：(480i/576i/480p/576p/</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720p@50Hz&amp;60H2/1080@50Hz&amp;60Hz/1080p@24H2,25Hz,30Hz</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50Hz&amp;60H/2160p@30Hz&amp;60Hz(仅60寸支持)；</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13.分量复合视频输入：分量输入</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（480/576480p576/720@50Hz&amp;60H2/1080@50Hz&amp;</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60Hz10800@24Hz,25H,.30Hz,50H2&amp;60Hz）音频输入；视频输入,音频输入；</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14.屏幕显示的语言：简体中文/英文；</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电源要求：交流110-240V.50Hz；</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整机消耗功率: 215W。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定制吊装支架</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34</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4</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智能讲台（立式）</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c>
          <w:tcPr>
            <w:tcW w:w="5834" w:type="dxa"/>
            <w:vAlign w:val="center"/>
          </w:tcPr>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1.钢木结合材料一体成型；主体采用1.2-1.5mm冷轧钢板；橡木扶手；桌面鹅黄色耐刮木质材料；</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2.关闭尺寸≤1100x670x935（长宽高）MM；打开尺寸：1550x670x935（长宽高）；</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3.17-22寸0-130°方式自由打开。关闭后,所有设备都隐藏在讲台内；讲台操作就一把锁控制；键盘、鼠标、中控盒通过内置连环结构控制；展台抽屉通过自动压力弹簧锁控制；</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4.桌面集成USB接口模块两个，可预留(VGA\网络\Audio接口)。 讲台侧面预留电源模块孔位；</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5.右侧具有抽拉式抽屉，可放置实物展示台，承重6公斤；</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6.上、下两层设计结构，重型纸箱分开包装，安装简便；方便运输和搬运；</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7.设备仓可以容纳全部录播及电教设备,桌面可嵌入录播控制主机面板。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多媒体高清网络中央控制系统</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1.基本功能要求：</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系统集成千兆交换机、数字功放、HDMI高清视频矩阵、无线物联、强电控制、无线麦克风接收器、网络集控管理功能，后期可拓展实现小程序在线巡课功能。</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2.主机硬件技术参数：</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2.1标准1U机架式设计，适合安装于各类型机柜之中；</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2.2主板采用工业级高速嵌入式MIPS CPU，定制LINUX操作系统；</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★2.3集成千兆交换机，网口≥5口，SFP光口≥1路，支持VLAN划分≥4路；</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2.4集成数字功放，功率≥80W*2，3.5mm立体声音频线性输入接口≥2路，3.5mm立体声音频线性输出≥1路，带幻象供电麦克风输入接口≥2路；</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2.5可扩展内置DSP音频处理器，可实现自动回声消除、自动反馈抑制、自动降噪等特性，可接吊麦及有线或无线麦克风，实现远距离拾音；</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★2.6集成3*2HDMI视频矩阵，输入信号HDMI高清接口≥3路，输出信号HDMI高清接口≥2路，HDBaseT输出接口≥1路，可扩展通过HDBaseT接口外接控制模块实现教室双屏显示系统的独立控制；</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2.7集成物联接口，可编程RS232控制通信端口≥2路，USB通信接口≥2路，磁控锁IO控制接口≥2路，控制面板接口≥1路，支持集成无线物联功能的控制面板；</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2.8集成强电管理，采用防脱落电源插口，独立电源输出接口≥3路，每路负载电流≥10A；</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2.9集成无线麦克风接收器，可接入1路同品牌无线麦克风；</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2.10可扩展内置电脑功能，主机集成PC USB2.0接口≥4路，PC USB3.0接口≥2路。</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 系统软件功能要求：</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3.1内置WEB端，可配置系统参数和所控制设备参数配置等；</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3.2支持双路投影机同步或异步控制；</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3.3可扩展升级高清视频解码、数字广播模块，可支持HTTP、RTSP、UDP、RTP等主流流媒体协议，智能终端在待机状态下可接收服务器预设的高清流媒体内容或在线电视节目进行自动播放，自动开启显示设备，无需人工到教室开机，实现智能自动播放；</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3.4支持本地操控，可管理教室接入设备及扩展的电源模块≥14路，可精确统计接入设备的能耗及使用时长，支持列表或图表显示；</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3.5设备断网后进入本地控制模式，支持本地设备开关及物联设备本地化控制；</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3.6可扩展升级高清视频解码、数字广播模块，可实现智能终端的IP数字广播、高清视频的实时接收、解码及播放，配合融合平台软件可设置优先级为0-99级音视频广播任务的切换，实现调课管理；</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★3.7通过融合平台软件及微信小程序可实现远程对终端设备及物联模块进行定时集控管理（设备开机、关机、禁用，物联模块通电、断电等）。</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3.8支持在同网段和跨网段进行集控管理，实现一套设备的多业务融合。</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4.商务资质要求：</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中标后7个工作日内需提供原厂商针对本项目的授权书及售后服务承诺函原件。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restart"/>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w:t>
            </w: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用户管理</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asciiTheme="minorEastAsia" w:hAnsiTheme="minorEastAsia" w:eastAsiaTheme="minorEastAsia" w:cstheme="minorEastAsia"/>
                <w:kern w:val="0"/>
                <w:sz w:val="21"/>
                <w:szCs w:val="21"/>
                <w:lang w:bidi="ar"/>
              </w:rPr>
              <w:t>1</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增加、修改、删除账号；</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密码管理，可修改个人密码/可统一设置密码；</w:t>
            </w:r>
          </w:p>
          <w:p>
            <w:pPr>
              <w:widowControl/>
              <w:jc w:val="left"/>
              <w:textAlignment w:val="center"/>
              <w:rPr>
                <w:rFonts w:asciiTheme="minorEastAsia" w:hAnsiTheme="minorEastAsia" w:eastAsiaTheme="minorEastAsia" w:cstheme="minorEastAsia"/>
                <w:kern w:val="0"/>
                <w:sz w:val="21"/>
                <w:szCs w:val="21"/>
                <w:lang w:bidi="ar"/>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kern w:val="0"/>
                <w:sz w:val="21"/>
                <w:szCs w:val="21"/>
                <w:lang w:bidi="ar"/>
              </w:rPr>
              <w:t>3</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与学校现有账号进行无缝对接。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vAlign w:val="center"/>
          </w:tcPr>
          <w:p>
            <w:pPr>
              <w:widowControl/>
              <w:jc w:val="center"/>
              <w:textAlignment w:val="center"/>
              <w:rPr>
                <w:rFonts w:asciiTheme="minorEastAsia" w:hAnsiTheme="minorEastAsia" w:eastAsiaTheme="minorEastAsia" w:cstheme="minorEastAsia"/>
                <w:kern w:val="0"/>
                <w:sz w:val="21"/>
                <w:szCs w:val="21"/>
                <w:lang w:bidi="ar"/>
              </w:rPr>
            </w:pP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登录管理</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asciiTheme="minorEastAsia" w:hAnsiTheme="minorEastAsia" w:eastAsiaTheme="minorEastAsia" w:cstheme="minorEastAsia"/>
                <w:kern w:val="0"/>
                <w:sz w:val="21"/>
                <w:szCs w:val="21"/>
                <w:lang w:bidi="ar"/>
              </w:rPr>
              <w:t>1</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可实现扫码登录、账号密码登录，并通过统一身份认证平台实现多平台切换。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Merge w:val="continue"/>
            <w:vAlign w:val="center"/>
          </w:tcPr>
          <w:p>
            <w:pPr>
              <w:widowControl/>
              <w:jc w:val="center"/>
              <w:textAlignment w:val="center"/>
              <w:rPr>
                <w:rFonts w:asciiTheme="minorEastAsia" w:hAnsiTheme="minorEastAsia" w:eastAsiaTheme="minorEastAsia" w:cstheme="minorEastAsia"/>
                <w:kern w:val="0"/>
                <w:sz w:val="21"/>
                <w:szCs w:val="21"/>
                <w:lang w:bidi="ar"/>
              </w:rPr>
            </w:pP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直播管理</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asciiTheme="minorEastAsia" w:hAnsiTheme="minorEastAsia" w:eastAsiaTheme="minorEastAsia" w:cstheme="minorEastAsia"/>
                <w:kern w:val="0"/>
                <w:sz w:val="21"/>
                <w:szCs w:val="21"/>
                <w:lang w:bidi="ar"/>
              </w:rPr>
              <w:t>1</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jc w:val="left"/>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增加、修改、删除课程信息；</w:t>
            </w:r>
          </w:p>
          <w:p>
            <w:pPr>
              <w:widowControl/>
              <w:jc w:val="left"/>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lang w:bidi="ar"/>
              </w:rPr>
              <w:t>2</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课程信息与学校现有课程库无缝对接；</w:t>
            </w:r>
          </w:p>
          <w:p>
            <w:pPr>
              <w:widowControl/>
              <w:jc w:val="left"/>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增加、删除、修改直播课堂信息；</w:t>
            </w:r>
          </w:p>
          <w:p>
            <w:pPr>
              <w:widowControl/>
              <w:jc w:val="left"/>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预约直播课堂上课时间与结束时间；</w:t>
            </w:r>
          </w:p>
          <w:p>
            <w:pPr>
              <w:widowControl/>
              <w:jc w:val="left"/>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lang w:bidi="ar"/>
              </w:rPr>
              <w:t>5</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设置直播课堂任课教师，任课教师与学校现有系统进行无缝对接，可直接获取；</w:t>
            </w:r>
          </w:p>
          <w:p>
            <w:pPr>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asciiTheme="minorEastAsia" w:hAnsiTheme="minorEastAsia" w:eastAsiaTheme="minorEastAsia" w:cstheme="minorEastAsia"/>
                <w:kern w:val="0"/>
                <w:sz w:val="21"/>
                <w:szCs w:val="21"/>
                <w:lang w:bidi="ar"/>
              </w:rPr>
              <w:t>6.</w:t>
            </w:r>
            <w:r>
              <w:rPr>
                <w:rFonts w:hint="eastAsia" w:asciiTheme="minorEastAsia" w:hAnsiTheme="minorEastAsia" w:eastAsiaTheme="minorEastAsia" w:cstheme="minorEastAsia"/>
                <w:kern w:val="0"/>
                <w:sz w:val="21"/>
                <w:szCs w:val="21"/>
                <w:lang w:bidi="ar"/>
              </w:rPr>
              <w:t>添加、删除、修改直播课堂上课学员、学员信息与学校现有信息无缝对接、继承学员，相同课程不同课堂之间，学员信息可相互继承；</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能通过音频与视频进行在线直播课程；</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w:t>
            </w:r>
            <w:r>
              <w:rPr>
                <w:rFonts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kern w:val="0"/>
                <w:sz w:val="21"/>
                <w:szCs w:val="21"/>
                <w:lang w:bidi="ar"/>
              </w:rPr>
              <w:t>可通过共享屏幕分享课件；</w:t>
            </w:r>
          </w:p>
          <w:p>
            <w:pPr>
              <w:rPr>
                <w:rFonts w:asciiTheme="minorEastAsia" w:hAnsiTheme="minorEastAsia" w:eastAsiaTheme="minorEastAsia" w:cstheme="minorEastAsia"/>
                <w:kern w:val="0"/>
                <w:sz w:val="21"/>
                <w:szCs w:val="21"/>
                <w:lang w:bidi="ar"/>
              </w:rPr>
            </w:pPr>
            <w:r>
              <w:rPr>
                <w:rFonts w:asciiTheme="minorEastAsia" w:hAnsiTheme="minorEastAsia" w:eastAsiaTheme="minorEastAsia" w:cstheme="minorEastAsia"/>
                <w:kern w:val="0"/>
                <w:sz w:val="21"/>
                <w:szCs w:val="21"/>
                <w:lang w:bidi="ar"/>
              </w:rPr>
              <w:t>9.</w:t>
            </w:r>
            <w:r>
              <w:rPr>
                <w:rFonts w:hint="eastAsia" w:asciiTheme="minorEastAsia" w:hAnsiTheme="minorEastAsia" w:eastAsiaTheme="minorEastAsia" w:cstheme="minorEastAsia"/>
                <w:kern w:val="0"/>
                <w:sz w:val="21"/>
                <w:szCs w:val="21"/>
                <w:lang w:bidi="ar"/>
              </w:rPr>
              <w:t>能通过与学生连麦的方式，与学生进行音视频的讨论与交流，并可授权学生是否有语音、视频与控制电子白板操作功能；</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0.</w:t>
            </w:r>
            <w:r>
              <w:rPr>
                <w:rFonts w:hint="eastAsia" w:asciiTheme="minorEastAsia" w:hAnsiTheme="minorEastAsia" w:eastAsiaTheme="minorEastAsia" w:cstheme="minorEastAsia"/>
                <w:kern w:val="0"/>
                <w:sz w:val="21"/>
                <w:szCs w:val="21"/>
                <w:lang w:bidi="ar"/>
              </w:rPr>
              <w:t>IM聊天功能，在直播上课时，可通过IM聊天进行讨论交流；</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1.</w:t>
            </w:r>
            <w:r>
              <w:rPr>
                <w:rFonts w:hint="eastAsia" w:asciiTheme="minorEastAsia" w:hAnsiTheme="minorEastAsia" w:eastAsiaTheme="minorEastAsia" w:cstheme="minorEastAsia"/>
                <w:kern w:val="0"/>
                <w:sz w:val="21"/>
                <w:szCs w:val="21"/>
                <w:lang w:bidi="ar"/>
              </w:rPr>
              <w:t>课件上传，可上传word、excel、txt、pdf格式文件，并在直播课堂使用展示课件、课件下载，上传的课件保存到本人资源库，可下载与在线预览；</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2.</w:t>
            </w:r>
            <w:r>
              <w:rPr>
                <w:rFonts w:hint="eastAsia" w:asciiTheme="minorEastAsia" w:hAnsiTheme="minorEastAsia" w:eastAsiaTheme="minorEastAsia" w:cstheme="minorEastAsia"/>
                <w:kern w:val="0"/>
                <w:sz w:val="21"/>
                <w:szCs w:val="21"/>
                <w:lang w:bidi="ar"/>
              </w:rPr>
              <w:t>互动白板，在直播过程中可利用互动白板进行操作使用与讲解课程，功能包括激光笔、板书、涂画标记等功能；</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3.</w:t>
            </w:r>
            <w:r>
              <w:rPr>
                <w:rFonts w:hint="eastAsia" w:asciiTheme="minorEastAsia" w:hAnsiTheme="minorEastAsia" w:eastAsiaTheme="minorEastAsia" w:cstheme="minorEastAsia"/>
                <w:kern w:val="0"/>
                <w:sz w:val="21"/>
                <w:szCs w:val="21"/>
                <w:lang w:bidi="ar"/>
              </w:rPr>
              <w:t>答题统计、在直播课程时可设置题目答案，同时可进行答题争取率与错误率的统计；</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4.</w:t>
            </w:r>
            <w:r>
              <w:rPr>
                <w:rFonts w:hint="eastAsia" w:asciiTheme="minorEastAsia" w:hAnsiTheme="minorEastAsia" w:eastAsiaTheme="minorEastAsia" w:cstheme="minorEastAsia"/>
                <w:kern w:val="0"/>
                <w:sz w:val="21"/>
                <w:szCs w:val="21"/>
                <w:lang w:bidi="ar"/>
              </w:rPr>
              <w:t xml:space="preserve">在线签到，通过对直播课堂在线人员进行签到，统计签到率； </w:t>
            </w:r>
          </w:p>
          <w:p>
            <w:pPr>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5.</w:t>
            </w:r>
            <w:r>
              <w:rPr>
                <w:rFonts w:hint="eastAsia" w:asciiTheme="minorEastAsia" w:hAnsiTheme="minorEastAsia" w:eastAsiaTheme="minorEastAsia" w:cstheme="minorEastAsia"/>
                <w:kern w:val="0"/>
                <w:sz w:val="21"/>
                <w:szCs w:val="21"/>
                <w:lang w:bidi="ar"/>
              </w:rPr>
              <w:t xml:space="preserve">课后考勤管理，针对每次直播课堂，课后可对上课考勤情况进行统计，并可导出考勤情况表、考勤信息可直接对接到学校现有系统中，作为成绩打分指标； </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6.</w:t>
            </w:r>
            <w:r>
              <w:rPr>
                <w:rFonts w:hint="eastAsia" w:asciiTheme="minorEastAsia" w:hAnsiTheme="minorEastAsia" w:eastAsiaTheme="minorEastAsia" w:cstheme="minorEastAsia"/>
                <w:kern w:val="0"/>
                <w:sz w:val="21"/>
                <w:szCs w:val="21"/>
                <w:lang w:bidi="ar"/>
              </w:rPr>
              <w:t>可对直播课程进行录播，并保存视频到本地；</w:t>
            </w:r>
          </w:p>
          <w:p>
            <w:pPr>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7.</w:t>
            </w:r>
            <w:r>
              <w:rPr>
                <w:rFonts w:hint="eastAsia" w:asciiTheme="minorEastAsia" w:hAnsiTheme="minorEastAsia" w:eastAsiaTheme="minorEastAsia" w:cstheme="minorEastAsia"/>
                <w:kern w:val="0"/>
                <w:sz w:val="21"/>
                <w:szCs w:val="21"/>
                <w:lang w:bidi="ar"/>
              </w:rPr>
              <w:t xml:space="preserve">单次课堂承载量需达到10000人次，并由学校进行试用验证； </w:t>
            </w:r>
          </w:p>
          <w:p>
            <w:pPr>
              <w:rPr>
                <w:rFonts w:asciiTheme="minorEastAsia" w:hAnsiTheme="minorEastAsia" w:eastAsiaTheme="minorEastAsia" w:cstheme="minorEastAsia"/>
                <w:kern w:val="0"/>
                <w:sz w:val="21"/>
                <w:szCs w:val="21"/>
                <w:lang w:bidi="ar"/>
              </w:rPr>
            </w:pPr>
            <w:r>
              <w:rPr>
                <w:rFonts w:hint="eastAsia" w:cs="华文楷体" w:asciiTheme="minorEastAsia" w:hAnsiTheme="minorEastAsia" w:eastAsiaTheme="minorEastAsia"/>
                <w:sz w:val="21"/>
                <w:szCs w:val="21"/>
              </w:rPr>
              <w:t>★</w:t>
            </w: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8.</w:t>
            </w:r>
            <w:r>
              <w:rPr>
                <w:rFonts w:hint="eastAsia" w:asciiTheme="minorEastAsia" w:hAnsiTheme="minorEastAsia" w:eastAsiaTheme="minorEastAsia" w:cstheme="minorEastAsia"/>
                <w:kern w:val="0"/>
                <w:sz w:val="21"/>
                <w:szCs w:val="21"/>
                <w:lang w:bidi="ar"/>
              </w:rPr>
              <w:t>使用对象为本校师生与指定人员，平台稳定性与可行性需由校方完成试用验证。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asciiTheme="minorEastAsia" w:hAnsiTheme="minorEastAsia" w:eastAsiaTheme="minorEastAsia" w:cstheme="minorEastAsia"/>
                <w:kern w:val="0"/>
                <w:sz w:val="21"/>
                <w:szCs w:val="21"/>
                <w:lang w:bidi="ar"/>
              </w:rPr>
              <w:t>7</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液晶面板</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1.外壳采用工程塑料一次成型，采用隐藏式安装和走线，桌面整洁美观。</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2.钢化玻璃，高分辨率≥5英寸工业触摸屏，≥4个常用触摸按键，内置IP对讲模块。</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3.待机状态下可显示设备联机网络信息、终端ID信息、运维电话、二维码扫码开机、中英文切换信息等。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4.面板集成物联协议，可同时接入同品牌无线麦克风，及同时支持扩展电源模块≥14路的无线接入。</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5.集成IC卡读卡器，支持插卡或者刷卡两种开机模式，通过云平台系统支持二维码扫码开机。</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6.触控面板集成音频编解码功能，配合软件融合平台可实现远程IP对讲，语音监听、录播联动控制（开始、暂停、停止）等功能。支持广播信号本地暂停收听及音量调节。</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7.支持设备故障报修功能，如中控故障、投影故障、电脑故障、扩音故障。</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8.可根据设备组成情况定制触摸控制内容及设备，支持一键中英文切换，支持学校LOGO定制。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9.能够与多媒体高清网络中央控制系统无缝兼容配套使用，可定制用户界面。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asciiTheme="minorEastAsia" w:hAnsiTheme="minorEastAsia" w:eastAsiaTheme="minorEastAsia" w:cstheme="minorEastAsia"/>
                <w:kern w:val="0"/>
                <w:sz w:val="21"/>
                <w:szCs w:val="21"/>
                <w:lang w:bidi="ar"/>
              </w:rPr>
              <w:t>8</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音箱</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对</w:t>
            </w:r>
          </w:p>
        </w:tc>
        <w:tc>
          <w:tcPr>
            <w:tcW w:w="5834"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1.室内壁挂式安装，角度可调节。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2.高强度ABS工程环保塑料一次注塑成形，专业结构设计确保输出平滑的频响、高效出色的音质，真实还原人声及乐曲。</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3.具备号角式结构设计，双导向管、音柱型箱体设计，在同等声压下可输出更大动态范围。</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4.内置4×6寸椭圆形专业定制低音单元，94mm球顶高音单元、HIFI分频器。</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5.功率：60W，阻抗：8欧姆。 </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6.频响：35HZ-18KHZ。</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7.总谐波失真：低音喇叭＜5% ，高音喇叭＜3%。</w:t>
            </w:r>
          </w:p>
          <w:p>
            <w:pP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sz w:val="21"/>
                <w:szCs w:val="21"/>
              </w:rPr>
              <w:t>8.灵敏度：90±3dB。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asciiTheme="minorEastAsia" w:hAnsiTheme="minorEastAsia" w:eastAsiaTheme="minorEastAsia" w:cstheme="minorEastAsia"/>
                <w:kern w:val="0"/>
                <w:sz w:val="21"/>
                <w:szCs w:val="21"/>
                <w:lang w:bidi="ar"/>
              </w:rPr>
              <w:t>9</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无线手持话筒</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1.采用音频实时编解码专利技术，在48K采样频率情况下，保证音质的高保真、外壳采用高强度工程环保塑料一次注塑成形，可调节麦克风音量大小。</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★2.内置充电电池，支持本地音量调节及音量记忆，无外露天线低功耗设计，电磁辐射密度小于30uw/cm2，工作在2.4GHz。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 ISM频段，频率范围：2400 -2483.5MHz.选取128个channel， 每个channel的频带带宽为500KHZ， 对应0～127个频点。</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4.有效接收距离不低于20米（开阔无障碍物，接收与发射处于静止状态下测试结果）背景噪音：无。</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支持点对多点的动态接入方式。采用动态跳频和协议对码的方式，无线麦克风可接入到任何一个具有接收模块的设备中。对频后依据自有协议双方采用动态协商及实时跳频方式进行通信，避免多个设备同时使用时相互串扰。</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6.能够与多媒体高清网络中央控制系统无缝兼容配套使用。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asciiTheme="minorEastAsia" w:hAnsiTheme="minorEastAsia" w:eastAsiaTheme="minorEastAsia" w:cstheme="minorEastAsia"/>
                <w:kern w:val="0"/>
                <w:sz w:val="21"/>
                <w:szCs w:val="21"/>
                <w:lang w:bidi="ar"/>
              </w:rPr>
              <w:t>10</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六口排插</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1.颜色要求：白色；</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2.孔位组合：六位组合孔；</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3.电源线长：1.5米；</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4.额定电压：250V；</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5.额定电流：10A MAX；</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6.额定功率：2500W MAX；</w:t>
            </w:r>
          </w:p>
          <w:p>
            <w:pPr>
              <w:widowControl/>
              <w:tabs>
                <w:tab w:val="left" w:pos="0"/>
              </w:tabs>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7.尾插：插头；</w:t>
            </w:r>
          </w:p>
          <w:p>
            <w:pPr>
              <w:widowControl/>
              <w:tabs>
                <w:tab w:val="left" w:pos="0"/>
              </w:tabs>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8.线芯：3*0.75国标铜。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1</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三路电源控制器</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30</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1.基本功能要求：控制器应集成串口控制、强电控制、能耗采集等基本功能。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2.硬件技术参数：</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2.1电源控制器可通过无线和有线(RS-232)两种方式与智能融合终端系统无线连接，可壁挂式安装。</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★2.2电源控制器自带能耗计量芯片，能实时统计能耗，并定时上传真实能耗数据。</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★2.3输入采用大功率防脱落插头，输出采用大功率咬合式接口。</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2.4要求至少具备3路电源独立输出，可以独立控制用电设备通断电，单路电源输出最大功率2200W，三路总功率可达6600W。</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2.5脱机情况下常按复位键可启动通电应急模式。</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2.6可与本品牌智能融合终端无缝兼容。</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3.软件功能要求：</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3.1通过平台软件远程监控每个电源输出的运行状态，并通过现有网络对各教室的灯光、风扇等用电设备进行实时通断电控制。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3.2授权用户可通过WEB、微信小程序等通信方式对所连接的用电设备（风扇、电灯、窗帘等）进行远程的手动单点、批量或定时的通断电动作。</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★3.3电源控制器可根据服务器预先设定的模式自动运行，可选配操作面板对所物联设备进行本地控制。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3.4当检测与控制终端失联、断网时，可自动启动通电应急模式。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2</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远程空调控制器</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1.基本功能要求：控制器应集成温湿度检测、红外控制、强电控制、能耗采集等基本功能。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2.硬件技术参数：</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2.1空调控制终端通过无线方式与智能融合终端无线连接，壁挂式安装；</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★2.2内置能耗计量芯片，可实时检测空调运行状态并上报能耗数据；</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2.3输入采用大功率防脱落插头，输出采用大功率咬合式接口；</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★2.4内置温湿度传感器，配合软件管理平台可实时显示当前区域温湿度状态；</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2.5脱机情况下常按复位键可启动通电应急模式；</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2.6  1路红外输出，可以控制红外设备开关机及其他模式切换；</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2.7可与同品牌智能融合终端无缝兼容。</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3.软件功能要求：</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3.1通过平台软件远程监控每个空调的运行状态，并通过现有网络对各教室的空调实时开关机及通断电控制；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3.2授权用户可通过WEB、微信小程序等通信方式对空调进行远程的点对点、点对组、分组、定时的开关机及通断电动作；</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★3.3远程空调模块可根据平台预先设定的控制模式自动运行，可选配操作面板对空调进行本地控制；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3.4支持红外码的导入导出，支持手动学习红外码，控制各类红外设备；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3.5当检测与控制终端失联、断网时，可自动启动通电应急模式。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3</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多媒体总控运维管理平台软件</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基于定制的Linux操作系统，集成MySql数据库。提供对海量数据和文件的存储管理、设备使用日志管理、用户管理、能耗统计、系统使用日志的记录和统计功能，系统具备安全性管理，支持搜索功能，支持超级管理员指定时间日志统计和清除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 xml:space="preserve">★2.系统支持跨网段组播(≥20路网段），即可实现智能终端设备的跨网段集控管理以及高清音视频流的跨网段传输、播放等业务，软件提供路由设置可实现双网卡内外网数据传输管理。 </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支持客户端基于BS构架的web登陆方式，依权限的不同管理不同的智能终端。并支持分别管理各个终端所支持的数字业务功能（定时/手动控制任务、依据时间策略的高清音视频数字广播业务），软件支持操作系统的远程重启和关机。提供网卡、路由、网关、DNS等网络基本参数配置。支持NTP网络同步时间。</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 xml:space="preserve">4.通过微信小程序可远程对终端设备及物联模块进行定时集控管理（设备开机、关机、禁用，物联模块开电、关电等）。可创建手动及定时集控、音视频广播任务，并可随时播放及停止任务。提供微信小程序对机柜式广播节点，音频广播站的内置MP3文件选择播放控制及通道选择，授权管理员可通过手机启动，停止设备，远程通断外接大功率功放电源，可通过手机控制播放机柜式广播终端及数字音频广播站的媒体文件。 </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5.系统支持IC授权管理、支持与第三方IC系统对接，提供面向第三方的RESTFul API接口，支持智能终端本地控制面板直接实现IP语音电话、远程监听、远程呼叫功能。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6.提供基于公网的云平台服务，向授权认证用户提供基于公网的云支撑平台服务。</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7.提供远程维护功能，用户通过软件可发起远程请求，厂家技术人员可远程进行系统升级、维护、故障定位等服务。</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8.软件系统支持事件联动报警机制，通过事件触发器可根据设定的优先级触发相关特定动作，如：消防语音广播、视频通告、紧急断电等。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9.对所有登记的融合信息终端进行高效融合管理，包含对指定（预先分组）的融合信息终端（智能终端）的定时受控（开机/关机/禁用）、手动受控（开机/关机/禁用）、电源管理。</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 xml:space="preserve">10.具有对终端（智能终端）远程实时监控、操作、预定操作等可视化及智能化的设备管理功能，支持对终端所连接的电脑进行 Windows桌面的远程监控和远程控制功能。 </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11.支持web远程登陆服务器进行远程修改、设置IP地址，远程重启系统。</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12.支持IC卡插（刷）卡授权开机，支持设备联动一键开机及关机，支持动态二维码扫码开机。</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13.具有定时播放功能，根据定时日程设定不同的音视频流播放计划，系统实现24小时无人值守，系统最大可支持8路不同节目高清视频、32路音频的同时播放。</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14.对定点、预先分组的融合信息终端进行音频的定时广播、手动广播 (插播) 、实时采播、PC端呼叫等功能。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 xml:space="preserve">15.音频广播优先级排列设置提供0-99优先级、模式设置以及相对日益繁多的定时广播进行多任务的调课设置。 </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16.音频流传输采用高效的编码技术，网络延时极低。</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17.提供灵活的任务模板及调课铃声设置，指定某一日期选择调课，可把相应的物联控制、音视频广播控制指令全部调度。</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18.基于媒体库中的全高清素材对指定（预先分组）的融合信息终端设定定时播出、手动播出、实况转播等功能。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19.提供网络视频源地址的实时播放(支持≥3路网络视频同时播放），可对指定或预先分组设定的教室终端（非计算机）进行定时播出等功能，并可依预先设定的程序对受控信息终端所连接的显示设备进行电源管理。</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20.提供数据库备份可手动备份下载到本地电脑、提供≥3种图标设置，可自行定义主页登陆logo、头部图标、标签页图标。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21.提供管理证书认证，可自定义名称登陆软件后可显示自定义系统名称。</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22.提供在线设备升级功能，显示设备当前版本可升级目标版本，可批量操作设备升级。</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★23.提供设备异常离线告警，可设置离线阈值，当达到设置离线阈值系统可自动推送信息到绑定的微信管理账号实现实时消息离线提醒。</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24.提供可视化界面，含设备统计饼图、柱状图，设备总数数据、在线率、利用率统计。</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25.提供学校及教室电器设备物联资源数据（空调、灯光、风扇、窗帘、杀毒灯、屏蔽仪等）。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26.支持媒体文件的在线预览，支持上传媒体文件审核功能，没经过管理员审核的媒体文件不得进行播放。</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★27.提供设备状态曲线图统计如开机、设备能耗、离线数据。提供日志统计图、设备日志、用户日志、系统日志提供设备日志总览如开机时长曲线图、离线统计曲线图。</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28.提供系统硬件使用率，如磁盘利用率、CPU利用率等。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29.提供设备刷卡开机统计如开机总数、刷卡成功、失败等显示，设备能耗曲线分布图，分布统计教室电器设备。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30.音视频播放支持MP3、MP4， MOV，AVI、TS流等主流格式，通过平台srs服务，完成RTMP的拉流和推流功能。</w:t>
            </w:r>
          </w:p>
          <w:p>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31.可联动录播预览和录播状态的自动上报功能。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4</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融合服务器</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1.处理器: 1 X Intel XEON Bronze 3104 6C/6T 1.7GHz 8.25M 85W；</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2.芯片组：采用INTEL C621芯片组；</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3.内存: 1 X 8GB/DDR4/2133；</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4.硬盘: 企业级3*2T SAS (7200Rpm)/ 3.5寸/企业级，最大支持4块热插拔3.5寸硬盘，可选内置2个2.5寸 SSD；</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5.RAID卡: LR382A/8口/SAS 12Gb/半高/PCIe 3.0 x8/1GB缓存/支持RAID 0,1,5,6,10,50,60,JBOD；</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6.板载网络：集成2个千兆网口；</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7.PCIE扩展：默认提供1个半高 PCI-E3.0 x8扩展插槽；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8.其他端口: USB2.0 接口4个，USB3.0 接口2个，VGA接口1个；</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9.风扇：6个易插拔风扇；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10.电源:标配600W金牌服务器单电源，可选450W 1+1金牌热插拔冗余电源；</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11.形态：1U机架服务器；</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12.物理尺寸:约高43.5mm*宽430mm*深660mm，支持19”机柜；</w:t>
            </w:r>
          </w:p>
          <w:p>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13.安装：上架导轨安装。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5</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空调</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6</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台</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1.内机噪音(dB(A):50/46/41；</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2.变频/定频:定频；</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3.电辅加热功率(W):3500；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4.能效等级:三级能效；</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5.制热量(W):14000；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6.除湿量(L/h):4kg/h；</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7.外机噪音(dB(A):58；</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8.电辅加热:支持电辅加热；</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9.制热功率(W):4100；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10.适用面积:55-65；</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11.制冷功率(W):3760；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12.冷暖类型:冷暖；</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13.定频机能效比:3.19；</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14.制冷量(W):12000；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15.电压/频率:380V/50Hz；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16.制冷剂:R22；</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17.含空调安装铜管。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6</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多媒体系统利旧</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2个大教室的投影及音响系统需要拆除并恢复安装使用。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w:t>
            </w:r>
            <w:r>
              <w:rPr>
                <w:rFonts w:asciiTheme="minorEastAsia" w:hAnsiTheme="minorEastAsia" w:eastAsiaTheme="minorEastAsia" w:cstheme="minorEastAsia"/>
                <w:kern w:val="0"/>
                <w:sz w:val="21"/>
                <w:szCs w:val="21"/>
                <w:lang w:bidi="ar"/>
              </w:rPr>
              <w:t>7</w:t>
            </w:r>
          </w:p>
        </w:tc>
        <w:tc>
          <w:tcPr>
            <w:tcW w:w="1721"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装修集成</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教室总面积600平方米，新修内容及要求如下：</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1.顶面拆除原有顶棚。吊顶设计采用细木工板基层石膏板饰面，乳胶漆刷白；</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2.四周墙壁：乳胶漆顶面油漆，乳胶漆墙面修补原有墙面；</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3.地面设计：拆除原有桌椅并安装新购置桌椅；</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灯光设计：拆除原有灯光，灯具选配6500k白光600配套平板LED，数量24盏，教室的照明，与讲台区在无外界光线干扰情况下，保证学生区照明光线的均匀，与讲台区色温一致。空气开关单灯控制。2.5平方灯具布线，4套灯具开关。空调插座布线要求4平方。所有线材有穿线管保护；</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5.产品要求：</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三基色补光灯：LED三基色；</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额定电压：AC110/230V+10%；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额定频率：50Hz-60Hz；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额定功率：140W；</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光束角度：160度；</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色温：3000-8000K可调；</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显色指数：Ra&gt;=96；</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最高亮度：&gt;=9500LM；</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光源：0.5W LED；</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灯珠数量：280颗；</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通道数: 3个国际DMX512通道；</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控制模式：手动、DMX512，主副机；</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导光板：高效乳白色纳米光学导光板，解决炫光问题。</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6.工作温度：-20℃-45℃；</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7.适用范围：礼堂、报告厅、会议室、多功能厅、新闻演播室、剧院、戏院、舞台等；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8.散热方式：铝合金机箱散热；</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9.外壳材料：铝材+纳米光学导光板；</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10.尺寸：455*350*64mm；</w:t>
            </w:r>
          </w:p>
          <w:p>
            <w:pPr>
              <w:widowControl/>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11.包含所涉及的所有材料及人工，为交钥匙工程。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w:t>
            </w: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辅材</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15</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含HDMI线缆、电源线、音响线、控制线、线槽及满足使用需要配套的设备等。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pPr>
              <w:widowControl/>
              <w:jc w:val="left"/>
              <w:textAlignment w:val="center"/>
              <w:rPr>
                <w:rFonts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1</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55寸液晶DID拼接屏</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台</w:t>
            </w:r>
          </w:p>
        </w:tc>
        <w:tc>
          <w:tcPr>
            <w:tcW w:w="5834" w:type="dxa"/>
            <w:vAlign w:val="center"/>
          </w:tcPr>
          <w:p>
            <w:pPr>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1.产品规格:55寸0.88mm液晶拼接大屏幕；</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2.图像长宽比：16：9；</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 xml:space="preserve">3、响应时间 ≤8ms； </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4.色彩：8Bit；</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5.亮度：700cd/ m2；</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6.对比度：</w:t>
            </w:r>
            <w:r>
              <w:rPr>
                <w:rFonts w:cs="宋体" w:asciiTheme="minorEastAsia" w:hAnsiTheme="minorEastAsia" w:eastAsiaTheme="minorEastAsia"/>
                <w:kern w:val="44"/>
                <w:sz w:val="21"/>
                <w:szCs w:val="21"/>
              </w:rPr>
              <w:t>450</w:t>
            </w:r>
            <w:r>
              <w:rPr>
                <w:rFonts w:hint="eastAsia" w:cs="宋体" w:asciiTheme="minorEastAsia" w:hAnsiTheme="minorEastAsia" w:eastAsiaTheme="minorEastAsia"/>
                <w:kern w:val="44"/>
                <w:sz w:val="21"/>
                <w:szCs w:val="21"/>
              </w:rPr>
              <w:t>0：1；</w:t>
            </w:r>
          </w:p>
          <w:p>
            <w:pPr>
              <w:jc w:val="left"/>
              <w:rPr>
                <w:rFonts w:cs="宋体"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7.可视角度：178度/178度；</w:t>
            </w:r>
          </w:p>
          <w:p>
            <w:pPr>
              <w:jc w:val="left"/>
              <w:rPr>
                <w:rFonts w:asciiTheme="minorEastAsia" w:hAnsiTheme="minorEastAsia" w:eastAsiaTheme="minorEastAsia"/>
                <w:kern w:val="44"/>
                <w:sz w:val="21"/>
                <w:szCs w:val="21"/>
              </w:rPr>
            </w:pPr>
            <w:r>
              <w:rPr>
                <w:rFonts w:hint="eastAsia" w:cs="宋体" w:asciiTheme="minorEastAsia" w:hAnsiTheme="minorEastAsia" w:eastAsiaTheme="minorEastAsia"/>
                <w:kern w:val="44"/>
                <w:sz w:val="21"/>
                <w:szCs w:val="21"/>
              </w:rPr>
              <w:t>8.</w:t>
            </w:r>
            <w:r>
              <w:rPr>
                <w:rFonts w:hint="eastAsia" w:asciiTheme="minorEastAsia" w:hAnsiTheme="minorEastAsia" w:eastAsiaTheme="minorEastAsia"/>
                <w:kern w:val="44"/>
                <w:sz w:val="21"/>
                <w:szCs w:val="21"/>
              </w:rPr>
              <w:t>物理拼缝：上下拼缝0.88mm，左右拼缝0.88mm；</w:t>
            </w:r>
          </w:p>
          <w:p>
            <w:pPr>
              <w:jc w:val="left"/>
              <w:rPr>
                <w:rFonts w:asciiTheme="minorEastAsia" w:hAnsiTheme="minorEastAsia" w:eastAsiaTheme="minorEastAsia"/>
                <w:kern w:val="44"/>
                <w:sz w:val="21"/>
                <w:szCs w:val="21"/>
              </w:rPr>
            </w:pPr>
            <w:r>
              <w:rPr>
                <w:rFonts w:hint="eastAsia" w:asciiTheme="minorEastAsia" w:hAnsiTheme="minorEastAsia" w:eastAsiaTheme="minorEastAsia"/>
                <w:kern w:val="44"/>
                <w:sz w:val="21"/>
                <w:szCs w:val="21"/>
              </w:rPr>
              <w:t>9.</w:t>
            </w:r>
            <w:r>
              <w:rPr>
                <w:rFonts w:hint="eastAsia" w:cs="宋体" w:asciiTheme="minorEastAsia" w:hAnsiTheme="minorEastAsia" w:eastAsiaTheme="minorEastAsia"/>
                <w:bCs/>
                <w:sz w:val="21"/>
                <w:szCs w:val="21"/>
              </w:rPr>
              <w:t>背光模式：LED；</w:t>
            </w:r>
          </w:p>
          <w:p>
            <w:pPr>
              <w:jc w:val="left"/>
              <w:rPr>
                <w:rFonts w:asciiTheme="minorEastAsia" w:hAnsiTheme="minorEastAsia" w:eastAsiaTheme="minorEastAsia"/>
                <w:kern w:val="44"/>
                <w:sz w:val="21"/>
                <w:szCs w:val="21"/>
              </w:rPr>
            </w:pPr>
            <w:r>
              <w:rPr>
                <w:rFonts w:hint="eastAsia" w:asciiTheme="minorEastAsia" w:hAnsiTheme="minorEastAsia" w:eastAsiaTheme="minorEastAsia"/>
                <w:kern w:val="44"/>
                <w:sz w:val="21"/>
                <w:szCs w:val="21"/>
              </w:rPr>
              <w:t>10.电源：AC 100V-240V，50/60HZ；</w:t>
            </w:r>
          </w:p>
          <w:p>
            <w:pPr>
              <w:jc w:val="left"/>
              <w:rPr>
                <w:rFonts w:asciiTheme="minorEastAsia" w:hAnsiTheme="minorEastAsia" w:eastAsiaTheme="minorEastAsia"/>
                <w:kern w:val="44"/>
                <w:sz w:val="21"/>
                <w:szCs w:val="21"/>
              </w:rPr>
            </w:pPr>
            <w:r>
              <w:rPr>
                <w:rFonts w:hint="eastAsia" w:cs="宋体" w:asciiTheme="minorEastAsia" w:hAnsiTheme="minorEastAsia" w:eastAsiaTheme="minorEastAsia"/>
                <w:bCs/>
                <w:sz w:val="21"/>
                <w:szCs w:val="21"/>
              </w:rPr>
              <w:t>11.</w:t>
            </w:r>
            <w:r>
              <w:rPr>
                <w:rFonts w:hint="eastAsia" w:asciiTheme="minorEastAsia" w:hAnsiTheme="minorEastAsia" w:eastAsiaTheme="minorEastAsia"/>
                <w:kern w:val="44"/>
                <w:sz w:val="21"/>
                <w:szCs w:val="21"/>
              </w:rPr>
              <w:t>安装方式：壁挂式、立柱式、嵌入式、机柜式等；</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12.超长使用寿命，平均使用寿命不低于100000h；</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13.拼接屏具备紧急解锁和加密功能，可使用手机短信直接解锁和加密，不受距离限制；</w:t>
            </w:r>
            <w:r>
              <w:rPr>
                <w:rFonts w:cs="宋体" w:asciiTheme="minorEastAsia" w:hAnsiTheme="minorEastAsia" w:eastAsiaTheme="minorEastAsia"/>
                <w:bCs/>
                <w:sz w:val="21"/>
                <w:szCs w:val="21"/>
              </w:rPr>
              <w:t xml:space="preserve">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14.拼接单元采用模块化设计，易于维护，提高整机可靠性及便利性；</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15.液晶面板为品牌优质面板</w:t>
            </w:r>
            <w:r>
              <w:rPr>
                <w:rFonts w:cs="宋体" w:asciiTheme="minorEastAsia" w:hAnsiTheme="minorEastAsia" w:eastAsiaTheme="minorEastAsia"/>
                <w:bCs/>
                <w:sz w:val="21"/>
                <w:szCs w:val="21"/>
              </w:rPr>
              <w:t>；</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16.LCD显示单元与大屏拼接控制器、大屏控制软件等相互兼容，避免出现兼容性和售后维护问题；</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17.中标后7个工作日内需提供原厂商针对本项目的授权书原件并加盖公章；</w:t>
            </w:r>
          </w:p>
          <w:p>
            <w:pPr>
              <w:widowControl/>
              <w:jc w:val="left"/>
              <w:textAlignment w:val="center"/>
              <w:rPr>
                <w:rFonts w:asciiTheme="minorEastAsia" w:hAnsiTheme="minorEastAsia" w:eastAsiaTheme="minorEastAsia" w:cstheme="minorEastAsia"/>
                <w:kern w:val="0"/>
                <w:sz w:val="21"/>
                <w:szCs w:val="21"/>
                <w:lang w:bidi="ar"/>
              </w:rPr>
            </w:pPr>
            <w:r>
              <w:rPr>
                <w:rFonts w:hint="eastAsia"/>
              </w:rPr>
              <w:t>★</w:t>
            </w:r>
            <w:r>
              <w:rPr>
                <w:rFonts w:hint="eastAsia" w:cs="宋体" w:asciiTheme="minorEastAsia" w:hAnsiTheme="minorEastAsia" w:eastAsiaTheme="minorEastAsia"/>
                <w:bCs/>
                <w:sz w:val="21"/>
                <w:szCs w:val="21"/>
              </w:rPr>
              <w:t>18.中标后7个工作日内需提供原厂商针对本项目的厂家售后服务承诺书原件并加盖公章。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2</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大屏幕图像拼接处理器</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台</w:t>
            </w:r>
          </w:p>
        </w:tc>
        <w:tc>
          <w:tcPr>
            <w:tcW w:w="5834" w:type="dxa"/>
            <w:vAlign w:val="center"/>
          </w:tcPr>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1.多总线并行处理，处理功能强大；</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2.全硬件构架，无CPU和操作系统；</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3.启动时间小于8秒钟，启动迅速；</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4.集成多路视频信号源种类：DVI、HDMI、复合视频、VGA；</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5.纯硬件控制，图像处理速度快，信号源之间切换在瞬间完成；</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6.可独立对显示单元的白平衡、亮度、对比度、清晰度等多种拼接画质进行调整；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7.可支持8位硬件地址设定拨码开关模式，可实现软硬件两种修改ID码方式，方便快捷；</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8.可开放底层通讯协议，便于用户灵活采用第三方中控系统；或自行编制软件构造大屏幕工程系统；</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9.多重接口设计：</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1路CVBS输入，1路CVBS输出，复合视频峰值：1Vp-p；</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1路DVI输入，WUXGA（1920*1080）向下自适应兼容；</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1路HDMI输入，1080P60向下自适应兼容；</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1路VGA输入，WUXGA（1920*1080）向下自适应兼容；</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1路RS232输入，2路RS232输出，RJ45环接；</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1路ISP专用接口，升级遥控维护接口；</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10.可支持感光功能，当光线变化时感光器有两秒的感应时间，光线变暗，大屏变暗，当光线变亮时，大屏变亮。能够主动根据环境亮度调整大屏显示的背光亮度，有效节约能耗，节能环保；</w:t>
            </w:r>
            <w:r>
              <w:rPr>
                <w:rFonts w:cs="宋体" w:asciiTheme="minorEastAsia" w:hAnsiTheme="minorEastAsia" w:eastAsiaTheme="minorEastAsia"/>
                <w:bCs/>
                <w:sz w:val="21"/>
                <w:szCs w:val="21"/>
              </w:rPr>
              <w:t xml:space="preserve">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11.支持遥控一键式拼接，在没有电脑控制的情况下，可以使用遥控器快速进行大屏拼接展示，单屏，开关机；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12.支持180度镜像功能；</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13.具备色温校正系统，在屏有色彩差异时，快速调整色彩差异；</w:t>
            </w:r>
            <w:r>
              <w:rPr>
                <w:rFonts w:cs="宋体" w:asciiTheme="minorEastAsia" w:hAnsiTheme="minorEastAsia" w:eastAsiaTheme="minorEastAsia"/>
                <w:bCs/>
                <w:sz w:val="21"/>
                <w:szCs w:val="21"/>
              </w:rPr>
              <w:t xml:space="preserve">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14.可扩展支持HDMI环出；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15.支持3D数字梳状滤波器，3D降噪技术，有效消除杂波干扰，边缘锯齿现象；支持红外控制和RS232环接控制，多个显示单元通过RS232线缆串接，实现集中控制；</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16.内置智能温控，可24小时持续工作，处理器内部温度达到45度左右，风扇自动启动；</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17.支持防雷、防静电、防辐射、延时开机特性；</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18.内嵌3D视频亮色分离电路单元；</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19.内嵌3D逐行处理及帧频归一转化电路单元；</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20.内嵌3D数字信号降噪单元；</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21.可支持365×24h不间断开机；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22.支持多种视频信号格式，可实现DVI HDMI VGA BNC AV等多种视频信号输入，满足不同需求；</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23.超长使用寿命，平均使用寿命不低于100000h；</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24.可采用无风扇结构设计，环保静音、节约能耗、减少噪音、降低整机温度，延长使用寿命；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25.拼接屏具备紧急解锁和加密功能，可使用手机短信直接解锁和加密，不受距离限制； </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26.拼接单元采用模块化设计，易于维护，提高整机可靠性及便利性；</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27.LCD显示单元、大屏控制软件等优先选择相互兼容性高的的整套设备，避免出现兼容性和售后维护问题； </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28.中标后7个工作日内必须提供厂家项目授权书原件；</w:t>
            </w:r>
          </w:p>
          <w:p>
            <w:pPr>
              <w:widowControl/>
              <w:jc w:val="left"/>
              <w:textAlignment w:val="cente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29.中标后7个工作日内必须提供厂家售后服务承诺书原件。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3</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大屏拼接控制软件</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分布式可视化中央交互系统控制软件，可以在PC触摸屏各种终端上实现对全平台的控制，包括大屏控制、信号源检索、中央环境控制等功能；</w:t>
            </w:r>
          </w:p>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采用可视化的界面，所见即所得，虚拟大屏、信号回显查看以及设备的控制，都支持通过设计软件进行自定义布局和设置，包括系统；</w:t>
            </w:r>
          </w:p>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交互方式采用触摸的方式，可以实现信号源拖拽大屏投放，音视频同步切换，对信号源窗口可以放大、缩小、移动、边缘关闭操作。将信号源拖拽到系统大屏区域，可以实时投放到大屏显示。单击选中信号窗口后，拖拽可以移动信号源的窗口位置；可以对信号源窗口进行放大、缩小；</w:t>
            </w:r>
          </w:p>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多场景应用，能够一键切换大屏布局模式，一个软件控制多套设备，控制大屏电源开关；</w:t>
            </w:r>
          </w:p>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信号源列表中支持回显显示，通过滑动的方式查看更多信号源，也可以按照名称进行检索。用户只需要在检索框中输入信号源关键字就可以快速查询信号源；</w:t>
            </w:r>
          </w:p>
          <w:p>
            <w:pPr>
              <w:widowControl/>
              <w:jc w:val="left"/>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信号源投放大屏前可以进行预览，确认图像画面正确后投放大屏显示，避免信号投放错误；</w:t>
            </w:r>
          </w:p>
          <w:p>
            <w:pPr>
              <w:widowControl/>
              <w:jc w:val="left"/>
              <w:textAlignment w:val="cente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asciiTheme="minorEastAsia" w:hAnsiTheme="minorEastAsia" w:eastAsiaTheme="minorEastAsia"/>
                <w:sz w:val="21"/>
                <w:szCs w:val="21"/>
              </w:rPr>
              <w:t>支持现场环境设备的控制功能，可选配中控模块设备，包括音频设备、摄像头、投影机、灯光等设备。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4</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矩阵切换器</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1.可实现单元显示、任意组合显示、单屏显示、整屏显示；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2.支持背光、色度、对比度、清晰度单独调整；</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3.支持色温、几何尺寸、亮度增益、亮度补偿调整；</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4.HDMI支持PC和DVD模式的软件切换；</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5.支持无信号屏幕显示LOGO选择设定，背景颜色的设定；</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6.支持多种预案存储设定，一键记忆当前状态设为预案保存；</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7.内置随机码软地址发生器，利于现场的快速安装调试；</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8.USB上电自动升级，还可支持ISP专用工具升级；</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9.支持软件一键复位操作；</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10.支持图像重显率的设定及调整；</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11.支持VGA信号的自动调整；</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12.具备定时开关大屏功能，方便管理；</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13.可支持文本高清显示功能；</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14.矩阵联动控制，仅需一步就能完成大屏与矩阵的联动切换；</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15.支持各种高清矩阵、数字矩阵、模拟矩阵；</w:t>
            </w:r>
          </w:p>
          <w:p>
            <w:pPr>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16.可支持LED虚拟字幕功能；</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17.采用大规模高分辨率芯片，具有长线驱动功能；8路HDMI输入；输出12路HDMI；</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18.视频信号处理系统采用分布式计算系统，任何一个处理器损坏，不影响其他信号及整个大屏幕的正常显示。可根据操作人员需要方便进行输入输出视频信号的扩展；</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19.所有板卡都可以独立供电后作业，实现分布式的网络连接及管理，可国标机架式安装（2,5U、4U、8U、14U 机箱），可分布式节点机安装 （输入输出节点机）；单节点输出不少于2路HDMI输出，1路HDMI输入；</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20.支持4k超高清采集，单节点不少于2路4K3840*2160分辨率采集；</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21.网络云拼接处理器理论上不限制输入信号的数量，输出信号的数量，最大可实现256块屏拼接；单屏最大16分割，18层窗；</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22.支持在任何等行等列的屏幕上进行任意：信号采集、分割、拼接、开窗、叠加、漫游、画中画、画外画、任意缩放、预案、高清回显、开字幕、字幕支持底图叠加，可选多种信号颜色色块，对每种信号的显示色块区别，如网络抓屏信号为红色，摄像机信号为黄色，采集信号为蓝色，颜色可自由选择；</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23.云抓屏：在同一个局域网内；无损实时大量网络桌面推送（抓屏）上墙显示；多网页实时互动显示多个IE逐点高清显示，每个窗口可实现互动、控制。不需多台电脑，上墙、互动、控制功能由一台主机实现。利用操作软件更可对每个flash动画、PPT/PDF动态文件、应用程序、WORD、EXCEL文档资料等窗口进行全屏、翻页等更多互动操作方式，将信息图表、趋势报告、精细化数字数据清晰刻画在显示屏上，呈现出一份庞大的网络数据大脑。同步兼容多种程序格式，所有应用程序实时互动、控制不需多台电脑，上墙、互动、控制；可在控制软件切换该窗口所需的信号内容，被抓电脑转发程序被抓取窗口可视化控制操作，能实现窗口的预监，一键获取所有窗口资源</w:t>
            </w:r>
            <w:r>
              <w:rPr>
                <w:rFonts w:hint="eastAsia" w:cs="宋体" w:asciiTheme="minorEastAsia" w:hAnsiTheme="minorEastAsia" w:eastAsiaTheme="minorEastAsia"/>
                <w:b/>
                <w:bCs/>
                <w:sz w:val="21"/>
                <w:szCs w:val="21"/>
              </w:rPr>
              <w:t>（需提供软件截图证明文件复印件）</w:t>
            </w:r>
            <w:r>
              <w:rPr>
                <w:rFonts w:hint="eastAsia" w:cs="宋体" w:asciiTheme="minorEastAsia" w:hAnsiTheme="minorEastAsia" w:eastAsiaTheme="minorEastAsia"/>
                <w:bCs/>
                <w:sz w:val="21"/>
                <w:szCs w:val="21"/>
              </w:rPr>
              <w:t>；</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24.云字幕：自定义字幕的颜色、大小、形状、滚动方向及透明度调节等，在不增加任何设备的情况下，可以在大屏上方、左侧、右侧开窗显示字幕，实现字符叠加，并调整字体大小，设置字幕底图透明度，颜色显示不同滚动显示模式，如：左到右、右到左、上到下、下到上、跑马灯模式实现数字标牌上屏，字幕可随意设置长、高、宽；字体大小最大支持360像素；可将所需的字体叠加到HDMI的输入上，让显示更直观；</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25.可兼容分布式坐席管理系统，在同一平台实现指挥系统"人机分离"，"一人多机"的智能化坐席管理。分布式坐席协作管理平台采用全IP架构，以网络分布式技术为核心，通过设置KVM坐席高清输入节点、KVM坐席控制PC、网络交换机、用户主机、显示器、一套鼠标和键盘配合，坐席人员可视化任意调用不同操作系统、不同分辨率、不同接口的数据，为关键任务环境提供整体解决方案，实现汇集管理、高效协调、实时性操控、信息沟通、安全管控，可视化KVM管理软件可直接在大屏幕上模拟的计算机/电脑的鼠标、键盘操作多个显示窗口，同时还支持远程电脑网络桌面鼠标/键盘控制功能，通过电脑本机的鼠标、键盘模拟为局域网内不同地方的计算机/电脑的鼠标、键盘，灵活方便替代远程的计算机/电脑本机的鼠标、键盘操作，直接操作控制远程计算机/电脑网络桌面内容的新建、打开、关闭、复制、粘贴、书写、修改、设置等功能；</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26.支持资源共享，所有的视频信号都转换为IP信号，汇聚到同一个局域网之内，即可理解为一台大型的视频矩阵，汇聚了不同区域的所有视频输入输出信号，使得任意区域都可从这个大型的视频矩阵内随意调取视频信号，实现相互传输相互获取；</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27.多场景管理云侧墙：支持多区控制，支持多套显示系统控制，侧墙屏幕统由一个控制中心管理控制；通过软件界面可无缝切换至其他场景，如A会议室，B会议室、C会议室能在控制界面上直观切换，所有输入高清图像实现信号互调用共享；</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28.支持ONVIF协议，对支持ONVIF协议的IP摄像头可进行自动搜索，并且IP摄像头画面可添加进软件随意调取；单屏解码：16路12M/9M/8M/5M/4M/3M/1080P/960P/720P/D1，H.265压缩；</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29.可对接环境控制功能实现控制灯光、窗帘、大屏、音响等设备，可同步显示输入信号的状态、同步显示大屏显示状态，支持增加电源管理模块、红外控制模块、IO控制模块、串口控制模块、云温湿控制、TCP/IP协议控制，支持效果反馈，如开关状态，音频状态，多端控制信号同步，窗口同步、信号源同步、场景同步，其中一端改变设置，所有终端全同步；</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30.可直接对接海康、大华、宇视、科达等主流安防平台或支持GB28181的安防平台、监控协议。可采用GB28181协议实现ADSL信号互通，动态IP组网，采用云端服务模式，接入数量无限制。系统可搭配阿里云、腾讯云等服务；</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31.支持多个场景预案功能，可保存不少于512个场景模式，场景模式可任意调取、增加、删除，支持自动轮训，可自定义轮训时间。可提供场景预案控制命令和第三方平台对接，</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（1）新建场景：通过新建一个场景最终来制作一个新的大屏展示载体，通过向当前新建场景中添加各种场景元素最终达到数据可视化效果展示；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（2）保存场景：当制作完当前场景之后，可以保存当前场景，从而在下次启动时能够调用之前保存好的场景；</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（3）播放场景：当制作好一个场景之后需要在大屏端显示时，通过点击场景播放，从而按照当前大屏的分辨率在大屏端展示；</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（4）场景保存：当需要重复利用某一个场景时可以将当前场景保存为一个模板并保存在本地，从而方便下一次快速制作场景；</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（5）场景轮循：当需要在大屏端依次播放多个场景时就可以使用场景轮循从而使大屏端按照一定的顺序进行多个场景之间的切换，从而使大屏端展现更加丰富的效果；</w:t>
            </w:r>
          </w:p>
          <w:p>
            <w:pPr>
              <w:rPr>
                <w:rFonts w:cs="宋体" w:asciiTheme="minorEastAsia" w:hAnsiTheme="minorEastAsia" w:eastAsiaTheme="minorEastAsia"/>
                <w:bCs/>
                <w:sz w:val="21"/>
                <w:szCs w:val="21"/>
              </w:rPr>
            </w:pPr>
            <w:r>
              <w:rPr>
                <w:rFonts w:hint="eastAsia"/>
              </w:rPr>
              <w:t>★</w:t>
            </w:r>
            <w:r>
              <w:rPr>
                <w:rFonts w:hint="eastAsia" w:cs="宋体" w:asciiTheme="minorEastAsia" w:hAnsiTheme="minorEastAsia" w:eastAsiaTheme="minorEastAsia"/>
                <w:bCs/>
                <w:sz w:val="21"/>
                <w:szCs w:val="21"/>
              </w:rPr>
              <w:t>32.具有显示预案功能：可方便的实现预案编制、保存、修改、删除，可预设预案执行时间，同时可使用快捷键调用预案，可设置预案演播的排班功能；可设置某一预案在每周或每日的某一时间段内自动执行。数量无限制，任意调取，支持自动定时轮循，支持排程调取、平板客户端切换；</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33.支持多种控制方式，支持网络、手机、平板、电脑、中控控制，支持远程获取和配置参数，支持远程导出和导入参数；支持远程获取系统运行状态、系统日志；支持远程重启、恢复默认设置、升级等日常维护；</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34.管理软件操作界面可实现对所有信号源视窗的回显和预览，使客户在控制客户端前即可看到整个大屏幕墙上的显示效果，为安装施工、现场调试、实际使用提供一目了然的支持；</w:t>
            </w:r>
          </w:p>
          <w:p>
            <w:r>
              <w:rPr>
                <w:rFonts w:hint="eastAsia" w:cs="宋体" w:asciiTheme="minorEastAsia" w:hAnsiTheme="minorEastAsia" w:eastAsiaTheme="minorEastAsia"/>
                <w:bCs/>
                <w:sz w:val="21"/>
                <w:szCs w:val="21"/>
              </w:rPr>
              <w:t>35.拼接处理器需结合可视化中央交互平台将高清回显，4k输入输出、音频大小，静音，灯光控制、窗帘控制、大屏开关机控制、KVM坐席管理平台等集中控制；控制内容实现效果反馈，音频电平反馈。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5</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高清线缆</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1.运行速度快，系统稳定；</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2.采用高速数字交换技术，解决串扰、重影与拖尾现象。100%真实重现输入信号的视频效果；</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3.采用可编程逻辑阵列电路（CPLD），性能稳定；</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4.输入和输出接口均采用静电保护电路，性能稳定；</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5.兼容市场所有同类产品的代码和指令；</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6.全贴片SMD工艺，特有ESD静电保护功能；</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7.采用双核处理技术，有优秀的整体性能，并且在并发多任务时，会根据每个不同的需求来进行合理的协调，让每一项任务都可以在最理想的运行条件下完成运算，从而提高工作效率，用户也同时可以在多个应用环境中进行快速切换，这样会让用户在同时进行多项任务时，仍然可以井井有条地完成所有的任务，避免了和大屏幕拼接系统连接时出现死机、切换速度慢和不能接收命令的现象；</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8.全球通用宽电压开关电源设计，可适应交流100-240V，50/60Hz；</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9.高品质、大批量生产，有较高的兼容性和稳定性，有较高的性价比；</w:t>
            </w:r>
          </w:p>
          <w:p>
            <w:pPr>
              <w:widowControl/>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10.支持分辨率为1920x1200 60hz的刷新频率和1024x768 200Hz的刷新频率。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6</w:t>
            </w:r>
          </w:p>
        </w:tc>
        <w:tc>
          <w:tcPr>
            <w:tcW w:w="1721" w:type="dxa"/>
            <w:vAlign w:val="center"/>
          </w:tcPr>
          <w:p>
            <w:pPr>
              <w:widowControl/>
              <w:jc w:val="center"/>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kern w:val="0"/>
                <w:sz w:val="21"/>
                <w:szCs w:val="21"/>
                <w:lang w:bidi="ar"/>
              </w:rPr>
              <w:t>大屏幕安装支架</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大屏幕专用壁挂，前维护支架，可满足后期对屏幕检修维护，检修做到模块化管理。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w:t>
            </w:r>
          </w:p>
        </w:tc>
        <w:tc>
          <w:tcPr>
            <w:tcW w:w="1721" w:type="dxa"/>
            <w:vAlign w:val="center"/>
          </w:tcPr>
          <w:p>
            <w:pPr>
              <w:widowControl/>
              <w:jc w:val="center"/>
              <w:textAlignment w:val="center"/>
              <w:rPr>
                <w:rFonts w:cs="宋体" w:asciiTheme="minorEastAsia" w:hAnsiTheme="minorEastAsia" w:eastAsiaTheme="minorEastAsia"/>
                <w:bCs/>
                <w:kern w:val="0"/>
                <w:sz w:val="21"/>
                <w:szCs w:val="21"/>
                <w:lang w:bidi="ar"/>
              </w:rPr>
            </w:pPr>
            <w:r>
              <w:rPr>
                <w:rFonts w:hint="eastAsia" w:cs="宋体" w:asciiTheme="minorEastAsia" w:hAnsiTheme="minorEastAsia" w:eastAsiaTheme="minorEastAsia"/>
                <w:bCs/>
                <w:kern w:val="0"/>
                <w:sz w:val="21"/>
                <w:szCs w:val="21"/>
                <w:lang w:bidi="ar"/>
              </w:rPr>
              <w:t>大屏安装方式</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项</w:t>
            </w:r>
          </w:p>
        </w:tc>
        <w:tc>
          <w:tcPr>
            <w:tcW w:w="5834" w:type="dxa"/>
            <w:vAlign w:val="center"/>
          </w:tcPr>
          <w:p>
            <w:pPr>
              <w:widowControl/>
              <w:textAlignment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壁挂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w:t>
            </w: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高清云台摄像机</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台</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1.视频输出接口：HDMI、HD-SDI、RJ45接口；</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2.视频输出制式：1080P@30, 1080 P@29.97, 1080 P@25, 1080i@60, 1080i@59.94, 1080i@50, 720 P@60, 720P@59.94, 720P@50, 720P@30, 720P@29.97, 720P@25；</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3.水平视场角：55.2°- 3.2°；</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4.水平转动范围： ±170°，垂直转动范围： -30° - +90°；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5.水平转动速度范围： 1.7°-100°/s；</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6.垂直转动速度范围： 1.7°-69.9°/s；</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7.传感器类型：CMOS、1/2.7吋；</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8.传感器像素：总像素：274万，有效像素：207万；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9.镜头焦距:18倍光学变焦，f4.7mm - 84.6mm，F1.8 - F2.8；</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10.聚焦方式:自动、手动,电子快门:1/25s-1/10000s；</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b/>
                <w:kern w:val="0"/>
                <w:sz w:val="21"/>
                <w:szCs w:val="21"/>
                <w:lang w:bidi="ar"/>
              </w:rPr>
              <w:t>11.提供权威检验中心出具的检测报告复印件</w:t>
            </w:r>
            <w:r>
              <w:rPr>
                <w:rFonts w:hint="eastAsia" w:asciiTheme="minorEastAsia" w:hAnsiTheme="minorEastAsia" w:eastAsiaTheme="minorEastAsia" w:cstheme="minorEastAsia"/>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asciiTheme="minorEastAsia" w:hAnsiTheme="minorEastAsia" w:eastAsiaTheme="minorEastAsia" w:cstheme="minorEastAsia"/>
                <w:kern w:val="0"/>
                <w:sz w:val="21"/>
                <w:szCs w:val="21"/>
                <w:lang w:bidi="ar"/>
              </w:rPr>
              <w:t>9</w:t>
            </w:r>
          </w:p>
        </w:tc>
        <w:tc>
          <w:tcPr>
            <w:tcW w:w="1721"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无线话筒</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w:t>
            </w:r>
          </w:p>
        </w:tc>
        <w:tc>
          <w:tcPr>
            <w:tcW w:w="709" w:type="dxa"/>
            <w:vAlign w:val="center"/>
          </w:tcPr>
          <w:p>
            <w:pPr>
              <w:widowControl/>
              <w:jc w:val="center"/>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套</w:t>
            </w:r>
          </w:p>
        </w:tc>
        <w:tc>
          <w:tcPr>
            <w:tcW w:w="5834" w:type="dxa"/>
            <w:vAlign w:val="center"/>
          </w:tcPr>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1.系统指标：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1.1频率范围：740-790MHz；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1.2调制方式：宽带FM；</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1.3可调范围：50MHz；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1.4信道数目：200；</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1.5信道间隔：250KHz；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1.6频率稳定度：±0.005%以内；</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1.7动态范围：100dB；</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1.8最大频偏：±45KHz；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1.9音频响应：80Hz-18KHz(±3dB)；</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1.10综合信噪比：&gt;105dB；</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1.11综合失真：≤0.5%；</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1.12工作温度：-10℃- +40℃。</w:t>
            </w:r>
          </w:p>
          <w:p>
            <w:pPr>
              <w:widowControl/>
              <w:jc w:val="left"/>
              <w:textAlignment w:val="center"/>
              <w:rPr>
                <w:rFonts w:asciiTheme="minorEastAsia" w:hAnsiTheme="minorEastAsia" w:eastAsiaTheme="minorEastAsia" w:cstheme="minorEastAsia"/>
                <w:kern w:val="0"/>
                <w:sz w:val="21"/>
                <w:szCs w:val="21"/>
                <w:lang w:bidi="ar"/>
              </w:rPr>
            </w:pP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2.接收机指标：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2.1接收方式：二次变频超外差；</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2.2中频频率：第一中频：110MHz；第二中频：10.7MHz；</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2.3天线接口：BNC/50Ω；</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2.4灵敏度：12dBuV；</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2.5灵敏度调节范围：12-32dBuV；</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2.6杂散抑制：≥75dB；</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2.7最大输出电平：+10dBV；</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2.8接收机电源：DC 12V，1.25A。</w:t>
            </w:r>
          </w:p>
          <w:p>
            <w:pPr>
              <w:pStyle w:val="2"/>
              <w:ind w:firstLine="0"/>
              <w:rPr>
                <w:lang w:val="en-US" w:bidi="ar"/>
              </w:rPr>
            </w:pP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3.发射机指标：</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3.1天线程式：</w:t>
            </w:r>
          </w:p>
          <w:p>
            <w:pPr>
              <w:widowControl/>
              <w:ind w:firstLine="420" w:firstLineChars="200"/>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佩挂发射器采用1/4波长鞭状天线，</w:t>
            </w:r>
          </w:p>
          <w:p>
            <w:pPr>
              <w:widowControl/>
              <w:ind w:firstLine="420" w:firstLineChars="200"/>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手持麦克风内置螺旋天线；</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3.2输出功率: 高功率30mW，低功率3mW；</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3.3杂散抑制：-60dB；</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3.4供电：两节五号（AA）电池；</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3.5使用时间:30mW时大于10个小时，3mW时大于15个小时；</w:t>
            </w:r>
          </w:p>
          <w:p>
            <w:pPr>
              <w:widowControl/>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3.6标配：1个无线领夹话筒，1个无线手持话筒。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pPr>
              <w:widowControl/>
              <w:jc w:val="left"/>
              <w:textAlignment w:val="center"/>
              <w:rPr>
                <w:rFonts w:asciiTheme="minorEastAsia" w:hAnsiTheme="minorEastAsia" w:eastAsiaTheme="minorEastAsia" w:cstheme="minorEastAsia"/>
                <w:b/>
                <w:kern w:val="0"/>
                <w:sz w:val="21"/>
                <w:szCs w:val="21"/>
                <w:lang w:bidi="ar"/>
              </w:rPr>
            </w:pPr>
            <w:r>
              <w:rPr>
                <w:rFonts w:hint="eastAsia" w:asciiTheme="minorEastAsia" w:hAnsiTheme="minorEastAsia" w:eastAsiaTheme="minorEastAsia" w:cstheme="minorEastAsia"/>
                <w:b/>
                <w:kern w:val="0"/>
                <w:sz w:val="21"/>
                <w:szCs w:val="21"/>
                <w:lang w:bidi="ar"/>
              </w:rPr>
              <w:t>▲驻场服务：实施、开发人员提供质保期内驻场维护与开发。</w:t>
            </w:r>
          </w:p>
        </w:tc>
      </w:tr>
    </w:tbl>
    <w:p>
      <w:pPr>
        <w:pStyle w:val="2"/>
        <w:spacing w:line="288" w:lineRule="auto"/>
        <w:ind w:firstLine="0"/>
      </w:pPr>
    </w:p>
    <w:p>
      <w:pPr>
        <w:spacing w:line="288" w:lineRule="auto"/>
      </w:pPr>
      <w:r>
        <w:rPr>
          <w:rFonts w:hint="eastAsia" w:ascii="宋体" w:hAnsi="宋体"/>
          <w:b/>
          <w:bCs/>
          <w:sz w:val="21"/>
          <w:szCs w:val="21"/>
        </w:rPr>
        <w:t>注：除招标文件中所明确的技术规格和品牌外，欢迎其他能满足本项目技术需求且性能相当于或高于所明确品牌的产品参加投标报价。同时在需求偏离表中作出详细对比说明。</w:t>
      </w:r>
    </w:p>
    <w:p>
      <w:pPr>
        <w:spacing w:line="288" w:lineRule="auto"/>
        <w:jc w:val="center"/>
        <w:outlineLvl w:val="0"/>
        <w:rPr>
          <w:rFonts w:ascii="宋体" w:hAnsi="宋体"/>
          <w:sz w:val="21"/>
          <w:szCs w:val="21"/>
        </w:rPr>
      </w:pPr>
      <w:r>
        <w:rPr>
          <w:rFonts w:hint="eastAsia" w:ascii="宋体" w:hAnsi="宋体"/>
          <w:sz w:val="21"/>
          <w:szCs w:val="21"/>
        </w:rPr>
        <w:br w:type="page"/>
      </w:r>
      <w:r>
        <w:rPr>
          <w:rFonts w:hint="eastAsia" w:ascii="宋体" w:hAnsi="宋体"/>
          <w:b/>
          <w:sz w:val="32"/>
          <w:szCs w:val="32"/>
        </w:rPr>
        <w:t>第三章  投标人须知</w:t>
      </w:r>
    </w:p>
    <w:p>
      <w:pPr>
        <w:spacing w:line="288" w:lineRule="auto"/>
        <w:ind w:left="238"/>
        <w:jc w:val="center"/>
        <w:outlineLvl w:val="1"/>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2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采购人：中国美术学院</w:t>
            </w:r>
          </w:p>
          <w:p>
            <w:pPr>
              <w:rPr>
                <w:rFonts w:ascii="宋体" w:hAnsi="宋体"/>
                <w:sz w:val="21"/>
                <w:szCs w:val="21"/>
              </w:rPr>
            </w:pPr>
            <w:r>
              <w:rPr>
                <w:rFonts w:hint="eastAsia" w:ascii="宋体" w:hAnsi="宋体"/>
                <w:sz w:val="21"/>
                <w:szCs w:val="21"/>
              </w:rPr>
              <w:t>项目名称：教务处公共教室提升设备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cs="宋体"/>
                <w:sz w:val="21"/>
                <w:szCs w:val="21"/>
              </w:rPr>
            </w:pPr>
            <w:r>
              <w:rPr>
                <w:rFonts w:hint="eastAsia" w:ascii="宋体" w:hAnsi="宋体"/>
                <w:b/>
                <w:spacing w:val="-6"/>
                <w:sz w:val="21"/>
                <w:szCs w:val="21"/>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1"/>
                <w:szCs w:val="21"/>
              </w:rPr>
            </w:pPr>
            <w:r>
              <w:rPr>
                <w:rFonts w:hint="eastAsia" w:ascii="宋体" w:hAnsi="宋体"/>
                <w:b/>
                <w:bCs/>
                <w:sz w:val="21"/>
                <w:szCs w:val="21"/>
              </w:rPr>
              <w:t>投标费用：</w:t>
            </w:r>
          </w:p>
          <w:p>
            <w:pPr>
              <w:rPr>
                <w:rFonts w:ascii="宋体" w:hAnsi="宋体"/>
                <w:sz w:val="21"/>
                <w:szCs w:val="21"/>
              </w:rPr>
            </w:pPr>
            <w:r>
              <w:rPr>
                <w:rFonts w:hint="eastAsia" w:ascii="宋体" w:hAnsi="宋体"/>
                <w:sz w:val="21"/>
                <w:szCs w:val="21"/>
              </w:rPr>
              <w:t>1.不论投标结果如何，投标人均应自行承担所有与投标有关的全部费用；</w:t>
            </w:r>
          </w:p>
          <w:p>
            <w:pPr>
              <w:rPr>
                <w:rFonts w:ascii="宋体" w:hAnsi="宋体"/>
                <w:sz w:val="21"/>
                <w:szCs w:val="21"/>
              </w:rPr>
            </w:pPr>
            <w:r>
              <w:rPr>
                <w:rFonts w:hint="eastAsia" w:ascii="宋体" w:hAnsi="宋体"/>
                <w:sz w:val="21"/>
                <w:szCs w:val="21"/>
              </w:rPr>
              <w:t>2.中标人在中标通知书发出之日起七个工作日内，向采购代理机构交纳代理服务费。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1"/>
                <w:szCs w:val="21"/>
              </w:rPr>
            </w:pPr>
            <w:r>
              <w:rPr>
                <w:rFonts w:hint="eastAsia" w:ascii="宋体" w:hAnsi="宋体"/>
                <w:b/>
                <w:bCs/>
                <w:sz w:val="21"/>
                <w:szCs w:val="21"/>
              </w:rPr>
              <w:t>投标文件份数：</w:t>
            </w:r>
          </w:p>
          <w:p>
            <w:pPr>
              <w:rPr>
                <w:rFonts w:ascii="宋体" w:hAnsi="宋体"/>
                <w:sz w:val="21"/>
                <w:szCs w:val="21"/>
              </w:rPr>
            </w:pPr>
            <w:r>
              <w:rPr>
                <w:rFonts w:hint="eastAsia" w:ascii="宋体" w:hAnsi="宋体"/>
                <w:b/>
                <w:bCs/>
                <w:sz w:val="21"/>
                <w:szCs w:val="21"/>
              </w:rPr>
              <w:t>电子加密投标文件：政府采购云平台在线上传一份；备份投标文件以介质（U盘）存储的数据电文形式（如有）：密封包装后EMS或顺丰邮寄形式递交一份（邮寄地址：杭州市西湖区玉古路173号中田大厦16楼A室浙江求是招标代理有限公司李聪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资格审查要求的资格证明材料(均需加盖公章)：</w:t>
            </w:r>
          </w:p>
          <w:p>
            <w:pPr>
              <w:rPr>
                <w:rFonts w:ascii="宋体" w:hAnsi="宋体" w:cs="宋体"/>
                <w:b/>
                <w:bCs/>
                <w:sz w:val="21"/>
                <w:szCs w:val="21"/>
              </w:rPr>
            </w:pPr>
            <w:r>
              <w:rPr>
                <w:rFonts w:hint="eastAsia" w:ascii="宋体" w:hAnsi="宋体" w:cs="宋体"/>
                <w:b/>
                <w:bCs/>
                <w:sz w:val="21"/>
                <w:szCs w:val="21"/>
              </w:rPr>
              <w:t>（1）有效的法人或者其他组织的营业执照等证明文件，自然人的身份证明（仅自然人投标时提供）</w:t>
            </w:r>
          </w:p>
          <w:p>
            <w:pPr>
              <w:rPr>
                <w:rFonts w:ascii="宋体" w:hAnsi="宋体" w:cs="宋体"/>
                <w:b/>
                <w:bCs/>
                <w:sz w:val="21"/>
                <w:szCs w:val="21"/>
              </w:rPr>
            </w:pPr>
            <w:r>
              <w:rPr>
                <w:rFonts w:hint="eastAsia" w:ascii="宋体" w:hAnsi="宋体" w:cs="宋体"/>
                <w:b/>
                <w:bCs/>
                <w:sz w:val="21"/>
                <w:szCs w:val="21"/>
              </w:rPr>
              <w:t>（2）2020年1月至今任意一月的财务状况报告或开标前三个月内出具的银行资信证明</w:t>
            </w:r>
          </w:p>
          <w:p>
            <w:pPr>
              <w:rPr>
                <w:rFonts w:ascii="宋体" w:hAnsi="宋体" w:cs="宋体"/>
                <w:b/>
                <w:bCs/>
                <w:sz w:val="21"/>
                <w:szCs w:val="21"/>
              </w:rPr>
            </w:pPr>
            <w:r>
              <w:rPr>
                <w:rFonts w:hint="eastAsia" w:ascii="宋体" w:hAnsi="宋体" w:cs="宋体"/>
                <w:b/>
                <w:bCs/>
                <w:sz w:val="21"/>
                <w:szCs w:val="21"/>
              </w:rPr>
              <w:t>（3）2020年1月至今任意一月依法缴纳税收的证明材料（依法免税的投标人应提供相应文件证明其依法免税）</w:t>
            </w:r>
          </w:p>
          <w:p>
            <w:pPr>
              <w:rPr>
                <w:rFonts w:ascii="宋体" w:hAnsi="宋体" w:cs="宋体"/>
                <w:b/>
                <w:bCs/>
                <w:sz w:val="21"/>
                <w:szCs w:val="21"/>
              </w:rPr>
            </w:pPr>
            <w:r>
              <w:rPr>
                <w:rFonts w:hint="eastAsia" w:ascii="宋体" w:hAnsi="宋体" w:cs="宋体"/>
                <w:b/>
                <w:bCs/>
                <w:sz w:val="21"/>
                <w:szCs w:val="21"/>
              </w:rPr>
              <w:t>（4）2020年1月至今任意一月依法缴纳社会保障资金的证明材料（依法不需要缴纳社会保障资金的投标人应提供相应文件证明其依法不需要缴纳社会保障资金）</w:t>
            </w:r>
          </w:p>
          <w:p>
            <w:pPr>
              <w:rPr>
                <w:rFonts w:ascii="宋体" w:hAnsi="宋体" w:cs="宋体"/>
                <w:b/>
                <w:bCs/>
                <w:sz w:val="21"/>
                <w:szCs w:val="21"/>
              </w:rPr>
            </w:pPr>
            <w:r>
              <w:rPr>
                <w:rFonts w:hint="eastAsia" w:ascii="宋体" w:hAnsi="宋体" w:cs="宋体"/>
                <w:b/>
                <w:bCs/>
                <w:sz w:val="21"/>
                <w:szCs w:val="21"/>
              </w:rPr>
              <w:t>（5）具有履行合同所必需的设备和专业技术能力的承诺函</w:t>
            </w:r>
          </w:p>
          <w:p>
            <w:pPr>
              <w:rPr>
                <w:rFonts w:ascii="宋体" w:hAnsi="宋体" w:cs="宋体"/>
                <w:b/>
                <w:bCs/>
                <w:sz w:val="21"/>
                <w:szCs w:val="21"/>
              </w:rPr>
            </w:pPr>
            <w:r>
              <w:rPr>
                <w:rFonts w:hint="eastAsia" w:ascii="宋体" w:hAnsi="宋体" w:cs="宋体"/>
                <w:b/>
                <w:bCs/>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w:t>
            </w:r>
            <w:r>
              <w:rPr>
                <w:rFonts w:ascii="宋体" w:hAnsi="宋体"/>
                <w:sz w:val="21"/>
                <w:szCs w:val="21"/>
              </w:rPr>
              <w:t>有效期</w:t>
            </w:r>
            <w:r>
              <w:rPr>
                <w:rFonts w:hint="eastAsia" w:ascii="宋体" w:hAnsi="宋体"/>
                <w:sz w:val="21"/>
                <w:szCs w:val="21"/>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Style w:val="28"/>
                <w:rFonts w:hint="eastAsia" w:ascii="宋体" w:hAnsi="宋体"/>
                <w:color w:val="auto"/>
                <w:sz w:val="21"/>
                <w:szCs w:val="21"/>
              </w:rPr>
              <w:t>http://zfcg.czt.zj.gov.cn</w:t>
            </w:r>
            <w:r>
              <w:rPr>
                <w:rStyle w:val="28"/>
                <w:rFonts w:hint="eastAsia" w:ascii="宋体" w:hAnsi="宋体"/>
                <w:color w:val="auto"/>
                <w:sz w:val="21"/>
                <w:szCs w:val="21"/>
              </w:rPr>
              <w:fldChar w:fldCharType="end"/>
            </w:r>
            <w:r>
              <w:rPr>
                <w:rFonts w:hint="eastAsia" w:ascii="宋体" w:hAnsi="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签订合同：中标通知书发出后30日内。</w:t>
            </w:r>
          </w:p>
          <w:p>
            <w:pPr>
              <w:rPr>
                <w:rFonts w:ascii="宋体" w:hAnsi="宋体"/>
                <w:sz w:val="21"/>
                <w:szCs w:val="21"/>
              </w:rPr>
            </w:pPr>
            <w:r>
              <w:rPr>
                <w:rFonts w:hint="eastAsia" w:ascii="宋体" w:hAnsi="宋体"/>
                <w:sz w:val="21"/>
                <w:szCs w:val="21"/>
              </w:rPr>
              <w:t>支付代理服务费：中标通知书发出之日起七个工作日内，中标人逾期支付代理服务费，须承担代理服务费每日百分之三的违约金，逾期十日未支付的，采购代理机构有权向杭州仲裁委员会对中标人提起仲裁，</w:t>
            </w:r>
            <w:r>
              <w:rPr>
                <w:rFonts w:hint="eastAsia"/>
                <w:sz w:val="21"/>
                <w:szCs w:val="21"/>
              </w:rPr>
              <w:t>仲裁费用（包括仲裁受理费和仲裁处理费）均</w:t>
            </w:r>
            <w:r>
              <w:rPr>
                <w:rFonts w:hint="eastAsia" w:ascii="宋体" w:hAnsi="宋体"/>
                <w:sz w:val="21"/>
                <w:szCs w:val="21"/>
              </w:rPr>
              <w:t>由中标人承担。</w:t>
            </w:r>
          </w:p>
        </w:tc>
      </w:tr>
    </w:tbl>
    <w:p>
      <w:pPr>
        <w:pStyle w:val="12"/>
        <w:spacing w:before="0" w:beforeLines="0" w:after="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outlineLvl w:val="2"/>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本招标文件适用于中国美术学院教务处公共教室提升设备的招标、评标、定标、验收、合同履约、付款等（法律、法规另有规定的，从其规定）。</w:t>
      </w:r>
    </w:p>
    <w:p>
      <w:pPr>
        <w:spacing w:line="288" w:lineRule="auto"/>
        <w:jc w:val="left"/>
        <w:outlineLvl w:val="2"/>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”系指中国美术学院；</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“投标人”系指响应招标、参加投标竞争的法人、其他组织或者自然人；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“书面形式”包括信函、传真、电子邮件等；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6.“公章”除特殊说明外系指政采云电子交易客户端（政采云投标客户端）中投标人的电子签章；</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7.“▲”系指实质性要求条款，投标人应当做出实质性响应。</w:t>
      </w:r>
    </w:p>
    <w:p>
      <w:pPr>
        <w:spacing w:line="288" w:lineRule="auto"/>
        <w:jc w:val="left"/>
        <w:outlineLvl w:val="2"/>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本次招标采用公开招标（线上电子招投标）方式进行。</w:t>
      </w:r>
    </w:p>
    <w:p>
      <w:pPr>
        <w:spacing w:line="288" w:lineRule="auto"/>
        <w:jc w:val="left"/>
        <w:outlineLvl w:val="2"/>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 w:val="21"/>
          <w:szCs w:val="21"/>
        </w:rPr>
      </w:pP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（格式详见投标文件第六章）</w:t>
      </w:r>
      <w:r>
        <w:rPr>
          <w:rFonts w:ascii="宋体" w:hAnsi="宋体"/>
          <w:spacing w:val="-6"/>
          <w:sz w:val="21"/>
          <w:szCs w:val="21"/>
        </w:rPr>
        <w:t>，</w:t>
      </w:r>
      <w:r>
        <w:rPr>
          <w:rFonts w:hint="eastAsia" w:ascii="宋体" w:hAnsi="宋体"/>
          <w:spacing w:val="-6"/>
          <w:sz w:val="21"/>
          <w:szCs w:val="21"/>
        </w:rPr>
        <w:t>投标人因未在线参加开标而导致电子加密投标文件无法按时解密等一切后果由投标人自行承担。</w:t>
      </w:r>
    </w:p>
    <w:p>
      <w:pPr>
        <w:spacing w:line="288" w:lineRule="auto"/>
        <w:jc w:val="left"/>
        <w:outlineLvl w:val="2"/>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2.中标人在中标通知书发出之日起七个工作日内，向采购代理机构交纳代理服务费，收费标准（差额累进）：</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41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ascii="宋体" w:hAnsi="宋体" w:cs="宋体"/>
                <w:b/>
                <w:bCs/>
                <w:sz w:val="21"/>
                <w:szCs w:val="21"/>
              </w:rPr>
            </w:pPr>
            <w:r>
              <w:rPr>
                <w:rFonts w:hint="eastAsia" w:ascii="宋体" w:hAnsi="宋体" w:cs="宋体"/>
                <w:b/>
                <w:bCs/>
                <w:sz w:val="21"/>
                <w:szCs w:val="21"/>
              </w:rPr>
              <w:t>中标金额（万元）</w:t>
            </w:r>
          </w:p>
        </w:tc>
        <w:tc>
          <w:tcPr>
            <w:tcW w:w="4154" w:type="dxa"/>
            <w:tcMar>
              <w:top w:w="0" w:type="dxa"/>
              <w:left w:w="108" w:type="dxa"/>
              <w:bottom w:w="0" w:type="dxa"/>
              <w:right w:w="108" w:type="dxa"/>
            </w:tcMar>
            <w:vAlign w:val="center"/>
          </w:tcPr>
          <w:p>
            <w:pPr>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100以下</w:t>
            </w:r>
          </w:p>
        </w:tc>
        <w:tc>
          <w:tcPr>
            <w:tcW w:w="4154"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1.2，不足叁仟元按叁仟元收取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100-500</w:t>
            </w:r>
          </w:p>
        </w:tc>
        <w:tc>
          <w:tcPr>
            <w:tcW w:w="4154" w:type="dxa"/>
            <w:tcMar>
              <w:top w:w="0" w:type="dxa"/>
              <w:left w:w="108" w:type="dxa"/>
              <w:bottom w:w="0" w:type="dxa"/>
              <w:right w:w="108" w:type="dxa"/>
            </w:tcMar>
            <w:vAlign w:val="center"/>
          </w:tcPr>
          <w:p>
            <w:pPr>
              <w:jc w:val="center"/>
              <w:rPr>
                <w:rFonts w:ascii="宋体" w:hAnsi="宋体" w:cs="宋体"/>
                <w:sz w:val="21"/>
                <w:szCs w:val="21"/>
              </w:rPr>
            </w:pPr>
            <w:r>
              <w:rPr>
                <w:rFonts w:hint="eastAsia" w:ascii="宋体" w:hAnsi="宋体" w:cs="宋体"/>
                <w:sz w:val="21"/>
                <w:szCs w:val="21"/>
              </w:rPr>
              <w:t>0.88</w:t>
            </w:r>
          </w:p>
        </w:tc>
      </w:tr>
    </w:tbl>
    <w:p>
      <w:pPr>
        <w:spacing w:line="288" w:lineRule="auto"/>
        <w:ind w:firstLine="396" w:firstLineChars="200"/>
        <w:jc w:val="left"/>
        <w:rPr>
          <w:rFonts w:ascii="宋体" w:hAnsi="宋体"/>
          <w:b/>
          <w:spacing w:val="-6"/>
          <w:sz w:val="24"/>
        </w:rPr>
      </w:pPr>
      <w:r>
        <w:rPr>
          <w:rFonts w:hint="eastAsia" w:ascii="宋体" w:hAnsi="宋体"/>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outlineLvl w:val="2"/>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288" w:lineRule="auto"/>
        <w:jc w:val="left"/>
        <w:outlineLvl w:val="2"/>
        <w:rPr>
          <w:rFonts w:ascii="宋体" w:hAnsi="宋体"/>
          <w:b/>
          <w:spacing w:val="-6"/>
          <w:sz w:val="24"/>
        </w:rPr>
      </w:pPr>
      <w:r>
        <w:rPr>
          <w:rFonts w:hint="eastAsia" w:ascii="宋体" w:hAnsi="宋体"/>
          <w:b/>
          <w:spacing w:val="-6"/>
          <w:sz w:val="24"/>
        </w:rPr>
        <w:t>（八） 特别说明</w:t>
      </w:r>
    </w:p>
    <w:p>
      <w:pPr>
        <w:pStyle w:val="2"/>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单位负责人为同一人或者存在直接控股、管理关系的不同投标人，不得参加同一合同项下的政府采购活动。</w:t>
      </w:r>
    </w:p>
    <w:p>
      <w:pPr>
        <w:pStyle w:val="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2"/>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4.投标人授权代表必须为投标人本单位在职职工，并提供2020年1月至今任意一月社保缴纳证明（授权代表为法定代表人可不提供）。</w:t>
      </w:r>
    </w:p>
    <w:p>
      <w:pPr>
        <w:pStyle w:val="2"/>
        <w:spacing w:line="288" w:lineRule="auto"/>
        <w:ind w:firstLine="396" w:firstLineChars="200"/>
        <w:jc w:val="left"/>
        <w:rPr>
          <w:rFonts w:hAnsi="宋体"/>
          <w:spacing w:val="-6"/>
          <w:sz w:val="21"/>
          <w:szCs w:val="21"/>
        </w:rPr>
      </w:pPr>
      <w:r>
        <w:rPr>
          <w:rFonts w:hint="eastAsia" w:hAnsi="宋体"/>
          <w:spacing w:val="-6"/>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spacing w:line="288" w:lineRule="auto"/>
        <w:ind w:firstLine="396" w:firstLineChars="200"/>
        <w:jc w:val="left"/>
        <w:rPr>
          <w:rFonts w:hAnsi="宋体"/>
          <w:spacing w:val="-6"/>
          <w:sz w:val="21"/>
          <w:szCs w:val="21"/>
        </w:rPr>
      </w:pPr>
      <w:r>
        <w:rPr>
          <w:rFonts w:hint="eastAsia" w:hAnsi="宋体"/>
          <w:spacing w:val="-6"/>
          <w:sz w:val="21"/>
          <w:szCs w:val="21"/>
        </w:rPr>
        <w:t>非单一产品采购项目，多家投标人提供的核心产品品牌相同的，按前款规定处理。</w:t>
      </w:r>
    </w:p>
    <w:p>
      <w:pPr>
        <w:spacing w:line="288" w:lineRule="auto"/>
        <w:jc w:val="left"/>
        <w:outlineLvl w:val="2"/>
        <w:rPr>
          <w:rFonts w:ascii="宋体" w:hAnsi="宋体"/>
          <w:b/>
          <w:spacing w:val="-6"/>
          <w:sz w:val="24"/>
        </w:rPr>
      </w:pPr>
      <w:r>
        <w:rPr>
          <w:rFonts w:hint="eastAsia" w:ascii="宋体" w:hAnsi="宋体"/>
          <w:b/>
          <w:spacing w:val="-6"/>
          <w:sz w:val="24"/>
        </w:rPr>
        <w:t>（九） 质疑和投诉</w:t>
      </w:r>
    </w:p>
    <w:p>
      <w:pPr>
        <w:pStyle w:val="2"/>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2"/>
        <w:spacing w:line="288" w:lineRule="auto"/>
        <w:ind w:firstLine="398" w:firstLineChars="200"/>
        <w:jc w:val="left"/>
        <w:rPr>
          <w:rFonts w:hAnsi="宋体"/>
          <w:b/>
          <w:bCs/>
          <w:spacing w:val="-6"/>
          <w:sz w:val="21"/>
          <w:szCs w:val="21"/>
        </w:rPr>
      </w:pPr>
      <w:r>
        <w:rPr>
          <w:rFonts w:hint="eastAsia" w:hAnsi="宋体"/>
          <w:b/>
          <w:bCs/>
          <w:spacing w:val="-6"/>
          <w:sz w:val="21"/>
          <w:szCs w:val="21"/>
        </w:rPr>
        <w:t>2.投标人提出质疑应当提交质疑函和必要的证明材料，质疑函范本请到“浙江政府采购网下载专区”下载，质疑函应当包括下列内容：</w:t>
      </w:r>
    </w:p>
    <w:p>
      <w:pPr>
        <w:pStyle w:val="2"/>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2"/>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2"/>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2"/>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2"/>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2"/>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2"/>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2"/>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2"/>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2"/>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2"/>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2"/>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2"/>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12"/>
        <w:spacing w:before="0" w:beforeLines="0" w:after="0" w:afterLines="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outlineLvl w:val="2"/>
        <w:rPr>
          <w:rFonts w:ascii="宋体" w:hAnsi="宋体"/>
          <w:b/>
          <w:spacing w:val="-6"/>
          <w:sz w:val="24"/>
        </w:rPr>
      </w:pPr>
      <w:r>
        <w:rPr>
          <w:rFonts w:hint="eastAsia" w:ascii="宋体" w:hAnsi="宋体"/>
          <w:b/>
          <w:spacing w:val="-6"/>
          <w:sz w:val="24"/>
        </w:rPr>
        <w:t>（一） 招标文件的构成</w:t>
      </w:r>
    </w:p>
    <w:p>
      <w:pPr>
        <w:pStyle w:val="2"/>
        <w:spacing w:line="288" w:lineRule="auto"/>
        <w:ind w:firstLine="398" w:firstLineChars="200"/>
        <w:jc w:val="left"/>
        <w:rPr>
          <w:rFonts w:hAnsi="宋体"/>
          <w:b/>
          <w:spacing w:val="-6"/>
          <w:sz w:val="21"/>
          <w:szCs w:val="21"/>
        </w:rPr>
      </w:pPr>
      <w:r>
        <w:rPr>
          <w:rFonts w:hint="eastAsia" w:hAnsi="宋体"/>
          <w:b/>
          <w:spacing w:val="-6"/>
          <w:sz w:val="21"/>
          <w:szCs w:val="21"/>
        </w:rPr>
        <w:t>本招标文件由以下部份组成：</w:t>
      </w:r>
    </w:p>
    <w:p>
      <w:pPr>
        <w:pStyle w:val="2"/>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2"/>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2"/>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2"/>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2"/>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2"/>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2"/>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outlineLvl w:val="2"/>
        <w:rPr>
          <w:rFonts w:ascii="宋体" w:hAnsi="宋体"/>
          <w:b/>
          <w:spacing w:val="-6"/>
          <w:sz w:val="24"/>
        </w:rPr>
      </w:pPr>
      <w:r>
        <w:rPr>
          <w:rFonts w:hint="eastAsia" w:ascii="宋体" w:hAnsi="宋体"/>
          <w:b/>
          <w:spacing w:val="-6"/>
          <w:sz w:val="24"/>
        </w:rPr>
        <w:t>（二） 投标人的风险</w:t>
      </w:r>
    </w:p>
    <w:p>
      <w:pPr>
        <w:pStyle w:val="2"/>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ascii="宋体" w:hAnsi="宋体"/>
          <w:b/>
          <w:spacing w:val="-6"/>
          <w:sz w:val="24"/>
        </w:rPr>
      </w:pPr>
      <w:r>
        <w:rPr>
          <w:rFonts w:hint="eastAsia" w:ascii="宋体" w:hAnsi="宋体"/>
          <w:b/>
          <w:spacing w:val="-6"/>
          <w:sz w:val="24"/>
        </w:rPr>
        <w:t>（三） 招标文件的澄清与修改</w:t>
      </w:r>
    </w:p>
    <w:p>
      <w:pPr>
        <w:pStyle w:val="2"/>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2"/>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2"/>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2"/>
        <w:spacing w:before="0" w:beforeLines="0" w:after="0" w:afterLines="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outlineLvl w:val="2"/>
        <w:rPr>
          <w:rFonts w:ascii="宋体" w:hAnsi="宋体"/>
          <w:b/>
          <w:spacing w:val="-6"/>
          <w:sz w:val="24"/>
        </w:rPr>
      </w:pPr>
      <w:r>
        <w:rPr>
          <w:rFonts w:hint="eastAsia" w:ascii="宋体" w:hAnsi="宋体"/>
          <w:b/>
          <w:spacing w:val="-6"/>
          <w:sz w:val="24"/>
        </w:rPr>
        <w:t>（一） 投标文件的组成</w:t>
      </w:r>
    </w:p>
    <w:p>
      <w:pPr>
        <w:pStyle w:val="2"/>
        <w:spacing w:line="288" w:lineRule="auto"/>
        <w:ind w:firstLine="396" w:firstLineChars="200"/>
        <w:jc w:val="left"/>
        <w:rPr>
          <w:rFonts w:hAnsi="宋体"/>
          <w:bCs/>
          <w:spacing w:val="-6"/>
          <w:sz w:val="21"/>
          <w:szCs w:val="21"/>
        </w:rPr>
      </w:pPr>
      <w:r>
        <w:rPr>
          <w:rFonts w:hint="eastAsia" w:hAnsi="宋体"/>
          <w:spacing w:val="-6"/>
          <w:sz w:val="21"/>
          <w:szCs w:val="21"/>
        </w:rPr>
        <w:t>投标文件由</w:t>
      </w:r>
      <w:r>
        <w:rPr>
          <w:rFonts w:hint="eastAsia" w:hAnsi="宋体"/>
          <w:b/>
          <w:spacing w:val="-6"/>
          <w:sz w:val="21"/>
          <w:szCs w:val="21"/>
        </w:rPr>
        <w:t>资格文件、报价文件、商务技术文件</w:t>
      </w:r>
      <w:r>
        <w:rPr>
          <w:rFonts w:hint="eastAsia" w:hAnsi="宋体"/>
          <w:bCs/>
          <w:spacing w:val="-6"/>
          <w:sz w:val="21"/>
          <w:szCs w:val="21"/>
          <w:lang w:val="en-US"/>
        </w:rPr>
        <w:t>三</w:t>
      </w:r>
      <w:r>
        <w:rPr>
          <w:rFonts w:hint="eastAsia" w:hAnsi="宋体"/>
          <w:bCs/>
          <w:spacing w:val="-6"/>
          <w:sz w:val="21"/>
          <w:szCs w:val="21"/>
        </w:rPr>
        <w:t>部分组成（格式详见招标文件第六章）。</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w:t>
      </w:r>
      <w:r>
        <w:rPr>
          <w:rFonts w:hint="eastAsia" w:hAnsi="宋体"/>
          <w:b/>
          <w:bCs/>
          <w:spacing w:val="-6"/>
          <w:sz w:val="21"/>
          <w:szCs w:val="21"/>
        </w:rPr>
        <w:t>资格文件</w:t>
      </w:r>
    </w:p>
    <w:p>
      <w:pPr>
        <w:pStyle w:val="2"/>
        <w:spacing w:line="288" w:lineRule="auto"/>
        <w:ind w:firstLine="398" w:firstLineChars="200"/>
        <w:jc w:val="left"/>
        <w:rPr>
          <w:rFonts w:hAnsi="宋体" w:cs="宋体"/>
          <w:b/>
          <w:spacing w:val="-6"/>
          <w:sz w:val="21"/>
          <w:szCs w:val="21"/>
        </w:rPr>
      </w:pPr>
      <w:r>
        <w:rPr>
          <w:rFonts w:hint="eastAsia" w:hAnsi="宋体" w:cs="宋体"/>
          <w:b/>
          <w:spacing w:val="-6"/>
          <w:sz w:val="21"/>
          <w:szCs w:val="21"/>
        </w:rPr>
        <w:t>资格审查要求的资格证明材料(均需加盖公章)：</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1）有效的法人或者其他组织的营业执照等证明文件，自然人的身份证明（仅自然人投标时提供）</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2）2020年1月至今任意一月的财务状况报告或开标前三个月内出具的银行资信证明</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3）2020年1月至今任意一月依法缴纳税收的证明材料（依法免税的投标人应提供相应文件证明其依法免税）</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4）2020年1月至今任意一月依法缴纳社会保障资金的证明材料（依法不需要缴纳社会保障资金的投标人应提供相应文件证明其依法不需要缴纳社会保障资金）</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5）具有履行合同所必需的设备和专业技术能力的承诺函</w:t>
      </w:r>
    </w:p>
    <w:p>
      <w:pPr>
        <w:spacing w:line="288" w:lineRule="auto"/>
        <w:ind w:firstLine="398" w:firstLineChars="200"/>
        <w:jc w:val="left"/>
        <w:rPr>
          <w:rFonts w:ascii="宋体" w:hAnsi="宋体" w:cs="宋体"/>
          <w:b/>
          <w:spacing w:val="-6"/>
          <w:sz w:val="21"/>
          <w:szCs w:val="21"/>
        </w:rPr>
      </w:pPr>
      <w:r>
        <w:rPr>
          <w:rFonts w:hint="eastAsia" w:ascii="宋体" w:hAnsi="宋体" w:cs="宋体"/>
          <w:b/>
          <w:spacing w:val="-6"/>
          <w:sz w:val="21"/>
          <w:szCs w:val="21"/>
        </w:rPr>
        <w:t>6）参加政府采购活动前3年内在经营活动中没有重大违法记录的书面声明</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报价文件</w:t>
      </w:r>
    </w:p>
    <w:p>
      <w:pPr>
        <w:pStyle w:val="2"/>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2"/>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2"/>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2"/>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2"/>
        <w:spacing w:line="288" w:lineRule="auto"/>
        <w:ind w:firstLine="396" w:firstLineChars="200"/>
        <w:jc w:val="left"/>
        <w:rPr>
          <w:rFonts w:hAnsi="宋体"/>
          <w:spacing w:val="-6"/>
          <w:sz w:val="21"/>
          <w:szCs w:val="21"/>
        </w:rPr>
      </w:pPr>
      <w:r>
        <w:rPr>
          <w:rFonts w:hint="eastAsia" w:hAnsi="宋体"/>
          <w:spacing w:val="-6"/>
          <w:sz w:val="21"/>
          <w:szCs w:val="21"/>
        </w:rPr>
        <w:t>5）</w:t>
      </w:r>
      <w:bookmarkStart w:id="4" w:name="OLE_LINK14"/>
      <w:bookmarkStart w:id="5" w:name="OLE_LINK13"/>
      <w:r>
        <w:rPr>
          <w:rFonts w:hint="eastAsia" w:hAnsi="宋体"/>
          <w:spacing w:val="-6"/>
          <w:sz w:val="21"/>
          <w:szCs w:val="21"/>
        </w:rPr>
        <w:t>残疾人福利性单位声明函</w:t>
      </w:r>
      <w:bookmarkEnd w:id="4"/>
      <w:bookmarkEnd w:id="5"/>
      <w:r>
        <w:rPr>
          <w:rFonts w:hint="eastAsia" w:hAnsi="宋体"/>
          <w:spacing w:val="-6"/>
          <w:sz w:val="21"/>
          <w:szCs w:val="21"/>
        </w:rPr>
        <w:t>（若属于残疾人福利性单位）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3.商务技术文件：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1）投标函</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2）法定代表人资格证明书、法定代表人授权委托书</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3）2020年1月至今任意一月投标授权代表社保缴纳证明</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4）投标声明书</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5）投标人情况介绍</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6）商务偏离表</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7）投标人同类项目实施情况一览表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8）节能、环保产品证明材料</w:t>
      </w:r>
    </w:p>
    <w:p>
      <w:pPr>
        <w:pStyle w:val="2"/>
        <w:spacing w:line="288" w:lineRule="auto"/>
        <w:ind w:firstLine="396" w:firstLineChars="200"/>
        <w:jc w:val="left"/>
        <w:rPr>
          <w:rFonts w:hAnsi="宋体"/>
          <w:spacing w:val="-6"/>
          <w:sz w:val="21"/>
          <w:szCs w:val="21"/>
          <w:lang w:val="en-US"/>
        </w:rPr>
      </w:pPr>
      <w:r>
        <w:rPr>
          <w:rFonts w:hint="eastAsia" w:hAnsi="宋体"/>
          <w:spacing w:val="-6"/>
          <w:sz w:val="21"/>
          <w:szCs w:val="21"/>
          <w:lang w:val="en-US"/>
        </w:rPr>
        <w:t>9）投标人需要说明的其他文件和材料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1）技术偏离表</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2）标的物</w:t>
      </w:r>
      <w:r>
        <w:rPr>
          <w:rFonts w:ascii="宋体" w:hAnsi="宋体" w:cs="宋体"/>
          <w:color w:val="000000"/>
          <w:spacing w:val="-6"/>
          <w:sz w:val="21"/>
          <w:szCs w:val="21"/>
        </w:rPr>
        <w:t>配置清单（不含报价）</w:t>
      </w:r>
      <w:r>
        <w:rPr>
          <w:rFonts w:hint="eastAsia" w:ascii="宋体" w:hAnsi="宋体" w:cs="宋体"/>
          <w:color w:val="000000"/>
          <w:spacing w:val="-6"/>
          <w:sz w:val="21"/>
          <w:szCs w:val="21"/>
        </w:rPr>
        <w:t>、</w:t>
      </w:r>
      <w:r>
        <w:rPr>
          <w:rFonts w:ascii="宋体" w:hAnsi="宋体" w:cs="宋体"/>
          <w:color w:val="000000"/>
          <w:spacing w:val="-6"/>
          <w:sz w:val="21"/>
          <w:szCs w:val="21"/>
        </w:rPr>
        <w:t>原厂出厂配置表</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3）</w:t>
      </w:r>
      <w:r>
        <w:rPr>
          <w:rFonts w:ascii="宋体" w:hAnsi="宋体" w:cs="宋体"/>
          <w:color w:val="000000"/>
          <w:spacing w:val="-6"/>
          <w:sz w:val="21"/>
          <w:szCs w:val="21"/>
        </w:rPr>
        <w:t>投标</w:t>
      </w:r>
      <w:r>
        <w:rPr>
          <w:rFonts w:hint="eastAsia" w:ascii="宋体" w:hAnsi="宋体" w:cs="宋体"/>
          <w:color w:val="000000"/>
          <w:spacing w:val="-6"/>
          <w:sz w:val="21"/>
          <w:szCs w:val="21"/>
        </w:rPr>
        <w:t>产品技术支持材料</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4）项目实施方案</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5）拟投入人员</w:t>
      </w:r>
    </w:p>
    <w:p>
      <w:pPr>
        <w:spacing w:line="288" w:lineRule="auto"/>
        <w:ind w:firstLine="396" w:firstLineChars="200"/>
        <w:jc w:val="left"/>
        <w:rPr>
          <w:rFonts w:ascii="宋体" w:hAnsi="宋体" w:cs="宋体"/>
          <w:color w:val="000000"/>
          <w:spacing w:val="-6"/>
          <w:sz w:val="21"/>
          <w:szCs w:val="21"/>
        </w:rPr>
      </w:pPr>
      <w:r>
        <w:rPr>
          <w:rFonts w:hint="eastAsia" w:ascii="宋体" w:hAnsi="宋体" w:cs="宋体"/>
          <w:color w:val="000000"/>
          <w:spacing w:val="-6"/>
          <w:sz w:val="21"/>
          <w:szCs w:val="21"/>
        </w:rPr>
        <w:t>6）售后服务方案</w:t>
      </w:r>
    </w:p>
    <w:p>
      <w:pPr>
        <w:spacing w:line="288" w:lineRule="auto"/>
        <w:ind w:firstLine="396" w:firstLineChars="200"/>
        <w:jc w:val="left"/>
        <w:rPr>
          <w:rFonts w:ascii="宋体" w:hAnsi="宋体"/>
          <w:spacing w:val="-6"/>
          <w:sz w:val="21"/>
          <w:szCs w:val="21"/>
        </w:rPr>
      </w:pPr>
      <w:r>
        <w:rPr>
          <w:rFonts w:ascii="宋体" w:hAnsi="宋体" w:cs="宋体"/>
          <w:color w:val="000000"/>
          <w:spacing w:val="-6"/>
          <w:sz w:val="21"/>
          <w:szCs w:val="21"/>
        </w:rPr>
        <w:t>7）</w:t>
      </w:r>
      <w:r>
        <w:rPr>
          <w:rFonts w:hint="eastAsia" w:ascii="宋体" w:hAnsi="宋体" w:cs="宋体"/>
          <w:color w:val="000000"/>
          <w:spacing w:val="-6"/>
          <w:sz w:val="21"/>
          <w:szCs w:val="21"/>
        </w:rPr>
        <w:t>安装调试验收方案</w:t>
      </w:r>
    </w:p>
    <w:p>
      <w:pPr>
        <w:spacing w:line="288" w:lineRule="auto"/>
        <w:jc w:val="left"/>
        <w:outlineLvl w:val="2"/>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b/>
          <w:bCs/>
          <w:spacing w:val="-6"/>
          <w:sz w:val="21"/>
          <w:szCs w:val="21"/>
        </w:rPr>
      </w:pPr>
      <w:r>
        <w:rPr>
          <w:rFonts w:hint="eastAsia" w:ascii="宋体" w:hAnsi="宋体"/>
          <w:spacing w:val="-6"/>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 w:val="21"/>
          <w:szCs w:val="21"/>
        </w:rPr>
        <w:t>其中资格文件、商务技术文件中不得出现投标报价，如因投标人原因提前泄露投标报价，是投标人的责任。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2.投标文件须由投标人在规定位置加盖公章并由投标人</w:t>
      </w:r>
      <w:r>
        <w:rPr>
          <w:rFonts w:ascii="宋体" w:hAnsi="宋体"/>
          <w:spacing w:val="-6"/>
          <w:sz w:val="21"/>
          <w:szCs w:val="21"/>
        </w:rPr>
        <w:t>代表</w:t>
      </w:r>
      <w:r>
        <w:rPr>
          <w:rFonts w:hint="eastAsia" w:ascii="宋体" w:hAnsi="宋体"/>
          <w:spacing w:val="-6"/>
          <w:sz w:val="21"/>
          <w:szCs w:val="21"/>
        </w:rPr>
        <w:t>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4.投标文件份数：</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投标文件：政府采购云平台在线上传一份；备份投标文件以介质（U盘）存储的数据电文形式（如有）：密封包装后EMS或顺丰邮寄形式递交一份（邮寄地址：杭州市西湖区玉古路173号中田大厦16楼A室浙江求是招标代理有限公司李聪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spacing w:val="-6"/>
          <w:sz w:val="24"/>
        </w:rPr>
      </w:pPr>
      <w:r>
        <w:rPr>
          <w:rFonts w:hint="eastAsia" w:ascii="宋体" w:hAnsi="宋体"/>
          <w:b/>
          <w:bCs/>
          <w:sz w:val="21"/>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r>
        <w:rPr>
          <w:rFonts w:hint="eastAsia" w:ascii="宋体" w:hAnsi="宋体"/>
          <w:b/>
          <w:spacing w:val="-6"/>
          <w:sz w:val="24"/>
        </w:rPr>
        <w:t>（三） 投标文件的上传、递交、修改和撤回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（1）电子加密投标文件的上传：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a.投标人应在投标截止时间前将电子加密投标文件成功上传至政府采购云平台，否则投标无效；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b.电子加密投标文件成功上传后，投标人可自行打印投标文件接收回执。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（2）备份投标文件的密封包装、递交：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b.备份投标文件应当密封包装并在包装上标注投标项目名称、投标人名称并加盖公章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投标人逾期送达或者未密封包装的备份投标文件采购代理机构将予以拒收；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ascii="宋体" w:hAnsi="宋体"/>
          <w:b/>
          <w:spacing w:val="-6"/>
          <w:sz w:val="24"/>
        </w:rPr>
      </w:pPr>
      <w:r>
        <w:rPr>
          <w:rFonts w:hint="eastAsia" w:ascii="宋体" w:hAnsi="宋体"/>
          <w:b/>
          <w:bCs/>
          <w:sz w:val="21"/>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outlineLvl w:val="2"/>
        <w:rPr>
          <w:rFonts w:ascii="宋体" w:hAnsi="宋体"/>
          <w:b/>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ascii="宋体" w:hAnsi="宋体"/>
          <w:b/>
          <w:spacing w:val="-6"/>
          <w:sz w:val="24"/>
        </w:rPr>
      </w:pPr>
      <w:r>
        <w:rPr>
          <w:rFonts w:hint="eastAsia" w:ascii="宋体" w:hAnsi="宋体"/>
          <w:b/>
          <w:spacing w:val="-6"/>
          <w:sz w:val="24"/>
        </w:rPr>
        <w:t>（五） 投标报价</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1.本次投标采用人民币报价。</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2.投标报价是指一次性报出不得更改的价格，投标报价应按招标文件中相关附表格式填写。</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3.投标报价是履行合同的最终价格，</w:t>
      </w:r>
      <w:r>
        <w:rPr>
          <w:rFonts w:hAnsi="宋体"/>
          <w:spacing w:val="-6"/>
          <w:sz w:val="21"/>
          <w:szCs w:val="21"/>
        </w:rPr>
        <w:t>应包括</w:t>
      </w:r>
      <w:r>
        <w:rPr>
          <w:rFonts w:hint="eastAsia" w:hAnsi="宋体"/>
          <w:spacing w:val="-6"/>
          <w:sz w:val="21"/>
          <w:szCs w:val="21"/>
        </w:rPr>
        <w:t>完成所有产品供货及履行所有规定服务所产生的全部税、费。</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spacing w:line="288" w:lineRule="auto"/>
        <w:jc w:val="left"/>
        <w:outlineLvl w:val="2"/>
        <w:rPr>
          <w:rFonts w:ascii="宋体" w:hAnsi="宋体"/>
          <w:b/>
          <w:spacing w:val="-6"/>
          <w:sz w:val="24"/>
        </w:rPr>
      </w:pPr>
      <w:r>
        <w:rPr>
          <w:rFonts w:hint="eastAsia" w:ascii="宋体" w:hAnsi="宋体"/>
          <w:b/>
          <w:spacing w:val="-6"/>
          <w:sz w:val="24"/>
        </w:rPr>
        <w:t>（六） 投标有效期</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从提交投标文件的截止之日起90天。</w:t>
      </w:r>
    </w:p>
    <w:p>
      <w:pPr>
        <w:pStyle w:val="12"/>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outlineLvl w:val="2"/>
        <w:rPr>
          <w:rFonts w:ascii="宋体" w:hAnsi="宋体"/>
          <w:b/>
          <w:spacing w:val="-6"/>
          <w:sz w:val="24"/>
        </w:rPr>
      </w:pPr>
      <w:r>
        <w:rPr>
          <w:rFonts w:hint="eastAsia" w:ascii="宋体" w:hAnsi="宋体"/>
          <w:b/>
          <w:spacing w:val="-6"/>
          <w:sz w:val="24"/>
        </w:rPr>
        <w:t>（七） 投标无效的情形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（1）资格</w:t>
      </w:r>
      <w:r>
        <w:rPr>
          <w:rFonts w:ascii="宋体" w:hAnsi="宋体"/>
          <w:spacing w:val="-6"/>
          <w:sz w:val="21"/>
          <w:szCs w:val="21"/>
        </w:rPr>
        <w:t>文件</w:t>
      </w:r>
      <w:r>
        <w:rPr>
          <w:rFonts w:hint="eastAsia" w:ascii="宋体" w:hAnsi="宋体"/>
          <w:spacing w:val="-6"/>
          <w:sz w:val="21"/>
          <w:szCs w:val="21"/>
        </w:rPr>
        <w:t>、商务</w:t>
      </w:r>
      <w:r>
        <w:rPr>
          <w:rFonts w:ascii="宋体" w:hAnsi="宋体"/>
          <w:spacing w:val="-6"/>
          <w:sz w:val="21"/>
          <w:szCs w:val="21"/>
        </w:rPr>
        <w:t>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、法定代表人资格证明书</w:t>
      </w:r>
      <w:r>
        <w:rPr>
          <w:rFonts w:hint="eastAsia" w:ascii="宋体" w:hAnsi="宋体"/>
          <w:spacing w:val="-6"/>
          <w:sz w:val="21"/>
          <w:szCs w:val="21"/>
        </w:rPr>
        <w:t>、法定代表人授权委托书、投标</w:t>
      </w:r>
      <w:r>
        <w:rPr>
          <w:rFonts w:ascii="宋体" w:hAnsi="宋体"/>
          <w:spacing w:val="-6"/>
          <w:sz w:val="21"/>
          <w:szCs w:val="21"/>
        </w:rPr>
        <w:t>声明书</w:t>
      </w:r>
      <w:r>
        <w:rPr>
          <w:rFonts w:hint="eastAsia" w:ascii="宋体" w:hAnsi="宋体"/>
          <w:spacing w:val="-6"/>
          <w:sz w:val="21"/>
          <w:szCs w:val="21"/>
        </w:rPr>
        <w:t>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（4）未提供或未如实提供商务、技术</w:t>
      </w:r>
      <w:r>
        <w:rPr>
          <w:rFonts w:ascii="宋体" w:hAnsi="宋体"/>
          <w:spacing w:val="-6"/>
          <w:sz w:val="21"/>
          <w:szCs w:val="21"/>
        </w:rPr>
        <w:t>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（8）投标文件含有采购人不能接受的附加条件的；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（9）法律、法规和招标文件规定的其他无效情形。</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pStyle w:val="12"/>
        <w:spacing w:before="0" w:beforeLines="0" w:after="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2"/>
        <w:spacing w:line="288" w:lineRule="auto"/>
        <w:ind w:firstLine="0"/>
        <w:outlineLvl w:val="2"/>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w:t>
      </w:r>
      <w:r>
        <w:rPr>
          <w:rFonts w:hint="eastAsia" w:ascii="宋体" w:hAnsi="宋体"/>
          <w:spacing w:val="-6"/>
          <w:sz w:val="21"/>
          <w:szCs w:val="21"/>
        </w:rPr>
        <w:t>评标</w:t>
      </w:r>
      <w:r>
        <w:rPr>
          <w:rFonts w:ascii="宋体" w:hAnsi="宋体"/>
          <w:spacing w:val="-6"/>
          <w:sz w:val="21"/>
          <w:szCs w:val="21"/>
        </w:rPr>
        <w:t>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w:t>
      </w:r>
      <w:r>
        <w:rPr>
          <w:rFonts w:hint="eastAsia" w:ascii="宋体" w:hAnsi="宋体"/>
          <w:spacing w:val="-6"/>
          <w:sz w:val="21"/>
          <w:szCs w:val="21"/>
        </w:rPr>
        <w:t>评标</w:t>
      </w:r>
      <w:r>
        <w:rPr>
          <w:rFonts w:ascii="宋体" w:hAnsi="宋体"/>
          <w:spacing w:val="-6"/>
          <w:sz w:val="21"/>
          <w:szCs w:val="21"/>
        </w:rPr>
        <w:t>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hint="eastAsia" w:ascii="宋体" w:hAnsi="宋体"/>
          <w:spacing w:val="-6"/>
          <w:sz w:val="21"/>
          <w:szCs w:val="21"/>
        </w:rPr>
        <w:t>招标</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2"/>
        <w:spacing w:line="288" w:lineRule="auto"/>
        <w:ind w:firstLine="0"/>
        <w:outlineLvl w:val="2"/>
        <w:rPr>
          <w:rFonts w:hAnsi="宋体"/>
          <w:b/>
          <w:spacing w:val="-6"/>
          <w:sz w:val="24"/>
          <w:szCs w:val="24"/>
        </w:rPr>
      </w:pPr>
      <w:r>
        <w:rPr>
          <w:rFonts w:hint="eastAsia" w:hAnsi="宋体"/>
          <w:b/>
          <w:spacing w:val="-6"/>
          <w:sz w:val="24"/>
          <w:szCs w:val="24"/>
        </w:rPr>
        <w:t>（二） 开标程序</w:t>
      </w:r>
    </w:p>
    <w:p>
      <w:pPr>
        <w:pStyle w:val="2"/>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w:t>
      </w:r>
      <w:r>
        <w:rPr>
          <w:rFonts w:hint="eastAsia" w:hAnsi="宋体"/>
          <w:spacing w:val="-6"/>
          <w:sz w:val="21"/>
          <w:szCs w:val="21"/>
          <w:lang w:val="en-US"/>
        </w:rPr>
        <w:t>开启</w:t>
      </w:r>
      <w:r>
        <w:rPr>
          <w:rFonts w:hint="eastAsia" w:hAnsi="宋体"/>
          <w:spacing w:val="-6"/>
          <w:sz w:val="21"/>
          <w:szCs w:val="21"/>
        </w:rPr>
        <w:t>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lang w:val="en-US"/>
        </w:rPr>
        <w:t>开启</w:t>
      </w:r>
      <w:r>
        <w:rPr>
          <w:rFonts w:hAnsi="宋体"/>
          <w:spacing w:val="-6"/>
          <w:sz w:val="21"/>
          <w:szCs w:val="21"/>
        </w:rPr>
        <w:t>报价文件的顺序进行。具体按以下程序进行：</w:t>
      </w:r>
    </w:p>
    <w:p>
      <w:pPr>
        <w:pStyle w:val="2"/>
        <w:spacing w:line="288" w:lineRule="auto"/>
        <w:ind w:firstLine="396" w:firstLineChars="200"/>
        <w:rPr>
          <w:rFonts w:hAnsi="宋体"/>
          <w:spacing w:val="-6"/>
          <w:sz w:val="21"/>
          <w:szCs w:val="21"/>
        </w:rPr>
      </w:pPr>
      <w:r>
        <w:rPr>
          <w:rFonts w:hint="eastAsia" w:hAnsi="宋体"/>
          <w:spacing w:val="-6"/>
          <w:sz w:val="21"/>
          <w:szCs w:val="21"/>
        </w:rPr>
        <w:t>1.开启开标场地的录音录像采集设备，并确保其正常运行。</w:t>
      </w:r>
    </w:p>
    <w:p>
      <w:pPr>
        <w:pStyle w:val="2"/>
        <w:spacing w:line="288" w:lineRule="auto"/>
        <w:ind w:firstLine="396" w:firstLineChars="200"/>
        <w:rPr>
          <w:rFonts w:hAnsi="宋体"/>
          <w:spacing w:val="-6"/>
          <w:sz w:val="21"/>
          <w:szCs w:val="21"/>
          <w:lang w:val="en-US"/>
        </w:rPr>
      </w:pPr>
      <w:r>
        <w:rPr>
          <w:rFonts w:hint="eastAsia" w:hAnsi="宋体"/>
          <w:spacing w:val="-6"/>
          <w:sz w:val="21"/>
          <w:szCs w:val="21"/>
          <w:lang w:val="en-US"/>
        </w:rPr>
        <w:t>2.</w:t>
      </w:r>
      <w:r>
        <w:rPr>
          <w:rFonts w:hAnsi="宋体"/>
          <w:spacing w:val="-6"/>
          <w:sz w:val="21"/>
          <w:szCs w:val="21"/>
        </w:rPr>
        <w:t>核验出席开标活动现场的</w:t>
      </w:r>
      <w:r>
        <w:rPr>
          <w:rFonts w:hint="eastAsia" w:hAnsi="宋体"/>
          <w:spacing w:val="-6"/>
          <w:sz w:val="21"/>
          <w:szCs w:val="21"/>
          <w:lang w:val="en-US"/>
        </w:rPr>
        <w:t>各</w:t>
      </w:r>
      <w:r>
        <w:rPr>
          <w:rFonts w:hAnsi="宋体"/>
          <w:spacing w:val="-6"/>
          <w:sz w:val="21"/>
          <w:szCs w:val="21"/>
        </w:rPr>
        <w:t>相关单位人员身份，并组织其分别登记、签到，无关人员可拒绝其进入现场</w:t>
      </w:r>
      <w:r>
        <w:rPr>
          <w:rFonts w:hint="eastAsia" w:hAnsi="宋体"/>
          <w:spacing w:val="-6"/>
          <w:sz w:val="21"/>
          <w:szCs w:val="21"/>
        </w:rPr>
        <w:t>。</w:t>
      </w:r>
    </w:p>
    <w:p>
      <w:pPr>
        <w:pStyle w:val="2"/>
        <w:spacing w:line="288" w:lineRule="auto"/>
        <w:ind w:firstLine="396" w:firstLineChars="200"/>
        <w:rPr>
          <w:rFonts w:hAnsi="宋体"/>
          <w:spacing w:val="-6"/>
          <w:sz w:val="21"/>
          <w:szCs w:val="21"/>
          <w:lang w:val="en-US"/>
        </w:rPr>
      </w:pPr>
      <w:r>
        <w:rPr>
          <w:rFonts w:hint="eastAsia" w:hAnsi="宋体"/>
          <w:spacing w:val="-6"/>
          <w:sz w:val="21"/>
          <w:szCs w:val="21"/>
          <w:lang w:val="en-US"/>
        </w:rPr>
        <w:t>3.政府采购云平台在线进行投标文件签收，</w:t>
      </w:r>
      <w:r>
        <w:rPr>
          <w:rFonts w:hint="eastAsia" w:hAnsi="宋体"/>
          <w:spacing w:val="-6"/>
          <w:sz w:val="21"/>
          <w:szCs w:val="21"/>
        </w:rPr>
        <w:t>并向投标人出具签收回执</w:t>
      </w:r>
      <w:r>
        <w:rPr>
          <w:rFonts w:hint="eastAsia" w:hAnsi="宋体"/>
          <w:spacing w:val="-6"/>
          <w:sz w:val="21"/>
          <w:szCs w:val="21"/>
          <w:lang w:val="en-US"/>
        </w:rPr>
        <w:t>。</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4.</w:t>
      </w:r>
      <w:r>
        <w:rPr>
          <w:rFonts w:hAnsi="宋体"/>
          <w:spacing w:val="-6"/>
          <w:sz w:val="21"/>
          <w:szCs w:val="21"/>
        </w:rPr>
        <w:t>主持人宣布开标</w:t>
      </w:r>
      <w:r>
        <w:rPr>
          <w:rFonts w:hint="eastAsia" w:hAnsi="宋体"/>
          <w:spacing w:val="-6"/>
          <w:sz w:val="21"/>
          <w:szCs w:val="21"/>
        </w:rPr>
        <w:t>，</w:t>
      </w:r>
      <w:r>
        <w:rPr>
          <w:rFonts w:hAnsi="宋体"/>
          <w:spacing w:val="-6"/>
          <w:sz w:val="21"/>
          <w:szCs w:val="21"/>
        </w:rPr>
        <w:t>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5.</w:t>
      </w:r>
      <w:r>
        <w:rPr>
          <w:rFonts w:hint="eastAsia" w:hAnsi="宋体"/>
          <w:spacing w:val="-6"/>
          <w:sz w:val="21"/>
          <w:szCs w:val="21"/>
        </w:rPr>
        <w:t>向各投标</w:t>
      </w:r>
      <w:r>
        <w:rPr>
          <w:rFonts w:hint="eastAsia" w:hAnsi="宋体"/>
          <w:spacing w:val="-6"/>
          <w:sz w:val="21"/>
          <w:szCs w:val="21"/>
          <w:lang w:val="en-US"/>
        </w:rPr>
        <w:t>人</w:t>
      </w:r>
      <w:r>
        <w:rPr>
          <w:rFonts w:hint="eastAsia" w:hAnsi="宋体"/>
          <w:spacing w:val="-6"/>
          <w:sz w:val="21"/>
          <w:szCs w:val="21"/>
        </w:rPr>
        <w:t>发出电子加密投标文件开始解密通知，由</w:t>
      </w:r>
      <w:r>
        <w:rPr>
          <w:rFonts w:hint="eastAsia" w:hAnsi="宋体"/>
          <w:spacing w:val="-6"/>
          <w:sz w:val="21"/>
          <w:szCs w:val="21"/>
          <w:lang w:val="en-US"/>
        </w:rPr>
        <w:t>投标人在</w:t>
      </w:r>
      <w:r>
        <w:rPr>
          <w:rFonts w:hint="eastAsia" w:hAnsi="宋体"/>
          <w:spacing w:val="-6"/>
          <w:sz w:val="21"/>
          <w:szCs w:val="21"/>
        </w:rPr>
        <w:t>规定时间（</w:t>
      </w:r>
      <w:r>
        <w:rPr>
          <w:rFonts w:hint="eastAsia" w:hAnsi="宋体"/>
          <w:spacing w:val="-6"/>
          <w:sz w:val="21"/>
          <w:szCs w:val="21"/>
          <w:lang w:val="en-US"/>
        </w:rPr>
        <w:t>不少于30分钟</w:t>
      </w:r>
      <w:r>
        <w:rPr>
          <w:rFonts w:hint="eastAsia" w:hAnsi="宋体"/>
          <w:spacing w:val="-6"/>
          <w:sz w:val="21"/>
          <w:szCs w:val="21"/>
        </w:rPr>
        <w:t>）内自行进行投标文件解密。投标</w:t>
      </w:r>
      <w:r>
        <w:rPr>
          <w:rFonts w:hint="eastAsia" w:hAnsi="宋体"/>
          <w:spacing w:val="-6"/>
          <w:sz w:val="21"/>
          <w:szCs w:val="21"/>
          <w:lang w:val="en-US"/>
        </w:rPr>
        <w:t>人</w:t>
      </w:r>
      <w:r>
        <w:rPr>
          <w:rFonts w:hint="eastAsia" w:hAnsi="宋体"/>
          <w:spacing w:val="-6"/>
          <w:sz w:val="21"/>
          <w:szCs w:val="21"/>
        </w:rPr>
        <w:t>在规定时间内无法完成已</w:t>
      </w:r>
      <w:r>
        <w:rPr>
          <w:rFonts w:hint="eastAsia" w:hAnsi="宋体"/>
          <w:spacing w:val="-6"/>
          <w:sz w:val="21"/>
          <w:szCs w:val="21"/>
          <w:lang w:val="en-US"/>
        </w:rPr>
        <w:t>上传</w:t>
      </w:r>
      <w:r>
        <w:rPr>
          <w:rFonts w:hint="eastAsia" w:hAnsi="宋体"/>
          <w:spacing w:val="-6"/>
          <w:sz w:val="21"/>
          <w:szCs w:val="21"/>
        </w:rPr>
        <w:t>的电子加密投标文件解密的，如已按规定递交备份投标文件的，将由采购</w:t>
      </w:r>
      <w:r>
        <w:rPr>
          <w:rFonts w:hint="eastAsia" w:hAnsi="宋体"/>
          <w:spacing w:val="-6"/>
          <w:sz w:val="21"/>
          <w:szCs w:val="21"/>
          <w:lang w:val="en-US"/>
        </w:rPr>
        <w:t>代理机构</w:t>
      </w:r>
      <w:r>
        <w:rPr>
          <w:rFonts w:hint="eastAsia" w:hAnsi="宋体"/>
          <w:spacing w:val="-6"/>
          <w:sz w:val="21"/>
          <w:szCs w:val="21"/>
        </w:rPr>
        <w:t>按政府采购云平台操作规范将备份投标文件上传至政府采购云平台，上传成功后，电子加密投标文件自动失效，否则视为投标文件撤回。</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6</w:t>
      </w:r>
      <w:r>
        <w:rPr>
          <w:rFonts w:hint="eastAsia" w:hAnsi="宋体"/>
          <w:spacing w:val="-6"/>
          <w:sz w:val="21"/>
          <w:szCs w:val="21"/>
        </w:rPr>
        <w:t>.</w:t>
      </w:r>
      <w:r>
        <w:rPr>
          <w:rFonts w:hint="eastAsia" w:hAnsi="宋体"/>
          <w:spacing w:val="-6"/>
          <w:sz w:val="21"/>
          <w:szCs w:val="21"/>
          <w:lang w:val="en-US"/>
        </w:rPr>
        <w:t>开启投标文件后，</w:t>
      </w:r>
      <w:r>
        <w:rPr>
          <w:rFonts w:hint="eastAsia" w:hAnsi="宋体"/>
          <w:spacing w:val="-6"/>
          <w:sz w:val="21"/>
          <w:szCs w:val="21"/>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7</w:t>
      </w:r>
      <w:r>
        <w:rPr>
          <w:rFonts w:hint="eastAsia" w:hAnsi="宋体"/>
          <w:spacing w:val="-6"/>
          <w:sz w:val="21"/>
          <w:szCs w:val="21"/>
        </w:rPr>
        <w:t>.</w:t>
      </w:r>
      <w:r>
        <w:rPr>
          <w:rFonts w:hAnsi="宋体"/>
          <w:spacing w:val="-6"/>
          <w:sz w:val="21"/>
          <w:szCs w:val="21"/>
        </w:rPr>
        <w:t>商务和技术评审结束后，宣告商务和技术评审无效投标人名称及理由</w:t>
      </w:r>
      <w:r>
        <w:rPr>
          <w:rFonts w:hint="eastAsia" w:hAnsi="宋体"/>
          <w:spacing w:val="-6"/>
          <w:sz w:val="21"/>
          <w:szCs w:val="21"/>
        </w:rPr>
        <w:t>，</w:t>
      </w:r>
      <w:r>
        <w:rPr>
          <w:rFonts w:hAnsi="宋体"/>
          <w:spacing w:val="-6"/>
          <w:sz w:val="21"/>
          <w:szCs w:val="21"/>
        </w:rPr>
        <w:t>公布经商务和技术评审符合采购需求的投标人名单，采用综合评分法的，公布其商务和技术得分情况。</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8</w:t>
      </w:r>
      <w:r>
        <w:rPr>
          <w:rFonts w:hint="eastAsia" w:hAnsi="宋体"/>
          <w:spacing w:val="-6"/>
          <w:sz w:val="21"/>
          <w:szCs w:val="21"/>
        </w:rPr>
        <w:t>.</w:t>
      </w:r>
      <w:r>
        <w:rPr>
          <w:rFonts w:hint="eastAsia" w:hAnsi="宋体"/>
          <w:spacing w:val="-6"/>
          <w:sz w:val="21"/>
          <w:szCs w:val="21"/>
          <w:lang w:val="en-US"/>
        </w:rPr>
        <w:t>开启</w:t>
      </w:r>
      <w:r>
        <w:rPr>
          <w:rFonts w:hAnsi="宋体"/>
          <w:spacing w:val="-6"/>
          <w:sz w:val="21"/>
          <w:szCs w:val="21"/>
        </w:rPr>
        <w:t>投标人报价文件，</w:t>
      </w:r>
      <w:r>
        <w:rPr>
          <w:rFonts w:hint="eastAsia" w:hAnsi="宋体"/>
          <w:spacing w:val="-6"/>
          <w:sz w:val="21"/>
          <w:szCs w:val="21"/>
        </w:rPr>
        <w:t>通过发送邮件形式公布</w:t>
      </w:r>
      <w:r>
        <w:rPr>
          <w:rFonts w:hAnsi="宋体"/>
          <w:spacing w:val="-6"/>
          <w:sz w:val="21"/>
          <w:szCs w:val="21"/>
        </w:rPr>
        <w:t>开标一览表有关内容，同时当场制作开标记录表，</w:t>
      </w:r>
      <w:r>
        <w:rPr>
          <w:rFonts w:hint="eastAsia" w:hAnsi="宋体"/>
          <w:spacing w:val="-6"/>
          <w:sz w:val="21"/>
          <w:szCs w:val="21"/>
          <w:lang w:val="en-US"/>
        </w:rPr>
        <w:t>投标人</w:t>
      </w:r>
      <w:r>
        <w:rPr>
          <w:rFonts w:hint="eastAsia" w:hAnsi="宋体"/>
          <w:spacing w:val="-6"/>
          <w:sz w:val="21"/>
          <w:szCs w:val="21"/>
        </w:rPr>
        <w:t>通过发送邮件形式签字确认，</w:t>
      </w:r>
      <w:r>
        <w:rPr>
          <w:rFonts w:hAnsi="宋体"/>
          <w:spacing w:val="-6"/>
          <w:sz w:val="21"/>
          <w:szCs w:val="21"/>
        </w:rPr>
        <w:t>唱标人、记录人和现场监督员</w:t>
      </w:r>
      <w:r>
        <w:rPr>
          <w:rFonts w:hint="eastAsia" w:hAnsi="宋体"/>
          <w:spacing w:val="-6"/>
          <w:sz w:val="21"/>
          <w:szCs w:val="21"/>
          <w:lang w:val="en-US"/>
        </w:rPr>
        <w:t>现场</w:t>
      </w:r>
      <w:r>
        <w:rPr>
          <w:rFonts w:hAnsi="宋体"/>
          <w:spacing w:val="-6"/>
          <w:sz w:val="21"/>
          <w:szCs w:val="21"/>
        </w:rPr>
        <w:t>签字确认</w:t>
      </w:r>
      <w:r>
        <w:rPr>
          <w:rFonts w:hint="eastAsia" w:hAnsi="宋体"/>
          <w:spacing w:val="-6"/>
          <w:sz w:val="21"/>
          <w:szCs w:val="21"/>
        </w:rPr>
        <w:t>（不予确认的应说明理由，否则视为无异议）</w:t>
      </w:r>
      <w:r>
        <w:rPr>
          <w:rFonts w:hAnsi="宋体"/>
          <w:spacing w:val="-6"/>
          <w:sz w:val="21"/>
          <w:szCs w:val="21"/>
        </w:rPr>
        <w:t>。唱标结束后，由评标委员会对报价的合理性、准确性等进行审查核实。</w:t>
      </w:r>
    </w:p>
    <w:p>
      <w:pPr>
        <w:pStyle w:val="2"/>
        <w:spacing w:line="288" w:lineRule="auto"/>
        <w:ind w:firstLine="396" w:firstLineChars="200"/>
        <w:rPr>
          <w:rFonts w:hAnsi="宋体"/>
          <w:spacing w:val="-6"/>
          <w:sz w:val="21"/>
          <w:szCs w:val="21"/>
        </w:rPr>
      </w:pPr>
      <w:r>
        <w:rPr>
          <w:rFonts w:hint="eastAsia" w:hAnsi="宋体"/>
          <w:spacing w:val="-6"/>
          <w:sz w:val="21"/>
          <w:szCs w:val="21"/>
          <w:lang w:val="en-US"/>
        </w:rPr>
        <w:t>9</w:t>
      </w:r>
      <w:r>
        <w:rPr>
          <w:rFonts w:hint="eastAsia" w:hAnsi="宋体"/>
          <w:spacing w:val="-6"/>
          <w:sz w:val="21"/>
          <w:szCs w:val="21"/>
        </w:rPr>
        <w:t>.</w:t>
      </w:r>
      <w:r>
        <w:rPr>
          <w:rFonts w:hint="eastAsia" w:hAnsi="宋体"/>
          <w:spacing w:val="-6"/>
          <w:sz w:val="21"/>
          <w:szCs w:val="21"/>
          <w:lang w:val="en-US"/>
        </w:rPr>
        <w:t>评标</w:t>
      </w:r>
      <w:r>
        <w:rPr>
          <w:rFonts w:hAnsi="宋体"/>
          <w:spacing w:val="-6"/>
          <w:sz w:val="21"/>
          <w:szCs w:val="21"/>
        </w:rPr>
        <w:t>结束后，</w:t>
      </w:r>
      <w:r>
        <w:rPr>
          <w:rFonts w:hint="eastAsia" w:hAnsi="宋体"/>
          <w:spacing w:val="-6"/>
          <w:sz w:val="21"/>
          <w:szCs w:val="21"/>
        </w:rPr>
        <w:t>通过发送邮件形式</w:t>
      </w:r>
      <w:r>
        <w:rPr>
          <w:rFonts w:hAnsi="宋体"/>
          <w:spacing w:val="-6"/>
          <w:sz w:val="21"/>
          <w:szCs w:val="21"/>
        </w:rPr>
        <w:t>公布中标候选</w:t>
      </w:r>
      <w:r>
        <w:rPr>
          <w:rFonts w:hint="eastAsia" w:hAnsi="宋体"/>
          <w:spacing w:val="-6"/>
          <w:sz w:val="21"/>
          <w:szCs w:val="21"/>
        </w:rPr>
        <w:t>人</w:t>
      </w:r>
      <w:r>
        <w:rPr>
          <w:rFonts w:hAnsi="宋体"/>
          <w:spacing w:val="-6"/>
          <w:sz w:val="21"/>
          <w:szCs w:val="21"/>
        </w:rPr>
        <w:t>名单，及采购人最终确定</w:t>
      </w:r>
      <w:r>
        <w:rPr>
          <w:rFonts w:hint="eastAsia" w:hAnsi="宋体"/>
          <w:spacing w:val="-6"/>
          <w:sz w:val="21"/>
          <w:szCs w:val="21"/>
        </w:rPr>
        <w:t>中标人</w:t>
      </w:r>
      <w:r>
        <w:rPr>
          <w:rFonts w:hAnsi="宋体"/>
          <w:spacing w:val="-6"/>
          <w:sz w:val="21"/>
          <w:szCs w:val="21"/>
        </w:rPr>
        <w:t>名单的时间和公告方式等。</w:t>
      </w:r>
    </w:p>
    <w:p>
      <w:pPr>
        <w:pStyle w:val="2"/>
        <w:spacing w:line="288" w:lineRule="auto"/>
        <w:ind w:firstLine="398" w:firstLineChars="200"/>
        <w:rPr>
          <w:rFonts w:hAnsi="宋体"/>
          <w:b/>
          <w:bCs/>
          <w:spacing w:val="-6"/>
          <w:sz w:val="21"/>
          <w:szCs w:val="21"/>
          <w:lang w:val="en-US"/>
        </w:rPr>
      </w:pPr>
      <w:r>
        <w:rPr>
          <w:rFonts w:hint="eastAsia" w:hAnsi="宋体"/>
          <w:b/>
          <w:bCs/>
          <w:spacing w:val="-6"/>
          <w:sz w:val="21"/>
          <w:szCs w:val="21"/>
          <w:lang w:val="en-US"/>
        </w:rPr>
        <w:t>特别说明：如遇政府采购云平台电子化开标或评审程序调整的，按调整后程序执行。</w:t>
      </w:r>
    </w:p>
    <w:p>
      <w:pPr>
        <w:pStyle w:val="12"/>
        <w:spacing w:before="0" w:beforeLines="0" w:after="0" w:afterLines="0" w:line="288" w:lineRule="auto"/>
        <w:jc w:val="center"/>
        <w:outlineLvl w:val="1"/>
        <w:rPr>
          <w:rFonts w:hAnsi="宋体"/>
          <w:b/>
          <w:spacing w:val="-6"/>
          <w:sz w:val="32"/>
          <w:szCs w:val="32"/>
        </w:rPr>
      </w:pPr>
      <w:r>
        <w:rPr>
          <w:rFonts w:hAnsi="宋体"/>
          <w:b/>
          <w:spacing w:val="-6"/>
          <w:sz w:val="21"/>
          <w:szCs w:val="21"/>
        </w:rPr>
        <w:br w:type="page"/>
      </w:r>
      <w:r>
        <w:rPr>
          <w:rFonts w:hint="eastAsia" w:hAnsi="宋体"/>
          <w:b/>
          <w:spacing w:val="-6"/>
          <w:sz w:val="32"/>
          <w:szCs w:val="32"/>
        </w:rPr>
        <w:t>五、评  标</w:t>
      </w:r>
    </w:p>
    <w:p>
      <w:pPr>
        <w:spacing w:line="288" w:lineRule="auto"/>
        <w:outlineLvl w:val="2"/>
        <w:rPr>
          <w:rFonts w:ascii="宋体" w:hAnsi="宋体"/>
          <w:b/>
          <w:spacing w:val="-6"/>
          <w:sz w:val="24"/>
        </w:rPr>
      </w:pPr>
      <w:r>
        <w:rPr>
          <w:rFonts w:hint="eastAsia" w:ascii="宋体" w:hAnsi="宋体"/>
          <w:b/>
          <w:spacing w:val="-6"/>
          <w:sz w:val="24"/>
        </w:rPr>
        <w:t>（一） 组建评标委员会</w:t>
      </w:r>
    </w:p>
    <w:p>
      <w:pPr>
        <w:pStyle w:val="12"/>
        <w:spacing w:before="0" w:beforeLines="0" w:after="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依据相关法律法规组建，成员人数为5人以上单数</w:t>
      </w:r>
      <w:r>
        <w:rPr>
          <w:rFonts w:hAnsi="宋体"/>
          <w:spacing w:val="-6"/>
          <w:sz w:val="21"/>
          <w:szCs w:val="21"/>
        </w:rPr>
        <w:t>。</w:t>
      </w:r>
    </w:p>
    <w:p>
      <w:pPr>
        <w:spacing w:line="288" w:lineRule="auto"/>
        <w:outlineLvl w:val="2"/>
        <w:rPr>
          <w:rFonts w:ascii="宋体" w:hAnsi="宋体"/>
          <w:b/>
          <w:spacing w:val="-6"/>
          <w:sz w:val="24"/>
        </w:rPr>
      </w:pPr>
      <w:r>
        <w:rPr>
          <w:rFonts w:ascii="宋体" w:hAnsi="宋体"/>
          <w:b/>
          <w:spacing w:val="-6"/>
          <w:sz w:val="24"/>
        </w:rPr>
        <w:t>（二</w:t>
      </w:r>
      <w:r>
        <w:rPr>
          <w:rFonts w:hint="eastAsia" w:ascii="宋体" w:hAnsi="宋体"/>
          <w:b/>
          <w:spacing w:val="-6"/>
          <w:sz w:val="24"/>
        </w:rPr>
        <w:t xml:space="preserve">） </w:t>
      </w:r>
      <w:r>
        <w:rPr>
          <w:rFonts w:ascii="宋体" w:hAnsi="宋体"/>
          <w:b/>
          <w:spacing w:val="-6"/>
          <w:sz w:val="24"/>
        </w:rPr>
        <w:t>评标的方式</w:t>
      </w:r>
    </w:p>
    <w:p>
      <w:pPr>
        <w:pStyle w:val="12"/>
        <w:spacing w:before="0" w:beforeLines="0" w:after="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spacing w:line="288" w:lineRule="auto"/>
        <w:outlineLvl w:val="2"/>
        <w:rPr>
          <w:rFonts w:ascii="宋体" w:hAnsi="宋体"/>
          <w:b/>
          <w:spacing w:val="-6"/>
          <w:sz w:val="24"/>
        </w:rPr>
      </w:pPr>
      <w:r>
        <w:rPr>
          <w:rFonts w:ascii="宋体" w:hAnsi="宋体"/>
          <w:b/>
          <w:spacing w:val="-6"/>
          <w:sz w:val="24"/>
        </w:rPr>
        <w:t>（三）</w:t>
      </w:r>
      <w:r>
        <w:rPr>
          <w:rFonts w:hint="eastAsia" w:ascii="宋体" w:hAnsi="宋体"/>
          <w:b/>
          <w:spacing w:val="-6"/>
          <w:sz w:val="24"/>
        </w:rPr>
        <w:t xml:space="preserve"> </w:t>
      </w:r>
      <w:r>
        <w:rPr>
          <w:rFonts w:ascii="宋体" w:hAnsi="宋体"/>
          <w:b/>
          <w:spacing w:val="-6"/>
          <w:sz w:val="24"/>
        </w:rPr>
        <w:t>评标程序</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w:t>
      </w:r>
      <w:r>
        <w:rPr>
          <w:rFonts w:hint="eastAsia" w:hAnsi="宋体"/>
          <w:spacing w:val="-6"/>
          <w:sz w:val="21"/>
          <w:szCs w:val="21"/>
          <w:lang w:val="en-US"/>
        </w:rPr>
        <w:t>评标</w:t>
      </w:r>
      <w:r>
        <w:rPr>
          <w:rFonts w:hAnsi="宋体"/>
          <w:spacing w:val="-6"/>
          <w:sz w:val="21"/>
          <w:szCs w:val="21"/>
        </w:rPr>
        <w:t>。</w:t>
      </w:r>
      <w:r>
        <w:rPr>
          <w:rFonts w:hint="eastAsia" w:hAnsi="宋体"/>
          <w:spacing w:val="-6"/>
          <w:sz w:val="21"/>
          <w:szCs w:val="21"/>
          <w:lang w:val="en-US"/>
        </w:rPr>
        <w:t>评标</w:t>
      </w:r>
      <w:r>
        <w:rPr>
          <w:rFonts w:hAnsi="宋体"/>
          <w:spacing w:val="-6"/>
          <w:sz w:val="21"/>
          <w:szCs w:val="21"/>
        </w:rPr>
        <w:t>活动一般应按以下程序组织开展：</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lang w:val="en-US"/>
        </w:rPr>
        <w:t>评标</w:t>
      </w:r>
      <w:r>
        <w:rPr>
          <w:rFonts w:hAnsi="宋体"/>
          <w:spacing w:val="-6"/>
          <w:sz w:val="21"/>
          <w:szCs w:val="21"/>
        </w:rPr>
        <w:t>场地的录音录像采集设备，并确保其正常运行</w:t>
      </w:r>
      <w:r>
        <w:rPr>
          <w:rFonts w:hint="eastAsia" w:hAnsi="宋体"/>
          <w:spacing w:val="-6"/>
          <w:sz w:val="21"/>
          <w:szCs w:val="21"/>
        </w:rPr>
        <w:t>。</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lang w:val="en-US"/>
        </w:rPr>
        <w:t>评标</w:t>
      </w:r>
      <w:r>
        <w:rPr>
          <w:rFonts w:hAnsi="宋体"/>
          <w:spacing w:val="-6"/>
          <w:sz w:val="21"/>
          <w:szCs w:val="21"/>
        </w:rPr>
        <w:t>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int="eastAsia" w:hAnsi="宋体"/>
          <w:spacing w:val="-6"/>
          <w:sz w:val="21"/>
          <w:szCs w:val="21"/>
          <w:lang w:val="en-US"/>
        </w:rPr>
        <w:t>评标</w:t>
      </w:r>
      <w:r>
        <w:rPr>
          <w:rFonts w:hAnsi="宋体"/>
          <w:spacing w:val="-6"/>
          <w:sz w:val="21"/>
          <w:szCs w:val="21"/>
        </w:rPr>
        <w:t>现场。</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w:t>
      </w:r>
      <w:r>
        <w:rPr>
          <w:rFonts w:hint="eastAsia" w:hAnsi="宋体"/>
          <w:spacing w:val="-6"/>
          <w:sz w:val="21"/>
          <w:szCs w:val="21"/>
          <w:lang w:val="en-US"/>
        </w:rPr>
        <w:t>评标</w:t>
      </w:r>
      <w:r>
        <w:rPr>
          <w:rFonts w:hAnsi="宋体"/>
          <w:spacing w:val="-6"/>
          <w:sz w:val="21"/>
          <w:szCs w:val="21"/>
        </w:rPr>
        <w:t>现场的人员情况，宣布</w:t>
      </w:r>
      <w:r>
        <w:rPr>
          <w:rFonts w:hint="eastAsia" w:hAnsi="宋体"/>
          <w:spacing w:val="-6"/>
          <w:sz w:val="21"/>
          <w:szCs w:val="21"/>
          <w:lang w:val="en-US"/>
        </w:rPr>
        <w:t>评标</w:t>
      </w:r>
      <w:r>
        <w:rPr>
          <w:rFonts w:hAnsi="宋体"/>
          <w:spacing w:val="-6"/>
          <w:sz w:val="21"/>
          <w:szCs w:val="21"/>
        </w:rPr>
        <w:t>工作纪律，告知</w:t>
      </w:r>
      <w:r>
        <w:rPr>
          <w:rFonts w:hint="eastAsia" w:hAnsi="宋体"/>
          <w:spacing w:val="-6"/>
          <w:sz w:val="21"/>
          <w:szCs w:val="21"/>
        </w:rPr>
        <w:t>评标委员会</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评标委员会</w:t>
      </w:r>
      <w:r>
        <w:rPr>
          <w:rFonts w:hAnsi="宋体"/>
          <w:spacing w:val="-6"/>
          <w:sz w:val="21"/>
          <w:szCs w:val="21"/>
        </w:rPr>
        <w:t>组长。</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依法获取招标文件的投标人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w:t>
      </w:r>
      <w:r>
        <w:rPr>
          <w:rFonts w:hint="eastAsia" w:hAnsi="宋体"/>
          <w:spacing w:val="-6"/>
          <w:sz w:val="21"/>
          <w:szCs w:val="21"/>
          <w:lang w:val="en-US"/>
        </w:rPr>
        <w:t>评标</w:t>
      </w:r>
      <w:r>
        <w:rPr>
          <w:rFonts w:hAnsi="宋体"/>
          <w:spacing w:val="-6"/>
          <w:sz w:val="21"/>
          <w:szCs w:val="21"/>
        </w:rPr>
        <w:t>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w:t>
      </w:r>
      <w:r>
        <w:rPr>
          <w:rFonts w:hint="eastAsia" w:hAnsi="宋体"/>
          <w:spacing w:val="-6"/>
          <w:sz w:val="21"/>
          <w:szCs w:val="21"/>
        </w:rPr>
        <w:t>投标人</w:t>
      </w:r>
      <w:r>
        <w:rPr>
          <w:rFonts w:hAnsi="宋体"/>
          <w:spacing w:val="-6"/>
          <w:sz w:val="21"/>
          <w:szCs w:val="21"/>
        </w:rPr>
        <w:t>代表</w:t>
      </w:r>
      <w:r>
        <w:rPr>
          <w:rFonts w:hint="eastAsia" w:hAnsi="宋体"/>
          <w:spacing w:val="-6"/>
          <w:sz w:val="21"/>
          <w:szCs w:val="21"/>
        </w:rPr>
        <w:t>通过发送邮件（或通过政府采购云平台在线答复）</w:t>
      </w:r>
      <w:r>
        <w:rPr>
          <w:rFonts w:hint="eastAsia" w:hAnsi="宋体"/>
          <w:spacing w:val="-6"/>
          <w:sz w:val="21"/>
          <w:szCs w:val="21"/>
          <w:lang w:val="en-US"/>
        </w:rPr>
        <w:t>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w:t>
      </w:r>
      <w:r>
        <w:rPr>
          <w:rFonts w:hint="eastAsia" w:hAnsi="宋体"/>
          <w:spacing w:val="-6"/>
          <w:sz w:val="21"/>
          <w:szCs w:val="21"/>
          <w:lang w:val="en-US"/>
        </w:rPr>
        <w:t>评标</w:t>
      </w:r>
      <w:r>
        <w:rPr>
          <w:rFonts w:hAnsi="宋体"/>
          <w:spacing w:val="-6"/>
          <w:sz w:val="21"/>
          <w:szCs w:val="21"/>
        </w:rPr>
        <w:t>现场相关记录，协助评标委员会组长做好</w:t>
      </w:r>
      <w:r>
        <w:rPr>
          <w:rFonts w:hint="eastAsia" w:hAnsi="宋体"/>
          <w:spacing w:val="-6"/>
          <w:sz w:val="21"/>
          <w:szCs w:val="21"/>
          <w:lang w:val="en-US"/>
        </w:rPr>
        <w:t>评标</w:t>
      </w:r>
      <w:r>
        <w:rPr>
          <w:rFonts w:hAnsi="宋体"/>
          <w:spacing w:val="-6"/>
          <w:sz w:val="21"/>
          <w:szCs w:val="21"/>
        </w:rPr>
        <w:t>报告起草、有关内容电脑文字录入等工作，并要求评标委员会各成员签字确认。</w:t>
      </w:r>
    </w:p>
    <w:p>
      <w:pPr>
        <w:pStyle w:val="12"/>
        <w:spacing w:before="0" w:beforeLines="0" w:after="0" w:afterLines="0" w:line="288" w:lineRule="auto"/>
        <w:ind w:firstLine="396" w:firstLineChars="200"/>
        <w:rPr>
          <w:rFonts w:hAnsi="宋体"/>
          <w:spacing w:val="-6"/>
          <w:sz w:val="21"/>
          <w:szCs w:val="21"/>
        </w:rPr>
      </w:pPr>
      <w:r>
        <w:rPr>
          <w:rFonts w:hint="eastAsia" w:hAnsi="宋体"/>
          <w:spacing w:val="-6"/>
          <w:sz w:val="21"/>
          <w:szCs w:val="21"/>
        </w:rPr>
        <w:t>8.</w:t>
      </w:r>
      <w:r>
        <w:rPr>
          <w:rFonts w:hint="eastAsia" w:hAnsi="宋体"/>
          <w:spacing w:val="-6"/>
          <w:sz w:val="21"/>
          <w:szCs w:val="21"/>
          <w:lang w:val="en-US"/>
        </w:rPr>
        <w:t>评标</w:t>
      </w:r>
      <w:r>
        <w:rPr>
          <w:rFonts w:hAnsi="宋体"/>
          <w:spacing w:val="-6"/>
          <w:sz w:val="21"/>
          <w:szCs w:val="21"/>
        </w:rPr>
        <w:t>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spacing w:line="288" w:lineRule="auto"/>
        <w:outlineLvl w:val="2"/>
        <w:rPr>
          <w:rFonts w:ascii="宋体" w:hAnsi="宋体"/>
          <w:b/>
          <w:spacing w:val="-6"/>
          <w:sz w:val="24"/>
        </w:rPr>
      </w:pPr>
      <w:r>
        <w:rPr>
          <w:rFonts w:ascii="宋体" w:hAnsi="宋体"/>
          <w:b/>
          <w:spacing w:val="-6"/>
          <w:sz w:val="24"/>
        </w:rPr>
        <w:t>（四）</w:t>
      </w:r>
      <w:r>
        <w:rPr>
          <w:rFonts w:hint="eastAsia" w:ascii="宋体" w:hAnsi="宋体"/>
          <w:b/>
          <w:spacing w:val="-6"/>
          <w:sz w:val="24"/>
        </w:rPr>
        <w:t xml:space="preserve"> </w:t>
      </w:r>
      <w:r>
        <w:rPr>
          <w:rFonts w:ascii="宋体" w:hAnsi="宋体"/>
          <w:b/>
          <w:spacing w:val="-6"/>
          <w:sz w:val="24"/>
        </w:rPr>
        <w:t>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pPr>
      <w:r>
        <w:rPr>
          <w:rFonts w:hint="eastAsia" w:ascii="宋体" w:hAnsi="宋体"/>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hAnsi="宋体" w:cs="宋体"/>
          <w:b/>
          <w:bCs/>
          <w:kern w:val="0"/>
          <w:sz w:val="21"/>
          <w:szCs w:val="21"/>
        </w:rPr>
        <w:t>采用书面形式的</w:t>
      </w:r>
      <w:r>
        <w:rPr>
          <w:rFonts w:hint="eastAsia" w:hAnsi="宋体"/>
          <w:b/>
          <w:bCs/>
          <w:spacing w:val="-6"/>
          <w:sz w:val="21"/>
          <w:szCs w:val="21"/>
        </w:rPr>
        <w:t>澄清、说明或者更正，</w:t>
      </w:r>
      <w:r>
        <w:rPr>
          <w:rFonts w:hint="eastAsia" w:hAnsi="宋体" w:cs="宋体"/>
          <w:b/>
          <w:bCs/>
          <w:kern w:val="0"/>
          <w:sz w:val="21"/>
          <w:szCs w:val="21"/>
        </w:rPr>
        <w:t>投标人应在规定时间内（</w:t>
      </w:r>
      <w:r>
        <w:rPr>
          <w:rFonts w:hint="eastAsia" w:hAnsi="宋体"/>
          <w:b/>
          <w:bCs/>
          <w:spacing w:val="-6"/>
          <w:sz w:val="21"/>
          <w:szCs w:val="21"/>
        </w:rPr>
        <w:t>不得少于半小时</w:t>
      </w:r>
      <w:r>
        <w:rPr>
          <w:rFonts w:hint="eastAsia" w:hAnsi="宋体" w:cs="宋体"/>
          <w:b/>
          <w:bCs/>
          <w:kern w:val="0"/>
          <w:sz w:val="21"/>
          <w:szCs w:val="21"/>
        </w:rPr>
        <w:t>）</w:t>
      </w:r>
      <w:r>
        <w:rPr>
          <w:rFonts w:hint="eastAsia" w:hAnsi="宋体"/>
          <w:b/>
          <w:bCs/>
          <w:spacing w:val="-6"/>
          <w:sz w:val="21"/>
          <w:szCs w:val="21"/>
        </w:rPr>
        <w:t>通过指定的电子邮箱（zb03@qszb.net）或传真号码（</w:t>
      </w:r>
      <w:r>
        <w:rPr>
          <w:rFonts w:hint="eastAsia" w:ascii="宋体" w:hAnsi="宋体"/>
          <w:b/>
          <w:bCs/>
          <w:sz w:val="21"/>
          <w:szCs w:val="21"/>
        </w:rPr>
        <w:t>0571-87666116</w:t>
      </w:r>
      <w:r>
        <w:rPr>
          <w:rFonts w:hint="eastAsia" w:hAnsi="宋体"/>
          <w:b/>
          <w:bCs/>
          <w:spacing w:val="-6"/>
          <w:sz w:val="21"/>
          <w:szCs w:val="21"/>
        </w:rPr>
        <w:t>）提交。</w:t>
      </w:r>
    </w:p>
    <w:p>
      <w:pPr>
        <w:spacing w:line="288" w:lineRule="auto"/>
        <w:outlineLvl w:val="2"/>
        <w:rPr>
          <w:rFonts w:ascii="宋体" w:hAnsi="宋体"/>
          <w:b/>
          <w:spacing w:val="-6"/>
          <w:sz w:val="24"/>
        </w:rPr>
      </w:pPr>
      <w:r>
        <w:rPr>
          <w:rFonts w:ascii="宋体" w:hAnsi="宋体"/>
          <w:b/>
          <w:spacing w:val="-6"/>
          <w:sz w:val="24"/>
        </w:rPr>
        <w:t>（五）</w:t>
      </w:r>
      <w:r>
        <w:rPr>
          <w:rFonts w:hint="eastAsia" w:ascii="宋体" w:hAnsi="宋体"/>
          <w:b/>
          <w:spacing w:val="-6"/>
          <w:sz w:val="24"/>
        </w:rPr>
        <w:t xml:space="preserve"> </w:t>
      </w:r>
      <w:r>
        <w:rPr>
          <w:rFonts w:ascii="宋体" w:hAnsi="宋体"/>
          <w:b/>
          <w:spacing w:val="-6"/>
          <w:sz w:val="24"/>
        </w:rPr>
        <w:t>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投标文件报价出现前后不一致的，除招标文件另有规定外，按照下列规定修正：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（一）投标文件中开标一览表内容与投标文件中相应内容不一致的，以开标一览表为准；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（二）大写金额和小写金额不一致的，以大写金额为准；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（三）单价金额小数点或者百分比有明显错位的，以开标一览表的总价为准，并修改单价；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（四）总价金额与按单价汇总金额不一致的，以单价金额计算结果为准。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hint="eastAsia" w:ascii="宋体" w:hAnsi="宋体"/>
          <w:spacing w:val="-6"/>
          <w:sz w:val="21"/>
          <w:szCs w:val="21"/>
        </w:rPr>
        <w:t>第二款的规定经投标人确认后产生约束力，投标人不确认的，其投标无效。</w:t>
      </w:r>
    </w:p>
    <w:p>
      <w:pPr>
        <w:spacing w:line="288" w:lineRule="auto"/>
        <w:outlineLvl w:val="2"/>
        <w:rPr>
          <w:rFonts w:ascii="宋体" w:hAnsi="宋体"/>
          <w:b/>
          <w:spacing w:val="-6"/>
          <w:sz w:val="24"/>
        </w:rPr>
      </w:pPr>
      <w:r>
        <w:rPr>
          <w:rFonts w:ascii="宋体" w:hAnsi="宋体"/>
          <w:b/>
          <w:spacing w:val="-6"/>
          <w:sz w:val="24"/>
        </w:rPr>
        <w:t>（</w:t>
      </w:r>
      <w:r>
        <w:rPr>
          <w:rFonts w:hint="eastAsia" w:ascii="宋体" w:hAnsi="宋体"/>
          <w:b/>
          <w:spacing w:val="-6"/>
          <w:sz w:val="24"/>
        </w:rPr>
        <w:t>六</w:t>
      </w:r>
      <w:r>
        <w:rPr>
          <w:rFonts w:ascii="宋体" w:hAnsi="宋体"/>
          <w:b/>
          <w:spacing w:val="-6"/>
          <w:sz w:val="24"/>
        </w:rPr>
        <w:t>）</w:t>
      </w:r>
      <w:r>
        <w:rPr>
          <w:rFonts w:hint="eastAsia" w:ascii="宋体" w:hAnsi="宋体"/>
          <w:b/>
          <w:spacing w:val="-6"/>
          <w:sz w:val="24"/>
        </w:rPr>
        <w:t xml:space="preserve"> </w:t>
      </w:r>
      <w:r>
        <w:rPr>
          <w:rFonts w:ascii="宋体" w:hAnsi="宋体"/>
          <w:b/>
          <w:spacing w:val="-6"/>
          <w:sz w:val="24"/>
        </w:rPr>
        <w:t>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outlineLvl w:val="2"/>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hint="eastAsia" w:ascii="宋体" w:hAnsi="宋体"/>
          <w:spacing w:val="-6"/>
          <w:sz w:val="21"/>
          <w:szCs w:val="21"/>
        </w:rPr>
        <w:t>个工作日内在评标报告推荐的中标候选人中按顺序确定中标人。</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 w:val="21"/>
          <w:szCs w:val="21"/>
        </w:rPr>
        <w:t>http://zfcg.czt.zj.gov.cn</w:t>
      </w:r>
      <w:r>
        <w:rPr>
          <w:rFonts w:hint="eastAsia" w:ascii="宋体" w:hAnsi="宋体"/>
          <w:spacing w:val="-6"/>
          <w:sz w:val="21"/>
          <w:szCs w:val="21"/>
        </w:rPr>
        <w:fldChar w:fldCharType="end"/>
      </w:r>
      <w:r>
        <w:rPr>
          <w:rFonts w:hint="eastAsia" w:ascii="宋体" w:hAnsi="宋体"/>
          <w:spacing w:val="-6"/>
          <w:sz w:val="21"/>
          <w:szCs w:val="21"/>
        </w:rPr>
        <w:t>）等相关网站或媒体上公告中标结果。</w:t>
      </w:r>
    </w:p>
    <w:p>
      <w:pPr>
        <w:spacing w:line="288" w:lineRule="auto"/>
        <w:outlineLvl w:val="2"/>
        <w:rPr>
          <w:rFonts w:ascii="宋体" w:hAnsi="宋体"/>
          <w:b/>
          <w:spacing w:val="-6"/>
          <w:sz w:val="24"/>
        </w:rPr>
      </w:pPr>
      <w:r>
        <w:rPr>
          <w:rFonts w:hint="eastAsia" w:ascii="宋体" w:hAnsi="宋体"/>
          <w:b/>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ascii="宋体" w:hAnsi="宋体"/>
          <w:sz w:val="24"/>
        </w:rPr>
      </w:pPr>
      <w:r>
        <w:rPr>
          <w:rFonts w:hint="eastAsia" w:ascii="宋体" w:hAnsi="宋体"/>
          <w:sz w:val="24"/>
        </w:rPr>
        <w:br w:type="page"/>
      </w:r>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z w:val="32"/>
          <w:szCs w:val="32"/>
        </w:rPr>
        <w:t>第四章  评标办法及评分标准</w:t>
      </w:r>
    </w:p>
    <w:p>
      <w:pPr>
        <w:spacing w:line="288" w:lineRule="auto"/>
        <w:outlineLvl w:val="1"/>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outlineLvl w:val="1"/>
        <w:rPr>
          <w:rFonts w:ascii="宋体" w:hAnsi="宋体"/>
          <w:b/>
          <w:spacing w:val="-6"/>
          <w:sz w:val="24"/>
        </w:rPr>
      </w:pPr>
      <w:r>
        <w:rPr>
          <w:rFonts w:hint="eastAsia" w:ascii="宋体" w:hAnsi="宋体"/>
          <w:b/>
          <w:spacing w:val="-6"/>
          <w:sz w:val="24"/>
        </w:rPr>
        <w:t>二、评标内容及标准</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b/>
                <w:spacing w:val="-6"/>
                <w:sz w:val="21"/>
                <w:szCs w:val="21"/>
              </w:rPr>
            </w:pPr>
            <w:r>
              <w:rPr>
                <w:rFonts w:hint="eastAsia" w:ascii="宋体" w:hAnsi="宋体"/>
                <w:b/>
                <w:spacing w:val="-6"/>
                <w:sz w:val="21"/>
                <w:szCs w:val="21"/>
              </w:rPr>
              <w:t>评审因素</w:t>
            </w:r>
          </w:p>
        </w:tc>
        <w:tc>
          <w:tcPr>
            <w:tcW w:w="709" w:type="dxa"/>
            <w:vAlign w:val="center"/>
          </w:tcPr>
          <w:p>
            <w:pPr>
              <w:jc w:val="center"/>
              <w:rPr>
                <w:rFonts w:ascii="宋体"/>
                <w:b/>
                <w:spacing w:val="-6"/>
                <w:sz w:val="21"/>
                <w:szCs w:val="21"/>
              </w:rPr>
            </w:pPr>
            <w:r>
              <w:rPr>
                <w:rFonts w:hint="eastAsia" w:ascii="宋体" w:hAnsi="宋体"/>
                <w:b/>
                <w:spacing w:val="-6"/>
                <w:sz w:val="21"/>
                <w:szCs w:val="21"/>
              </w:rPr>
              <w:t>分值</w:t>
            </w:r>
          </w:p>
        </w:tc>
        <w:tc>
          <w:tcPr>
            <w:tcW w:w="7088" w:type="dxa"/>
            <w:vAlign w:val="center"/>
          </w:tcPr>
          <w:p>
            <w:pPr>
              <w:pStyle w:val="83"/>
              <w:spacing w:line="240"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83"/>
              <w:spacing w:line="240" w:lineRule="auto"/>
              <w:jc w:val="both"/>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pStyle w:val="2"/>
              <w:spacing w:line="240" w:lineRule="auto"/>
              <w:ind w:firstLine="0"/>
              <w:jc w:val="center"/>
              <w:rPr>
                <w:rFonts w:hAnsi="宋体"/>
                <w:spacing w:val="-6"/>
                <w:sz w:val="21"/>
                <w:szCs w:val="21"/>
              </w:rPr>
            </w:pPr>
            <w:r>
              <w:rPr>
                <w:rFonts w:hint="eastAsia" w:hAnsi="宋体"/>
                <w:spacing w:val="-6"/>
                <w:sz w:val="21"/>
                <w:szCs w:val="21"/>
              </w:rPr>
              <w:t>投标报价</w:t>
            </w:r>
          </w:p>
        </w:tc>
        <w:tc>
          <w:tcPr>
            <w:tcW w:w="709" w:type="dxa"/>
            <w:vAlign w:val="center"/>
          </w:tcPr>
          <w:p>
            <w:pPr>
              <w:jc w:val="center"/>
              <w:rPr>
                <w:rFonts w:ascii="宋体"/>
                <w:spacing w:val="-6"/>
                <w:sz w:val="21"/>
                <w:szCs w:val="21"/>
              </w:rPr>
            </w:pPr>
            <w:r>
              <w:rPr>
                <w:rFonts w:ascii="宋体" w:hAnsi="宋体"/>
                <w:spacing w:val="-6"/>
                <w:sz w:val="21"/>
                <w:szCs w:val="21"/>
              </w:rPr>
              <w:t>30</w:t>
            </w:r>
          </w:p>
        </w:tc>
        <w:tc>
          <w:tcPr>
            <w:tcW w:w="7088" w:type="dxa"/>
            <w:vAlign w:val="center"/>
          </w:tcPr>
          <w:p>
            <w:pPr>
              <w:pStyle w:val="2"/>
              <w:spacing w:line="240" w:lineRule="auto"/>
              <w:ind w:firstLine="0"/>
              <w:rPr>
                <w:rFonts w:hAnsi="宋体"/>
                <w:spacing w:val="-6"/>
                <w:sz w:val="21"/>
                <w:szCs w:val="21"/>
              </w:rPr>
            </w:pPr>
            <w:r>
              <w:rPr>
                <w:rFonts w:hint="eastAsia" w:hAnsi="宋体"/>
                <w:spacing w:val="-6"/>
                <w:sz w:val="21"/>
                <w:szCs w:val="21"/>
              </w:rPr>
              <w:t>价格分采用低价优先法计算，即满足招标文件要求且投标价格最低的投标报价为评标基准价，其他投标人的价格分按照下列公式计算：</w:t>
            </w:r>
          </w:p>
          <w:p>
            <w:pPr>
              <w:rPr>
                <w:rFonts w:ascii="宋体"/>
                <w:spacing w:val="-6"/>
                <w:sz w:val="21"/>
                <w:szCs w:val="21"/>
              </w:rPr>
            </w:pPr>
            <w:r>
              <w:rPr>
                <w:rFonts w:hint="eastAsia" w:ascii="宋体" w:hAnsi="宋体"/>
                <w:spacing w:val="-6"/>
                <w:sz w:val="21"/>
                <w:szCs w:val="21"/>
              </w:rPr>
              <w:t>价格分</w:t>
            </w:r>
            <w:r>
              <w:rPr>
                <w:rFonts w:ascii="宋体" w:hAnsi="宋体"/>
                <w:spacing w:val="-6"/>
                <w:sz w:val="21"/>
                <w:szCs w:val="21"/>
              </w:rPr>
              <w:t>=</w:t>
            </w:r>
            <w:r>
              <w:rPr>
                <w:rFonts w:hint="eastAsia" w:ascii="宋体" w:hAnsi="宋体"/>
                <w:spacing w:val="-6"/>
                <w:sz w:val="21"/>
                <w:szCs w:val="21"/>
              </w:rPr>
              <w:t>（评标基准价</w:t>
            </w:r>
            <w:r>
              <w:rPr>
                <w:rFonts w:ascii="宋体" w:hAnsi="宋体"/>
                <w:spacing w:val="-6"/>
                <w:sz w:val="21"/>
                <w:szCs w:val="21"/>
              </w:rPr>
              <w:t>/</w:t>
            </w:r>
            <w:r>
              <w:rPr>
                <w:rFonts w:hint="eastAsia" w:ascii="宋体" w:hAnsi="宋体"/>
                <w:spacing w:val="-6"/>
                <w:sz w:val="21"/>
                <w:szCs w:val="21"/>
              </w:rPr>
              <w:t>投标报价）×</w:t>
            </w:r>
            <w:r>
              <w:rPr>
                <w:rFonts w:ascii="宋体" w:hAnsi="宋体"/>
                <w:spacing w:val="-6"/>
                <w:sz w:val="21"/>
                <w:szCs w:val="21"/>
              </w:rPr>
              <w:t>30%</w:t>
            </w:r>
            <w:r>
              <w:rPr>
                <w:rFonts w:hint="eastAsia" w:ascii="宋体" w:hAnsi="宋体"/>
                <w:spacing w:val="-6"/>
                <w:sz w:val="21"/>
                <w:szCs w:val="21"/>
              </w:rPr>
              <w:t>×</w:t>
            </w:r>
            <w:r>
              <w:rPr>
                <w:rFonts w:ascii="宋体" w:hAnsi="宋体"/>
                <w:spacing w:val="-6"/>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83"/>
              <w:spacing w:line="240" w:lineRule="auto"/>
              <w:jc w:val="both"/>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spacing w:line="300" w:lineRule="auto"/>
              <w:jc w:val="center"/>
              <w:rPr>
                <w:rFonts w:ascii="宋体"/>
                <w:color w:val="000000"/>
                <w:spacing w:val="-6"/>
                <w:sz w:val="21"/>
                <w:szCs w:val="21"/>
              </w:rPr>
            </w:pPr>
            <w:r>
              <w:rPr>
                <w:rFonts w:hint="eastAsia" w:ascii="宋体" w:hAnsi="宋体"/>
                <w:color w:val="000000"/>
                <w:spacing w:val="-6"/>
                <w:sz w:val="21"/>
                <w:szCs w:val="21"/>
              </w:rPr>
              <w:t>认证证书</w:t>
            </w:r>
          </w:p>
        </w:tc>
        <w:tc>
          <w:tcPr>
            <w:tcW w:w="709" w:type="dxa"/>
            <w:vAlign w:val="center"/>
          </w:tcPr>
          <w:p>
            <w:pPr>
              <w:spacing w:line="300" w:lineRule="auto"/>
              <w:jc w:val="center"/>
              <w:rPr>
                <w:rFonts w:ascii="宋体"/>
                <w:color w:val="000000"/>
                <w:spacing w:val="-6"/>
                <w:sz w:val="21"/>
                <w:szCs w:val="21"/>
              </w:rPr>
            </w:pPr>
            <w:r>
              <w:rPr>
                <w:rFonts w:hint="eastAsia" w:ascii="宋体" w:hAnsi="宋体"/>
                <w:color w:val="000000"/>
                <w:spacing w:val="-6"/>
                <w:sz w:val="21"/>
                <w:szCs w:val="21"/>
              </w:rPr>
              <w:t>5</w:t>
            </w:r>
          </w:p>
        </w:tc>
        <w:tc>
          <w:tcPr>
            <w:tcW w:w="7088" w:type="dxa"/>
            <w:vAlign w:val="center"/>
          </w:tcPr>
          <w:p>
            <w:pPr>
              <w:spacing w:line="300" w:lineRule="auto"/>
              <w:rPr>
                <w:rFonts w:ascii="宋体"/>
                <w:color w:val="000000"/>
                <w:spacing w:val="-6"/>
                <w:sz w:val="21"/>
                <w:szCs w:val="21"/>
              </w:rPr>
            </w:pPr>
            <w:r>
              <w:rPr>
                <w:rFonts w:hint="eastAsia" w:ascii="宋体" w:hAnsi="宋体"/>
                <w:color w:val="000000"/>
                <w:spacing w:val="-6"/>
                <w:sz w:val="21"/>
                <w:szCs w:val="21"/>
              </w:rPr>
              <w:t>投标人具有质量管理体系认证证书、环境管理体系认证证书、职业健康安全管理体系认证证书、ISO27001信息安全管理体系认证证书、</w:t>
            </w:r>
            <w:r>
              <w:rPr>
                <w:rFonts w:hint="eastAsia" w:ascii="宋体" w:hAnsi="宋体"/>
                <w:color w:val="000000"/>
                <w:sz w:val="21"/>
                <w:szCs w:val="21"/>
              </w:rPr>
              <w:t>ISO20000信息技术服务管理体系认证证书</w:t>
            </w:r>
            <w:r>
              <w:rPr>
                <w:rFonts w:hint="eastAsia" w:ascii="宋体" w:hAnsi="宋体"/>
                <w:color w:val="000000"/>
                <w:spacing w:val="-6"/>
                <w:sz w:val="21"/>
                <w:szCs w:val="21"/>
              </w:rPr>
              <w:t>，每提供一份有效证明材料得</w:t>
            </w:r>
            <w:r>
              <w:rPr>
                <w:rFonts w:ascii="宋体" w:hAnsi="宋体"/>
                <w:color w:val="000000"/>
                <w:spacing w:val="-6"/>
                <w:sz w:val="21"/>
                <w:szCs w:val="21"/>
              </w:rPr>
              <w:t>1</w:t>
            </w:r>
            <w:r>
              <w:rPr>
                <w:rFonts w:hint="eastAsia" w:ascii="宋体" w:hAnsi="宋体"/>
                <w:color w:val="000000"/>
                <w:spacing w:val="-6"/>
                <w:sz w:val="21"/>
                <w:szCs w:val="21"/>
              </w:rPr>
              <w:t>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spacing w:line="300" w:lineRule="auto"/>
              <w:jc w:val="center"/>
              <w:rPr>
                <w:rFonts w:ascii="宋体" w:hAnsi="宋体"/>
                <w:color w:val="000000"/>
                <w:spacing w:val="-6"/>
                <w:sz w:val="21"/>
                <w:szCs w:val="21"/>
              </w:rPr>
            </w:pPr>
          </w:p>
        </w:tc>
        <w:tc>
          <w:tcPr>
            <w:tcW w:w="709" w:type="dxa"/>
            <w:vAlign w:val="center"/>
          </w:tcPr>
          <w:p>
            <w:pPr>
              <w:spacing w:line="300" w:lineRule="auto"/>
              <w:jc w:val="center"/>
              <w:rPr>
                <w:rFonts w:ascii="宋体" w:hAnsi="宋体"/>
                <w:color w:val="000000"/>
                <w:spacing w:val="-6"/>
                <w:sz w:val="21"/>
                <w:szCs w:val="21"/>
              </w:rPr>
            </w:pPr>
            <w:r>
              <w:rPr>
                <w:rFonts w:hint="eastAsia" w:ascii="宋体" w:hAnsi="宋体"/>
                <w:color w:val="000000"/>
                <w:spacing w:val="-6"/>
                <w:sz w:val="21"/>
                <w:szCs w:val="21"/>
              </w:rPr>
              <w:t>1</w:t>
            </w:r>
          </w:p>
        </w:tc>
        <w:tc>
          <w:tcPr>
            <w:tcW w:w="7088" w:type="dxa"/>
            <w:vAlign w:val="center"/>
          </w:tcPr>
          <w:p>
            <w:pPr>
              <w:spacing w:line="300" w:lineRule="auto"/>
              <w:rPr>
                <w:rFonts w:ascii="宋体" w:hAnsi="宋体"/>
                <w:color w:val="000000"/>
                <w:spacing w:val="-6"/>
                <w:sz w:val="21"/>
                <w:szCs w:val="21"/>
              </w:rPr>
            </w:pPr>
            <w:r>
              <w:rPr>
                <w:rFonts w:hint="eastAsia" w:ascii="宋体" w:hAnsi="宋体"/>
                <w:color w:val="000000"/>
                <w:spacing w:val="-6"/>
                <w:sz w:val="21"/>
                <w:szCs w:val="21"/>
              </w:rPr>
              <w:t>投标人具有市场监督管理局出具的有效期内的守合同重信用企业证书，提供有效证明材料得1分。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spacing w:line="300" w:lineRule="auto"/>
              <w:jc w:val="center"/>
              <w:rPr>
                <w:rFonts w:ascii="宋体" w:hAnsi="宋体"/>
                <w:color w:val="000000"/>
                <w:spacing w:val="-6"/>
                <w:sz w:val="21"/>
                <w:szCs w:val="21"/>
              </w:rPr>
            </w:pPr>
          </w:p>
        </w:tc>
        <w:tc>
          <w:tcPr>
            <w:tcW w:w="709" w:type="dxa"/>
            <w:vAlign w:val="center"/>
          </w:tcPr>
          <w:p>
            <w:pPr>
              <w:spacing w:line="300" w:lineRule="auto"/>
              <w:jc w:val="center"/>
              <w:rPr>
                <w:rFonts w:ascii="宋体" w:hAnsi="宋体"/>
                <w:color w:val="000000"/>
                <w:spacing w:val="-6"/>
                <w:sz w:val="21"/>
                <w:szCs w:val="21"/>
              </w:rPr>
            </w:pPr>
            <w:r>
              <w:rPr>
                <w:rFonts w:hint="eastAsia" w:ascii="宋体" w:hAnsi="宋体"/>
                <w:color w:val="000000"/>
                <w:spacing w:val="-6"/>
                <w:sz w:val="21"/>
                <w:szCs w:val="21"/>
              </w:rPr>
              <w:t>2</w:t>
            </w:r>
          </w:p>
        </w:tc>
        <w:tc>
          <w:tcPr>
            <w:tcW w:w="7088" w:type="dxa"/>
            <w:vAlign w:val="center"/>
          </w:tcPr>
          <w:p>
            <w:pPr>
              <w:spacing w:line="300" w:lineRule="auto"/>
              <w:rPr>
                <w:rFonts w:ascii="宋体" w:hAnsi="宋体"/>
                <w:color w:val="000000"/>
                <w:spacing w:val="-6"/>
                <w:sz w:val="21"/>
                <w:szCs w:val="21"/>
              </w:rPr>
            </w:pPr>
            <w:bookmarkStart w:id="6" w:name="_GoBack"/>
            <w:r>
              <w:rPr>
                <w:rFonts w:hint="eastAsia" w:ascii="宋体" w:hAnsi="宋体"/>
                <w:color w:val="000000"/>
                <w:spacing w:val="-6"/>
                <w:sz w:val="21"/>
                <w:szCs w:val="21"/>
              </w:rPr>
              <w:t>投标人具有有效期内的信用等级证书（政府部门或银行或有资质的第三方信用评级单位），AAA或同等级的得2分，AA或同等级的得1分，其他不得分；</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spacing w:line="300" w:lineRule="auto"/>
              <w:jc w:val="center"/>
              <w:rPr>
                <w:rFonts w:ascii="宋体"/>
                <w:color w:val="000000"/>
                <w:spacing w:val="-6"/>
                <w:sz w:val="21"/>
                <w:szCs w:val="21"/>
              </w:rPr>
            </w:pPr>
            <w:r>
              <w:rPr>
                <w:rFonts w:hint="eastAsia" w:ascii="宋体" w:hAnsi="宋体"/>
                <w:color w:val="000000"/>
                <w:spacing w:val="-6"/>
                <w:sz w:val="21"/>
                <w:szCs w:val="21"/>
              </w:rPr>
              <w:t>质保期</w:t>
            </w:r>
          </w:p>
        </w:tc>
        <w:tc>
          <w:tcPr>
            <w:tcW w:w="709" w:type="dxa"/>
            <w:vAlign w:val="center"/>
          </w:tcPr>
          <w:p>
            <w:pPr>
              <w:spacing w:line="300" w:lineRule="auto"/>
              <w:jc w:val="center"/>
              <w:rPr>
                <w:rFonts w:ascii="宋体"/>
                <w:color w:val="000000"/>
                <w:spacing w:val="-6"/>
                <w:sz w:val="21"/>
                <w:szCs w:val="21"/>
              </w:rPr>
            </w:pPr>
            <w:r>
              <w:rPr>
                <w:rFonts w:hint="eastAsia" w:ascii="宋体" w:hAnsi="宋体"/>
                <w:color w:val="000000"/>
                <w:spacing w:val="-6"/>
                <w:sz w:val="21"/>
                <w:szCs w:val="21"/>
              </w:rPr>
              <w:t>1</w:t>
            </w:r>
          </w:p>
        </w:tc>
        <w:tc>
          <w:tcPr>
            <w:tcW w:w="7088" w:type="dxa"/>
            <w:vAlign w:val="center"/>
          </w:tcPr>
          <w:p>
            <w:pPr>
              <w:spacing w:line="300" w:lineRule="auto"/>
              <w:rPr>
                <w:rFonts w:ascii="宋体"/>
                <w:color w:val="000000"/>
                <w:spacing w:val="-6"/>
                <w:sz w:val="21"/>
                <w:szCs w:val="21"/>
              </w:rPr>
            </w:pPr>
            <w:r>
              <w:rPr>
                <w:rFonts w:hint="eastAsia" w:ascii="宋体" w:hAnsi="宋体"/>
                <w:color w:val="000000"/>
                <w:spacing w:val="-6"/>
                <w:sz w:val="21"/>
                <w:szCs w:val="21"/>
              </w:rPr>
              <w:t>质保期满足招标文件要求的得</w:t>
            </w:r>
            <w:r>
              <w:rPr>
                <w:rFonts w:ascii="宋体" w:hAnsi="宋体"/>
                <w:color w:val="000000"/>
                <w:spacing w:val="-6"/>
                <w:sz w:val="21"/>
                <w:szCs w:val="21"/>
              </w:rPr>
              <w:t>0</w:t>
            </w:r>
            <w:r>
              <w:rPr>
                <w:rFonts w:hint="eastAsia" w:ascii="宋体" w:hAnsi="宋体"/>
                <w:color w:val="000000"/>
                <w:spacing w:val="-6"/>
                <w:sz w:val="21"/>
                <w:szCs w:val="21"/>
              </w:rPr>
              <w:t>分</w:t>
            </w:r>
            <w:r>
              <w:rPr>
                <w:rFonts w:ascii="宋体"/>
                <w:color w:val="000000"/>
                <w:spacing w:val="-6"/>
                <w:sz w:val="21"/>
                <w:szCs w:val="21"/>
              </w:rPr>
              <w:t>,</w:t>
            </w:r>
            <w:r>
              <w:rPr>
                <w:rFonts w:hint="eastAsia" w:ascii="宋体" w:hAnsi="宋体"/>
                <w:color w:val="000000"/>
                <w:spacing w:val="-6"/>
                <w:sz w:val="21"/>
                <w:szCs w:val="21"/>
              </w:rPr>
              <w:t>每延长一年加0.5分</w:t>
            </w:r>
            <w:r>
              <w:rPr>
                <w:rFonts w:ascii="宋体"/>
                <w:color w:val="000000"/>
                <w:spacing w:val="-6"/>
                <w:sz w:val="21"/>
                <w:szCs w:val="21"/>
              </w:rPr>
              <w:t>,</w:t>
            </w:r>
            <w:r>
              <w:rPr>
                <w:rFonts w:hint="eastAsia" w:ascii="宋体" w:hAnsi="宋体"/>
                <w:color w:val="000000"/>
                <w:spacing w:val="-6"/>
                <w:sz w:val="21"/>
                <w:szCs w:val="21"/>
              </w:rPr>
              <w:t>最多加1分</w:t>
            </w:r>
            <w:r>
              <w:rPr>
                <w:rFonts w:ascii="宋体"/>
                <w:color w:val="000000"/>
                <w:spacing w:val="-6"/>
                <w:sz w:val="21"/>
                <w:szCs w:val="21"/>
              </w:rPr>
              <w:t>,</w:t>
            </w:r>
            <w:r>
              <w:rPr>
                <w:rFonts w:hint="eastAsia" w:ascii="宋体"/>
                <w:color w:val="000000"/>
                <w:spacing w:val="-6"/>
                <w:sz w:val="21"/>
                <w:szCs w:val="21"/>
              </w:rPr>
              <w:t>共1分（</w:t>
            </w:r>
            <w:r>
              <w:rPr>
                <w:rFonts w:hint="eastAsia" w:ascii="宋体" w:hAnsi="宋体"/>
                <w:color w:val="000000"/>
                <w:spacing w:val="-6"/>
                <w:sz w:val="21"/>
                <w:szCs w:val="21"/>
              </w:rPr>
              <w:t>延长时间不足一年的不计入加分</w:t>
            </w:r>
            <w:r>
              <w:rPr>
                <w:rFonts w:hint="eastAsia" w:asci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spacing w:val="-6"/>
                <w:sz w:val="21"/>
                <w:szCs w:val="21"/>
              </w:rPr>
            </w:pPr>
            <w:r>
              <w:rPr>
                <w:rFonts w:hint="eastAsia" w:ascii="宋体" w:hAnsi="宋体"/>
                <w:spacing w:val="-6"/>
                <w:sz w:val="21"/>
                <w:szCs w:val="21"/>
              </w:rPr>
              <w:t>业绩</w:t>
            </w:r>
          </w:p>
        </w:tc>
        <w:tc>
          <w:tcPr>
            <w:tcW w:w="709" w:type="dxa"/>
            <w:vAlign w:val="center"/>
          </w:tcPr>
          <w:p>
            <w:pPr>
              <w:jc w:val="center"/>
              <w:rPr>
                <w:rFonts w:ascii="宋体"/>
                <w:spacing w:val="-6"/>
                <w:sz w:val="21"/>
                <w:szCs w:val="21"/>
              </w:rPr>
            </w:pPr>
            <w:r>
              <w:rPr>
                <w:rFonts w:hint="eastAsia" w:ascii="宋体" w:hAnsi="宋体"/>
                <w:spacing w:val="-6"/>
                <w:sz w:val="21"/>
                <w:szCs w:val="21"/>
              </w:rPr>
              <w:t>5</w:t>
            </w:r>
          </w:p>
        </w:tc>
        <w:tc>
          <w:tcPr>
            <w:tcW w:w="7088" w:type="dxa"/>
            <w:vAlign w:val="center"/>
          </w:tcPr>
          <w:p>
            <w:pPr>
              <w:pStyle w:val="2"/>
              <w:spacing w:line="240" w:lineRule="auto"/>
              <w:ind w:firstLine="0"/>
              <w:rPr>
                <w:rFonts w:hAnsi="宋体"/>
                <w:spacing w:val="-6"/>
                <w:sz w:val="21"/>
                <w:szCs w:val="21"/>
              </w:rPr>
            </w:pPr>
            <w:r>
              <w:rPr>
                <w:rFonts w:hint="eastAsia" w:hAnsi="宋体"/>
                <w:bCs/>
                <w:spacing w:val="-6"/>
                <w:sz w:val="21"/>
                <w:szCs w:val="21"/>
              </w:rPr>
              <w:t>投标人自2017年1月1日以来</w:t>
            </w:r>
            <w:r>
              <w:rPr>
                <w:rFonts w:hint="eastAsia" w:hAnsi="宋体"/>
                <w:spacing w:val="-6"/>
                <w:sz w:val="21"/>
                <w:szCs w:val="21"/>
              </w:rPr>
              <w:t>（以合同签订时间为准）</w:t>
            </w:r>
            <w:r>
              <w:rPr>
                <w:rFonts w:hint="eastAsia" w:hAnsi="宋体"/>
                <w:bCs/>
                <w:spacing w:val="-6"/>
                <w:sz w:val="21"/>
                <w:szCs w:val="21"/>
              </w:rPr>
              <w:t>同类项目业绩（以提供的完整合同为准）：每提供</w:t>
            </w:r>
            <w:r>
              <w:rPr>
                <w:rFonts w:hAnsi="宋体"/>
                <w:bCs/>
                <w:spacing w:val="-6"/>
                <w:sz w:val="21"/>
                <w:szCs w:val="21"/>
              </w:rPr>
              <w:t>1</w:t>
            </w:r>
            <w:r>
              <w:rPr>
                <w:rFonts w:hint="eastAsia" w:hAnsi="宋体"/>
                <w:bCs/>
                <w:spacing w:val="-6"/>
                <w:sz w:val="21"/>
                <w:szCs w:val="21"/>
              </w:rPr>
              <w:t>份合同业绩得</w:t>
            </w:r>
            <w:r>
              <w:rPr>
                <w:rFonts w:hAnsi="宋体"/>
                <w:bCs/>
                <w:spacing w:val="-6"/>
                <w:sz w:val="21"/>
                <w:szCs w:val="21"/>
              </w:rPr>
              <w:t>1</w:t>
            </w:r>
            <w:r>
              <w:rPr>
                <w:rFonts w:hint="eastAsia" w:hAnsi="宋体"/>
                <w:bCs/>
                <w:spacing w:val="-6"/>
                <w:sz w:val="21"/>
                <w:szCs w:val="21"/>
              </w:rPr>
              <w:t>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spacing w:val="-6"/>
                <w:sz w:val="21"/>
                <w:szCs w:val="21"/>
              </w:rPr>
            </w:pPr>
            <w:r>
              <w:rPr>
                <w:rFonts w:hint="eastAsia" w:ascii="宋体" w:hAnsi="宋体"/>
                <w:spacing w:val="-6"/>
                <w:sz w:val="21"/>
                <w:szCs w:val="21"/>
              </w:rPr>
              <w:t>政策功能</w:t>
            </w:r>
          </w:p>
        </w:tc>
        <w:tc>
          <w:tcPr>
            <w:tcW w:w="709" w:type="dxa"/>
            <w:vAlign w:val="center"/>
          </w:tcPr>
          <w:p>
            <w:pPr>
              <w:jc w:val="center"/>
              <w:rPr>
                <w:rFonts w:ascii="宋体"/>
                <w:spacing w:val="-6"/>
                <w:sz w:val="21"/>
                <w:szCs w:val="21"/>
              </w:rPr>
            </w:pPr>
            <w:r>
              <w:rPr>
                <w:rFonts w:hint="eastAsia" w:ascii="宋体" w:hAnsi="宋体"/>
                <w:spacing w:val="-6"/>
                <w:sz w:val="21"/>
              </w:rPr>
              <w:t>1</w:t>
            </w:r>
          </w:p>
        </w:tc>
        <w:tc>
          <w:tcPr>
            <w:tcW w:w="7088" w:type="dxa"/>
            <w:vAlign w:val="center"/>
          </w:tcPr>
          <w:p>
            <w:pPr>
              <w:rPr>
                <w:rFonts w:ascii="宋体" w:hAnsi="宋体"/>
                <w:sz w:val="21"/>
              </w:rPr>
            </w:pPr>
            <w:r>
              <w:rPr>
                <w:rFonts w:hint="eastAsia" w:ascii="宋体" w:hAnsi="宋体"/>
                <w:sz w:val="21"/>
              </w:rPr>
              <w:t>所投产品属于品目清单范围，且提供国家确定的认证机构出具的处于有效期之内的节能产品认证证书（加盖公章），得0.5分；</w:t>
            </w:r>
          </w:p>
          <w:p>
            <w:pPr>
              <w:rPr>
                <w:rFonts w:ascii="宋体" w:hAnsi="宋体"/>
                <w:sz w:val="21"/>
              </w:rPr>
            </w:pPr>
            <w:r>
              <w:rPr>
                <w:rFonts w:hint="eastAsia" w:ascii="宋体" w:hAnsi="宋体"/>
                <w:sz w:val="21"/>
              </w:rPr>
              <w:t>所投产品属于品目清单范围，且提供国家确定的认证机构出具的处于有效期之内的环境标志产品认证证书（加盖公章），得0.5分；</w:t>
            </w:r>
          </w:p>
          <w:p>
            <w:pPr>
              <w:rPr>
                <w:rFonts w:hAnsi="宋体"/>
                <w:spacing w:val="-6"/>
                <w:sz w:val="21"/>
                <w:szCs w:val="21"/>
              </w:rPr>
            </w:pPr>
            <w:r>
              <w:rPr>
                <w:rFonts w:hint="eastAsia" w:ascii="宋体" w:hAnsi="宋体"/>
                <w:sz w:val="21"/>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9" w:type="dxa"/>
            <w:gridSpan w:val="3"/>
            <w:vAlign w:val="center"/>
          </w:tcPr>
          <w:p>
            <w:pPr>
              <w:pStyle w:val="83"/>
              <w:spacing w:line="240" w:lineRule="auto"/>
              <w:jc w:val="both"/>
              <w:rPr>
                <w:rFonts w:hint="default" w:ascii="宋体" w:hAnsi="宋体" w:eastAsia="宋体"/>
                <w:b/>
                <w:bCs/>
                <w:spacing w:val="-6"/>
                <w:kern w:val="2"/>
                <w:sz w:val="21"/>
                <w:szCs w:val="21"/>
              </w:rPr>
            </w:pPr>
            <w:r>
              <w:rPr>
                <w:rFonts w:ascii="宋体" w:hAnsi="宋体" w:eastAsia="宋体"/>
                <w:b/>
                <w:bCs/>
                <w:spacing w:val="-6"/>
                <w:kern w:val="2"/>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hAnsi="宋体" w:cs="宋体"/>
                <w:bCs/>
                <w:sz w:val="21"/>
                <w:szCs w:val="21"/>
              </w:rPr>
            </w:pPr>
            <w:r>
              <w:rPr>
                <w:rFonts w:hint="eastAsia" w:ascii="宋体" w:hAnsi="宋体" w:cs="宋体"/>
                <w:bCs/>
                <w:sz w:val="21"/>
                <w:szCs w:val="21"/>
              </w:rPr>
              <w:t>产品响应程度</w:t>
            </w:r>
          </w:p>
        </w:tc>
        <w:tc>
          <w:tcPr>
            <w:tcW w:w="709" w:type="dxa"/>
            <w:vAlign w:val="center"/>
          </w:tcPr>
          <w:p>
            <w:pPr>
              <w:jc w:val="center"/>
              <w:rPr>
                <w:rFonts w:ascii="宋体" w:hAnsi="宋体" w:cs="宋体"/>
                <w:bCs/>
                <w:sz w:val="21"/>
                <w:szCs w:val="21"/>
              </w:rPr>
            </w:pPr>
            <w:r>
              <w:rPr>
                <w:rFonts w:hint="eastAsia" w:ascii="宋体" w:hAnsi="宋体" w:cs="宋体"/>
                <w:bCs/>
                <w:sz w:val="21"/>
                <w:szCs w:val="21"/>
              </w:rPr>
              <w:t>28</w:t>
            </w:r>
          </w:p>
        </w:tc>
        <w:tc>
          <w:tcPr>
            <w:tcW w:w="7088" w:type="dxa"/>
            <w:vAlign w:val="center"/>
          </w:tcPr>
          <w:p>
            <w:pPr>
              <w:rPr>
                <w:rFonts w:ascii="宋体" w:hAnsi="宋体" w:cs="宋体"/>
                <w:spacing w:val="-6"/>
                <w:sz w:val="21"/>
                <w:szCs w:val="21"/>
              </w:rPr>
            </w:pPr>
            <w:r>
              <w:rPr>
                <w:rFonts w:hint="eastAsia" w:ascii="宋体" w:hAnsi="宋体" w:cs="宋体"/>
                <w:spacing w:val="-6"/>
                <w:sz w:val="21"/>
                <w:szCs w:val="21"/>
              </w:rPr>
              <w:t>不符合（负偏离）技术要求中标注“▲”条款（不可偏离）的投标无效，满足或明显优于招标文件明确的技术条款要求的得28分，标“★”的技术条款低于技术要求（负偏离）的每项扣分3分（28分起扣），非标“★”的技术条款低于技术要求（负偏离）的每项扣2分（28分起扣）；</w:t>
            </w:r>
          </w:p>
          <w:p>
            <w:pPr>
              <w:rPr>
                <w:rFonts w:ascii="宋体" w:hAnsi="宋体"/>
                <w:sz w:val="21"/>
                <w:szCs w:val="21"/>
              </w:rPr>
            </w:pPr>
            <w:r>
              <w:rPr>
                <w:rFonts w:hint="eastAsia" w:ascii="宋体" w:hAnsi="宋体" w:cs="宋体"/>
                <w:spacing w:val="-6"/>
                <w:sz w:val="21"/>
                <w:szCs w:val="21"/>
              </w:rPr>
              <w:t>采购需求偏离表技术要求中响应规格与技术支持资料不一致的经评标委员会讨论后可被认定为负偏离，两项合计扣分超过28分的投标无效。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rFonts w:ascii="宋体" w:hAnsi="宋体"/>
                <w:color w:val="000000"/>
                <w:spacing w:val="-6"/>
                <w:sz w:val="21"/>
                <w:szCs w:val="21"/>
              </w:rPr>
            </w:pPr>
            <w:r>
              <w:rPr>
                <w:rFonts w:hint="eastAsia" w:ascii="宋体" w:hAnsi="宋体"/>
                <w:color w:val="000000"/>
                <w:spacing w:val="-6"/>
                <w:sz w:val="21"/>
                <w:szCs w:val="21"/>
              </w:rPr>
              <w:t>技术支持资料</w:t>
            </w:r>
          </w:p>
        </w:tc>
        <w:tc>
          <w:tcPr>
            <w:tcW w:w="709"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3</w:t>
            </w:r>
          </w:p>
        </w:tc>
        <w:tc>
          <w:tcPr>
            <w:tcW w:w="7088" w:type="dxa"/>
            <w:vAlign w:val="center"/>
          </w:tcPr>
          <w:p>
            <w:pPr>
              <w:rPr>
                <w:rFonts w:ascii="宋体" w:hAnsi="宋体"/>
                <w:color w:val="000000"/>
                <w:sz w:val="21"/>
                <w:szCs w:val="21"/>
              </w:rPr>
            </w:pPr>
            <w:r>
              <w:rPr>
                <w:rFonts w:hint="eastAsia" w:ascii="宋体" w:hAnsi="宋体"/>
                <w:color w:val="000000"/>
                <w:sz w:val="21"/>
                <w:szCs w:val="21"/>
              </w:rPr>
              <w:t>根据投标产品的技术彩页数量、彩页技术详尽程度，</w:t>
            </w:r>
            <w:r>
              <w:rPr>
                <w:rFonts w:hint="eastAsia" w:ascii="宋体" w:hAnsi="宋体" w:cs="宋体"/>
                <w:spacing w:val="-6"/>
                <w:sz w:val="21"/>
                <w:szCs w:val="21"/>
              </w:rPr>
              <w:t>以及相关证书、产品参数说明函、</w:t>
            </w:r>
            <w:r>
              <w:rPr>
                <w:rFonts w:hint="eastAsia" w:ascii="宋体" w:hAnsi="宋体"/>
                <w:color w:val="000000"/>
                <w:sz w:val="21"/>
                <w:szCs w:val="21"/>
              </w:rPr>
              <w:t>佐证响应技术指标量。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rFonts w:ascii="宋体" w:hAnsi="宋体"/>
                <w:color w:val="000000"/>
                <w:spacing w:val="-6"/>
                <w:sz w:val="21"/>
                <w:szCs w:val="21"/>
              </w:rPr>
            </w:pPr>
          </w:p>
        </w:tc>
        <w:tc>
          <w:tcPr>
            <w:tcW w:w="709"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4</w:t>
            </w:r>
          </w:p>
        </w:tc>
        <w:tc>
          <w:tcPr>
            <w:tcW w:w="7088" w:type="dxa"/>
            <w:vAlign w:val="center"/>
          </w:tcPr>
          <w:p>
            <w:pPr>
              <w:rPr>
                <w:rFonts w:ascii="宋体" w:hAnsi="宋体"/>
                <w:color w:val="000000"/>
                <w:sz w:val="21"/>
                <w:szCs w:val="21"/>
              </w:rPr>
            </w:pPr>
            <w:r>
              <w:rPr>
                <w:rFonts w:hint="eastAsia" w:ascii="宋体" w:hAnsi="宋体"/>
                <w:color w:val="000000"/>
                <w:sz w:val="21"/>
                <w:szCs w:val="21"/>
              </w:rPr>
              <w:t>核心产品及方案介绍提供相关</w:t>
            </w:r>
            <w:r>
              <w:rPr>
                <w:rFonts w:hint="eastAsia" w:ascii="宋体" w:hAnsi="宋体"/>
                <w:color w:val="000000"/>
                <w:spacing w:val="-6"/>
                <w:sz w:val="21"/>
                <w:szCs w:val="21"/>
              </w:rPr>
              <w:t>技术支持</w:t>
            </w:r>
            <w:r>
              <w:rPr>
                <w:rFonts w:hint="eastAsia" w:ascii="宋体" w:hAnsi="宋体"/>
                <w:color w:val="000000"/>
                <w:sz w:val="21"/>
                <w:szCs w:val="21"/>
              </w:rPr>
              <w:t>证明材料，内容必须包括设备型号及接口图、远程控制设备操作说明等材料，视实验完整度和数据可行性打分。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项目实施方案</w:t>
            </w:r>
          </w:p>
        </w:tc>
        <w:tc>
          <w:tcPr>
            <w:tcW w:w="709"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5</w:t>
            </w:r>
          </w:p>
        </w:tc>
        <w:tc>
          <w:tcPr>
            <w:tcW w:w="7088" w:type="dxa"/>
            <w:vAlign w:val="center"/>
          </w:tcPr>
          <w:p>
            <w:pPr>
              <w:rPr>
                <w:rFonts w:ascii="宋体" w:hAnsi="宋体"/>
                <w:color w:val="000000"/>
                <w:sz w:val="21"/>
                <w:szCs w:val="21"/>
              </w:rPr>
            </w:pPr>
            <w:r>
              <w:rPr>
                <w:rFonts w:hint="eastAsia" w:ascii="宋体" w:hAnsi="宋体"/>
                <w:color w:val="000000"/>
                <w:sz w:val="21"/>
                <w:szCs w:val="21"/>
              </w:rPr>
              <w:t>根据实施计划、生产排期详细完整程度，符合项目进度要求。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rFonts w:ascii="宋体" w:hAnsi="宋体"/>
                <w:color w:val="000000"/>
                <w:spacing w:val="-6"/>
                <w:sz w:val="21"/>
                <w:szCs w:val="21"/>
              </w:rPr>
            </w:pPr>
            <w:r>
              <w:rPr>
                <w:rFonts w:hint="eastAsia" w:ascii="宋体" w:hAnsi="宋体"/>
                <w:color w:val="000000"/>
                <w:spacing w:val="-6"/>
                <w:sz w:val="21"/>
                <w:szCs w:val="21"/>
              </w:rPr>
              <w:t>拟投入人员</w:t>
            </w:r>
          </w:p>
        </w:tc>
        <w:tc>
          <w:tcPr>
            <w:tcW w:w="709"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2</w:t>
            </w:r>
          </w:p>
        </w:tc>
        <w:tc>
          <w:tcPr>
            <w:tcW w:w="7088" w:type="dxa"/>
            <w:vAlign w:val="center"/>
          </w:tcPr>
          <w:p>
            <w:pPr>
              <w:rPr>
                <w:rFonts w:ascii="宋体" w:hAnsi="宋体"/>
                <w:color w:val="000000"/>
                <w:sz w:val="21"/>
                <w:szCs w:val="21"/>
              </w:rPr>
            </w:pPr>
            <w:r>
              <w:rPr>
                <w:rFonts w:hint="eastAsia" w:ascii="宋体" w:hAnsi="宋体"/>
                <w:color w:val="000000"/>
                <w:sz w:val="21"/>
                <w:szCs w:val="21"/>
              </w:rPr>
              <w:t>投标人拟投入项目负责人具有信息系统集成及服务高级项目经理证书的，每人次得1分，最高得2分；</w:t>
            </w:r>
          </w:p>
          <w:p>
            <w:pPr>
              <w:rPr>
                <w:rFonts w:ascii="宋体" w:hAnsi="宋体"/>
                <w:color w:val="000000"/>
                <w:sz w:val="21"/>
                <w:szCs w:val="21"/>
              </w:rPr>
            </w:pPr>
            <w:r>
              <w:rPr>
                <w:rFonts w:hint="eastAsia" w:ascii="宋体" w:hAnsi="宋体"/>
                <w:color w:val="000000"/>
                <w:sz w:val="21"/>
                <w:szCs w:val="21"/>
              </w:rPr>
              <w:t>投标人应提供项目负责人在开标前三个月的社会保险参保证明，以证明其为投标人单位正式职工，未提供本项得分为0分。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rFonts w:ascii="宋体" w:hAnsi="宋体"/>
                <w:color w:val="000000"/>
                <w:spacing w:val="-6"/>
                <w:sz w:val="21"/>
                <w:szCs w:val="21"/>
              </w:rPr>
            </w:pPr>
          </w:p>
        </w:tc>
        <w:tc>
          <w:tcPr>
            <w:tcW w:w="709"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5</w:t>
            </w:r>
          </w:p>
        </w:tc>
        <w:tc>
          <w:tcPr>
            <w:tcW w:w="7088" w:type="dxa"/>
            <w:vAlign w:val="center"/>
          </w:tcPr>
          <w:p>
            <w:pPr>
              <w:rPr>
                <w:rFonts w:ascii="宋体" w:hAnsi="宋体"/>
                <w:color w:val="000000"/>
                <w:sz w:val="21"/>
                <w:szCs w:val="21"/>
              </w:rPr>
            </w:pPr>
            <w:r>
              <w:rPr>
                <w:rFonts w:hint="eastAsia" w:ascii="宋体" w:hAnsi="宋体"/>
                <w:color w:val="000000"/>
                <w:sz w:val="21"/>
                <w:szCs w:val="21"/>
              </w:rPr>
              <w:t>拟投入成员具有视频技能认证工程师的，每人次得1分，具有HCIE、CCIE或同级别及以上网络认证工程师的，每人次得1分，具有信息系统运维管理工程师的，每人次得1分，本项最高得5分；</w:t>
            </w:r>
          </w:p>
          <w:p>
            <w:pPr>
              <w:rPr>
                <w:rFonts w:ascii="宋体" w:hAnsi="宋体"/>
                <w:color w:val="000000"/>
                <w:sz w:val="21"/>
                <w:szCs w:val="21"/>
              </w:rPr>
            </w:pPr>
            <w:r>
              <w:rPr>
                <w:rFonts w:hint="eastAsia" w:ascii="宋体" w:hAnsi="宋体"/>
                <w:color w:val="000000"/>
                <w:sz w:val="21"/>
                <w:szCs w:val="21"/>
              </w:rPr>
              <w:t>投标人应提供拟投入成员在开标前三个月的社会保险参保证明，以证明其为投标人单位正式职工，未提供本项得分为0分。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rFonts w:ascii="宋体" w:hAnsi="宋体"/>
                <w:color w:val="000000"/>
                <w:spacing w:val="-6"/>
                <w:sz w:val="21"/>
                <w:szCs w:val="21"/>
              </w:rPr>
            </w:pPr>
            <w:r>
              <w:rPr>
                <w:rFonts w:hint="eastAsia" w:ascii="宋体" w:hAnsi="宋体"/>
                <w:color w:val="000000"/>
                <w:spacing w:val="-6"/>
                <w:sz w:val="21"/>
                <w:szCs w:val="21"/>
              </w:rPr>
              <w:t>售后服务方案</w:t>
            </w:r>
          </w:p>
        </w:tc>
        <w:tc>
          <w:tcPr>
            <w:tcW w:w="709" w:type="dxa"/>
            <w:vAlign w:val="center"/>
          </w:tcPr>
          <w:p>
            <w:pPr>
              <w:jc w:val="center"/>
              <w:rPr>
                <w:rFonts w:ascii="宋体" w:hAnsi="宋体"/>
                <w:color w:val="000000"/>
                <w:spacing w:val="-6"/>
                <w:sz w:val="21"/>
                <w:szCs w:val="21"/>
              </w:rPr>
            </w:pPr>
            <w:r>
              <w:rPr>
                <w:rFonts w:ascii="宋体" w:hAnsi="宋体"/>
                <w:color w:val="000000"/>
                <w:spacing w:val="-6"/>
                <w:sz w:val="21"/>
                <w:szCs w:val="21"/>
              </w:rPr>
              <w:t>4</w:t>
            </w:r>
          </w:p>
        </w:tc>
        <w:tc>
          <w:tcPr>
            <w:tcW w:w="7088" w:type="dxa"/>
            <w:vAlign w:val="center"/>
          </w:tcPr>
          <w:p>
            <w:pPr>
              <w:rPr>
                <w:rFonts w:ascii="宋体" w:hAnsi="宋体"/>
                <w:color w:val="000000"/>
                <w:sz w:val="21"/>
                <w:szCs w:val="21"/>
              </w:rPr>
            </w:pPr>
            <w:r>
              <w:rPr>
                <w:rFonts w:hint="eastAsia" w:ascii="宋体" w:hAnsi="宋体"/>
                <w:color w:val="000000"/>
                <w:sz w:val="21"/>
                <w:szCs w:val="21"/>
              </w:rPr>
              <w:t>根据售后服务方案的有完整性、合理性、针对性，驻场服务方案，专业服务力量和服务保障方案的详细程度。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widowControl/>
              <w:jc w:val="left"/>
              <w:rPr>
                <w:rFonts w:ascii="宋体" w:hAnsi="宋体"/>
                <w:color w:val="000000"/>
                <w:spacing w:val="-6"/>
                <w:sz w:val="21"/>
                <w:szCs w:val="21"/>
              </w:rPr>
            </w:pPr>
          </w:p>
        </w:tc>
        <w:tc>
          <w:tcPr>
            <w:tcW w:w="709" w:type="dxa"/>
            <w:vAlign w:val="center"/>
          </w:tcPr>
          <w:p>
            <w:pPr>
              <w:jc w:val="center"/>
              <w:rPr>
                <w:rFonts w:ascii="宋体" w:hAnsi="宋体"/>
                <w:color w:val="000000"/>
                <w:spacing w:val="-6"/>
                <w:sz w:val="21"/>
                <w:szCs w:val="21"/>
              </w:rPr>
            </w:pPr>
            <w:r>
              <w:rPr>
                <w:rFonts w:ascii="宋体" w:hAnsi="宋体"/>
                <w:color w:val="000000"/>
                <w:spacing w:val="-6"/>
                <w:sz w:val="21"/>
                <w:szCs w:val="21"/>
              </w:rPr>
              <w:t>1</w:t>
            </w:r>
          </w:p>
        </w:tc>
        <w:tc>
          <w:tcPr>
            <w:tcW w:w="7088" w:type="dxa"/>
            <w:vAlign w:val="center"/>
          </w:tcPr>
          <w:p>
            <w:pPr>
              <w:rPr>
                <w:rFonts w:ascii="宋体" w:hAnsi="宋体"/>
                <w:color w:val="000000"/>
                <w:sz w:val="21"/>
                <w:szCs w:val="21"/>
              </w:rPr>
            </w:pPr>
            <w:r>
              <w:rPr>
                <w:rFonts w:hint="eastAsia" w:ascii="宋体" w:hAnsi="宋体"/>
                <w:color w:val="000000"/>
                <w:sz w:val="21"/>
                <w:szCs w:val="21"/>
              </w:rPr>
              <w:t>质保期内外的后续技术支持和维护能力情况，配件、附件、备品备件的准备和保障措施。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ascii="宋体" w:hAnsi="宋体"/>
                <w:color w:val="000000"/>
                <w:spacing w:val="-6"/>
                <w:sz w:val="21"/>
                <w:szCs w:val="21"/>
              </w:rPr>
            </w:pPr>
            <w:r>
              <w:rPr>
                <w:rFonts w:hint="eastAsia" w:ascii="宋体" w:hAnsi="宋体"/>
                <w:color w:val="000000"/>
                <w:spacing w:val="-6"/>
                <w:sz w:val="21"/>
                <w:szCs w:val="21"/>
              </w:rPr>
              <w:t>安装调试验收方案</w:t>
            </w:r>
          </w:p>
        </w:tc>
        <w:tc>
          <w:tcPr>
            <w:tcW w:w="709" w:type="dxa"/>
            <w:vAlign w:val="center"/>
          </w:tcPr>
          <w:p>
            <w:pPr>
              <w:jc w:val="center"/>
              <w:rPr>
                <w:rFonts w:ascii="宋体" w:hAnsi="宋体"/>
                <w:color w:val="000000"/>
                <w:spacing w:val="-6"/>
                <w:sz w:val="21"/>
                <w:szCs w:val="21"/>
              </w:rPr>
            </w:pPr>
            <w:r>
              <w:rPr>
                <w:rFonts w:ascii="宋体" w:hAnsi="宋体"/>
                <w:color w:val="000000"/>
                <w:spacing w:val="-6"/>
                <w:sz w:val="21"/>
                <w:szCs w:val="21"/>
              </w:rPr>
              <w:t>3</w:t>
            </w:r>
          </w:p>
        </w:tc>
        <w:tc>
          <w:tcPr>
            <w:tcW w:w="7088" w:type="dxa"/>
            <w:vAlign w:val="center"/>
          </w:tcPr>
          <w:p>
            <w:pPr>
              <w:rPr>
                <w:rFonts w:ascii="宋体" w:hAnsi="宋体"/>
                <w:color w:val="000000"/>
                <w:sz w:val="21"/>
                <w:szCs w:val="21"/>
              </w:rPr>
            </w:pPr>
            <w:r>
              <w:rPr>
                <w:rFonts w:hint="eastAsia" w:ascii="宋体" w:hAnsi="宋体"/>
                <w:color w:val="000000"/>
                <w:sz w:val="21"/>
                <w:szCs w:val="21"/>
              </w:rPr>
              <w:t>根据安装、调试、验收方法或方案的详细完整度、合理可行性。</w:t>
            </w:r>
          </w:p>
        </w:tc>
      </w:tr>
    </w:tbl>
    <w:p>
      <w:pPr>
        <w:spacing w:line="360" w:lineRule="auto"/>
        <w:jc w:val="left"/>
        <w:rPr>
          <w:rFonts w:ascii="宋体" w:hAnsi="宋体"/>
          <w:b/>
          <w:sz w:val="21"/>
          <w:szCs w:val="21"/>
        </w:rPr>
      </w:pPr>
    </w:p>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jc w:val="left"/>
        <w:rPr>
          <w:rFonts w:ascii="宋体" w:hAnsi="宋体"/>
          <w:b/>
          <w:bCs/>
          <w:spacing w:val="-6"/>
          <w:sz w:val="21"/>
          <w:szCs w:val="21"/>
        </w:rPr>
      </w:pPr>
      <w:r>
        <w:rPr>
          <w:rFonts w:hint="eastAsia" w:ascii="宋体" w:hAnsi="宋体"/>
          <w:b/>
          <w:bCs/>
          <w:spacing w:val="-6"/>
          <w:sz w:val="21"/>
          <w:szCs w:val="21"/>
        </w:rPr>
        <w:t>1.根据《政府采购促进中小企业发展暂行办法》（财库[2011]181号）的规定，投标人如为小型或微型企业并提交相关证明材料的，其投标报价扣除6%后参与评审；</w:t>
      </w:r>
    </w:p>
    <w:p>
      <w:pPr>
        <w:spacing w:line="360" w:lineRule="auto"/>
        <w:jc w:val="left"/>
        <w:rPr>
          <w:rFonts w:ascii="宋体" w:hAnsi="宋体"/>
          <w:b/>
          <w:bCs/>
          <w:spacing w:val="-6"/>
          <w:sz w:val="21"/>
          <w:szCs w:val="21"/>
        </w:rPr>
      </w:pPr>
      <w:r>
        <w:rPr>
          <w:rFonts w:hint="eastAsia" w:ascii="宋体" w:hAnsi="宋体"/>
          <w:b/>
          <w:bCs/>
          <w:spacing w:val="-6"/>
          <w:sz w:val="21"/>
          <w:szCs w:val="21"/>
        </w:rPr>
        <w:t>2.根据《关于政府采购支持监狱企业发展有关问题的通知》（财库[2014]68号）的规定，投标人如为监狱企业并提交相关证明材料的，视同小型、微型企业；</w:t>
      </w:r>
    </w:p>
    <w:p>
      <w:pPr>
        <w:spacing w:line="360" w:lineRule="auto"/>
        <w:jc w:val="left"/>
        <w:rPr>
          <w:rFonts w:ascii="宋体" w:hAnsi="宋体"/>
          <w:b/>
          <w:bCs/>
          <w:spacing w:val="-6"/>
          <w:sz w:val="21"/>
          <w:szCs w:val="21"/>
        </w:rPr>
      </w:pPr>
      <w:r>
        <w:rPr>
          <w:rFonts w:hint="eastAsia" w:ascii="宋体" w:hAnsi="宋体"/>
          <w:b/>
          <w:bCs/>
          <w:spacing w:val="-6"/>
          <w:sz w:val="21"/>
          <w:szCs w:val="21"/>
        </w:rPr>
        <w:t>3.根据《关于促进残疾人就业政府采购政策的通知》（财库[2017]141号）的规定，投标人如为残疾人福利性单位并提交《残疾人福利性单位声明函》的，视同小型、微型企业；</w:t>
      </w:r>
    </w:p>
    <w:p>
      <w:pPr>
        <w:spacing w:line="360" w:lineRule="auto"/>
        <w:rPr>
          <w:rFonts w:ascii="宋体" w:hAnsi="宋体"/>
          <w:b/>
          <w:bCs/>
          <w:spacing w:val="-6"/>
          <w:sz w:val="21"/>
          <w:szCs w:val="21"/>
        </w:rPr>
      </w:pPr>
      <w:r>
        <w:rPr>
          <w:rFonts w:hint="eastAsia" w:ascii="宋体" w:hAnsi="宋体"/>
          <w:b/>
          <w:bCs/>
          <w:spacing w:val="-6"/>
          <w:sz w:val="21"/>
          <w:szCs w:val="21"/>
        </w:rPr>
        <w:t>4.残疾人福利性单位属于小型、微型企业的，不重复享受政策。</w:t>
      </w:r>
    </w:p>
    <w:p>
      <w:pPr>
        <w:spacing w:line="288" w:lineRule="auto"/>
        <w:jc w:val="center"/>
        <w:outlineLvl w:val="0"/>
        <w:rPr>
          <w:rFonts w:ascii="宋体" w:hAnsi="宋体"/>
          <w:b/>
          <w:bCs/>
          <w:spacing w:val="-6"/>
          <w:sz w:val="32"/>
          <w:szCs w:val="32"/>
        </w:rPr>
      </w:pPr>
      <w:r>
        <w:rPr>
          <w:rFonts w:ascii="宋体" w:hAnsi="宋体"/>
          <w:b/>
          <w:bCs/>
          <w:spacing w:val="-6"/>
          <w:sz w:val="32"/>
          <w:szCs w:val="32"/>
        </w:rPr>
        <w:br w:type="page"/>
      </w:r>
      <w:r>
        <w:rPr>
          <w:rFonts w:hint="eastAsia" w:ascii="宋体" w:hAnsi="宋体"/>
          <w:b/>
          <w:sz w:val="32"/>
          <w:szCs w:val="32"/>
        </w:rPr>
        <w:t>第五章  拟签订的合同文本</w:t>
      </w:r>
    </w:p>
    <w:p>
      <w:pPr>
        <w:spacing w:line="288" w:lineRule="auto"/>
        <w:ind w:firstLine="458" w:firstLineChars="200"/>
        <w:jc w:val="center"/>
        <w:rPr>
          <w:rFonts w:ascii="宋体" w:hAnsi="宋体" w:cs="宋体"/>
          <w:spacing w:val="-6"/>
          <w:sz w:val="24"/>
        </w:rPr>
      </w:pPr>
      <w:r>
        <w:rPr>
          <w:rFonts w:hint="eastAsia" w:ascii="宋体" w:hAnsi="宋体"/>
          <w:b/>
          <w:spacing w:val="-6"/>
          <w:sz w:val="24"/>
        </w:rPr>
        <w:t>中国美术学院教务处公共教室提升设备政府采购合同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采购编号：</w:t>
      </w:r>
      <w:r>
        <w:rPr>
          <w:rFonts w:ascii="宋体" w:hAnsi="宋体"/>
          <w:spacing w:val="-6"/>
          <w:sz w:val="21"/>
        </w:rPr>
        <w:t>QSZB-Z(H)-C20054(GK)</w:t>
      </w:r>
    </w:p>
    <w:p>
      <w:pPr>
        <w:spacing w:line="288" w:lineRule="auto"/>
        <w:rPr>
          <w:rFonts w:ascii="宋体" w:hAnsi="宋体"/>
          <w:spacing w:val="-6"/>
          <w:sz w:val="21"/>
        </w:rPr>
      </w:pPr>
      <w:r>
        <w:rPr>
          <w:rFonts w:hint="eastAsia" w:ascii="宋体" w:hAnsi="宋体"/>
          <w:spacing w:val="-6"/>
          <w:sz w:val="21"/>
        </w:rPr>
        <w:t>确认书编号：</w:t>
      </w:r>
      <w:r>
        <w:rPr>
          <w:rFonts w:ascii="宋体" w:hAnsi="宋体"/>
          <w:spacing w:val="-6"/>
          <w:sz w:val="21"/>
        </w:rPr>
        <w:t xml:space="preserve"> </w:t>
      </w:r>
      <w:r>
        <w:rPr>
          <w:rFonts w:hint="eastAsia" w:ascii="宋体" w:hAnsi="宋体"/>
          <w:spacing w:val="-6"/>
          <w:sz w:val="21"/>
        </w:rPr>
        <w:t>[2020]13067号</w:t>
      </w:r>
    </w:p>
    <w:p>
      <w:pPr>
        <w:spacing w:line="288" w:lineRule="auto"/>
        <w:rPr>
          <w:rFonts w:ascii="宋体" w:hAnsi="宋体"/>
          <w:spacing w:val="-6"/>
          <w:sz w:val="21"/>
        </w:rPr>
      </w:pPr>
      <w:r>
        <w:rPr>
          <w:rFonts w:hint="eastAsia" w:ascii="宋体" w:hAnsi="宋体"/>
          <w:spacing w:val="-6"/>
          <w:sz w:val="21"/>
        </w:rPr>
        <w:t>甲方（采购人）：中国美术学院</w:t>
      </w:r>
    </w:p>
    <w:p>
      <w:pPr>
        <w:spacing w:line="288" w:lineRule="auto"/>
        <w:rPr>
          <w:rFonts w:ascii="宋体" w:hAnsi="宋体"/>
          <w:spacing w:val="-6"/>
          <w:sz w:val="21"/>
        </w:rPr>
      </w:pPr>
      <w:r>
        <w:rPr>
          <w:rFonts w:hint="eastAsia" w:ascii="宋体" w:hAnsi="宋体"/>
          <w:spacing w:val="-6"/>
          <w:sz w:val="21"/>
        </w:rPr>
        <w:t>乙方（中标供应商）：</w:t>
      </w:r>
    </w:p>
    <w:p>
      <w:pPr>
        <w:spacing w:line="288" w:lineRule="auto"/>
        <w:rPr>
          <w:rFonts w:ascii="宋体" w:hAnsi="宋体"/>
          <w:spacing w:val="-6"/>
          <w:sz w:val="21"/>
        </w:rPr>
      </w:pPr>
      <w:r>
        <w:rPr>
          <w:rFonts w:hint="eastAsia" w:ascii="宋体" w:hAnsi="宋体"/>
          <w:spacing w:val="-6"/>
          <w:sz w:val="21"/>
        </w:rPr>
        <w:t>采购代理机构：浙江求是招标代理有限公司</w:t>
      </w:r>
    </w:p>
    <w:p>
      <w:pPr>
        <w:spacing w:line="288" w:lineRule="auto"/>
        <w:rPr>
          <w:rFonts w:ascii="宋体" w:hAnsi="宋体"/>
          <w:spacing w:val="-6"/>
          <w:sz w:val="21"/>
        </w:rPr>
      </w:pPr>
      <w:r>
        <w:rPr>
          <w:rFonts w:hint="eastAsia" w:ascii="宋体" w:hAnsi="宋体"/>
          <w:spacing w:val="-6"/>
          <w:sz w:val="21"/>
        </w:rPr>
        <w:t>签约时间、地点：2020年  月   日，杭州</w:t>
      </w:r>
    </w:p>
    <w:p>
      <w:pPr>
        <w:spacing w:line="288" w:lineRule="auto"/>
        <w:ind w:firstLine="396" w:firstLineChars="200"/>
        <w:rPr>
          <w:rFonts w:ascii="宋体" w:hAnsi="宋体"/>
          <w:spacing w:val="-6"/>
          <w:sz w:val="21"/>
        </w:rPr>
      </w:pPr>
      <w:r>
        <w:rPr>
          <w:rFonts w:hint="eastAsia" w:ascii="宋体" w:hAnsi="宋体"/>
          <w:spacing w:val="-6"/>
          <w:sz w:val="21"/>
        </w:rPr>
        <w:t>甲、乙双方根据浙江求是招标代理有限公司关于中国美术学院教务处公共教室提升设备公开招标的结果，签署本合同。</w:t>
      </w:r>
    </w:p>
    <w:p>
      <w:pPr>
        <w:spacing w:line="288" w:lineRule="auto"/>
        <w:rPr>
          <w:rFonts w:ascii="宋体" w:hAnsi="宋体"/>
          <w:b/>
          <w:spacing w:val="-6"/>
          <w:sz w:val="21"/>
        </w:rPr>
      </w:pPr>
      <w:r>
        <w:rPr>
          <w:rFonts w:hint="eastAsia" w:ascii="宋体" w:hAnsi="宋体"/>
          <w:b/>
          <w:spacing w:val="-6"/>
          <w:sz w:val="21"/>
        </w:rPr>
        <w:t>第一条：采购商品清单及合同价格</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98"/>
        <w:gridCol w:w="400"/>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序号</w:t>
            </w:r>
          </w:p>
        </w:tc>
        <w:tc>
          <w:tcPr>
            <w:tcW w:w="199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1</w:t>
            </w:r>
          </w:p>
        </w:tc>
        <w:tc>
          <w:tcPr>
            <w:tcW w:w="1998"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spacing w:val="-6"/>
                <w:sz w:val="21"/>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rPr>
        <w:tc>
          <w:tcPr>
            <w:tcW w:w="22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r>
              <w:rPr>
                <w:rFonts w:hint="eastAsia" w:ascii="宋体" w:hAnsi="宋体"/>
                <w:spacing w:val="-6"/>
                <w:sz w:val="21"/>
              </w:rPr>
              <w:t>合同总价（人民币）</w:t>
            </w:r>
          </w:p>
        </w:tc>
        <w:tc>
          <w:tcPr>
            <w:tcW w:w="7164" w:type="dxa"/>
            <w:gridSpan w:val="6"/>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rPr>
            </w:pPr>
          </w:p>
        </w:tc>
      </w:tr>
    </w:tbl>
    <w:p>
      <w:pPr>
        <w:spacing w:line="288" w:lineRule="auto"/>
        <w:rPr>
          <w:rFonts w:ascii="宋体" w:hAnsi="宋体"/>
          <w:spacing w:val="-6"/>
          <w:sz w:val="21"/>
        </w:rPr>
      </w:pPr>
      <w:r>
        <w:rPr>
          <w:rFonts w:hint="eastAsia" w:ascii="宋体" w:hAnsi="宋体"/>
          <w:spacing w:val="-6"/>
          <w:sz w:val="21"/>
        </w:rPr>
        <w:t>注：以上合同总价包括完成所有产品供货及履行所有规定服务所产生的全部费用。</w:t>
      </w:r>
    </w:p>
    <w:p>
      <w:pPr>
        <w:spacing w:line="288" w:lineRule="auto"/>
        <w:rPr>
          <w:rFonts w:ascii="宋体" w:hAnsi="宋体"/>
          <w:b/>
          <w:spacing w:val="-6"/>
          <w:sz w:val="21"/>
        </w:rPr>
      </w:pPr>
      <w:r>
        <w:rPr>
          <w:rFonts w:hint="eastAsia" w:ascii="宋体" w:hAnsi="宋体"/>
          <w:b/>
          <w:spacing w:val="-6"/>
          <w:sz w:val="21"/>
        </w:rPr>
        <w:t>第二条：质量保证及售后服务</w:t>
      </w:r>
    </w:p>
    <w:p>
      <w:pPr>
        <w:spacing w:line="288" w:lineRule="auto"/>
        <w:ind w:firstLine="396" w:firstLineChars="200"/>
        <w:rPr>
          <w:rFonts w:ascii="宋体" w:hAnsi="宋体"/>
          <w:spacing w:val="-6"/>
          <w:sz w:val="21"/>
        </w:rPr>
      </w:pPr>
      <w:r>
        <w:rPr>
          <w:rFonts w:hint="eastAsia" w:ascii="宋体" w:hAnsi="宋体"/>
          <w:spacing w:val="-6"/>
          <w:sz w:val="21"/>
        </w:rPr>
        <w:t>1.乙方应按招标文件规定的货物性能、技术要求、质量标准向甲方提供未经使用的全新产品，符合国家法律规定和技术规格、质量标准的出厂原装合格产品；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spacing w:val="-6"/>
          <w:sz w:val="21"/>
        </w:rPr>
      </w:pPr>
      <w:r>
        <w:rPr>
          <w:rFonts w:hint="eastAsia" w:ascii="宋体" w:hAnsi="宋体"/>
          <w:spacing w:val="-6"/>
          <w:sz w:val="21"/>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rPr>
      </w:pPr>
      <w:r>
        <w:rPr>
          <w:rFonts w:hint="eastAsia" w:ascii="宋体" w:hAnsi="宋体"/>
          <w:spacing w:val="-6"/>
          <w:sz w:val="21"/>
        </w:rPr>
        <w:t>⑴更换：由乙方承担所发生的全部费用。</w:t>
      </w:r>
    </w:p>
    <w:p>
      <w:pPr>
        <w:spacing w:line="288" w:lineRule="auto"/>
        <w:ind w:firstLine="396" w:firstLineChars="200"/>
        <w:rPr>
          <w:rFonts w:ascii="宋体" w:hAnsi="宋体"/>
          <w:spacing w:val="-6"/>
          <w:sz w:val="21"/>
        </w:rPr>
      </w:pPr>
      <w:r>
        <w:rPr>
          <w:rFonts w:hint="eastAsia" w:ascii="宋体" w:hAnsi="宋体"/>
          <w:spacing w:val="-6"/>
          <w:sz w:val="21"/>
        </w:rPr>
        <w:t>⑵贬值处理：由甲乙双方合议定价。</w:t>
      </w:r>
    </w:p>
    <w:p>
      <w:pPr>
        <w:spacing w:line="288" w:lineRule="auto"/>
        <w:ind w:firstLine="396" w:firstLineChars="200"/>
        <w:rPr>
          <w:rFonts w:ascii="宋体" w:hAnsi="宋体"/>
          <w:spacing w:val="-6"/>
          <w:sz w:val="21"/>
        </w:rPr>
      </w:pPr>
      <w:r>
        <w:rPr>
          <w:rFonts w:hint="eastAsia" w:ascii="宋体" w:hAnsi="宋体"/>
          <w:spacing w:val="-6"/>
          <w:sz w:val="21"/>
        </w:rPr>
        <w:t>⑶退货处理：乙方应退还甲方支付的合同款，同时应承担该货物的直接费用（运输、保险、检验、货款利息及银行手续费等）。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rPr>
      </w:pPr>
      <w:r>
        <w:rPr>
          <w:rFonts w:hint="eastAsia" w:ascii="宋体" w:hAnsi="宋体"/>
          <w:spacing w:val="-6"/>
          <w:sz w:val="21"/>
        </w:rPr>
        <w:t>3.如在使用过程中发生质量问题，乙方在接到甲方通知后在</w:t>
      </w:r>
      <w:r>
        <w:rPr>
          <w:rFonts w:hint="eastAsia" w:ascii="宋体" w:hAnsi="宋体"/>
          <w:spacing w:val="-6"/>
          <w:sz w:val="21"/>
          <w:u w:val="single"/>
        </w:rPr>
        <w:t xml:space="preserve">   </w:t>
      </w:r>
      <w:r>
        <w:rPr>
          <w:rFonts w:hint="eastAsia" w:ascii="宋体" w:hAnsi="宋体"/>
          <w:spacing w:val="-6"/>
          <w:sz w:val="21"/>
        </w:rPr>
        <w:t>小时内到达甲方现场。</w:t>
      </w:r>
    </w:p>
    <w:p>
      <w:pPr>
        <w:spacing w:line="288" w:lineRule="auto"/>
        <w:ind w:firstLine="396" w:firstLineChars="200"/>
        <w:rPr>
          <w:rFonts w:ascii="宋体" w:hAnsi="宋体"/>
          <w:spacing w:val="-6"/>
          <w:sz w:val="21"/>
        </w:rPr>
      </w:pPr>
      <w:r>
        <w:rPr>
          <w:rFonts w:hint="eastAsia" w:ascii="宋体" w:hAnsi="宋体"/>
          <w:spacing w:val="-6"/>
          <w:sz w:val="21"/>
        </w:rPr>
        <w:t>4.在质保期内，乙方应对货物出现的质量及安全问题负责处理解决并承担一切费用。</w:t>
      </w:r>
    </w:p>
    <w:p>
      <w:pPr>
        <w:spacing w:line="288" w:lineRule="auto"/>
        <w:ind w:firstLine="396" w:firstLineChars="200"/>
        <w:rPr>
          <w:rFonts w:ascii="宋体" w:hAnsi="宋体"/>
          <w:spacing w:val="-6"/>
          <w:sz w:val="21"/>
        </w:rPr>
      </w:pPr>
      <w:r>
        <w:rPr>
          <w:rFonts w:hint="eastAsia" w:ascii="宋体" w:hAnsi="宋体"/>
          <w:spacing w:val="-6"/>
          <w:sz w:val="21"/>
        </w:rPr>
        <w:t>5.上述的货物免费保修期为</w:t>
      </w:r>
      <w:r>
        <w:rPr>
          <w:rFonts w:hint="eastAsia" w:ascii="宋体" w:hAnsi="宋体"/>
          <w:spacing w:val="-6"/>
          <w:sz w:val="21"/>
          <w:u w:val="single"/>
        </w:rPr>
        <w:t xml:space="preserve">   </w:t>
      </w:r>
      <w:r>
        <w:rPr>
          <w:rFonts w:hint="eastAsia" w:ascii="宋体" w:hAnsi="宋体"/>
          <w:spacing w:val="-6"/>
          <w:sz w:val="21"/>
        </w:rPr>
        <w:t>年，因人为因素出现的故障不在免费保修范围内。超过保修期的货物，终生维修，维修时只收部件成本费。</w:t>
      </w:r>
    </w:p>
    <w:p>
      <w:pPr>
        <w:spacing w:line="288" w:lineRule="auto"/>
        <w:rPr>
          <w:rFonts w:ascii="宋体" w:hAnsi="宋体"/>
          <w:b/>
          <w:spacing w:val="-6"/>
          <w:sz w:val="21"/>
        </w:rPr>
      </w:pPr>
      <w:r>
        <w:rPr>
          <w:rFonts w:hint="eastAsia" w:ascii="宋体" w:hAnsi="宋体"/>
          <w:b/>
          <w:spacing w:val="-6"/>
          <w:sz w:val="21"/>
        </w:rPr>
        <w:t>第三条：技术资料</w:t>
      </w:r>
    </w:p>
    <w:p>
      <w:pPr>
        <w:spacing w:line="288" w:lineRule="auto"/>
        <w:ind w:firstLine="396" w:firstLineChars="200"/>
        <w:rPr>
          <w:rFonts w:ascii="宋体" w:hAnsi="宋体"/>
          <w:spacing w:val="-6"/>
          <w:sz w:val="21"/>
        </w:rPr>
      </w:pPr>
      <w:r>
        <w:rPr>
          <w:rFonts w:hint="eastAsia" w:ascii="宋体" w:hAnsi="宋体"/>
          <w:spacing w:val="-6"/>
          <w:sz w:val="21"/>
        </w:rPr>
        <w:t>1.乙方应按招标文件规定的时间向甲方提供使用货物的有关技术资料。</w:t>
      </w:r>
    </w:p>
    <w:p>
      <w:pPr>
        <w:spacing w:line="288" w:lineRule="auto"/>
        <w:ind w:firstLine="396" w:firstLineChars="200"/>
        <w:rPr>
          <w:rFonts w:ascii="宋体" w:hAnsi="宋体"/>
          <w:spacing w:val="-6"/>
          <w:sz w:val="21"/>
        </w:rPr>
      </w:pPr>
      <w:r>
        <w:rPr>
          <w:rFonts w:hint="eastAsia" w:ascii="宋体" w:hAnsi="宋体"/>
          <w:spacing w:val="-6"/>
          <w:sz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rPr>
          <w:rFonts w:ascii="宋体" w:hAnsi="宋体"/>
          <w:b/>
          <w:spacing w:val="-6"/>
          <w:sz w:val="21"/>
        </w:rPr>
      </w:pPr>
      <w:r>
        <w:rPr>
          <w:rFonts w:hint="eastAsia" w:ascii="宋体" w:hAnsi="宋体"/>
          <w:b/>
          <w:spacing w:val="-6"/>
          <w:sz w:val="21"/>
        </w:rPr>
        <w:t>第四条：知识产权</w:t>
      </w:r>
    </w:p>
    <w:p>
      <w:pPr>
        <w:spacing w:line="288" w:lineRule="auto"/>
        <w:ind w:firstLine="396" w:firstLineChars="200"/>
        <w:rPr>
          <w:rFonts w:ascii="宋体" w:hAnsi="宋体"/>
          <w:spacing w:val="-6"/>
          <w:sz w:val="21"/>
        </w:rPr>
      </w:pPr>
      <w:r>
        <w:rPr>
          <w:rFonts w:hint="eastAsia" w:ascii="宋体" w:hAnsi="宋体"/>
          <w:spacing w:val="-6"/>
          <w:sz w:val="21"/>
        </w:rPr>
        <w:t>乙方应保证所提供的货物或其任何一部分均不会侵犯任何第三方的知识产权。</w:t>
      </w:r>
    </w:p>
    <w:p>
      <w:pPr>
        <w:spacing w:line="288" w:lineRule="auto"/>
        <w:rPr>
          <w:rFonts w:ascii="宋体" w:hAnsi="宋体"/>
          <w:b/>
          <w:spacing w:val="-6"/>
          <w:sz w:val="21"/>
        </w:rPr>
      </w:pPr>
      <w:r>
        <w:rPr>
          <w:rFonts w:hint="eastAsia" w:ascii="宋体" w:hAnsi="宋体"/>
          <w:b/>
          <w:spacing w:val="-6"/>
          <w:sz w:val="21"/>
        </w:rPr>
        <w:t>第五条：交货时间、地点</w:t>
      </w:r>
    </w:p>
    <w:p>
      <w:pPr>
        <w:spacing w:line="288" w:lineRule="auto"/>
        <w:ind w:right="-686" w:rightChars="-245" w:firstLine="396" w:firstLineChars="200"/>
        <w:rPr>
          <w:rFonts w:ascii="宋体" w:hAnsi="宋体"/>
          <w:spacing w:val="-6"/>
          <w:sz w:val="21"/>
        </w:rPr>
      </w:pPr>
      <w:r>
        <w:rPr>
          <w:rFonts w:hint="eastAsia" w:ascii="宋体" w:hAnsi="宋体"/>
          <w:spacing w:val="-6"/>
          <w:sz w:val="21"/>
        </w:rPr>
        <w:t>乙方应于2020年  月   日前将所供商品按时、安全运至甲方指定地点。</w:t>
      </w:r>
    </w:p>
    <w:p>
      <w:pPr>
        <w:spacing w:line="288" w:lineRule="auto"/>
        <w:rPr>
          <w:rFonts w:ascii="宋体" w:hAnsi="宋体"/>
          <w:b/>
          <w:spacing w:val="-6"/>
          <w:sz w:val="21"/>
        </w:rPr>
      </w:pPr>
      <w:r>
        <w:rPr>
          <w:rFonts w:hint="eastAsia" w:ascii="宋体" w:hAnsi="宋体"/>
          <w:b/>
          <w:spacing w:val="-6"/>
          <w:sz w:val="21"/>
        </w:rPr>
        <w:t>第六条：售后服务</w:t>
      </w:r>
    </w:p>
    <w:p>
      <w:pPr>
        <w:pStyle w:val="2"/>
        <w:spacing w:line="288" w:lineRule="auto"/>
        <w:ind w:right="31" w:rightChars="11" w:firstLine="420"/>
        <w:rPr>
          <w:rFonts w:hAnsi="宋体"/>
          <w:spacing w:val="-6"/>
          <w:sz w:val="21"/>
        </w:rPr>
      </w:pPr>
      <w:r>
        <w:rPr>
          <w:rFonts w:hint="eastAsia" w:hAnsi="宋体"/>
          <w:spacing w:val="-6"/>
          <w:sz w:val="21"/>
        </w:rPr>
        <w:t>货物自验收合格后起保修</w:t>
      </w:r>
      <w:r>
        <w:rPr>
          <w:rFonts w:hint="eastAsia" w:hAnsi="宋体"/>
          <w:spacing w:val="-6"/>
          <w:sz w:val="21"/>
          <w:u w:val="single"/>
        </w:rPr>
        <w:t xml:space="preserve">   </w:t>
      </w:r>
      <w:r>
        <w:rPr>
          <w:rFonts w:hint="eastAsia" w:hAnsi="宋体"/>
          <w:spacing w:val="-6"/>
          <w:sz w:val="21"/>
        </w:rPr>
        <w:t>年。维修响应时间：</w:t>
      </w:r>
      <w:r>
        <w:rPr>
          <w:rFonts w:hint="eastAsia" w:hAnsi="宋体"/>
          <w:spacing w:val="-6"/>
          <w:sz w:val="21"/>
          <w:u w:val="single"/>
        </w:rPr>
        <w:t xml:space="preserve">   </w:t>
      </w:r>
      <w:r>
        <w:rPr>
          <w:rFonts w:hint="eastAsia" w:hAnsi="宋体"/>
          <w:spacing w:val="-6"/>
          <w:sz w:val="21"/>
        </w:rPr>
        <w:t>小时以内，电话技术支持；若需上门维修，则</w:t>
      </w:r>
      <w:r>
        <w:rPr>
          <w:rFonts w:hint="eastAsia" w:hAnsi="宋体"/>
          <w:spacing w:val="-6"/>
          <w:sz w:val="21"/>
          <w:u w:val="single"/>
        </w:rPr>
        <w:t xml:space="preserve">   </w:t>
      </w:r>
      <w:r>
        <w:rPr>
          <w:rFonts w:hint="eastAsia" w:hAnsi="宋体"/>
          <w:spacing w:val="-6"/>
          <w:sz w:val="21"/>
        </w:rPr>
        <w:t>小时内到达现场并进行维修；保修期后，乙方继续为甲方服务，仅收取零配件成本费。保修内出现无法排除的故障，乙方需无条件为甲方更换同型号产品。</w:t>
      </w:r>
    </w:p>
    <w:p>
      <w:pPr>
        <w:spacing w:line="288" w:lineRule="auto"/>
        <w:rPr>
          <w:rFonts w:ascii="宋体" w:hAnsi="宋体"/>
          <w:b/>
          <w:spacing w:val="-6"/>
          <w:sz w:val="21"/>
        </w:rPr>
      </w:pPr>
      <w:r>
        <w:rPr>
          <w:rFonts w:hint="eastAsia" w:ascii="宋体" w:hAnsi="宋体"/>
          <w:b/>
          <w:spacing w:val="-6"/>
          <w:sz w:val="21"/>
        </w:rPr>
        <w:t>第七条：调试与验收</w:t>
      </w:r>
    </w:p>
    <w:p>
      <w:pPr>
        <w:spacing w:line="288" w:lineRule="auto"/>
        <w:ind w:firstLine="396" w:firstLineChars="200"/>
        <w:rPr>
          <w:rFonts w:ascii="宋体" w:hAnsi="宋体"/>
          <w:spacing w:val="-6"/>
          <w:sz w:val="21"/>
        </w:rPr>
      </w:pPr>
      <w:r>
        <w:rPr>
          <w:rFonts w:hint="eastAsia" w:ascii="宋体" w:hAnsi="宋体"/>
          <w:spacing w:val="-6"/>
          <w:sz w:val="21"/>
        </w:rPr>
        <w:t>1.甲方对乙方提交的货物依据招标文件上的技术规格要求和国家有关质量标准进行现场初步验收，外观、说明书符合招标文件技术要求的，给予签收，初步验收不合格的不予签收。</w:t>
      </w:r>
    </w:p>
    <w:p>
      <w:pPr>
        <w:spacing w:line="288" w:lineRule="auto"/>
        <w:ind w:firstLine="396" w:firstLineChars="200"/>
        <w:rPr>
          <w:rFonts w:ascii="宋体" w:hAnsi="宋体"/>
          <w:spacing w:val="-6"/>
          <w:sz w:val="21"/>
        </w:rPr>
      </w:pPr>
      <w:r>
        <w:rPr>
          <w:rFonts w:hint="eastAsia" w:ascii="宋体" w:hAnsi="宋体"/>
          <w:spacing w:val="-6"/>
          <w:sz w:val="21"/>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rPr>
      </w:pPr>
      <w:r>
        <w:rPr>
          <w:rFonts w:hint="eastAsia" w:ascii="宋体" w:hAnsi="宋体"/>
          <w:spacing w:val="-6"/>
          <w:sz w:val="21"/>
        </w:rPr>
        <w:t>3.对技术复杂的货物，甲方应请国家认可的专业检测机构参与初步验收及最终验收，并由其出具质量检测报告。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rPr>
      </w:pPr>
      <w:r>
        <w:rPr>
          <w:rFonts w:hint="eastAsia" w:ascii="宋体" w:hAnsi="宋体"/>
          <w:spacing w:val="-6"/>
          <w:sz w:val="21"/>
        </w:rPr>
        <w:t>4.验收时乙方必须在现场，验收完毕后作出验收结果报告；验收费用由乙方负责。</w:t>
      </w:r>
    </w:p>
    <w:p>
      <w:pPr>
        <w:spacing w:line="288" w:lineRule="auto"/>
        <w:ind w:right="31" w:rightChars="11" w:firstLine="396" w:firstLineChars="200"/>
        <w:rPr>
          <w:rFonts w:ascii="宋体" w:hAnsi="宋体"/>
          <w:spacing w:val="-6"/>
          <w:sz w:val="21"/>
        </w:rPr>
      </w:pPr>
      <w:r>
        <w:rPr>
          <w:rFonts w:hint="eastAsia" w:ascii="宋体" w:hAnsi="宋体"/>
          <w:spacing w:val="-6"/>
          <w:sz w:val="21"/>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spacing w:val="-6"/>
          <w:sz w:val="21"/>
        </w:rPr>
      </w:pPr>
      <w:r>
        <w:rPr>
          <w:rFonts w:hint="eastAsia" w:ascii="宋体" w:hAnsi="宋体"/>
          <w:b/>
          <w:spacing w:val="-6"/>
          <w:sz w:val="21"/>
        </w:rPr>
        <w:t>第八条：货款的支付</w:t>
      </w:r>
    </w:p>
    <w:p>
      <w:pPr>
        <w:spacing w:line="288" w:lineRule="auto"/>
        <w:ind w:firstLine="420" w:firstLineChars="200"/>
        <w:rPr>
          <w:rFonts w:ascii="宋体" w:hAnsi="宋体"/>
          <w:sz w:val="21"/>
          <w:szCs w:val="21"/>
        </w:rPr>
      </w:pPr>
      <w:r>
        <w:rPr>
          <w:rFonts w:hint="eastAsia" w:ascii="宋体" w:hAnsi="宋体"/>
          <w:sz w:val="21"/>
          <w:szCs w:val="21"/>
        </w:rPr>
        <w:t>1.合同签订后15日内，甲方向乙方支付合同金额的50%；货物送达指定地点，经甲方验收合格后30个工作日内且乙方已提交履约保证金的，甲方向乙方支付合同金额的50%。</w:t>
      </w:r>
    </w:p>
    <w:p>
      <w:pPr>
        <w:spacing w:line="288" w:lineRule="auto"/>
        <w:ind w:firstLine="420" w:firstLineChars="200"/>
        <w:rPr>
          <w:rFonts w:ascii="宋体" w:hAnsi="宋体"/>
          <w:sz w:val="21"/>
          <w:szCs w:val="21"/>
        </w:rPr>
      </w:pPr>
      <w:r>
        <w:rPr>
          <w:rFonts w:hint="eastAsia" w:ascii="宋体" w:hAnsi="宋体"/>
          <w:sz w:val="21"/>
          <w:szCs w:val="21"/>
        </w:rPr>
        <w:t>2.合同签订后，乙方向甲方缴纳合同金额5%的履约保证金，在质保期内无质量问题和维护问题，满12个月后于一周内退还（不计息）。</w:t>
      </w:r>
    </w:p>
    <w:p>
      <w:pPr>
        <w:spacing w:line="288" w:lineRule="auto"/>
        <w:ind w:right="-686" w:rightChars="-245"/>
        <w:rPr>
          <w:rFonts w:ascii="宋体" w:hAnsi="宋体"/>
          <w:b/>
          <w:spacing w:val="-6"/>
          <w:sz w:val="21"/>
        </w:rPr>
      </w:pPr>
      <w:r>
        <w:rPr>
          <w:rFonts w:hint="eastAsia" w:ascii="宋体" w:hAnsi="宋体"/>
          <w:b/>
          <w:spacing w:val="-6"/>
          <w:sz w:val="21"/>
        </w:rPr>
        <w:t>第九条：违约责任</w:t>
      </w:r>
    </w:p>
    <w:p>
      <w:pPr>
        <w:spacing w:line="288" w:lineRule="auto"/>
        <w:ind w:firstLine="396" w:firstLineChars="200"/>
        <w:rPr>
          <w:rFonts w:ascii="宋体" w:hAnsi="宋体"/>
          <w:spacing w:val="-6"/>
          <w:sz w:val="21"/>
        </w:rPr>
      </w:pPr>
      <w:r>
        <w:rPr>
          <w:rFonts w:hint="eastAsia" w:ascii="宋体" w:hAnsi="宋体"/>
          <w:spacing w:val="-6"/>
          <w:sz w:val="21"/>
        </w:rPr>
        <w:t>1.乙方逾期履行合同的，自逾期之日起，向甲方每日偿付合同总价千分之五的滞纳金。</w:t>
      </w:r>
    </w:p>
    <w:p>
      <w:pPr>
        <w:spacing w:line="288" w:lineRule="auto"/>
        <w:ind w:firstLine="396" w:firstLineChars="200"/>
        <w:rPr>
          <w:rFonts w:ascii="宋体" w:hAnsi="宋体"/>
          <w:spacing w:val="-6"/>
          <w:sz w:val="21"/>
        </w:rPr>
      </w:pPr>
      <w:r>
        <w:rPr>
          <w:rFonts w:hint="eastAsia" w:ascii="宋体" w:hAnsi="宋体"/>
          <w:spacing w:val="-6"/>
          <w:sz w:val="21"/>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rPr>
      </w:pPr>
      <w:r>
        <w:rPr>
          <w:rFonts w:hint="eastAsia" w:ascii="宋体" w:hAnsi="宋体"/>
          <w:spacing w:val="-6"/>
          <w:sz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rPr>
      </w:pPr>
      <w:r>
        <w:rPr>
          <w:rFonts w:hint="eastAsia" w:ascii="宋体" w:hAnsi="宋体"/>
          <w:spacing w:val="-6"/>
          <w:sz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288" w:lineRule="auto"/>
        <w:ind w:firstLine="398"/>
        <w:rPr>
          <w:rFonts w:hAnsi="宋体"/>
          <w:b/>
          <w:spacing w:val="-6"/>
          <w:sz w:val="21"/>
        </w:rPr>
      </w:pPr>
      <w:r>
        <w:rPr>
          <w:rFonts w:hint="eastAsia" w:hAnsi="宋体"/>
          <w:b/>
          <w:spacing w:val="-6"/>
          <w:sz w:val="21"/>
        </w:rPr>
        <w:t>第十条：不可抗力事件处理</w:t>
      </w:r>
    </w:p>
    <w:p>
      <w:pPr>
        <w:spacing w:line="288" w:lineRule="auto"/>
        <w:ind w:firstLine="396" w:firstLineChars="200"/>
        <w:rPr>
          <w:rFonts w:ascii="宋体" w:hAnsi="宋体"/>
          <w:spacing w:val="-6"/>
          <w:sz w:val="21"/>
        </w:rPr>
      </w:pPr>
      <w:r>
        <w:rPr>
          <w:rFonts w:hint="eastAsia" w:ascii="宋体" w:hAnsi="宋体"/>
          <w:spacing w:val="-6"/>
          <w:sz w:val="21"/>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rPr>
      </w:pPr>
      <w:r>
        <w:rPr>
          <w:rFonts w:hint="eastAsia" w:ascii="宋体" w:hAnsi="宋体"/>
          <w:spacing w:val="-6"/>
          <w:sz w:val="21"/>
        </w:rPr>
        <w:t>2.不可抗力事件发生后，应立即通知对方，并寄送有关权威机构出具的证明。</w:t>
      </w:r>
    </w:p>
    <w:p>
      <w:pPr>
        <w:spacing w:line="288" w:lineRule="auto"/>
        <w:ind w:firstLine="396" w:firstLineChars="200"/>
        <w:rPr>
          <w:rFonts w:ascii="宋体" w:hAnsi="宋体"/>
          <w:spacing w:val="-6"/>
          <w:sz w:val="21"/>
        </w:rPr>
      </w:pPr>
      <w:r>
        <w:rPr>
          <w:rFonts w:hint="eastAsia" w:ascii="宋体" w:hAnsi="宋体"/>
          <w:spacing w:val="-6"/>
          <w:sz w:val="21"/>
        </w:rPr>
        <w:t>3.不可抗力事件延续120天以上，双方应通过友好协商，确定是否继续履行合同。</w:t>
      </w:r>
    </w:p>
    <w:p>
      <w:pPr>
        <w:spacing w:line="288" w:lineRule="auto"/>
        <w:ind w:right="-686" w:rightChars="-245"/>
        <w:rPr>
          <w:rFonts w:ascii="宋体" w:hAnsi="宋体"/>
          <w:b/>
          <w:spacing w:val="-6"/>
          <w:sz w:val="21"/>
        </w:rPr>
      </w:pPr>
      <w:r>
        <w:rPr>
          <w:rFonts w:hint="eastAsia" w:ascii="宋体" w:hAnsi="宋体"/>
          <w:b/>
          <w:spacing w:val="-6"/>
          <w:sz w:val="21"/>
        </w:rPr>
        <w:t>第十一条：争议解决</w:t>
      </w:r>
    </w:p>
    <w:p>
      <w:pPr>
        <w:spacing w:line="288" w:lineRule="auto"/>
        <w:ind w:right="31" w:rightChars="11" w:firstLine="396" w:firstLineChars="200"/>
        <w:rPr>
          <w:rFonts w:ascii="宋体" w:hAnsi="宋体"/>
          <w:spacing w:val="-6"/>
          <w:sz w:val="21"/>
        </w:rPr>
      </w:pPr>
      <w:r>
        <w:rPr>
          <w:rFonts w:hint="eastAsia" w:ascii="宋体" w:hAnsi="宋体"/>
          <w:spacing w:val="-6"/>
          <w:sz w:val="21"/>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spacing w:val="-6"/>
          <w:sz w:val="21"/>
        </w:rPr>
      </w:pPr>
      <w:r>
        <w:rPr>
          <w:rFonts w:hint="eastAsia" w:ascii="宋体" w:hAnsi="宋体"/>
          <w:b/>
          <w:spacing w:val="-6"/>
          <w:sz w:val="21"/>
        </w:rPr>
        <w:t>第十二条：合同生效</w:t>
      </w:r>
    </w:p>
    <w:p>
      <w:pPr>
        <w:spacing w:line="288" w:lineRule="auto"/>
        <w:ind w:firstLine="396" w:firstLineChars="200"/>
        <w:rPr>
          <w:rFonts w:ascii="宋体" w:hAnsi="宋体"/>
          <w:spacing w:val="-6"/>
          <w:sz w:val="21"/>
        </w:rPr>
      </w:pPr>
      <w:r>
        <w:rPr>
          <w:rFonts w:hint="eastAsia" w:ascii="宋体" w:hAnsi="宋体"/>
          <w:spacing w:val="-6"/>
          <w:sz w:val="21"/>
        </w:rPr>
        <w:t>1.合同经三方法定代表人或授权代表签字并加盖单位公章后生效。</w:t>
      </w:r>
    </w:p>
    <w:p>
      <w:pPr>
        <w:spacing w:line="288" w:lineRule="auto"/>
        <w:ind w:firstLine="396" w:firstLineChars="200"/>
        <w:rPr>
          <w:rFonts w:ascii="宋体" w:hAnsi="宋体"/>
          <w:spacing w:val="-6"/>
          <w:sz w:val="21"/>
        </w:rPr>
      </w:pPr>
      <w:r>
        <w:rPr>
          <w:rFonts w:hint="eastAsia" w:ascii="宋体" w:hAnsi="宋体"/>
          <w:spacing w:val="-6"/>
          <w:sz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rPr>
      </w:pPr>
      <w:r>
        <w:rPr>
          <w:rFonts w:hint="eastAsia" w:ascii="宋体" w:hAnsi="宋体"/>
          <w:spacing w:val="-6"/>
          <w:sz w:val="21"/>
        </w:rPr>
        <w:t>3.本合同未尽事宜，遵照《合同法》有关条文执行。</w:t>
      </w:r>
    </w:p>
    <w:p>
      <w:pPr>
        <w:spacing w:line="288" w:lineRule="auto"/>
        <w:ind w:firstLine="396" w:firstLineChars="200"/>
        <w:rPr>
          <w:rFonts w:ascii="宋体" w:hAnsi="宋体"/>
          <w:spacing w:val="-6"/>
          <w:sz w:val="21"/>
        </w:rPr>
      </w:pPr>
      <w:r>
        <w:rPr>
          <w:rFonts w:hint="eastAsia" w:ascii="宋体" w:hAnsi="宋体"/>
          <w:spacing w:val="-6"/>
          <w:sz w:val="21"/>
        </w:rPr>
        <w:t>4.本合同一式五份，乙方、采购代理机构各执壹份，甲方执叁份。</w:t>
      </w:r>
    </w:p>
    <w:p>
      <w:pPr>
        <w:spacing w:line="288" w:lineRule="auto"/>
        <w:ind w:firstLine="398" w:firstLineChars="200"/>
        <w:rPr>
          <w:rFonts w:ascii="宋体" w:hAnsi="宋体"/>
          <w:b/>
          <w:spacing w:val="-6"/>
          <w:sz w:val="21"/>
        </w:rPr>
      </w:pPr>
      <w:r>
        <w:rPr>
          <w:rFonts w:hint="eastAsia" w:ascii="宋体" w:hAnsi="宋体"/>
          <w:b/>
          <w:spacing w:val="-6"/>
          <w:sz w:val="21"/>
        </w:rPr>
        <w:t>5.与本合同有关招标文件、投标文件及记录同本合同具有同等法律效果。</w:t>
      </w:r>
    </w:p>
    <w:tbl>
      <w:tblPr>
        <w:tblStyle w:val="2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乙方（中标供应商）：（公章）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甲方代表：</w:t>
            </w:r>
          </w:p>
          <w:p>
            <w:pPr>
              <w:spacing w:line="288" w:lineRule="auto"/>
              <w:rPr>
                <w:rFonts w:ascii="宋体" w:hAnsi="宋体"/>
                <w:spacing w:val="-6"/>
                <w:sz w:val="21"/>
              </w:rPr>
            </w:pPr>
            <w:r>
              <w:rPr>
                <w:rFonts w:hint="eastAsia" w:ascii="宋体" w:hAnsi="宋体"/>
                <w:spacing w:val="-6"/>
                <w:sz w:val="21"/>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乙方代表：</w:t>
            </w:r>
          </w:p>
          <w:p>
            <w:pPr>
              <w:spacing w:line="288" w:lineRule="auto"/>
              <w:rPr>
                <w:rFonts w:ascii="宋体" w:hAnsi="宋体"/>
                <w:spacing w:val="-6"/>
                <w:sz w:val="21"/>
              </w:rPr>
            </w:pPr>
            <w:r>
              <w:rPr>
                <w:rFonts w:hint="eastAsia" w:ascii="宋体" w:hAnsi="宋体"/>
                <w:spacing w:val="-6"/>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采购代理机构：浙江求是招标代理有限公司（公章）</w:t>
            </w:r>
          </w:p>
        </w:tc>
        <w:tc>
          <w:tcPr>
            <w:tcW w:w="0" w:type="auto"/>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采购代理机构代表：</w:t>
            </w:r>
          </w:p>
          <w:p>
            <w:pPr>
              <w:spacing w:line="288" w:lineRule="auto"/>
              <w:ind w:left="194"/>
              <w:rPr>
                <w:rFonts w:ascii="宋体" w:hAnsi="宋体"/>
                <w:spacing w:val="-6"/>
                <w:sz w:val="21"/>
              </w:rPr>
            </w:pPr>
            <w:r>
              <w:rPr>
                <w:rFonts w:hint="eastAsia" w:ascii="宋体" w:hAnsi="宋体"/>
                <w:spacing w:val="-6"/>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rPr>
            </w:pPr>
            <w:r>
              <w:rPr>
                <w:rFonts w:hint="eastAsia" w:ascii="宋体" w:hAnsi="宋体"/>
                <w:spacing w:val="-6"/>
                <w:sz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spacing w:val="-6"/>
                <w:sz w:val="21"/>
              </w:rPr>
            </w:pPr>
            <w:r>
              <w:rPr>
                <w:rFonts w:hint="eastAsia" w:ascii="宋体" w:hAnsi="宋体"/>
                <w:spacing w:val="-6"/>
                <w:sz w:val="21"/>
              </w:rPr>
              <w:t>鉴证时间：    年   月   日</w:t>
            </w:r>
          </w:p>
        </w:tc>
      </w:tr>
    </w:tbl>
    <w:p>
      <w:pPr>
        <w:spacing w:line="288" w:lineRule="auto"/>
        <w:jc w:val="center"/>
        <w:outlineLvl w:val="0"/>
      </w:pPr>
      <w:r>
        <w:rPr>
          <w:rFonts w:hAnsi="宋体"/>
          <w:b/>
          <w:spacing w:val="-6"/>
          <w:sz w:val="32"/>
          <w:szCs w:val="32"/>
        </w:rPr>
        <w:br w:type="page"/>
      </w:r>
      <w:r>
        <w:rPr>
          <w:rFonts w:ascii="宋体" w:hAnsi="宋体"/>
          <w:b/>
          <w:sz w:val="32"/>
          <w:szCs w:val="32"/>
        </w:rPr>
        <w:t>第六章</w:t>
      </w:r>
      <w:r>
        <w:rPr>
          <w:rFonts w:hint="eastAsia" w:ascii="宋体" w:hAnsi="宋体"/>
          <w:b/>
          <w:sz w:val="32"/>
          <w:szCs w:val="32"/>
        </w:rPr>
        <w:t xml:space="preserve">  </w:t>
      </w:r>
      <w:r>
        <w:rPr>
          <w:rFonts w:ascii="宋体" w:hAnsi="宋体"/>
          <w:b/>
          <w:sz w:val="32"/>
          <w:szCs w:val="32"/>
        </w:rPr>
        <w:t>投标文件格式</w:t>
      </w:r>
    </w:p>
    <w:p>
      <w:pPr>
        <w:spacing w:line="360" w:lineRule="auto"/>
        <w:rPr>
          <w:rFonts w:ascii="宋体" w:hAnsi="宋体"/>
          <w:b/>
          <w:bCs/>
          <w:spacing w:val="-6"/>
          <w:sz w:val="24"/>
        </w:rPr>
      </w:pPr>
    </w:p>
    <w:p>
      <w:pPr>
        <w:pStyle w:val="12"/>
        <w:spacing w:before="0" w:beforeLines="0" w:after="0" w:afterLines="0" w:line="360" w:lineRule="auto"/>
        <w:ind w:firstLine="398" w:firstLineChars="200"/>
        <w:jc w:val="center"/>
        <w:rPr>
          <w:rFonts w:hAnsi="宋体"/>
          <w:bCs/>
          <w:spacing w:val="-6"/>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outlineLvl w:val="1"/>
        <w:rPr>
          <w:rFonts w:ascii="宋体" w:hAnsi="宋体"/>
          <w:spacing w:val="-6"/>
          <w:sz w:val="24"/>
        </w:rPr>
      </w:pPr>
      <w:r>
        <w:rPr>
          <w:rFonts w:ascii="宋体" w:hAnsi="宋体"/>
          <w:bCs/>
          <w:spacing w:val="-6"/>
          <w:sz w:val="24"/>
        </w:rPr>
        <w:br w:type="page"/>
      </w:r>
      <w:r>
        <w:rPr>
          <w:rFonts w:hint="eastAsia" w:ascii="宋体" w:hAnsi="宋体"/>
          <w:bCs/>
          <w:spacing w:val="-6"/>
          <w:sz w:val="24"/>
        </w:rPr>
        <w:t>资格</w:t>
      </w:r>
      <w:r>
        <w:rPr>
          <w:rFonts w:ascii="宋体" w:hAnsi="宋体"/>
          <w:bCs/>
          <w:spacing w:val="-6"/>
          <w:sz w:val="24"/>
        </w:rPr>
        <w:t>文件</w:t>
      </w:r>
      <w:r>
        <w:rPr>
          <w:rFonts w:hint="eastAsia" w:ascii="宋体" w:hAnsi="宋体"/>
          <w:spacing w:val="-6"/>
          <w:sz w:val="24"/>
        </w:rPr>
        <w:t>封面</w:t>
      </w:r>
    </w:p>
    <w:p>
      <w:pPr>
        <w:spacing w:line="360" w:lineRule="auto"/>
        <w:jc w:val="right"/>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资格文件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spacing w:val="-6"/>
          <w:sz w:val="21"/>
          <w:szCs w:val="21"/>
        </w:rPr>
      </w:pPr>
      <w:r>
        <w:rPr>
          <w:rFonts w:hint="eastAsia" w:ascii="宋体" w:hAnsi="宋体"/>
          <w:bCs/>
          <w:spacing w:val="-6"/>
          <w:sz w:val="24"/>
        </w:rPr>
        <w:t>日期：     年   月   日</w:t>
      </w:r>
    </w:p>
    <w:p>
      <w:pPr>
        <w:pStyle w:val="2"/>
        <w:spacing w:line="480" w:lineRule="auto"/>
        <w:ind w:firstLine="0"/>
        <w:jc w:val="center"/>
        <w:rPr>
          <w:rFonts w:hAnsi="宋体"/>
          <w:b/>
          <w:spacing w:val="-6"/>
          <w:sz w:val="24"/>
        </w:rPr>
      </w:pPr>
      <w:r>
        <w:rPr>
          <w:rFonts w:hAnsi="宋体"/>
          <w:b/>
          <w:spacing w:val="-6"/>
          <w:sz w:val="24"/>
        </w:rPr>
        <w:br w:type="page"/>
      </w: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360" w:lineRule="auto"/>
        <w:ind w:firstLine="0"/>
        <w:jc w:val="center"/>
        <w:outlineLvl w:val="1"/>
        <w:rPr>
          <w:rFonts w:hAnsi="宋体"/>
          <w:b/>
          <w:spacing w:val="-6"/>
          <w:sz w:val="84"/>
          <w:szCs w:val="84"/>
        </w:rPr>
      </w:pPr>
      <w:r>
        <w:rPr>
          <w:rFonts w:hint="eastAsia" w:hAnsi="宋体"/>
          <w:b/>
          <w:spacing w:val="-6"/>
          <w:sz w:val="84"/>
          <w:szCs w:val="84"/>
          <w:lang w:val="en-US"/>
        </w:rPr>
        <w:t>资格</w:t>
      </w:r>
      <w:r>
        <w:rPr>
          <w:rFonts w:hint="eastAsia" w:hAnsi="宋体"/>
          <w:b/>
          <w:spacing w:val="-6"/>
          <w:sz w:val="84"/>
          <w:szCs w:val="84"/>
        </w:rPr>
        <w:t>文件</w:t>
      </w:r>
    </w:p>
    <w:p>
      <w:pPr>
        <w:pStyle w:val="2"/>
        <w:spacing w:line="360" w:lineRule="auto"/>
        <w:ind w:firstLine="0"/>
        <w:jc w:val="center"/>
        <w:rPr>
          <w:rFonts w:hAnsi="宋体"/>
          <w:b/>
          <w:bCs/>
          <w:color w:val="000000"/>
          <w:spacing w:val="-6"/>
          <w:sz w:val="24"/>
          <w:szCs w:val="24"/>
        </w:rPr>
      </w:pPr>
      <w:r>
        <w:rPr>
          <w:rFonts w:hint="eastAsia" w:hAnsi="宋体"/>
          <w:b/>
          <w:bCs/>
          <w:color w:val="000000"/>
          <w:spacing w:val="-6"/>
          <w:sz w:val="24"/>
          <w:szCs w:val="24"/>
        </w:rPr>
        <w:t>资格审查要求的资格证明材料(均需加盖公章)</w:t>
      </w:r>
    </w:p>
    <w:p>
      <w:pPr>
        <w:pStyle w:val="2"/>
        <w:spacing w:line="360" w:lineRule="auto"/>
        <w:ind w:firstLine="0"/>
        <w:jc w:val="center"/>
        <w:outlineLvl w:val="2"/>
        <w:rPr>
          <w:rFonts w:hAnsi="宋体"/>
          <w:b/>
          <w:spacing w:val="-6"/>
          <w:sz w:val="24"/>
          <w:szCs w:val="24"/>
        </w:rPr>
      </w:pPr>
      <w:r>
        <w:rPr>
          <w:rFonts w:hint="eastAsia" w:hAnsi="宋体"/>
          <w:b/>
          <w:bCs/>
          <w:color w:val="000000"/>
          <w:spacing w:val="-6"/>
          <w:sz w:val="24"/>
          <w:szCs w:val="24"/>
        </w:rPr>
        <w:br w:type="page"/>
      </w:r>
      <w:r>
        <w:rPr>
          <w:rFonts w:hint="eastAsia" w:hAnsi="宋体"/>
          <w:b/>
          <w:spacing w:val="-6"/>
          <w:sz w:val="24"/>
          <w:szCs w:val="24"/>
        </w:rPr>
        <w:t>有效的法人或者其他组织的营业执照等证明文件，自然人的身份证明</w:t>
      </w:r>
    </w:p>
    <w:p>
      <w:pPr>
        <w:pStyle w:val="2"/>
        <w:spacing w:line="360" w:lineRule="auto"/>
        <w:ind w:firstLine="0"/>
        <w:jc w:val="center"/>
        <w:rPr>
          <w:rFonts w:hAnsi="宋体"/>
          <w:b/>
          <w:spacing w:val="-6"/>
          <w:sz w:val="24"/>
          <w:szCs w:val="24"/>
        </w:rPr>
      </w:pPr>
    </w:p>
    <w:p>
      <w:pPr>
        <w:pStyle w:val="2"/>
        <w:spacing w:line="360" w:lineRule="auto"/>
        <w:ind w:firstLine="0"/>
        <w:jc w:val="center"/>
        <w:rPr>
          <w:rFonts w:hAnsi="宋体"/>
          <w:b/>
          <w:spacing w:val="-6"/>
          <w:sz w:val="24"/>
          <w:szCs w:val="24"/>
        </w:rPr>
      </w:pPr>
    </w:p>
    <w:p>
      <w:pPr>
        <w:pStyle w:val="2"/>
        <w:spacing w:line="360" w:lineRule="auto"/>
        <w:ind w:firstLine="0"/>
        <w:jc w:val="center"/>
        <w:rPr>
          <w:rFonts w:hAnsi="宋体"/>
          <w:b/>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pStyle w:val="17"/>
        <w:spacing w:line="360" w:lineRule="auto"/>
        <w:ind w:left="0" w:firstLine="0" w:firstLineChars="0"/>
        <w:jc w:val="center"/>
        <w:outlineLvl w:val="2"/>
        <w:rPr>
          <w:rFonts w:hAnsi="宋体"/>
          <w:bCs/>
          <w:spacing w:val="-6"/>
          <w:sz w:val="24"/>
        </w:rPr>
      </w:pPr>
      <w:r>
        <w:rPr>
          <w:rFonts w:hAnsi="宋体"/>
          <w:bCs/>
          <w:spacing w:val="-6"/>
          <w:sz w:val="24"/>
        </w:rPr>
        <w:br w:type="page"/>
      </w:r>
      <w:r>
        <w:rPr>
          <w:rFonts w:hint="eastAsia" w:hAnsi="宋体"/>
          <w:b/>
          <w:spacing w:val="-6"/>
          <w:sz w:val="24"/>
        </w:rPr>
        <w:t>2020年1月至今任意一月的财务状况报告或开标前三个月内出具的银行资信证明</w:t>
      </w:r>
    </w:p>
    <w:p>
      <w:pPr>
        <w:pStyle w:val="17"/>
        <w:spacing w:line="360" w:lineRule="auto"/>
        <w:ind w:left="0" w:firstLine="0" w:firstLineChars="0"/>
        <w:jc w:val="center"/>
        <w:rPr>
          <w:rFonts w:hAnsi="宋体"/>
          <w:bCs/>
          <w:spacing w:val="-6"/>
          <w:sz w:val="24"/>
        </w:rPr>
      </w:pPr>
    </w:p>
    <w:p>
      <w:pPr>
        <w:pStyle w:val="17"/>
        <w:spacing w:line="360" w:lineRule="auto"/>
        <w:ind w:left="0" w:firstLine="0" w:firstLineChars="0"/>
        <w:jc w:val="center"/>
        <w:rPr>
          <w:rFonts w:hAnsi="宋体"/>
          <w:bCs/>
          <w:spacing w:val="-6"/>
          <w:sz w:val="24"/>
        </w:rPr>
      </w:pPr>
    </w:p>
    <w:p>
      <w:pPr>
        <w:pStyle w:val="17"/>
        <w:spacing w:line="360" w:lineRule="auto"/>
        <w:ind w:left="0" w:firstLine="0" w:firstLineChars="0"/>
        <w:jc w:val="center"/>
        <w:rPr>
          <w:rFonts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1.投标人是法人的，应提供财务状况报告，包括2020年1月至今任意一月的资产负债表及利润表或开标前三个月内其基本开户银行出具的资信证明</w:t>
      </w:r>
      <w:r>
        <w:rPr>
          <w:rFonts w:hint="eastAsia" w:ascii="宋体" w:hAnsi="宋体"/>
          <w:b/>
          <w:spacing w:val="-6"/>
          <w:sz w:val="21"/>
          <w:szCs w:val="21"/>
        </w:rPr>
        <w:t>（若资信证明中注明复印无效，需提交正本扫描件）</w:t>
      </w:r>
      <w:r>
        <w:rPr>
          <w:rFonts w:hint="eastAsia" w:ascii="宋体" w:hAnsi="宋体"/>
          <w:b/>
          <w:bCs/>
          <w:spacing w:val="-6"/>
          <w:sz w:val="21"/>
          <w:szCs w:val="21"/>
        </w:rPr>
        <w:t>，并加盖公章；</w:t>
      </w:r>
    </w:p>
    <w:p>
      <w:pPr>
        <w:spacing w:line="360" w:lineRule="auto"/>
        <w:rPr>
          <w:rFonts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(若资信证明中注明复印无效，需提交正本扫描件)</w:t>
      </w:r>
      <w:r>
        <w:rPr>
          <w:rFonts w:hint="eastAsia" w:ascii="宋体" w:hAnsi="宋体"/>
          <w:b/>
          <w:bCs/>
          <w:spacing w:val="-6"/>
          <w:sz w:val="21"/>
          <w:szCs w:val="21"/>
        </w:rPr>
        <w:t>,并加盖公章；</w:t>
      </w:r>
    </w:p>
    <w:p>
      <w:pPr>
        <w:spacing w:line="360" w:lineRule="auto"/>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银行资信证明应能说明投标人与银行之间业务往来正常，企业信誉良好等，</w:t>
      </w:r>
      <w:r>
        <w:rPr>
          <w:rFonts w:hint="eastAsia" w:ascii="宋体" w:hAnsi="宋体"/>
          <w:b/>
          <w:spacing w:val="-6"/>
          <w:sz w:val="21"/>
          <w:szCs w:val="21"/>
        </w:rPr>
        <w:t>银行出具的存款证明不能替代银行资信证明。</w:t>
      </w:r>
    </w:p>
    <w:p>
      <w:pPr>
        <w:spacing w:line="360" w:lineRule="auto"/>
        <w:jc w:val="center"/>
        <w:rPr>
          <w:rFonts w:ascii="Calibri" w:hAnsi="Calibri"/>
          <w:b/>
          <w:sz w:val="24"/>
        </w:rPr>
      </w:pPr>
      <w:r>
        <w:rPr>
          <w:rFonts w:ascii="宋体" w:hAnsi="宋体"/>
          <w:bCs/>
          <w:spacing w:val="-6"/>
          <w:sz w:val="21"/>
          <w:szCs w:val="21"/>
        </w:rPr>
        <w:br w:type="page"/>
      </w:r>
      <w:r>
        <w:rPr>
          <w:rFonts w:hint="eastAsia" w:ascii="Calibri" w:hAnsi="Calibri"/>
          <w:b/>
          <w:sz w:val="24"/>
        </w:rPr>
        <w:t>资信证明</w:t>
      </w:r>
    </w:p>
    <w:p>
      <w:pPr>
        <w:wordWrap w:val="0"/>
        <w:spacing w:line="360" w:lineRule="auto"/>
        <w:rPr>
          <w:rFonts w:ascii="Calibri" w:hAnsi="Calibri"/>
          <w:sz w:val="21"/>
          <w:szCs w:val="21"/>
        </w:rPr>
      </w:pPr>
      <w:r>
        <w:rPr>
          <w:rFonts w:hint="eastAsia" w:ascii="Calibri" w:hAnsi="Calibri"/>
          <w:sz w:val="21"/>
          <w:szCs w:val="21"/>
          <w:u w:val="single"/>
        </w:rPr>
        <w:t xml:space="preserve">          </w:t>
      </w:r>
      <w:r>
        <w:rPr>
          <w:rFonts w:hint="eastAsia" w:ascii="Calibri" w:hAnsi="Calibri"/>
          <w:sz w:val="21"/>
          <w:szCs w:val="21"/>
        </w:rPr>
        <w:t>：</w:t>
      </w:r>
    </w:p>
    <w:p>
      <w:pPr>
        <w:wordWrap w:val="0"/>
        <w:spacing w:line="360" w:lineRule="auto"/>
        <w:ind w:firstLine="420" w:firstLineChars="200"/>
        <w:rPr>
          <w:rFonts w:ascii="Calibri" w:hAnsi="Calibri"/>
          <w:sz w:val="21"/>
          <w:szCs w:val="21"/>
        </w:rPr>
      </w:pPr>
      <w:r>
        <w:rPr>
          <w:rFonts w:hint="eastAsia" w:ascii="Calibri" w:hAnsi="Calibri"/>
          <w:sz w:val="21"/>
          <w:szCs w:val="21"/>
        </w:rPr>
        <w:t>兹证明，</w:t>
      </w:r>
      <w:r>
        <w:rPr>
          <w:rFonts w:hint="eastAsia" w:ascii="Calibri" w:hAnsi="Calibri"/>
          <w:sz w:val="21"/>
          <w:szCs w:val="21"/>
          <w:u w:val="single"/>
        </w:rPr>
        <w:t xml:space="preserve">          </w:t>
      </w:r>
      <w:r>
        <w:rPr>
          <w:rFonts w:hint="eastAsia" w:ascii="Calibri" w:hAnsi="Calibri"/>
          <w:sz w:val="21"/>
          <w:szCs w:val="21"/>
        </w:rPr>
        <w:t>（单位名称）在我行辖属网点</w:t>
      </w:r>
      <w:r>
        <w:rPr>
          <w:rFonts w:hint="eastAsia" w:ascii="Calibri" w:hAnsi="Calibri"/>
          <w:sz w:val="21"/>
          <w:szCs w:val="21"/>
          <w:u w:val="single"/>
        </w:rPr>
        <w:t xml:space="preserve">          </w:t>
      </w:r>
      <w:r>
        <w:rPr>
          <w:rFonts w:hint="eastAsia" w:ascii="Calibri" w:hAnsi="Calibri"/>
          <w:sz w:val="21"/>
          <w:szCs w:val="21"/>
        </w:rPr>
        <w:t>支行开立基本账户，帐号：</w:t>
      </w:r>
      <w:r>
        <w:rPr>
          <w:rFonts w:hint="eastAsia" w:ascii="Calibri" w:hAnsi="Calibri"/>
          <w:sz w:val="21"/>
          <w:szCs w:val="21"/>
          <w:u w:val="single"/>
        </w:rPr>
        <w:t xml:space="preserve">        </w:t>
      </w:r>
      <w:r>
        <w:rPr>
          <w:rFonts w:hint="eastAsia" w:ascii="Calibri" w:hAnsi="Calibri"/>
          <w:sz w:val="21"/>
          <w:szCs w:val="21"/>
        </w:rPr>
        <w:t>。根据</w:t>
      </w:r>
      <w:r>
        <w:rPr>
          <w:rFonts w:hint="eastAsia" w:ascii="Calibri" w:hAnsi="Calibri"/>
          <w:sz w:val="21"/>
          <w:szCs w:val="21"/>
          <w:u w:val="single"/>
        </w:rPr>
        <w:t xml:space="preserve">          </w:t>
      </w:r>
      <w:r>
        <w:rPr>
          <w:rFonts w:hint="eastAsia" w:ascii="Calibri" w:hAnsi="Calibri"/>
          <w:sz w:val="21"/>
          <w:szCs w:val="21"/>
        </w:rPr>
        <w:t>（单位名称）委托，我行对</w:t>
      </w:r>
      <w:r>
        <w:rPr>
          <w:rFonts w:hint="eastAsia" w:ascii="Calibri" w:hAnsi="Calibri"/>
          <w:sz w:val="21"/>
          <w:szCs w:val="21"/>
          <w:u w:val="single"/>
        </w:rPr>
        <w:t xml:space="preserve">          </w:t>
      </w:r>
      <w:r>
        <w:rPr>
          <w:rFonts w:hint="eastAsia" w:ascii="Calibri" w:hAnsi="Calibri"/>
          <w:sz w:val="21"/>
          <w:szCs w:val="21"/>
        </w:rPr>
        <w:t>（单位名称）在我行的结算记录开立本证明书，供</w:t>
      </w:r>
      <w:r>
        <w:rPr>
          <w:rFonts w:hint="eastAsia" w:ascii="Calibri" w:hAnsi="Calibri"/>
          <w:sz w:val="21"/>
          <w:szCs w:val="21"/>
          <w:u w:val="single"/>
        </w:rPr>
        <w:t xml:space="preserve">          </w:t>
      </w:r>
      <w:r>
        <w:rPr>
          <w:rFonts w:hint="eastAsia" w:ascii="Calibri" w:hAnsi="Calibri"/>
          <w:sz w:val="21"/>
          <w:szCs w:val="21"/>
        </w:rPr>
        <w:t>单位名称）参加</w:t>
      </w:r>
      <w:r>
        <w:rPr>
          <w:rFonts w:hint="eastAsia" w:ascii="Calibri" w:hAnsi="Calibri"/>
          <w:sz w:val="21"/>
          <w:szCs w:val="21"/>
          <w:u w:val="single"/>
        </w:rPr>
        <w:t xml:space="preserve">          </w:t>
      </w:r>
      <w:r>
        <w:rPr>
          <w:rFonts w:hint="eastAsia" w:ascii="Calibri" w:hAnsi="Calibri"/>
          <w:sz w:val="21"/>
          <w:szCs w:val="21"/>
        </w:rPr>
        <w:t>项目招标采购时使用。经确认，具体情况如下：</w:t>
      </w:r>
    </w:p>
    <w:p>
      <w:pPr>
        <w:wordWrap w:val="0"/>
        <w:spacing w:line="360" w:lineRule="auto"/>
        <w:ind w:firstLine="420" w:firstLineChars="200"/>
        <w:rPr>
          <w:rFonts w:ascii="Calibri" w:hAnsi="Calibri"/>
          <w:sz w:val="21"/>
          <w:szCs w:val="21"/>
        </w:rPr>
      </w:pPr>
      <w:r>
        <w:rPr>
          <w:rFonts w:hint="eastAsia" w:ascii="Calibri" w:hAnsi="Calibri"/>
          <w:sz w:val="21"/>
          <w:szCs w:val="21"/>
        </w:rPr>
        <w:t>自</w:t>
      </w:r>
      <w:r>
        <w:rPr>
          <w:rFonts w:hint="eastAsia" w:ascii="Calibri" w:hAnsi="Calibri"/>
          <w:sz w:val="21"/>
          <w:szCs w:val="21"/>
          <w:u w:val="single"/>
        </w:rPr>
        <w:t xml:space="preserve">     </w:t>
      </w:r>
      <w:r>
        <w:rPr>
          <w:rFonts w:hint="eastAsia" w:ascii="Calibri" w:hAnsi="Calibri"/>
          <w:sz w:val="21"/>
          <w:szCs w:val="21"/>
        </w:rPr>
        <w:t>年</w:t>
      </w:r>
      <w:r>
        <w:rPr>
          <w:rFonts w:hint="eastAsia" w:ascii="Calibri" w:hAnsi="Calibri"/>
          <w:sz w:val="21"/>
          <w:szCs w:val="21"/>
          <w:u w:val="single"/>
        </w:rPr>
        <w:t xml:space="preserve">   </w:t>
      </w:r>
      <w:r>
        <w:rPr>
          <w:rFonts w:hint="eastAsia" w:ascii="Calibri" w:hAnsi="Calibri"/>
          <w:sz w:val="21"/>
          <w:szCs w:val="21"/>
        </w:rPr>
        <w:t>月</w:t>
      </w:r>
      <w:r>
        <w:rPr>
          <w:rFonts w:hint="eastAsia" w:ascii="Calibri" w:hAnsi="Calibri"/>
          <w:sz w:val="21"/>
          <w:szCs w:val="21"/>
          <w:u w:val="single"/>
        </w:rPr>
        <w:t xml:space="preserve">   </w:t>
      </w:r>
      <w:r>
        <w:rPr>
          <w:rFonts w:hint="eastAsia" w:ascii="Calibri" w:hAnsi="Calibri"/>
          <w:sz w:val="21"/>
          <w:szCs w:val="21"/>
        </w:rPr>
        <w:t>日至</w:t>
      </w:r>
      <w:r>
        <w:rPr>
          <w:rFonts w:hint="eastAsia" w:ascii="Calibri" w:hAnsi="Calibri"/>
          <w:sz w:val="21"/>
          <w:szCs w:val="21"/>
          <w:u w:val="single"/>
        </w:rPr>
        <w:t xml:space="preserve">     </w:t>
      </w:r>
      <w:r>
        <w:rPr>
          <w:rFonts w:hint="eastAsia" w:ascii="Calibri" w:hAnsi="Calibri"/>
          <w:sz w:val="21"/>
          <w:szCs w:val="21"/>
        </w:rPr>
        <w:t>年</w:t>
      </w:r>
      <w:r>
        <w:rPr>
          <w:rFonts w:hint="eastAsia" w:ascii="Calibri" w:hAnsi="Calibri"/>
          <w:sz w:val="21"/>
          <w:szCs w:val="21"/>
          <w:u w:val="single"/>
        </w:rPr>
        <w:t xml:space="preserve">   </w:t>
      </w:r>
      <w:r>
        <w:rPr>
          <w:rFonts w:hint="eastAsia" w:ascii="Calibri" w:hAnsi="Calibri"/>
          <w:sz w:val="21"/>
          <w:szCs w:val="21"/>
        </w:rPr>
        <w:t>月</w:t>
      </w:r>
      <w:r>
        <w:rPr>
          <w:rFonts w:hint="eastAsia" w:ascii="Calibri" w:hAnsi="Calibri"/>
          <w:sz w:val="21"/>
          <w:szCs w:val="21"/>
          <w:u w:val="single"/>
        </w:rPr>
        <w:t xml:space="preserve">   </w:t>
      </w:r>
      <w:r>
        <w:rPr>
          <w:rFonts w:hint="eastAsia" w:ascii="Calibri" w:hAnsi="Calibri"/>
          <w:sz w:val="21"/>
          <w:szCs w:val="21"/>
        </w:rPr>
        <w:t>日（即该日我行营业终了结账时）止，</w:t>
      </w:r>
      <w:r>
        <w:rPr>
          <w:rFonts w:hint="eastAsia" w:ascii="Calibri" w:hAnsi="Calibri"/>
          <w:sz w:val="24"/>
          <w:u w:val="single"/>
        </w:rPr>
        <w:t xml:space="preserve">          </w:t>
      </w:r>
      <w:r>
        <w:rPr>
          <w:rFonts w:hint="eastAsia" w:ascii="Calibri" w:hAnsi="Calibri"/>
          <w:sz w:val="21"/>
          <w:szCs w:val="21"/>
        </w:rPr>
        <w:t>（单位名称）无违反我行结算制度规定的行为。</w:t>
      </w:r>
    </w:p>
    <w:p>
      <w:pPr>
        <w:wordWrap w:val="0"/>
        <w:spacing w:line="360" w:lineRule="auto"/>
        <w:ind w:firstLine="420" w:firstLineChars="200"/>
        <w:rPr>
          <w:rFonts w:ascii="Calibri" w:hAnsi="Calibri"/>
          <w:sz w:val="21"/>
          <w:szCs w:val="21"/>
        </w:rPr>
      </w:pPr>
      <w:r>
        <w:rPr>
          <w:rFonts w:hint="eastAsia" w:ascii="Calibri" w:hAnsi="Calibri"/>
          <w:sz w:val="21"/>
          <w:szCs w:val="21"/>
        </w:rPr>
        <w:t>仅此证明，下无正文。</w:t>
      </w:r>
    </w:p>
    <w:p>
      <w:pPr>
        <w:wordWrap w:val="0"/>
        <w:spacing w:line="360" w:lineRule="auto"/>
        <w:ind w:firstLine="420" w:firstLineChars="200"/>
        <w:rPr>
          <w:rFonts w:ascii="Calibri" w:hAnsi="Calibri"/>
          <w:sz w:val="21"/>
          <w:szCs w:val="21"/>
        </w:rPr>
      </w:pPr>
    </w:p>
    <w:p>
      <w:pPr>
        <w:wordWrap w:val="0"/>
        <w:spacing w:line="360" w:lineRule="auto"/>
        <w:ind w:firstLine="420" w:firstLineChars="200"/>
        <w:rPr>
          <w:rFonts w:ascii="Calibri" w:hAnsi="Calibri"/>
          <w:sz w:val="21"/>
          <w:szCs w:val="21"/>
        </w:rPr>
      </w:pPr>
    </w:p>
    <w:p>
      <w:pPr>
        <w:wordWrap w:val="0"/>
        <w:spacing w:line="360" w:lineRule="auto"/>
        <w:ind w:firstLine="420" w:firstLineChars="200"/>
        <w:jc w:val="right"/>
        <w:rPr>
          <w:rFonts w:ascii="Calibri" w:hAnsi="Calibri"/>
          <w:sz w:val="21"/>
          <w:szCs w:val="21"/>
        </w:rPr>
      </w:pPr>
      <w:r>
        <w:rPr>
          <w:rFonts w:hint="eastAsia" w:ascii="Calibri" w:hAnsi="Calibri"/>
          <w:sz w:val="21"/>
          <w:szCs w:val="21"/>
          <w:u w:val="single"/>
        </w:rPr>
        <w:t xml:space="preserve"> </w:t>
      </w:r>
      <w:r>
        <w:rPr>
          <w:rFonts w:ascii="Calibri" w:hAnsi="Calibri"/>
          <w:sz w:val="21"/>
          <w:szCs w:val="21"/>
          <w:u w:val="single"/>
        </w:rPr>
        <w:t xml:space="preserve">       </w:t>
      </w:r>
      <w:r>
        <w:rPr>
          <w:rFonts w:hint="eastAsia" w:ascii="Calibri" w:hAnsi="Calibri"/>
          <w:sz w:val="21"/>
          <w:szCs w:val="21"/>
          <w:u w:val="single"/>
        </w:rPr>
        <w:t xml:space="preserve">        </w:t>
      </w:r>
      <w:r>
        <w:rPr>
          <w:rFonts w:hint="eastAsia" w:ascii="Calibri" w:hAnsi="Calibri"/>
          <w:sz w:val="21"/>
          <w:szCs w:val="21"/>
        </w:rPr>
        <w:t>（银行）</w:t>
      </w:r>
    </w:p>
    <w:p>
      <w:pPr>
        <w:wordWrap w:val="0"/>
        <w:spacing w:line="360" w:lineRule="auto"/>
        <w:ind w:firstLine="420" w:firstLineChars="200"/>
        <w:jc w:val="right"/>
        <w:rPr>
          <w:rFonts w:ascii="Calibri" w:hAnsi="Calibri"/>
          <w:sz w:val="21"/>
          <w:szCs w:val="21"/>
        </w:rPr>
      </w:pPr>
      <w:r>
        <w:rPr>
          <w:rFonts w:hint="eastAsia" w:ascii="Calibri" w:hAnsi="Calibri"/>
          <w:sz w:val="21"/>
          <w:szCs w:val="21"/>
          <w:u w:val="single"/>
        </w:rPr>
        <w:t xml:space="preserve"> </w:t>
      </w:r>
      <w:r>
        <w:rPr>
          <w:rFonts w:ascii="Calibri" w:hAnsi="Calibri"/>
          <w:sz w:val="21"/>
          <w:szCs w:val="21"/>
          <w:u w:val="single"/>
        </w:rPr>
        <w:t xml:space="preserve">  </w:t>
      </w:r>
      <w:r>
        <w:rPr>
          <w:rFonts w:hint="eastAsia" w:ascii="Calibri" w:hAnsi="Calibri"/>
          <w:sz w:val="21"/>
          <w:szCs w:val="21"/>
          <w:u w:val="single"/>
        </w:rPr>
        <w:t xml:space="preserve">  </w:t>
      </w:r>
      <w:r>
        <w:rPr>
          <w:rFonts w:hint="eastAsia" w:ascii="Calibri" w:hAnsi="Calibri"/>
          <w:sz w:val="21"/>
          <w:szCs w:val="21"/>
        </w:rPr>
        <w:t>年</w:t>
      </w:r>
      <w:r>
        <w:rPr>
          <w:rFonts w:hint="eastAsia" w:ascii="Calibri" w:hAnsi="Calibri"/>
          <w:sz w:val="21"/>
          <w:szCs w:val="21"/>
          <w:u w:val="single"/>
        </w:rPr>
        <w:t xml:space="preserve"> </w:t>
      </w:r>
      <w:r>
        <w:rPr>
          <w:rFonts w:ascii="Calibri" w:hAnsi="Calibri"/>
          <w:sz w:val="21"/>
          <w:szCs w:val="21"/>
          <w:u w:val="single"/>
        </w:rPr>
        <w:t xml:space="preserve"> </w:t>
      </w:r>
      <w:r>
        <w:rPr>
          <w:rFonts w:hint="eastAsia" w:ascii="Calibri" w:hAnsi="Calibri"/>
          <w:sz w:val="21"/>
          <w:szCs w:val="21"/>
          <w:u w:val="single"/>
        </w:rPr>
        <w:t xml:space="preserve"> </w:t>
      </w:r>
      <w:r>
        <w:rPr>
          <w:rFonts w:hint="eastAsia" w:ascii="Calibri" w:hAnsi="Calibri"/>
          <w:sz w:val="21"/>
          <w:szCs w:val="21"/>
        </w:rPr>
        <w:t>月</w:t>
      </w:r>
      <w:r>
        <w:rPr>
          <w:rFonts w:hint="eastAsia" w:ascii="Calibri" w:hAnsi="Calibri"/>
          <w:sz w:val="21"/>
          <w:szCs w:val="21"/>
          <w:u w:val="single"/>
        </w:rPr>
        <w:t xml:space="preserve"> </w:t>
      </w:r>
      <w:r>
        <w:rPr>
          <w:rFonts w:ascii="Calibri" w:hAnsi="Calibri"/>
          <w:sz w:val="21"/>
          <w:szCs w:val="21"/>
          <w:u w:val="single"/>
        </w:rPr>
        <w:t xml:space="preserve"> </w:t>
      </w:r>
      <w:r>
        <w:rPr>
          <w:rFonts w:hint="eastAsia" w:ascii="Calibri" w:hAnsi="Calibri"/>
          <w:sz w:val="21"/>
          <w:szCs w:val="21"/>
          <w:u w:val="single"/>
        </w:rPr>
        <w:t xml:space="preserve"> </w:t>
      </w:r>
      <w:r>
        <w:rPr>
          <w:rFonts w:hint="eastAsia" w:ascii="Calibri" w:hAnsi="Calibri"/>
          <w:sz w:val="21"/>
          <w:szCs w:val="21"/>
        </w:rPr>
        <w:t>日</w:t>
      </w:r>
    </w:p>
    <w:p>
      <w:pPr>
        <w:spacing w:line="360" w:lineRule="auto"/>
        <w:jc w:val="left"/>
        <w:rPr>
          <w:rFonts w:ascii="Calibri" w:hAnsi="Calibri"/>
          <w:sz w:val="21"/>
          <w:szCs w:val="21"/>
        </w:rPr>
      </w:pPr>
    </w:p>
    <w:p>
      <w:pPr>
        <w:spacing w:line="360" w:lineRule="auto"/>
        <w:jc w:val="left"/>
        <w:rPr>
          <w:rFonts w:ascii="Calibri" w:hAnsi="Calibri"/>
          <w:sz w:val="21"/>
          <w:szCs w:val="21"/>
        </w:rPr>
      </w:pPr>
    </w:p>
    <w:p>
      <w:pPr>
        <w:spacing w:line="360" w:lineRule="auto"/>
        <w:jc w:val="left"/>
        <w:rPr>
          <w:rFonts w:ascii="Calibri" w:hAnsi="Calibri"/>
          <w:sz w:val="21"/>
          <w:szCs w:val="21"/>
        </w:rPr>
      </w:pPr>
    </w:p>
    <w:p>
      <w:pPr>
        <w:spacing w:line="360" w:lineRule="auto"/>
        <w:rPr>
          <w:rFonts w:ascii="宋体" w:hAnsi="宋体"/>
          <w:b/>
          <w:bCs/>
          <w:spacing w:val="-6"/>
          <w:sz w:val="21"/>
          <w:szCs w:val="21"/>
        </w:rPr>
      </w:pPr>
      <w:r>
        <w:rPr>
          <w:rFonts w:hint="eastAsia" w:ascii="宋体" w:hAnsi="宋体"/>
          <w:b/>
          <w:bCs/>
          <w:spacing w:val="-6"/>
          <w:sz w:val="21"/>
          <w:szCs w:val="21"/>
        </w:rPr>
        <w:t>说明：本“资信证明”内容与格式仅供参考，各银行可根据自身制度进行修改，但应满足本招标文件中对“资信证明”的要求。</w:t>
      </w:r>
    </w:p>
    <w:p>
      <w:pPr>
        <w:pStyle w:val="17"/>
        <w:spacing w:line="360" w:lineRule="auto"/>
        <w:ind w:left="0" w:firstLine="0" w:firstLineChars="0"/>
        <w:jc w:val="center"/>
        <w:outlineLvl w:val="2"/>
        <w:rPr>
          <w:rFonts w:ascii="宋体" w:hAnsi="宋体"/>
          <w:b/>
          <w:spacing w:val="-6"/>
          <w:sz w:val="24"/>
        </w:rPr>
      </w:pPr>
      <w:r>
        <w:rPr>
          <w:rFonts w:ascii="宋体" w:hAnsi="宋体"/>
          <w:bCs/>
          <w:spacing w:val="-6"/>
          <w:sz w:val="24"/>
        </w:rPr>
        <w:br w:type="page"/>
      </w:r>
      <w:r>
        <w:rPr>
          <w:rFonts w:hint="eastAsia" w:ascii="宋体" w:hAnsi="宋体"/>
          <w:b/>
          <w:spacing w:val="-6"/>
          <w:sz w:val="24"/>
        </w:rPr>
        <w:t>2020年1月至今任意一月依法缴纳税收的证明材料</w:t>
      </w:r>
    </w:p>
    <w:p>
      <w:pPr>
        <w:pStyle w:val="17"/>
        <w:spacing w:line="360" w:lineRule="auto"/>
        <w:ind w:left="0" w:firstLine="0" w:firstLineChars="0"/>
        <w:jc w:val="center"/>
        <w:rPr>
          <w:rFonts w:hAnsi="宋体"/>
          <w:spacing w:val="-6"/>
          <w:sz w:val="24"/>
        </w:rPr>
      </w:pPr>
      <w:r>
        <w:rPr>
          <w:rFonts w:hint="eastAsia" w:ascii="宋体" w:hAnsi="宋体"/>
          <w:b/>
          <w:spacing w:val="-6"/>
          <w:sz w:val="21"/>
          <w:szCs w:val="21"/>
        </w:rPr>
        <w:t>（依法免税的投标人应提供相应文件证明其依法免税）</w:t>
      </w: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0" w:firstLine="0" w:firstLineChars="0"/>
        <w:jc w:val="center"/>
        <w:rPr>
          <w:rFonts w:hAnsi="宋体"/>
          <w:spacing w:val="-6"/>
          <w:sz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依法免税的投标人，应提供相应文件证明其依法免税；</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2"/>
        <w:spacing w:line="360" w:lineRule="auto"/>
        <w:ind w:firstLine="0"/>
        <w:jc w:val="center"/>
        <w:outlineLvl w:val="2"/>
        <w:rPr>
          <w:rFonts w:hAnsi="宋体"/>
          <w:b/>
          <w:spacing w:val="-6"/>
          <w:sz w:val="24"/>
        </w:rPr>
      </w:pPr>
      <w:r>
        <w:rPr>
          <w:rFonts w:hAnsi="宋体"/>
          <w:bCs/>
          <w:spacing w:val="-6"/>
          <w:sz w:val="24"/>
        </w:rPr>
        <w:br w:type="page"/>
      </w:r>
      <w:r>
        <w:rPr>
          <w:rFonts w:hint="eastAsia" w:hAnsi="宋体"/>
          <w:b/>
          <w:spacing w:val="-6"/>
          <w:sz w:val="24"/>
        </w:rPr>
        <w:t>2020年1月至今任意一月依法缴纳社会保障资金的证明材料</w:t>
      </w:r>
    </w:p>
    <w:p>
      <w:pPr>
        <w:pStyle w:val="2"/>
        <w:spacing w:line="360" w:lineRule="auto"/>
        <w:ind w:firstLine="0"/>
        <w:jc w:val="center"/>
        <w:rPr>
          <w:rFonts w:hAnsi="宋体"/>
          <w:spacing w:val="-6"/>
          <w:sz w:val="24"/>
          <w:szCs w:val="24"/>
        </w:rPr>
      </w:pPr>
      <w:r>
        <w:rPr>
          <w:rFonts w:hint="eastAsia" w:hAnsi="宋体"/>
          <w:b/>
          <w:spacing w:val="-6"/>
          <w:sz w:val="21"/>
          <w:szCs w:val="21"/>
        </w:rPr>
        <w:t>（依法不需要缴纳社会保障资金的投标人应提供相应文件证明其依法不需要缴纳社会保障资金）</w:t>
      </w:r>
    </w:p>
    <w:p>
      <w:pPr>
        <w:pStyle w:val="2"/>
        <w:spacing w:line="360" w:lineRule="auto"/>
        <w:ind w:firstLine="0"/>
        <w:jc w:val="center"/>
        <w:rPr>
          <w:rFonts w:hAnsi="宋体"/>
          <w:spacing w:val="-6"/>
          <w:sz w:val="24"/>
          <w:szCs w:val="24"/>
        </w:rPr>
      </w:pPr>
    </w:p>
    <w:p>
      <w:pPr>
        <w:pStyle w:val="2"/>
        <w:spacing w:line="360" w:lineRule="auto"/>
        <w:ind w:firstLine="0"/>
        <w:jc w:val="center"/>
        <w:rPr>
          <w:rFonts w:hAnsi="宋体"/>
          <w:spacing w:val="-6"/>
          <w:sz w:val="24"/>
          <w:szCs w:val="24"/>
        </w:rPr>
      </w:pPr>
    </w:p>
    <w:p>
      <w:pPr>
        <w:pStyle w:val="2"/>
        <w:spacing w:line="360" w:lineRule="auto"/>
        <w:ind w:firstLine="0"/>
        <w:jc w:val="center"/>
        <w:rPr>
          <w:rFonts w:hAnsi="宋体"/>
          <w:spacing w:val="-6"/>
          <w:sz w:val="24"/>
          <w:szCs w:val="24"/>
        </w:rPr>
      </w:pP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依法不需要缴纳社会保障资金的投标人，应提供相应文件证明其依法不需要缴纳社会保障资金；</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pStyle w:val="17"/>
        <w:spacing w:line="360" w:lineRule="auto"/>
        <w:ind w:left="0" w:firstLine="0" w:firstLineChars="0"/>
        <w:jc w:val="center"/>
        <w:outlineLvl w:val="2"/>
        <w:rPr>
          <w:rFonts w:ascii="宋体" w:hAnsi="宋体"/>
          <w:b/>
          <w:spacing w:val="-6"/>
          <w:sz w:val="24"/>
        </w:rPr>
      </w:pPr>
      <w:r>
        <w:rPr>
          <w:rFonts w:ascii="宋体" w:hAnsi="宋体"/>
          <w:bCs/>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pStyle w:val="17"/>
        <w:spacing w:line="360" w:lineRule="auto"/>
        <w:ind w:left="0" w:firstLine="0" w:firstLineChars="0"/>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pStyle w:val="17"/>
        <w:spacing w:line="360" w:lineRule="auto"/>
        <w:ind w:left="169" w:hanging="168" w:hangingChars="74"/>
        <w:rPr>
          <w:rFonts w:ascii="宋体" w:hAnsi="宋体"/>
          <w:spacing w:val="-6"/>
          <w:sz w:val="24"/>
        </w:rPr>
      </w:pPr>
      <w:r>
        <w:rPr>
          <w:rFonts w:hint="eastAsia" w:ascii="宋体" w:hAnsi="宋体"/>
          <w:spacing w:val="-6"/>
          <w:sz w:val="24"/>
        </w:rPr>
        <w:t>日期：     年   月   日</w:t>
      </w:r>
    </w:p>
    <w:p>
      <w:pPr>
        <w:pStyle w:val="17"/>
        <w:spacing w:line="360" w:lineRule="auto"/>
        <w:ind w:left="0" w:firstLine="0" w:firstLineChars="0"/>
        <w:jc w:val="center"/>
        <w:outlineLvl w:val="2"/>
        <w:rPr>
          <w:rFonts w:ascii="宋体" w:hAnsi="宋体"/>
          <w:b/>
          <w:spacing w:val="-6"/>
          <w:sz w:val="24"/>
        </w:rPr>
      </w:pPr>
      <w:r>
        <w:rPr>
          <w:rFonts w:ascii="宋体" w:hAnsi="宋体"/>
          <w:bCs/>
          <w:spacing w:val="-6"/>
          <w:sz w:val="24"/>
        </w:rPr>
        <w:br w:type="page"/>
      </w:r>
      <w:r>
        <w:rPr>
          <w:rFonts w:hint="eastAsia" w:ascii="宋体" w:hAnsi="宋体"/>
          <w:b/>
          <w:spacing w:val="-6"/>
          <w:sz w:val="24"/>
        </w:rPr>
        <w:t>参加政府采购活动前3年内在经营活动中没有重大违法记录的书面声明</w:t>
      </w:r>
    </w:p>
    <w:p>
      <w:pPr>
        <w:pStyle w:val="17"/>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致：中国美术学院、浙江求是招标代理有限公司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pStyle w:val="17"/>
        <w:spacing w:line="360" w:lineRule="auto"/>
        <w:ind w:left="0" w:firstLine="0" w:firstLineChars="0"/>
        <w:rPr>
          <w:rFonts w:ascii="宋体" w:hAnsi="宋体"/>
          <w:sz w:val="21"/>
          <w:szCs w:val="21"/>
        </w:rPr>
      </w:pPr>
      <w:r>
        <w:rPr>
          <w:rFonts w:hint="eastAsia" w:ascii="宋体" w:hAnsi="宋体"/>
          <w:spacing w:val="-6"/>
          <w:sz w:val="24"/>
        </w:rPr>
        <w:t>日期：     年   月   日</w:t>
      </w:r>
    </w:p>
    <w:p>
      <w:pPr>
        <w:spacing w:line="360" w:lineRule="auto"/>
        <w:outlineLvl w:val="1"/>
        <w:rPr>
          <w:rFonts w:ascii="宋体" w:hAnsi="宋体"/>
          <w:bCs/>
          <w:spacing w:val="-6"/>
          <w:sz w:val="24"/>
        </w:rPr>
      </w:pPr>
      <w:r>
        <w:rPr>
          <w:rFonts w:ascii="宋体" w:hAnsi="宋体"/>
          <w:b/>
          <w:spacing w:val="-6"/>
          <w:sz w:val="52"/>
          <w:szCs w:val="52"/>
        </w:rPr>
        <w:br w:type="page"/>
      </w:r>
      <w:r>
        <w:rPr>
          <w:rFonts w:hint="eastAsia" w:ascii="宋体" w:hAnsi="宋体"/>
          <w:bCs/>
          <w:spacing w:val="-6"/>
          <w:sz w:val="24"/>
        </w:rPr>
        <w:t>报价</w:t>
      </w:r>
      <w:r>
        <w:rPr>
          <w:rFonts w:ascii="宋体" w:hAnsi="宋体"/>
          <w:bCs/>
          <w:spacing w:val="-6"/>
          <w:sz w:val="24"/>
        </w:rPr>
        <w:t>文件</w:t>
      </w:r>
      <w:r>
        <w:rPr>
          <w:rFonts w:hint="eastAsia" w:ascii="宋体" w:hAnsi="宋体"/>
          <w:bCs/>
          <w:spacing w:val="-6"/>
          <w:sz w:val="24"/>
        </w:rPr>
        <w:t>封面</w:t>
      </w:r>
    </w:p>
    <w:p>
      <w:pPr>
        <w:spacing w:line="360" w:lineRule="auto"/>
        <w:jc w:val="right"/>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spacing w:val="-6"/>
          <w:sz w:val="21"/>
          <w:szCs w:val="21"/>
        </w:rPr>
      </w:pPr>
      <w:r>
        <w:rPr>
          <w:rFonts w:hint="eastAsia" w:ascii="宋体" w:hAnsi="宋体"/>
          <w:bCs/>
          <w:spacing w:val="-6"/>
          <w:sz w:val="24"/>
        </w:rPr>
        <w:t>日期：     年   月   日</w:t>
      </w:r>
    </w:p>
    <w:p>
      <w:pPr>
        <w:pStyle w:val="2"/>
        <w:spacing w:line="480" w:lineRule="auto"/>
        <w:ind w:firstLine="0"/>
        <w:jc w:val="center"/>
        <w:rPr>
          <w:rFonts w:hAnsi="宋体"/>
          <w:b/>
          <w:spacing w:val="-6"/>
          <w:sz w:val="24"/>
        </w:rPr>
      </w:pPr>
      <w:r>
        <w:rPr>
          <w:rFonts w:hAnsi="宋体"/>
          <w:b/>
          <w:spacing w:val="-6"/>
          <w:sz w:val="52"/>
          <w:szCs w:val="52"/>
        </w:rPr>
        <w:br w:type="page"/>
      </w: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
          <w:spacing w:val="-6"/>
          <w:sz w:val="84"/>
          <w:szCs w:val="84"/>
        </w:rPr>
      </w:pPr>
      <w:r>
        <w:rPr>
          <w:rFonts w:hint="eastAsia" w:ascii="宋体" w:hAnsi="宋体"/>
          <w:b/>
          <w:spacing w:val="-6"/>
          <w:sz w:val="84"/>
          <w:szCs w:val="84"/>
        </w:rPr>
        <w:t>报价文件</w:t>
      </w:r>
    </w:p>
    <w:p>
      <w:pPr>
        <w:spacing w:line="360" w:lineRule="auto"/>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开标一览表</w:t>
      </w: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b/>
                <w:bCs/>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p>
          <w:p>
            <w:pPr>
              <w:rPr>
                <w:rFonts w:ascii="宋体" w:hAnsi="宋体" w:cs="宋体"/>
                <w:b/>
                <w:bCs/>
                <w:sz w:val="24"/>
              </w:rPr>
            </w:pPr>
            <w:r>
              <w:rPr>
                <w:rFonts w:hint="eastAsia" w:ascii="宋体" w:hAnsi="宋体" w:cs="宋体"/>
                <w:b/>
                <w:bCs/>
                <w:sz w:val="24"/>
              </w:rPr>
              <w:t>金额大写：_________________________小写：_________________________</w:t>
            </w:r>
          </w:p>
          <w:p>
            <w:pPr>
              <w:rPr>
                <w:rFonts w:ascii="宋体" w:hAnsi="宋体" w:cs="宋体"/>
                <w:b/>
                <w:bCs/>
                <w:sz w:val="24"/>
              </w:rPr>
            </w:pPr>
          </w:p>
          <w:p>
            <w:pPr>
              <w:rPr>
                <w:rFonts w:ascii="宋体" w:hAnsi="宋体" w:cs="宋体"/>
                <w:b/>
                <w:bCs/>
                <w:sz w:val="24"/>
              </w:rPr>
            </w:pPr>
            <w:r>
              <w:rPr>
                <w:rFonts w:hint="eastAsia" w:ascii="宋体" w:hAnsi="宋体" w:cs="宋体"/>
                <w:b/>
                <w:bCs/>
                <w:sz w:val="24"/>
              </w:rPr>
              <w:t>单位：人民币元</w:t>
            </w:r>
          </w:p>
          <w:p>
            <w:pPr>
              <w:pStyle w:val="2"/>
              <w:ind w:firstLine="0"/>
              <w:rPr>
                <w:sz w:val="24"/>
                <w:szCs w:val="24"/>
                <w:lang w:val="en-US"/>
              </w:rPr>
            </w:pPr>
          </w:p>
        </w:tc>
      </w:tr>
    </w:tbl>
    <w:p>
      <w:pPr>
        <w:spacing w:line="360" w:lineRule="auto"/>
        <w:rPr>
          <w:rFonts w:ascii="宋体" w:hAnsi="宋体"/>
          <w:spacing w:val="-6"/>
          <w:sz w:val="24"/>
        </w:rPr>
      </w:pPr>
    </w:p>
    <w:p>
      <w:pPr>
        <w:pStyle w:val="2"/>
        <w:spacing w:line="360" w:lineRule="auto"/>
        <w:ind w:firstLine="0"/>
        <w:rPr>
          <w:b/>
          <w:bCs/>
          <w:sz w:val="21"/>
          <w:szCs w:val="21"/>
          <w:lang w:val="en-US"/>
        </w:rPr>
      </w:pPr>
      <w:r>
        <w:rPr>
          <w:rFonts w:hint="eastAsia" w:hAnsi="宋体"/>
          <w:b/>
          <w:bCs/>
          <w:spacing w:val="-6"/>
          <w:sz w:val="21"/>
          <w:szCs w:val="21"/>
          <w:lang w:val="en-US"/>
        </w:rPr>
        <w:t>说明：投标报价是履行合同的最终价格，应包括完成所有产品供货及履行所有规定服务所产生的全部税、费。</w:t>
      </w:r>
    </w:p>
    <w:p>
      <w:pPr>
        <w:spacing w:line="360" w:lineRule="auto"/>
        <w:rPr>
          <w:rFonts w:ascii="宋体" w:hAnsi="宋体"/>
          <w:spacing w:val="-6"/>
          <w:sz w:val="24"/>
        </w:rPr>
      </w:pPr>
    </w:p>
    <w:p>
      <w:pPr>
        <w:pStyle w:val="2"/>
        <w:spacing w:line="360" w:lineRule="auto"/>
        <w:ind w:firstLine="0"/>
      </w:pPr>
    </w:p>
    <w:p>
      <w:pPr>
        <w:spacing w:line="360" w:lineRule="auto"/>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pStyle w:val="12"/>
        <w:spacing w:before="0" w:beforeLines="0" w:after="0" w:afterLines="0" w:line="360" w:lineRule="auto"/>
        <w:rPr>
          <w:rFonts w:hAnsi="宋体"/>
          <w:bCs/>
          <w:spacing w:val="-6"/>
        </w:rPr>
      </w:pPr>
      <w:r>
        <w:rPr>
          <w:rFonts w:hint="eastAsia" w:hAnsi="宋体"/>
          <w:bCs/>
          <w:spacing w:val="-6"/>
        </w:rPr>
        <w:t>日期：     年   月   日</w:t>
      </w:r>
    </w:p>
    <w:p>
      <w:pPr>
        <w:pStyle w:val="12"/>
        <w:spacing w:before="0" w:beforeLines="0" w:after="0" w:afterLines="0" w:line="360" w:lineRule="auto"/>
        <w:jc w:val="center"/>
        <w:outlineLvl w:val="2"/>
        <w:rPr>
          <w:rFonts w:hAnsi="宋体"/>
          <w:b/>
          <w:spacing w:val="-6"/>
        </w:rPr>
      </w:pPr>
      <w:r>
        <w:rPr>
          <w:rFonts w:hint="eastAsia" w:hAnsi="宋体"/>
          <w:bCs/>
          <w:spacing w:val="-6"/>
        </w:rPr>
        <w:br w:type="page"/>
      </w:r>
      <w:r>
        <w:rPr>
          <w:rFonts w:hAnsi="宋体"/>
          <w:b/>
          <w:spacing w:val="-6"/>
        </w:rPr>
        <w:t>投标报价明细表</w:t>
      </w:r>
    </w:p>
    <w:p>
      <w:pPr>
        <w:pStyle w:val="12"/>
        <w:spacing w:before="0" w:beforeLines="0" w:after="0" w:afterLines="0" w:line="360" w:lineRule="auto"/>
        <w:ind w:right="342"/>
        <w:jc w:val="right"/>
        <w:rPr>
          <w:rFonts w:hAnsi="宋体"/>
          <w:b/>
          <w:bCs/>
          <w:spacing w:val="-6"/>
          <w:sz w:val="21"/>
          <w:szCs w:val="21"/>
        </w:rPr>
      </w:pPr>
      <w:r>
        <w:rPr>
          <w:rFonts w:hAnsi="宋体"/>
          <w:b/>
          <w:bCs/>
          <w:spacing w:val="-6"/>
          <w:sz w:val="21"/>
          <w:szCs w:val="21"/>
        </w:rPr>
        <w:t>金额单位：</w:t>
      </w:r>
      <w:r>
        <w:rPr>
          <w:rFonts w:hint="eastAsia" w:hAnsi="宋体"/>
          <w:b/>
          <w:bCs/>
          <w:spacing w:val="-6"/>
          <w:sz w:val="21"/>
          <w:szCs w:val="21"/>
        </w:rPr>
        <w:t>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投标总价：</w:t>
            </w:r>
          </w:p>
        </w:tc>
      </w:tr>
    </w:tbl>
    <w:p>
      <w:pPr>
        <w:pStyle w:val="12"/>
        <w:spacing w:before="0" w:beforeLines="0" w:after="0" w:afterLines="0" w:line="360" w:lineRule="auto"/>
        <w:rPr>
          <w:rFonts w:hAnsi="宋体"/>
          <w:spacing w:val="-6"/>
          <w:u w:val="single"/>
        </w:rPr>
      </w:pPr>
    </w:p>
    <w:p>
      <w:pPr>
        <w:pStyle w:val="12"/>
        <w:spacing w:before="0" w:beforeLines="0" w:after="0" w:afterLines="0" w:line="360" w:lineRule="auto"/>
        <w:rPr>
          <w:rFonts w:hAnsi="宋体"/>
          <w:spacing w:val="-6"/>
          <w:u w:val="single"/>
        </w:rPr>
      </w:pPr>
    </w:p>
    <w:p>
      <w:pPr>
        <w:pStyle w:val="12"/>
        <w:spacing w:before="0" w:beforeLines="0" w:after="0" w:afterLines="0" w:line="360" w:lineRule="auto"/>
        <w:rPr>
          <w:rFonts w:hAnsi="宋体"/>
          <w:spacing w:val="-6"/>
          <w:u w:val="single"/>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bCs/>
          <w:spacing w:val="-6"/>
          <w:sz w:val="21"/>
          <w:szCs w:val="21"/>
        </w:rPr>
      </w:pPr>
      <w:r>
        <w:rPr>
          <w:rFonts w:hint="eastAsia" w:ascii="宋体" w:hAnsi="宋体"/>
          <w:bCs/>
          <w:spacing w:val="-6"/>
          <w:sz w:val="24"/>
        </w:rPr>
        <w:t>日期：     年   月   日</w:t>
      </w:r>
    </w:p>
    <w:p>
      <w:pPr>
        <w:spacing w:line="360" w:lineRule="auto"/>
        <w:jc w:val="center"/>
        <w:outlineLvl w:val="2"/>
        <w:rPr>
          <w:rFonts w:ascii="宋体" w:hAnsi="宋体"/>
          <w:spacing w:val="-6"/>
          <w:sz w:val="24"/>
        </w:rPr>
      </w:pPr>
      <w:r>
        <w:rPr>
          <w:rFonts w:ascii="宋体" w:hAnsi="宋体"/>
          <w:b/>
          <w:spacing w:val="-6"/>
          <w:sz w:val="24"/>
        </w:rPr>
        <w:br w:type="page"/>
      </w:r>
      <w:r>
        <w:rPr>
          <w:rFonts w:hint="eastAsia" w:ascii="宋体" w:hAnsi="宋体"/>
          <w:b/>
          <w:bCs/>
          <w:sz w:val="24"/>
        </w:rPr>
        <w:t>投标人企业类型声明函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w:t>
      </w:r>
      <w:r>
        <w:rPr>
          <w:rFonts w:hint="eastAsia" w:ascii="宋体" w:hAnsi="宋体"/>
          <w:bCs/>
          <w:spacing w:val="-6"/>
          <w:sz w:val="24"/>
        </w:rPr>
        <w:t>中国美术学院</w:t>
      </w:r>
      <w:r>
        <w:rPr>
          <w:rFonts w:hint="eastAsia" w:ascii="宋体" w:hAnsi="宋体"/>
          <w:sz w:val="24"/>
        </w:rPr>
        <w:t>教务处公共教室提升设备采购活动（按投标形式选择填写）：</w:t>
      </w:r>
    </w:p>
    <w:p>
      <w:pPr>
        <w:spacing w:line="360" w:lineRule="auto"/>
        <w:ind w:firstLine="480" w:firstLineChars="200"/>
        <w:rPr>
          <w:rFonts w:ascii="宋体" w:hAnsi="宋体"/>
          <w:sz w:val="24"/>
        </w:rPr>
      </w:pPr>
      <w:r>
        <w:rPr>
          <w:rFonts w:hint="eastAsia" w:ascii="宋体" w:hAnsi="宋体"/>
          <w:sz w:val="24"/>
        </w:rPr>
        <w:t>（1）□本公司为直接投标人提供本企业制造的货物。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2"/>
        <w:rPr>
          <w:rFonts w:ascii="宋体" w:hAnsi="宋体"/>
          <w:sz w:val="24"/>
        </w:rPr>
      </w:pPr>
      <w:r>
        <w:rPr>
          <w:rFonts w:ascii="宋体" w:hAnsi="宋体"/>
          <w:sz w:val="24"/>
        </w:rPr>
        <w:br w:type="page"/>
      </w:r>
      <w:r>
        <w:rPr>
          <w:rFonts w:hint="eastAsia" w:ascii="宋体" w:hAnsi="宋体"/>
          <w:b/>
          <w:bCs/>
          <w:sz w:val="24"/>
        </w:rPr>
        <w:t>小微企业资格证明材料</w:t>
      </w: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jc w:val="center"/>
        <w:rPr>
          <w:rFonts w:ascii="宋体" w:hAnsi="宋体"/>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1.评标委员会将依据“投标人企业类型声明函”及小微企业资格证明材料评定投标人的企业类型；</w:t>
      </w:r>
    </w:p>
    <w:p>
      <w:pPr>
        <w:spacing w:line="360" w:lineRule="auto"/>
        <w:jc w:val="left"/>
        <w:rPr>
          <w:rFonts w:ascii="宋体" w:hAnsi="宋体"/>
          <w:b/>
          <w:bCs/>
          <w:sz w:val="21"/>
          <w:szCs w:val="21"/>
        </w:rPr>
      </w:pPr>
      <w:r>
        <w:rPr>
          <w:rFonts w:hint="eastAsia" w:ascii="宋体" w:hAnsi="宋体"/>
          <w:b/>
          <w:bCs/>
          <w:sz w:val="21"/>
          <w:szCs w:val="21"/>
        </w:rPr>
        <w:t>2.小微企业资格证明材料（加盖公章）：投标人在“国家企业信用信息公示系统-小微企业名录”中的网页查询截图或当地中小企业行政主管部门的确认意见；</w:t>
      </w:r>
    </w:p>
    <w:p>
      <w:pPr>
        <w:spacing w:line="360" w:lineRule="auto"/>
        <w:jc w:val="left"/>
        <w:rPr>
          <w:rFonts w:ascii="宋体" w:hAnsi="宋体"/>
          <w:b/>
          <w:bCs/>
          <w:sz w:val="21"/>
          <w:szCs w:val="21"/>
        </w:rPr>
      </w:pPr>
      <w:r>
        <w:rPr>
          <w:rFonts w:hint="eastAsia" w:ascii="宋体" w:hAnsi="宋体"/>
          <w:b/>
          <w:bCs/>
          <w:sz w:val="21"/>
          <w:szCs w:val="21"/>
        </w:rPr>
        <w:t>3</w:t>
      </w:r>
      <w:r>
        <w:rPr>
          <w:rFonts w:ascii="宋体" w:hAnsi="宋体"/>
          <w:b/>
          <w:bCs/>
          <w:sz w:val="21"/>
          <w:szCs w:val="21"/>
        </w:rPr>
        <w:t>.如投标人为代理商</w:t>
      </w:r>
      <w:r>
        <w:rPr>
          <w:rFonts w:hint="eastAsia" w:ascii="宋体" w:hAnsi="宋体"/>
          <w:b/>
          <w:bCs/>
          <w:sz w:val="21"/>
          <w:szCs w:val="21"/>
        </w:rPr>
        <w:t>，提供其它小微企业</w:t>
      </w:r>
      <w:r>
        <w:rPr>
          <w:rFonts w:ascii="宋体" w:hAnsi="宋体"/>
          <w:b/>
          <w:bCs/>
          <w:sz w:val="21"/>
          <w:szCs w:val="21"/>
        </w:rPr>
        <w:t>制造的货物的，</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w:t>
      </w:r>
      <w:r>
        <w:rPr>
          <w:rFonts w:hint="eastAsia" w:ascii="宋体" w:hAnsi="宋体"/>
          <w:b/>
          <w:bCs/>
          <w:sz w:val="21"/>
          <w:szCs w:val="21"/>
        </w:rPr>
        <w:t>的小微企业资格证明材料也需同时提供；</w:t>
      </w:r>
    </w:p>
    <w:p>
      <w:pPr>
        <w:spacing w:line="360" w:lineRule="auto"/>
        <w:jc w:val="left"/>
        <w:rPr>
          <w:rFonts w:ascii="宋体" w:hAnsi="宋体"/>
          <w:b/>
          <w:bCs/>
          <w:sz w:val="21"/>
          <w:szCs w:val="21"/>
        </w:rPr>
      </w:pPr>
      <w:r>
        <w:rPr>
          <w:rFonts w:hint="eastAsia" w:ascii="宋体" w:hAnsi="宋体"/>
          <w:b/>
          <w:bCs/>
          <w:sz w:val="21"/>
          <w:szCs w:val="21"/>
        </w:rPr>
        <w:t>4.小微企业资格证明材料中认定情形为“中小企业”等无法界定投标人或其代理品牌制造商具体企业类型的均为无效证明材料。</w:t>
      </w:r>
    </w:p>
    <w:p>
      <w:pPr>
        <w:spacing w:line="360" w:lineRule="auto"/>
        <w:jc w:val="center"/>
        <w:outlineLvl w:val="2"/>
        <w:rPr>
          <w:rFonts w:ascii="宋体" w:hAnsi="宋体"/>
          <w:b/>
          <w:bCs/>
          <w:sz w:val="24"/>
        </w:rPr>
      </w:pPr>
      <w:r>
        <w:rPr>
          <w:rFonts w:ascii="宋体" w:hAnsi="宋体"/>
          <w:b/>
          <w:bCs/>
          <w:sz w:val="24"/>
        </w:rPr>
        <w:br w:type="page"/>
      </w:r>
      <w:r>
        <w:rPr>
          <w:rFonts w:hint="eastAsia" w:ascii="宋体" w:hAnsi="宋体"/>
          <w:b/>
          <w:bCs/>
          <w:sz w:val="24"/>
        </w:rPr>
        <w:t>监狱企业资格证明材料</w:t>
      </w:r>
    </w:p>
    <w:p>
      <w:pPr>
        <w:spacing w:line="360"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ind w:firstLine="536" w:firstLineChars="200"/>
        <w:jc w:val="center"/>
        <w:rPr>
          <w:rFonts w:hAnsi="宋体"/>
          <w:b/>
          <w:spacing w:val="6"/>
          <w:sz w:val="24"/>
        </w:rPr>
      </w:pPr>
      <w:r>
        <w:rPr>
          <w:rFonts w:hAnsi="宋体"/>
          <w:spacing w:val="-6"/>
        </w:rPr>
        <w:br w:type="page"/>
      </w:r>
      <w:r>
        <w:rPr>
          <w:rFonts w:hint="eastAsia" w:hAnsi="宋体"/>
          <w:b/>
          <w:spacing w:val="6"/>
          <w:sz w:val="24"/>
        </w:rPr>
        <w:t>残疾人福利性单位声明函</w:t>
      </w: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sz w:val="24"/>
        </w:rPr>
        <w:t>中国美术学院</w:t>
      </w:r>
      <w:r>
        <w:rPr>
          <w:rFonts w:hint="eastAsia" w:ascii="宋体" w:hAnsi="宋体"/>
          <w:spacing w:val="6"/>
          <w:sz w:val="24"/>
        </w:rPr>
        <w:t>的教务处公共教室提升设备采购活动提供本单位制造的货物，或者提供其他残疾人福利性单位制造的货物（不包括使用非残疾人福利性单位注册商标的货物）。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jc w:val="left"/>
        <w:rPr>
          <w:rFonts w:ascii="宋体" w:hAnsi="宋体"/>
          <w:b/>
          <w:bCs/>
          <w:sz w:val="21"/>
          <w:szCs w:val="21"/>
        </w:rPr>
      </w:pPr>
      <w:r>
        <w:rPr>
          <w:rFonts w:hint="eastAsia" w:ascii="宋体" w:hAnsi="宋体"/>
          <w:spacing w:val="-6"/>
          <w:sz w:val="24"/>
        </w:rPr>
        <w:t>日期：     年   月   日</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ascii="宋体" w:hAnsi="宋体"/>
          <w:spacing w:val="6"/>
          <w:sz w:val="21"/>
          <w:szCs w:val="21"/>
        </w:rPr>
      </w:pPr>
      <w:r>
        <w:rPr>
          <w:rFonts w:hint="eastAsia" w:ascii="宋体" w:hAnsi="宋体"/>
          <w:bCs/>
          <w:sz w:val="21"/>
          <w:szCs w:val="21"/>
        </w:rPr>
        <w:t>1</w:t>
      </w:r>
      <w:r>
        <w:rPr>
          <w:rFonts w:ascii="宋体" w:hAnsi="宋体"/>
          <w:bCs/>
          <w:sz w:val="21"/>
          <w:szCs w:val="21"/>
        </w:rPr>
        <w:t>.</w:t>
      </w:r>
      <w:r>
        <w:rPr>
          <w:rFonts w:hint="eastAsia" w:ascii="宋体" w:hAnsi="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bCs/>
          <w:sz w:val="21"/>
          <w:szCs w:val="21"/>
        </w:rPr>
      </w:pPr>
      <w:r>
        <w:rPr>
          <w:rFonts w:hint="eastAsia" w:ascii="宋体" w:hAnsi="宋体"/>
          <w:bCs/>
          <w:sz w:val="21"/>
          <w:szCs w:val="21"/>
        </w:rPr>
        <w:t>2.中标人为残疾人福利性单位的，《残疾人福利性单位声明函》随中标结果同时公告，接受社会监督。</w:t>
      </w:r>
    </w:p>
    <w:p>
      <w:pPr>
        <w:pStyle w:val="7"/>
        <w:overflowPunct w:val="0"/>
        <w:spacing w:line="360" w:lineRule="auto"/>
        <w:ind w:firstLine="0"/>
        <w:jc w:val="center"/>
        <w:rPr>
          <w:rFonts w:ascii="宋体" w:hAnsi="宋体"/>
          <w:bCs/>
          <w:szCs w:val="21"/>
        </w:rPr>
      </w:pPr>
      <w:r>
        <w:rPr>
          <w:rFonts w:hint="eastAsia" w:ascii="宋体" w:hAnsi="宋体"/>
          <w:b/>
          <w:spacing w:val="6"/>
          <w:szCs w:val="21"/>
        </w:rPr>
        <w:t>投标人不属于残疾人福利性单位的，无需提供此声明函，如提供所引起的后果由投标人承担。</w:t>
      </w:r>
    </w:p>
    <w:p>
      <w:pPr>
        <w:spacing w:line="360" w:lineRule="auto"/>
        <w:outlineLvl w:val="1"/>
        <w:rPr>
          <w:rFonts w:ascii="宋体" w:hAnsi="宋体"/>
          <w:bCs/>
          <w:spacing w:val="-6"/>
          <w:sz w:val="24"/>
        </w:rPr>
      </w:pPr>
      <w:r>
        <w:rPr>
          <w:rFonts w:ascii="宋体" w:hAnsi="宋体"/>
          <w:b/>
          <w:spacing w:val="-6"/>
          <w:sz w:val="52"/>
          <w:szCs w:val="52"/>
        </w:rPr>
        <w:br w:type="page"/>
      </w:r>
      <w:r>
        <w:rPr>
          <w:rFonts w:hint="eastAsia" w:ascii="宋体" w:hAnsi="宋体"/>
          <w:bCs/>
          <w:spacing w:val="-6"/>
          <w:sz w:val="24"/>
        </w:rPr>
        <w:t>商务技术文件封面</w:t>
      </w:r>
    </w:p>
    <w:p>
      <w:pPr>
        <w:spacing w:line="360" w:lineRule="auto"/>
        <w:jc w:val="right"/>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商务技术文件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pStyle w:val="2"/>
        <w:spacing w:line="480" w:lineRule="auto"/>
        <w:ind w:firstLine="0"/>
        <w:rPr>
          <w:rFonts w:hAnsi="宋体"/>
          <w:bCs/>
          <w:spacing w:val="-6"/>
          <w:sz w:val="24"/>
        </w:rPr>
      </w:pPr>
      <w:r>
        <w:rPr>
          <w:rFonts w:hint="eastAsia" w:hAnsi="宋体"/>
          <w:bCs/>
          <w:spacing w:val="-6"/>
          <w:sz w:val="24"/>
        </w:rPr>
        <w:t>日期：     年   月   日</w:t>
      </w:r>
    </w:p>
    <w:p>
      <w:pPr>
        <w:pStyle w:val="2"/>
        <w:spacing w:line="480" w:lineRule="auto"/>
        <w:ind w:firstLine="0"/>
        <w:rPr>
          <w:rFonts w:hAnsi="宋体"/>
          <w:b/>
          <w:spacing w:val="-6"/>
          <w:sz w:val="24"/>
        </w:rPr>
      </w:pPr>
      <w:r>
        <w:rPr>
          <w:rFonts w:hAnsi="宋体"/>
          <w:b/>
          <w:spacing w:val="-6"/>
          <w:sz w:val="52"/>
          <w:szCs w:val="52"/>
        </w:rPr>
        <w:br w:type="page"/>
      </w: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2"/>
        <w:spacing w:line="480" w:lineRule="auto"/>
        <w:ind w:firstLine="0"/>
        <w:jc w:val="center"/>
        <w:rPr>
          <w:rFonts w:hAnsi="宋体"/>
          <w:b/>
          <w:spacing w:val="-6"/>
          <w:sz w:val="24"/>
        </w:rPr>
      </w:pPr>
    </w:p>
    <w:p>
      <w:pPr>
        <w:pStyle w:val="7"/>
        <w:overflowPunct w:val="0"/>
        <w:spacing w:line="360" w:lineRule="auto"/>
        <w:ind w:firstLine="0"/>
        <w:jc w:val="center"/>
        <w:outlineLvl w:val="1"/>
        <w:rPr>
          <w:rFonts w:ascii="宋体" w:hAnsi="宋体"/>
          <w:bCs/>
          <w:spacing w:val="-6"/>
          <w:sz w:val="24"/>
        </w:rPr>
      </w:pPr>
      <w:r>
        <w:rPr>
          <w:rFonts w:hint="eastAsia" w:ascii="宋体" w:hAnsi="宋体"/>
          <w:b/>
          <w:spacing w:val="-6"/>
          <w:sz w:val="84"/>
          <w:szCs w:val="84"/>
        </w:rPr>
        <w:t>商务技术文件</w:t>
      </w:r>
    </w:p>
    <w:p>
      <w:pPr>
        <w:spacing w:line="360" w:lineRule="auto"/>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52"/>
          <w:szCs w:val="52"/>
        </w:rPr>
        <w:t>商务文件</w:t>
      </w:r>
    </w:p>
    <w:p>
      <w:pPr>
        <w:spacing w:line="360" w:lineRule="auto"/>
        <w:jc w:val="center"/>
        <w:outlineLvl w:val="3"/>
        <w:rPr>
          <w:rFonts w:ascii="宋体" w:hAnsi="宋体"/>
          <w:b/>
          <w:spacing w:val="-6"/>
          <w:sz w:val="24"/>
        </w:rPr>
      </w:pPr>
      <w:r>
        <w:rPr>
          <w:rFonts w:hint="eastAsia" w:ascii="宋体" w:hAnsi="宋体"/>
          <w:b/>
          <w:spacing w:val="-6"/>
          <w:sz w:val="24"/>
        </w:rPr>
        <w:t>投 标 函</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中国美术学院教务处公共教室提升设备</w:t>
      </w:r>
      <w:r>
        <w:rPr>
          <w:rFonts w:hint="eastAsia" w:ascii="宋体" w:hAnsi="宋体"/>
          <w:spacing w:val="-6"/>
          <w:sz w:val="24"/>
        </w:rPr>
        <w:t>的投标邀请【项目编号</w:t>
      </w:r>
      <w:r>
        <w:rPr>
          <w:rFonts w:hint="eastAsia" w:ascii="宋体" w:hAnsi="宋体"/>
          <w:bCs/>
          <w:spacing w:val="-6"/>
          <w:sz w:val="24"/>
        </w:rPr>
        <w:t>：QSZB-Z(H)-C20054(GK)】</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__________________________（</w:t>
      </w:r>
      <w:r>
        <w:rPr>
          <w:rFonts w:hint="eastAsia" w:ascii="宋体" w:hAnsi="宋体"/>
          <w:spacing w:val="-6"/>
          <w:sz w:val="24"/>
        </w:rPr>
        <w:t>投标人名称）提交电子加密投标文件一份、以介质（U盘）存储的数据电文形式的备份投标文件___份。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spacing w:line="360" w:lineRule="auto"/>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我方同意按照贵方要求提供与投标有关的一切数据或资料。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spacing w:line="360" w:lineRule="auto"/>
        <w:ind w:firstLine="456" w:firstLineChars="200"/>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spacing w:line="360" w:lineRule="auto"/>
        <w:ind w:firstLine="456" w:firstLineChars="200"/>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spacing w:line="360" w:lineRule="auto"/>
        <w:ind w:firstLine="456" w:firstLineChars="200"/>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spacing w:line="360" w:lineRule="auto"/>
        <w:ind w:firstLine="456" w:firstLineChars="200"/>
        <w:rPr>
          <w:rFonts w:ascii="宋体" w:hAnsi="宋体"/>
          <w:spacing w:val="-6"/>
          <w:sz w:val="24"/>
        </w:rPr>
      </w:pPr>
      <w:r>
        <w:rPr>
          <w:rFonts w:hint="eastAsia" w:ascii="宋体" w:hAnsi="宋体"/>
          <w:spacing w:val="-6"/>
          <w:sz w:val="24"/>
        </w:rPr>
        <w:t>开户银行：</w:t>
      </w:r>
    </w:p>
    <w:p>
      <w:pPr>
        <w:spacing w:line="360" w:lineRule="auto"/>
        <w:ind w:firstLine="456" w:firstLineChars="200"/>
        <w:rPr>
          <w:rFonts w:ascii="宋体" w:hAnsi="宋体"/>
          <w:spacing w:val="-6"/>
          <w:sz w:val="24"/>
        </w:rPr>
      </w:pPr>
      <w:r>
        <w:rPr>
          <w:rFonts w:hint="eastAsia" w:ascii="宋体" w:hAnsi="宋体"/>
          <w:spacing w:val="-6"/>
          <w:sz w:val="24"/>
        </w:rPr>
        <w:t>银行账号：</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致：中国美术学院、浙江求是招标代理有限公司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ascii="宋体" w:hAnsi="宋体"/>
          <w:spacing w:val="-6"/>
          <w:sz w:val="24"/>
        </w:rPr>
        <w:t>________________</w:t>
      </w:r>
      <w:r>
        <w:rPr>
          <w:rFonts w:hint="eastAsia" w:ascii="宋体" w:hAnsi="宋体"/>
          <w:spacing w:val="-6"/>
          <w:sz w:val="24"/>
        </w:rPr>
        <w:t>（</w:t>
      </w:r>
      <w:r>
        <w:rPr>
          <w:rFonts w:ascii="宋体" w:hAnsi="宋体"/>
          <w:bCs/>
          <w:spacing w:val="-6"/>
          <w:sz w:val="24"/>
        </w:rPr>
        <w:t>姓名</w:t>
      </w:r>
      <w:r>
        <w:rPr>
          <w:rFonts w:hint="eastAsia" w:ascii="宋体" w:hAnsi="宋体"/>
          <w:bCs/>
          <w:spacing w:val="-6"/>
          <w:sz w:val="24"/>
        </w:rPr>
        <w:t>）</w:t>
      </w:r>
      <w:r>
        <w:rPr>
          <w:rFonts w:ascii="宋体" w:hAnsi="宋体"/>
          <w:bCs/>
          <w:spacing w:val="-6"/>
          <w:sz w:val="24"/>
        </w:rPr>
        <w:t>系</w:t>
      </w:r>
      <w:r>
        <w:rPr>
          <w:rFonts w:hint="eastAsia" w:ascii="宋体" w:hAnsi="宋体"/>
          <w:bCs/>
          <w:spacing w:val="-6"/>
          <w:sz w:val="24"/>
        </w:rPr>
        <w:t>_________________________（投标人名称）</w:t>
      </w:r>
      <w:r>
        <w:rPr>
          <w:rFonts w:ascii="宋体" w:hAnsi="宋体"/>
          <w:bCs/>
          <w:spacing w:val="-6"/>
          <w:sz w:val="24"/>
        </w:rPr>
        <w:t>的法定代表人，身份证</w:t>
      </w:r>
      <w:r>
        <w:rPr>
          <w:rFonts w:hint="eastAsia" w:ascii="宋体" w:hAnsi="宋体"/>
          <w:bCs/>
          <w:spacing w:val="-6"/>
          <w:sz w:val="24"/>
        </w:rPr>
        <w:t>号码：_________________________________。</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pPr>
              <w:spacing w:line="360" w:lineRule="auto"/>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Cs/>
                <w:spacing w:val="-6"/>
                <w:sz w:val="24"/>
              </w:rPr>
            </w:pPr>
            <w:r>
              <w:rPr>
                <w:rFonts w:hint="eastAsia" w:ascii="宋体" w:hAnsi="宋体"/>
                <w:sz w:val="24"/>
              </w:rPr>
              <w:t>复印件粘贴处</w:t>
            </w: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致：中国美术学院、浙江求是招标代理有限公司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（投标人名称）的法定代表人，现授权委托本单位在职职工：</w:t>
      </w:r>
      <w:r>
        <w:rPr>
          <w:rFonts w:ascii="宋体" w:hAnsi="宋体"/>
          <w:spacing w:val="-6"/>
          <w:sz w:val="24"/>
        </w:rPr>
        <w:t>_________</w:t>
      </w:r>
      <w:r>
        <w:rPr>
          <w:rFonts w:hint="eastAsia" w:ascii="宋体" w:hAnsi="宋体"/>
          <w:spacing w:val="-6"/>
          <w:sz w:val="24"/>
        </w:rPr>
        <w:t>（姓名），身份证号码：</w:t>
      </w:r>
      <w:r>
        <w:rPr>
          <w:rFonts w:ascii="宋体" w:hAnsi="宋体"/>
          <w:spacing w:val="-6"/>
          <w:sz w:val="24"/>
        </w:rPr>
        <w:t>_________________________</w:t>
      </w:r>
      <w:r>
        <w:rPr>
          <w:rFonts w:hint="eastAsia" w:ascii="宋体" w:hAnsi="宋体"/>
          <w:spacing w:val="-6"/>
          <w:sz w:val="24"/>
        </w:rPr>
        <w:t>以我方的名义参加</w:t>
      </w:r>
      <w:r>
        <w:rPr>
          <w:rFonts w:hint="eastAsia" w:ascii="宋体" w:hAnsi="宋体"/>
          <w:bCs/>
          <w:spacing w:val="-6"/>
          <w:sz w:val="24"/>
        </w:rPr>
        <w:t>中国美术学院教务处公共教室提升设备</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bCs/>
          <w:spacing w:val="-6"/>
          <w:sz w:val="24"/>
        </w:rPr>
        <w:t>日期：     年   月   日</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pPr>
              <w:spacing w:line="360" w:lineRule="auto"/>
              <w:rPr>
                <w:rFonts w:ascii="宋体" w:hAnsi="宋体"/>
                <w:sz w:val="24"/>
              </w:rPr>
            </w:pPr>
            <w:r>
              <w:rPr>
                <w:rFonts w:hint="eastAsia" w:ascii="新宋体" w:hAnsi="新宋体" w:eastAsia="新宋体"/>
                <w:sz w:val="24"/>
              </w:rPr>
              <w:t>授权代表</w:t>
            </w:r>
            <w:r>
              <w:rPr>
                <w:rFonts w:hint="eastAsia" w:ascii="宋体" w:hAnsi="宋体"/>
                <w:sz w:val="24"/>
              </w:rPr>
              <w:t>身份证：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复印件粘贴处</w:t>
            </w:r>
          </w:p>
        </w:tc>
      </w:tr>
    </w:tbl>
    <w:p>
      <w:pPr>
        <w:pStyle w:val="12"/>
        <w:spacing w:before="0" w:beforeLines="0" w:after="0" w:afterLines="0" w:line="360" w:lineRule="auto"/>
        <w:rPr>
          <w:rFonts w:hAnsi="宋体"/>
          <w:b/>
          <w:spacing w:val="-6"/>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投标人的</w:t>
      </w:r>
      <w:r>
        <w:rPr>
          <w:rFonts w:ascii="宋体" w:hAnsi="宋体"/>
          <w:b/>
          <w:bCs/>
          <w:spacing w:val="-6"/>
          <w:sz w:val="21"/>
          <w:szCs w:val="21"/>
        </w:rPr>
        <w:t>法定代表人参加投标，须在投标文件中提供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投标人的法定代表人委托授权代表</w:t>
      </w:r>
      <w:r>
        <w:rPr>
          <w:rFonts w:ascii="宋体" w:hAnsi="宋体"/>
          <w:b/>
          <w:bCs/>
          <w:spacing w:val="-6"/>
          <w:sz w:val="21"/>
          <w:szCs w:val="21"/>
        </w:rPr>
        <w:t>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书和</w:t>
      </w:r>
      <w:r>
        <w:rPr>
          <w:rFonts w:ascii="宋体" w:hAnsi="宋体"/>
          <w:b/>
          <w:bCs/>
          <w:spacing w:val="-6"/>
          <w:sz w:val="21"/>
          <w:szCs w:val="21"/>
        </w:rPr>
        <w:t>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outlineLvl w:val="3"/>
        <w:rPr>
          <w:rFonts w:ascii="宋体" w:hAnsi="宋体"/>
          <w:b/>
          <w:spacing w:val="-6"/>
          <w:sz w:val="24"/>
          <w:szCs w:val="20"/>
        </w:rPr>
      </w:pPr>
      <w:r>
        <w:rPr>
          <w:rFonts w:ascii="宋体" w:hAnsi="宋体"/>
          <w:b/>
          <w:spacing w:val="-6"/>
          <w:sz w:val="24"/>
        </w:rPr>
        <w:br w:type="page"/>
      </w:r>
      <w:r>
        <w:rPr>
          <w:rFonts w:hint="eastAsia" w:ascii="宋体" w:hAnsi="宋体"/>
          <w:b/>
          <w:spacing w:val="-6"/>
          <w:sz w:val="24"/>
        </w:rPr>
        <w:t>2020年1月至今任意一月的</w:t>
      </w:r>
      <w:r>
        <w:rPr>
          <w:rFonts w:hint="eastAsia" w:ascii="宋体" w:hAnsi="宋体"/>
          <w:b/>
          <w:spacing w:val="-6"/>
          <w:sz w:val="24"/>
          <w:szCs w:val="20"/>
        </w:rPr>
        <w:t>投标授权代表社保缴纳证明</w:t>
      </w:r>
    </w:p>
    <w:p>
      <w:pPr>
        <w:pStyle w:val="21"/>
        <w:jc w:val="center"/>
        <w:rPr>
          <w:b/>
        </w:rPr>
      </w:pPr>
      <w:r>
        <w:rPr>
          <w:rFonts w:hint="eastAsia" w:hAnsi="宋体"/>
          <w:b/>
          <w:spacing w:val="-6"/>
          <w:sz w:val="21"/>
          <w:szCs w:val="21"/>
        </w:rPr>
        <w:t>（授权代表为法定代表人可不提供）</w:t>
      </w:r>
    </w:p>
    <w:p>
      <w:pPr>
        <w:spacing w:line="360" w:lineRule="auto"/>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ascii="宋体" w:hAnsi="宋体"/>
          <w:spacing w:val="-6"/>
          <w:sz w:val="24"/>
        </w:rPr>
        <w:t>___________________________________</w:t>
      </w:r>
      <w:r>
        <w:rPr>
          <w:rFonts w:hint="eastAsia" w:ascii="宋体" w:hAnsi="宋体"/>
          <w:spacing w:val="-6"/>
          <w:sz w:val="24"/>
        </w:rPr>
        <w:t>（投标人名称）系中华人民共和国合法企业，经营地址</w:t>
      </w:r>
      <w:r>
        <w:rPr>
          <w:rFonts w:ascii="宋体" w:hAnsi="宋体"/>
          <w:spacing w:val="-6"/>
          <w:sz w:val="24"/>
        </w:rPr>
        <w:t>___________________________________</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我方愿意参加贵方组织的中国美术学院教务处公共教室提升设备的投标，为便于贵方公正、择优地确定中标人及其产品和服务，我方就本次投标有关事项郑重声明如下：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2"/>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2"/>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81"/>
        <w:spacing w:line="360" w:lineRule="auto"/>
        <w:rPr>
          <w:rFonts w:ascii="宋体" w:hAnsi="宋体"/>
          <w:spacing w:val="-6"/>
          <w:szCs w:val="24"/>
        </w:rPr>
      </w:pPr>
    </w:p>
    <w:p>
      <w:pPr>
        <w:pStyle w:val="81"/>
        <w:spacing w:line="360" w:lineRule="auto"/>
        <w:rPr>
          <w:rFonts w:ascii="宋体" w:hAnsi="宋体"/>
          <w:spacing w:val="-6"/>
          <w:szCs w:val="24"/>
        </w:rPr>
      </w:pPr>
    </w:p>
    <w:p>
      <w:pPr>
        <w:pStyle w:val="81"/>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tbl>
      <w:tblPr>
        <w:tblStyle w:val="2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1</w:t>
            </w:r>
          </w:p>
        </w:tc>
        <w:tc>
          <w:tcPr>
            <w:tcW w:w="8868" w:type="dxa"/>
            <w:gridSpan w:val="3"/>
            <w:vAlign w:val="center"/>
          </w:tcPr>
          <w:p>
            <w:pPr>
              <w:rPr>
                <w:rFonts w:ascii="宋体" w:hAnsi="宋体" w:cs="宋体"/>
                <w:sz w:val="21"/>
                <w:szCs w:val="21"/>
              </w:rPr>
            </w:pPr>
            <w:r>
              <w:rPr>
                <w:rFonts w:hint="eastAsia" w:ascii="宋体" w:hAnsi="宋体" w:cs="宋体"/>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2</w:t>
            </w:r>
          </w:p>
        </w:tc>
        <w:tc>
          <w:tcPr>
            <w:tcW w:w="8868" w:type="dxa"/>
            <w:gridSpan w:val="3"/>
            <w:vAlign w:val="center"/>
          </w:tcPr>
          <w:p>
            <w:pPr>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3</w:t>
            </w:r>
          </w:p>
        </w:tc>
        <w:tc>
          <w:tcPr>
            <w:tcW w:w="8868" w:type="dxa"/>
            <w:gridSpan w:val="3"/>
            <w:vAlign w:val="center"/>
          </w:tcPr>
          <w:p>
            <w:pPr>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4</w:t>
            </w:r>
          </w:p>
        </w:tc>
        <w:tc>
          <w:tcPr>
            <w:tcW w:w="4305" w:type="dxa"/>
            <w:gridSpan w:val="2"/>
            <w:vAlign w:val="center"/>
          </w:tcPr>
          <w:p>
            <w:pPr>
              <w:rPr>
                <w:rFonts w:ascii="宋体" w:hAnsi="宋体" w:cs="宋体"/>
                <w:sz w:val="21"/>
                <w:szCs w:val="21"/>
              </w:rPr>
            </w:pPr>
            <w:r>
              <w:rPr>
                <w:rFonts w:hint="eastAsia" w:ascii="宋体" w:hAnsi="宋体" w:cs="宋体"/>
                <w:sz w:val="21"/>
                <w:szCs w:val="21"/>
              </w:rPr>
              <w:t>电话：</w:t>
            </w:r>
          </w:p>
        </w:tc>
        <w:tc>
          <w:tcPr>
            <w:tcW w:w="4563" w:type="dxa"/>
            <w:vAlign w:val="center"/>
          </w:tcPr>
          <w:p>
            <w:pPr>
              <w:rPr>
                <w:rFonts w:ascii="宋体" w:hAnsi="宋体" w:cs="宋体"/>
                <w:sz w:val="21"/>
                <w:szCs w:val="21"/>
              </w:rPr>
            </w:pPr>
            <w:r>
              <w:rPr>
                <w:rFonts w:hint="eastAsia" w:ascii="宋体" w:hAnsi="宋体" w:cs="宋体"/>
                <w:sz w:val="21"/>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5</w:t>
            </w:r>
          </w:p>
        </w:tc>
        <w:tc>
          <w:tcPr>
            <w:tcW w:w="4305" w:type="dxa"/>
            <w:gridSpan w:val="2"/>
            <w:vAlign w:val="center"/>
          </w:tcPr>
          <w:p>
            <w:pPr>
              <w:rPr>
                <w:rFonts w:ascii="宋体" w:hAnsi="宋体" w:cs="宋体"/>
                <w:sz w:val="21"/>
                <w:szCs w:val="21"/>
              </w:rPr>
            </w:pPr>
            <w:r>
              <w:rPr>
                <w:rFonts w:hint="eastAsia" w:ascii="宋体" w:hAnsi="宋体" w:cs="宋体"/>
                <w:sz w:val="21"/>
                <w:szCs w:val="21"/>
              </w:rPr>
              <w:t>传真：</w:t>
            </w:r>
          </w:p>
        </w:tc>
        <w:tc>
          <w:tcPr>
            <w:tcW w:w="4563" w:type="dxa"/>
            <w:vAlign w:val="center"/>
          </w:tcPr>
          <w:p>
            <w:pPr>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6</w:t>
            </w:r>
          </w:p>
        </w:tc>
        <w:tc>
          <w:tcPr>
            <w:tcW w:w="4305" w:type="dxa"/>
            <w:gridSpan w:val="2"/>
            <w:vAlign w:val="center"/>
          </w:tcPr>
          <w:p>
            <w:pPr>
              <w:rPr>
                <w:rFonts w:ascii="宋体" w:hAnsi="宋体" w:cs="宋体"/>
                <w:sz w:val="21"/>
                <w:szCs w:val="21"/>
              </w:rPr>
            </w:pPr>
            <w:r>
              <w:rPr>
                <w:rFonts w:hint="eastAsia" w:ascii="宋体" w:hAnsi="宋体" w:cs="宋体"/>
                <w:sz w:val="21"/>
                <w:szCs w:val="21"/>
              </w:rPr>
              <w:t>注册地：</w:t>
            </w:r>
          </w:p>
        </w:tc>
        <w:tc>
          <w:tcPr>
            <w:tcW w:w="4563" w:type="dxa"/>
            <w:vAlign w:val="center"/>
          </w:tcPr>
          <w:p>
            <w:pPr>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7</w:t>
            </w:r>
          </w:p>
        </w:tc>
        <w:tc>
          <w:tcPr>
            <w:tcW w:w="8868" w:type="dxa"/>
            <w:gridSpan w:val="3"/>
            <w:vAlign w:val="center"/>
          </w:tcPr>
          <w:p>
            <w:pPr>
              <w:rPr>
                <w:rFonts w:ascii="宋体" w:hAnsi="宋体" w:cs="宋体"/>
                <w:sz w:val="21"/>
                <w:szCs w:val="21"/>
              </w:rPr>
            </w:pPr>
            <w:r>
              <w:rPr>
                <w:rFonts w:hint="eastAsia" w:ascii="宋体" w:hAnsi="宋体" w:cs="宋体"/>
                <w:sz w:val="21"/>
                <w:szCs w:val="21"/>
              </w:rPr>
              <w:t>公司的资质等级（请附上有关证书的）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8</w:t>
            </w:r>
          </w:p>
        </w:tc>
        <w:tc>
          <w:tcPr>
            <w:tcW w:w="8868" w:type="dxa"/>
            <w:gridSpan w:val="3"/>
            <w:vAlign w:val="center"/>
          </w:tcPr>
          <w:p>
            <w:pPr>
              <w:rPr>
                <w:rFonts w:ascii="宋体" w:hAnsi="宋体" w:cs="宋体"/>
                <w:sz w:val="21"/>
                <w:szCs w:val="21"/>
              </w:rPr>
            </w:pPr>
            <w:r>
              <w:rPr>
                <w:rFonts w:hint="eastAsia" w:ascii="宋体" w:hAnsi="宋体" w:cs="宋体"/>
                <w:sz w:val="21"/>
                <w:szCs w:val="21"/>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9</w:t>
            </w:r>
          </w:p>
        </w:tc>
        <w:tc>
          <w:tcPr>
            <w:tcW w:w="2520" w:type="dxa"/>
            <w:vAlign w:val="center"/>
          </w:tcPr>
          <w:p>
            <w:pPr>
              <w:rPr>
                <w:rFonts w:ascii="宋体" w:hAnsi="宋体" w:cs="宋体"/>
                <w:sz w:val="21"/>
                <w:szCs w:val="21"/>
              </w:rPr>
            </w:pPr>
            <w:r>
              <w:rPr>
                <w:rFonts w:hint="eastAsia" w:ascii="宋体" w:hAnsi="宋体" w:cs="宋体"/>
                <w:sz w:val="21"/>
                <w:szCs w:val="21"/>
              </w:rPr>
              <w:t>作为中标人经历年数</w:t>
            </w:r>
          </w:p>
        </w:tc>
        <w:tc>
          <w:tcPr>
            <w:tcW w:w="6348"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 w:val="21"/>
                <w:szCs w:val="21"/>
              </w:rPr>
            </w:pPr>
            <w:r>
              <w:rPr>
                <w:rFonts w:hint="eastAsia" w:ascii="宋体" w:hAnsi="宋体" w:cs="宋体"/>
                <w:sz w:val="21"/>
                <w:szCs w:val="21"/>
              </w:rPr>
              <w:t>10</w:t>
            </w:r>
          </w:p>
        </w:tc>
        <w:tc>
          <w:tcPr>
            <w:tcW w:w="2520" w:type="dxa"/>
            <w:vAlign w:val="center"/>
          </w:tcPr>
          <w:p>
            <w:pPr>
              <w:rPr>
                <w:rFonts w:ascii="宋体" w:hAnsi="宋体" w:cs="宋体"/>
                <w:sz w:val="21"/>
                <w:szCs w:val="21"/>
              </w:rPr>
            </w:pPr>
            <w:r>
              <w:rPr>
                <w:rFonts w:hint="eastAsia" w:ascii="宋体" w:hAnsi="宋体" w:cs="宋体"/>
                <w:sz w:val="21"/>
                <w:szCs w:val="21"/>
              </w:rPr>
              <w:t>其他需要说明的情况</w:t>
            </w:r>
          </w:p>
        </w:tc>
        <w:tc>
          <w:tcPr>
            <w:tcW w:w="6348" w:type="dxa"/>
            <w:gridSpan w:val="2"/>
            <w:vAlign w:val="center"/>
          </w:tcPr>
          <w:p>
            <w:pPr>
              <w:rPr>
                <w:rFonts w:ascii="宋体" w:hAnsi="宋体" w:cs="宋体"/>
                <w:sz w:val="21"/>
                <w:szCs w:val="21"/>
              </w:rPr>
            </w:pPr>
          </w:p>
        </w:tc>
      </w:tr>
    </w:tbl>
    <w:p>
      <w:pPr>
        <w:spacing w:line="360" w:lineRule="auto"/>
        <w:rPr>
          <w:rFonts w:ascii="宋体" w:hAnsi="宋体"/>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3"/>
        <w:rPr>
          <w:rFonts w:ascii="宋体" w:hAnsi="宋体"/>
          <w:b/>
          <w:bCs/>
          <w:iCs/>
          <w:spacing w:val="-6"/>
          <w:sz w:val="24"/>
        </w:rPr>
      </w:pPr>
      <w:r>
        <w:rPr>
          <w:rFonts w:hint="eastAsia" w:ascii="宋体" w:hAnsi="宋体"/>
          <w:spacing w:val="-6"/>
          <w:sz w:val="24"/>
        </w:rPr>
        <w:br w:type="page"/>
      </w:r>
      <w:r>
        <w:rPr>
          <w:rFonts w:hint="eastAsia" w:ascii="宋体" w:hAnsi="宋体"/>
          <w:b/>
          <w:bCs/>
          <w:iCs/>
          <w:spacing w:val="-6"/>
          <w:sz w:val="24"/>
        </w:rPr>
        <w:t>商务偏离表</w:t>
      </w: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4254" w:type="dxa"/>
            <w:vAlign w:val="center"/>
          </w:tcPr>
          <w:p>
            <w:pPr>
              <w:jc w:val="center"/>
              <w:rPr>
                <w:rFonts w:ascii="宋体" w:hAnsi="宋体" w:cs="宋体"/>
                <w:b/>
                <w:bCs/>
                <w:sz w:val="21"/>
                <w:szCs w:val="21"/>
              </w:rPr>
            </w:pPr>
            <w:r>
              <w:rPr>
                <w:rFonts w:hint="eastAsia" w:ascii="宋体" w:hAnsi="宋体" w:cs="宋体"/>
                <w:b/>
                <w:bCs/>
                <w:sz w:val="21"/>
                <w:szCs w:val="21"/>
              </w:rPr>
              <w:t>招标文件要求</w:t>
            </w:r>
          </w:p>
        </w:tc>
        <w:tc>
          <w:tcPr>
            <w:tcW w:w="2574" w:type="dxa"/>
            <w:vAlign w:val="center"/>
          </w:tcPr>
          <w:p>
            <w:pPr>
              <w:jc w:val="center"/>
              <w:rPr>
                <w:rFonts w:ascii="宋体" w:hAnsi="宋体" w:cs="宋体"/>
                <w:b/>
                <w:bCs/>
                <w:sz w:val="21"/>
                <w:szCs w:val="21"/>
              </w:rPr>
            </w:pPr>
            <w:r>
              <w:rPr>
                <w:rFonts w:hint="eastAsia" w:ascii="宋体" w:hAnsi="宋体" w:cs="宋体"/>
                <w:b/>
                <w:bCs/>
                <w:sz w:val="21"/>
                <w:szCs w:val="21"/>
              </w:rPr>
              <w:t>响应规格</w:t>
            </w:r>
          </w:p>
        </w:tc>
        <w:tc>
          <w:tcPr>
            <w:tcW w:w="2124" w:type="dxa"/>
            <w:vAlign w:val="center"/>
          </w:tcPr>
          <w:p>
            <w:pPr>
              <w:jc w:val="center"/>
              <w:rPr>
                <w:rFonts w:ascii="宋体" w:hAnsi="宋体" w:cs="宋体"/>
                <w:b/>
                <w:bCs/>
                <w:sz w:val="21"/>
                <w:szCs w:val="21"/>
              </w:rPr>
            </w:pPr>
            <w:r>
              <w:rPr>
                <w:rFonts w:hint="eastAsia" w:ascii="宋体" w:hAnsi="宋体" w:cs="宋体"/>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 w:val="21"/>
                <w:szCs w:val="21"/>
              </w:rPr>
            </w:pPr>
            <w:r>
              <w:rPr>
                <w:rFonts w:hint="eastAsia" w:ascii="宋体" w:hAnsi="宋体" w:cs="宋体"/>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1</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 w:val="21"/>
                <w:szCs w:val="21"/>
              </w:rPr>
            </w:pPr>
            <w:r>
              <w:rPr>
                <w:rFonts w:hint="eastAsia" w:ascii="宋体" w:hAnsi="宋体" w:cs="宋体"/>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1</w:t>
            </w:r>
          </w:p>
        </w:tc>
        <w:tc>
          <w:tcPr>
            <w:tcW w:w="4254" w:type="dxa"/>
            <w:vAlign w:val="center"/>
          </w:tcPr>
          <w:p>
            <w:pPr>
              <w:jc w:val="center"/>
              <w:rPr>
                <w:rFonts w:ascii="宋体" w:hAnsi="宋体" w:cs="宋体"/>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4254" w:type="dxa"/>
            <w:vAlign w:val="center"/>
          </w:tcPr>
          <w:p>
            <w:pPr>
              <w:jc w:val="center"/>
              <w:rPr>
                <w:rFonts w:ascii="宋体" w:hAnsi="宋体" w:cs="宋体"/>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w:t>
            </w:r>
          </w:p>
        </w:tc>
        <w:tc>
          <w:tcPr>
            <w:tcW w:w="4254" w:type="dxa"/>
            <w:vAlign w:val="center"/>
          </w:tcPr>
          <w:p>
            <w:pPr>
              <w:jc w:val="center"/>
              <w:rPr>
                <w:rFonts w:ascii="宋体" w:hAnsi="宋体" w:cs="宋体"/>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偏离说明是指对招标文件要求存在不同之处的解释说明。偏离系指：正偏离（高于采购需求）、负偏离（低于采购需求）、无偏离（满足采购需求）；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pStyle w:val="21"/>
        <w:spacing w:line="360" w:lineRule="auto"/>
        <w:ind w:firstLine="0"/>
        <w:rPr>
          <w:rFonts w:hAnsi="宋体"/>
          <w:spacing w:val="-6"/>
          <w:sz w:val="24"/>
        </w:rPr>
      </w:pPr>
    </w:p>
    <w:p>
      <w:pPr>
        <w:pStyle w:val="21"/>
        <w:spacing w:line="360" w:lineRule="auto"/>
        <w:ind w:firstLine="0"/>
        <w:rPr>
          <w:rFonts w:hAnsi="宋体"/>
          <w:spacing w:val="-6"/>
          <w:sz w:val="24"/>
        </w:rPr>
      </w:pPr>
    </w:p>
    <w:p>
      <w:pPr>
        <w:pStyle w:val="21"/>
        <w:spacing w:line="360" w:lineRule="auto"/>
        <w:ind w:firstLine="0"/>
        <w:rPr>
          <w:rFonts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17"/>
        <w:spacing w:line="360" w:lineRule="auto"/>
        <w:ind w:left="0" w:firstLine="0" w:firstLineChars="0"/>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合同金额</w:t>
            </w:r>
          </w:p>
          <w:p>
            <w:pPr>
              <w:jc w:val="center"/>
              <w:rPr>
                <w:rFonts w:ascii="宋体" w:hAnsi="宋体" w:cs="宋体"/>
                <w:b/>
                <w:bCs/>
                <w:sz w:val="21"/>
                <w:szCs w:val="21"/>
              </w:rPr>
            </w:pPr>
            <w:r>
              <w:rPr>
                <w:rFonts w:hint="eastAsia" w:ascii="宋体" w:hAnsi="宋体" w:cs="宋体"/>
                <w:b/>
                <w:bCs/>
                <w:sz w:val="21"/>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采购人联系人</w:t>
            </w:r>
          </w:p>
          <w:p>
            <w:pPr>
              <w:jc w:val="center"/>
              <w:rPr>
                <w:rFonts w:ascii="宋体" w:hAnsi="宋体" w:cs="宋体"/>
                <w:b/>
                <w:bCs/>
                <w:sz w:val="21"/>
                <w:szCs w:val="21"/>
              </w:rPr>
            </w:pPr>
            <w:r>
              <w:rPr>
                <w:rFonts w:hint="eastAsia" w:ascii="宋体" w:hAnsi="宋体" w:cs="宋体"/>
                <w:b/>
                <w:bCs/>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cs="宋体"/>
                <w:b/>
                <w:bCs/>
                <w:sz w:val="21"/>
                <w:szCs w:val="21"/>
              </w:rPr>
            </w:pPr>
          </w:p>
        </w:tc>
      </w:tr>
    </w:tbl>
    <w:p>
      <w:pPr>
        <w:pStyle w:val="17"/>
        <w:spacing w:line="360" w:lineRule="auto"/>
        <w:ind w:left="0" w:firstLine="0" w:firstLineChars="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投标人应在不涉及商业秘密的前提下尽可能提供详细的合同内容。</w:t>
      </w:r>
    </w:p>
    <w:p>
      <w:pPr>
        <w:spacing w:line="360" w:lineRule="auto"/>
        <w:rPr>
          <w:rFonts w:ascii="宋体" w:hAnsi="宋体"/>
          <w:spacing w:val="-6"/>
          <w:sz w:val="24"/>
        </w:rPr>
      </w:pPr>
    </w:p>
    <w:p>
      <w:pPr>
        <w:pStyle w:val="21"/>
        <w:spacing w:line="360" w:lineRule="auto"/>
        <w:ind w:firstLine="0"/>
        <w:rPr>
          <w:rFonts w:hAnsi="宋体"/>
          <w:spacing w:val="-6"/>
          <w:sz w:val="24"/>
        </w:rPr>
      </w:pPr>
    </w:p>
    <w:p>
      <w:pPr>
        <w:pStyle w:val="21"/>
        <w:spacing w:line="360" w:lineRule="auto"/>
        <w:ind w:firstLine="0"/>
        <w:rPr>
          <w:rFonts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2"/>
        <w:spacing w:line="288" w:lineRule="auto"/>
        <w:ind w:firstLine="456" w:firstLineChars="200"/>
        <w:jc w:val="center"/>
        <w:outlineLvl w:val="3"/>
        <w:rPr>
          <w:rFonts w:hAnsi="宋体"/>
          <w:spacing w:val="-6"/>
          <w:sz w:val="21"/>
          <w:szCs w:val="21"/>
        </w:rPr>
      </w:pPr>
      <w:r>
        <w:rPr>
          <w:rFonts w:hint="eastAsia" w:hAnsi="宋体"/>
          <w:spacing w:val="-6"/>
          <w:sz w:val="24"/>
        </w:rPr>
        <w:br w:type="page"/>
      </w:r>
      <w:r>
        <w:rPr>
          <w:rFonts w:hint="eastAsia" w:hAnsi="宋体"/>
          <w:b/>
          <w:bCs/>
          <w:spacing w:val="-6"/>
          <w:sz w:val="24"/>
          <w:szCs w:val="24"/>
        </w:rPr>
        <w:t>投标人需要说明的其他文件和材料</w:t>
      </w:r>
    </w:p>
    <w:p>
      <w:pPr>
        <w:spacing w:line="360" w:lineRule="auto"/>
        <w:rPr>
          <w:rFonts w:ascii="宋体" w:hAnsi="宋体"/>
          <w:b/>
          <w:bCs/>
          <w:sz w:val="21"/>
          <w:szCs w:val="21"/>
        </w:rPr>
      </w:pPr>
      <w:r>
        <w:rPr>
          <w:rFonts w:hint="eastAsia" w:ascii="宋体" w:hAnsi="宋体"/>
          <w:b/>
          <w:bCs/>
          <w:sz w:val="21"/>
          <w:szCs w:val="21"/>
        </w:rPr>
        <w:t>说明：投标人可根据自身情况提供。</w:t>
      </w:r>
    </w:p>
    <w:p>
      <w:pPr>
        <w:spacing w:line="360" w:lineRule="auto"/>
        <w:jc w:val="center"/>
        <w:outlineLvl w:val="2"/>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spacing w:line="360" w:lineRule="auto"/>
        <w:jc w:val="center"/>
        <w:outlineLvl w:val="3"/>
        <w:rPr>
          <w:rFonts w:ascii="宋体" w:hAnsi="宋体"/>
          <w:b/>
          <w:bCs/>
          <w:iCs/>
          <w:spacing w:val="-6"/>
          <w:sz w:val="24"/>
        </w:rPr>
      </w:pPr>
      <w:r>
        <w:rPr>
          <w:rFonts w:hint="eastAsia" w:ascii="宋体" w:hAnsi="宋体"/>
          <w:b/>
          <w:bCs/>
          <w:iCs/>
          <w:spacing w:val="-6"/>
          <w:sz w:val="24"/>
        </w:rPr>
        <w:t>技术偏离表</w:t>
      </w:r>
    </w:p>
    <w:p>
      <w:pPr>
        <w:spacing w:line="360" w:lineRule="auto"/>
        <w:rPr>
          <w:rFonts w:ascii="宋体" w:hAnsi="宋体"/>
          <w:bCs/>
          <w:spacing w:val="-6"/>
          <w:sz w:val="24"/>
        </w:rPr>
      </w:pPr>
      <w:r>
        <w:rPr>
          <w:rFonts w:hint="eastAsia" w:ascii="宋体" w:hAnsi="宋体"/>
          <w:bCs/>
          <w:spacing w:val="-6"/>
          <w:sz w:val="24"/>
        </w:rPr>
        <w:t>采 购 人：中国美术学院</w:t>
      </w:r>
    </w:p>
    <w:p>
      <w:pPr>
        <w:spacing w:line="360" w:lineRule="auto"/>
        <w:rPr>
          <w:rFonts w:ascii="宋体" w:hAnsi="宋体"/>
          <w:bCs/>
          <w:spacing w:val="-6"/>
          <w:sz w:val="24"/>
        </w:rPr>
      </w:pPr>
      <w:r>
        <w:rPr>
          <w:rFonts w:hint="eastAsia" w:ascii="宋体" w:hAnsi="宋体"/>
          <w:bCs/>
          <w:spacing w:val="-6"/>
          <w:sz w:val="24"/>
        </w:rPr>
        <w:t>项目名称：教务处公共教室提升设备</w:t>
      </w:r>
    </w:p>
    <w:p>
      <w:pPr>
        <w:spacing w:line="360" w:lineRule="auto"/>
        <w:rPr>
          <w:rFonts w:ascii="宋体" w:hAnsi="宋体"/>
          <w:bCs/>
          <w:spacing w:val="-6"/>
          <w:sz w:val="24"/>
        </w:rPr>
      </w:pPr>
      <w:r>
        <w:rPr>
          <w:rFonts w:hint="eastAsia" w:ascii="宋体" w:hAnsi="宋体"/>
          <w:bCs/>
          <w:spacing w:val="-6"/>
          <w:sz w:val="24"/>
        </w:rPr>
        <w:t>项目编号：QSZB-Z(H)-C20054(GK)</w:t>
      </w:r>
    </w:p>
    <w:p>
      <w:pPr>
        <w:spacing w:line="360" w:lineRule="auto"/>
        <w:rPr>
          <w:rFonts w:ascii="宋体" w:hAnsi="宋体"/>
          <w:bCs/>
          <w:spacing w:val="-6"/>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4254" w:type="dxa"/>
            <w:vAlign w:val="center"/>
          </w:tcPr>
          <w:p>
            <w:pPr>
              <w:jc w:val="center"/>
              <w:rPr>
                <w:rFonts w:ascii="宋体" w:hAnsi="宋体" w:cs="宋体"/>
                <w:b/>
                <w:bCs/>
                <w:sz w:val="21"/>
                <w:szCs w:val="21"/>
              </w:rPr>
            </w:pPr>
            <w:r>
              <w:rPr>
                <w:rFonts w:hint="eastAsia" w:ascii="宋体" w:hAnsi="宋体" w:cs="宋体"/>
                <w:b/>
                <w:bCs/>
                <w:sz w:val="21"/>
                <w:szCs w:val="21"/>
              </w:rPr>
              <w:t>招标文件要求</w:t>
            </w:r>
          </w:p>
        </w:tc>
        <w:tc>
          <w:tcPr>
            <w:tcW w:w="2574" w:type="dxa"/>
            <w:vAlign w:val="center"/>
          </w:tcPr>
          <w:p>
            <w:pPr>
              <w:jc w:val="center"/>
              <w:rPr>
                <w:rFonts w:ascii="宋体" w:hAnsi="宋体" w:cs="宋体"/>
                <w:b/>
                <w:bCs/>
                <w:sz w:val="21"/>
                <w:szCs w:val="21"/>
              </w:rPr>
            </w:pPr>
            <w:r>
              <w:rPr>
                <w:rFonts w:hint="eastAsia" w:ascii="宋体" w:hAnsi="宋体" w:cs="宋体"/>
                <w:b/>
                <w:bCs/>
                <w:sz w:val="21"/>
                <w:szCs w:val="21"/>
              </w:rPr>
              <w:t>响应规格</w:t>
            </w:r>
          </w:p>
        </w:tc>
        <w:tc>
          <w:tcPr>
            <w:tcW w:w="2124" w:type="dxa"/>
            <w:vAlign w:val="center"/>
          </w:tcPr>
          <w:p>
            <w:pPr>
              <w:jc w:val="center"/>
              <w:rPr>
                <w:rFonts w:ascii="宋体" w:hAnsi="宋体" w:cs="宋体"/>
                <w:b/>
                <w:bCs/>
                <w:sz w:val="21"/>
                <w:szCs w:val="21"/>
              </w:rPr>
            </w:pPr>
            <w:r>
              <w:rPr>
                <w:rFonts w:hint="eastAsia" w:ascii="宋体" w:hAnsi="宋体" w:cs="宋体"/>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 w:val="21"/>
                <w:szCs w:val="21"/>
              </w:rPr>
            </w:pPr>
            <w:r>
              <w:rPr>
                <w:rFonts w:hint="eastAsia" w:ascii="宋体" w:hAnsi="宋体"/>
                <w:b/>
                <w:bCs/>
                <w:sz w:val="21"/>
                <w:szCs w:val="21"/>
              </w:rPr>
              <w:t>需实现的功能或者目标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1</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w:t>
            </w:r>
          </w:p>
        </w:tc>
        <w:tc>
          <w:tcPr>
            <w:tcW w:w="4254" w:type="dxa"/>
            <w:vAlign w:val="center"/>
          </w:tcPr>
          <w:p>
            <w:pPr>
              <w:rPr>
                <w:rFonts w:ascii="宋体" w:hAnsi="宋体" w:cs="宋体"/>
                <w:sz w:val="21"/>
                <w:szCs w:val="21"/>
              </w:rPr>
            </w:pPr>
          </w:p>
        </w:tc>
        <w:tc>
          <w:tcPr>
            <w:tcW w:w="2574" w:type="dxa"/>
            <w:vAlign w:val="center"/>
          </w:tcPr>
          <w:p>
            <w:pPr>
              <w:rPr>
                <w:rFonts w:ascii="宋体" w:hAnsi="宋体" w:cs="宋体"/>
                <w:sz w:val="21"/>
                <w:szCs w:val="21"/>
              </w:rPr>
            </w:pPr>
          </w:p>
        </w:tc>
        <w:tc>
          <w:tcPr>
            <w:tcW w:w="2124"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 w:val="21"/>
                <w:szCs w:val="21"/>
              </w:rPr>
            </w:pPr>
            <w:r>
              <w:rPr>
                <w:rFonts w:hint="eastAsia" w:ascii="宋体" w:hAnsi="宋体"/>
                <w:b/>
                <w:bCs/>
                <w:sz w:val="21"/>
                <w:szCs w:val="21"/>
              </w:rPr>
              <w:t>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1</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 w:val="21"/>
                <w:szCs w:val="21"/>
              </w:rPr>
            </w:pPr>
            <w:r>
              <w:rPr>
                <w:rFonts w:hint="eastAsia" w:ascii="宋体" w:hAnsi="宋体"/>
                <w:b/>
                <w:bCs/>
                <w:sz w:val="21"/>
                <w:szCs w:val="21"/>
              </w:rPr>
              <w:t>需满足的质量、安全、技术规格、物理特性等要求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1</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2</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 w:val="21"/>
                <w:szCs w:val="21"/>
              </w:rPr>
            </w:pPr>
            <w:r>
              <w:rPr>
                <w:rFonts w:hint="eastAsia" w:ascii="宋体" w:hAnsi="宋体" w:cs="宋体"/>
                <w:sz w:val="21"/>
                <w:szCs w:val="21"/>
              </w:rPr>
              <w:t>……</w:t>
            </w:r>
          </w:p>
        </w:tc>
        <w:tc>
          <w:tcPr>
            <w:tcW w:w="4254" w:type="dxa"/>
            <w:vAlign w:val="center"/>
          </w:tcPr>
          <w:p>
            <w:pPr>
              <w:jc w:val="center"/>
              <w:rPr>
                <w:rFonts w:ascii="宋体" w:hAnsi="宋体" w:cs="宋体"/>
                <w:b/>
                <w:bCs/>
                <w:sz w:val="21"/>
                <w:szCs w:val="21"/>
              </w:rPr>
            </w:pPr>
          </w:p>
        </w:tc>
        <w:tc>
          <w:tcPr>
            <w:tcW w:w="2574" w:type="dxa"/>
            <w:vAlign w:val="center"/>
          </w:tcPr>
          <w:p>
            <w:pPr>
              <w:jc w:val="center"/>
              <w:rPr>
                <w:rFonts w:ascii="宋体" w:hAnsi="宋体" w:cs="宋体"/>
                <w:sz w:val="21"/>
                <w:szCs w:val="21"/>
              </w:rPr>
            </w:pPr>
          </w:p>
        </w:tc>
        <w:tc>
          <w:tcPr>
            <w:tcW w:w="2124" w:type="dxa"/>
            <w:vAlign w:val="center"/>
          </w:tcPr>
          <w:p>
            <w:pPr>
              <w:jc w:val="center"/>
              <w:rPr>
                <w:rFonts w:ascii="宋体" w:hAnsi="宋体" w:cs="宋体"/>
                <w:sz w:val="21"/>
                <w:szCs w:val="21"/>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偏离说明是指对招标文件要求存在不同之处的解释说明。偏离系指：正偏离（高于采购需求）、负偏离（低于采购需求）、无偏离（满足采购需求）；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pStyle w:val="21"/>
        <w:spacing w:line="360" w:lineRule="auto"/>
        <w:ind w:firstLine="0"/>
        <w:rPr>
          <w:rFonts w:hAnsi="宋体"/>
          <w:spacing w:val="-6"/>
          <w:sz w:val="24"/>
        </w:rPr>
      </w:pPr>
    </w:p>
    <w:p>
      <w:pPr>
        <w:pStyle w:val="21"/>
        <w:spacing w:line="360" w:lineRule="auto"/>
        <w:ind w:firstLine="0"/>
        <w:rPr>
          <w:rFonts w:hAnsi="宋体"/>
          <w:spacing w:val="-6"/>
          <w:sz w:val="24"/>
        </w:rPr>
      </w:pPr>
    </w:p>
    <w:p>
      <w:pPr>
        <w:pStyle w:val="21"/>
        <w:spacing w:line="360" w:lineRule="auto"/>
        <w:ind w:firstLine="0"/>
        <w:rPr>
          <w:rFonts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napToGrid w:val="0"/>
        <w:spacing w:before="50" w:after="120" w:afterLines="50" w:line="288" w:lineRule="auto"/>
        <w:jc w:val="center"/>
        <w:outlineLvl w:val="3"/>
        <w:rPr>
          <w:rFonts w:ascii="宋体" w:hAnsi="宋体"/>
          <w:b/>
          <w:spacing w:val="-6"/>
          <w:sz w:val="24"/>
        </w:rPr>
      </w:pPr>
      <w:r>
        <w:rPr>
          <w:rFonts w:hint="eastAsia" w:ascii="宋体" w:hAnsi="宋体"/>
          <w:spacing w:val="-6"/>
          <w:sz w:val="24"/>
        </w:rPr>
        <w:br w:type="page"/>
      </w:r>
      <w:r>
        <w:rPr>
          <w:rFonts w:hint="eastAsia" w:ascii="宋体" w:hAnsi="宋体"/>
          <w:b/>
          <w:spacing w:val="-6"/>
          <w:sz w:val="24"/>
        </w:rPr>
        <w:t>货物配置清单、原厂出厂配置表</w:t>
      </w:r>
    </w:p>
    <w:p>
      <w:pPr>
        <w:snapToGrid w:val="0"/>
        <w:spacing w:before="50" w:after="120" w:afterLines="50" w:line="288" w:lineRule="auto"/>
        <w:rPr>
          <w:rFonts w:ascii="宋体" w:hAnsi="宋体"/>
          <w:spacing w:val="-6"/>
          <w:sz w:val="21"/>
          <w:szCs w:val="21"/>
        </w:rPr>
      </w:pPr>
      <w:r>
        <w:rPr>
          <w:rFonts w:hint="eastAsia" w:ascii="宋体" w:hAnsi="宋体"/>
          <w:b/>
          <w:spacing w:val="-6"/>
          <w:sz w:val="21"/>
          <w:szCs w:val="21"/>
        </w:rPr>
        <w:t>货物配置清单</w:t>
      </w:r>
      <w:r>
        <w:rPr>
          <w:rFonts w:hint="eastAsia" w:ascii="宋体" w:hAnsi="宋体"/>
          <w:spacing w:val="-6"/>
          <w:sz w:val="21"/>
          <w:szCs w:val="21"/>
        </w:rPr>
        <w:t>（不含报价）</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r>
              <w:rPr>
                <w:rFonts w:hint="eastAsia" w:ascii="宋体" w:hAnsi="宋体" w:cs="宋体"/>
                <w:b/>
                <w:bCs/>
                <w:sz w:val="21"/>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r>
              <w:rPr>
                <w:rFonts w:hint="eastAsia" w:ascii="宋体" w:hAnsi="宋体" w:cs="宋体"/>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r>
    </w:tbl>
    <w:p>
      <w:pPr>
        <w:spacing w:line="360" w:lineRule="auto"/>
        <w:rPr>
          <w:rFonts w:ascii="宋体" w:hAnsi="宋体"/>
          <w:spacing w:val="-6"/>
          <w:sz w:val="24"/>
        </w:rPr>
      </w:pPr>
    </w:p>
    <w:p>
      <w:pPr>
        <w:spacing w:line="360" w:lineRule="auto"/>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71"/>
        <w:spacing w:line="360" w:lineRule="auto"/>
        <w:rPr>
          <w:rFonts w:ascii="宋体" w:hAnsi="宋体"/>
          <w:color w:val="auto"/>
          <w:spacing w:val="-6"/>
        </w:rPr>
      </w:pPr>
    </w:p>
    <w:p>
      <w:pPr>
        <w:pStyle w:val="72"/>
        <w:spacing w:line="360" w:lineRule="auto"/>
        <w:ind w:left="0"/>
        <w:rPr>
          <w:rFonts w:ascii="宋体" w:hAnsi="宋体"/>
          <w:spacing w:val="-6"/>
          <w:sz w:val="24"/>
        </w:rPr>
      </w:pPr>
    </w:p>
    <w:p>
      <w:pPr>
        <w:spacing w:line="360" w:lineRule="auto"/>
      </w:pPr>
    </w:p>
    <w:p>
      <w:pPr>
        <w:spacing w:line="360" w:lineRule="auto"/>
      </w:pPr>
      <w:r>
        <w:rPr>
          <w:rFonts w:hint="eastAsia" w:ascii="宋体" w:hAnsi="宋体"/>
          <w:b/>
          <w:spacing w:val="-6"/>
          <w:sz w:val="21"/>
          <w:szCs w:val="21"/>
        </w:rPr>
        <w:t>原厂出厂配置表</w:t>
      </w:r>
    </w:p>
    <w:p>
      <w:pPr>
        <w:pStyle w:val="2"/>
        <w:spacing w:line="360" w:lineRule="auto"/>
        <w:ind w:firstLine="0"/>
        <w:jc w:val="center"/>
        <w:outlineLvl w:val="3"/>
        <w:rPr>
          <w:rFonts w:hAnsi="宋体"/>
          <w:b/>
          <w:spacing w:val="-6"/>
          <w:sz w:val="24"/>
          <w:szCs w:val="24"/>
        </w:rPr>
      </w:pPr>
      <w:r>
        <w:rPr>
          <w:rFonts w:hint="eastAsia" w:hAnsi="宋体"/>
          <w:b/>
          <w:spacing w:val="-6"/>
          <w:sz w:val="24"/>
        </w:rPr>
        <w:br w:type="page"/>
      </w:r>
      <w:r>
        <w:rPr>
          <w:rFonts w:hint="eastAsia" w:hAnsi="宋体"/>
          <w:b/>
          <w:spacing w:val="-6"/>
          <w:sz w:val="24"/>
          <w:szCs w:val="24"/>
        </w:rPr>
        <w:t>技术支持资料</w:t>
      </w: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投标人提供技术支持资料以证明其对技术指标的应答；</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技术支持资料应是制造商公开发布的印刷资料（官网材料、彩页、Datasheet）或由有关政府部门或检测机构合法出具的文件或报告；</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不符合上述要求的资料，可被视为是无效的技术支持资料；</w:t>
      </w:r>
    </w:p>
    <w:p>
      <w:pPr>
        <w:spacing w:line="360" w:lineRule="auto"/>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如上述资料之间存在不一致的，以有关政府部门或检测机构合法出具的文件或报告为准；</w:t>
      </w:r>
    </w:p>
    <w:p>
      <w:pPr>
        <w:spacing w:line="360" w:lineRule="auto"/>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若对技术指标的应答无技术支持资料证明，评标委员会可不予承认，并可认为该应答不符合招标文件要求，</w:t>
      </w:r>
      <w:r>
        <w:rPr>
          <w:rFonts w:hint="eastAsia" w:ascii="宋体" w:hAnsi="宋体"/>
          <w:b/>
          <w:bCs/>
          <w:spacing w:val="-6"/>
          <w:sz w:val="21"/>
          <w:szCs w:val="21"/>
        </w:rPr>
        <w:t>将作出不利于投标人的技术评审，其后果将由投标人自行承担</w:t>
      </w:r>
      <w:r>
        <w:rPr>
          <w:rFonts w:hint="eastAsia" w:ascii="宋体" w:hAnsi="宋体"/>
          <w:b/>
          <w:spacing w:val="-6"/>
          <w:sz w:val="21"/>
          <w:szCs w:val="21"/>
        </w:rPr>
        <w:t>；</w:t>
      </w:r>
    </w:p>
    <w:p>
      <w:pPr>
        <w:spacing w:line="360" w:lineRule="auto"/>
        <w:rPr>
          <w:rFonts w:ascii="宋体" w:hAnsi="宋体"/>
          <w:b/>
          <w:spacing w:val="-6"/>
          <w:sz w:val="21"/>
          <w:szCs w:val="21"/>
        </w:rPr>
      </w:pPr>
      <w:r>
        <w:rPr>
          <w:rFonts w:hint="eastAsia" w:ascii="宋体" w:hAnsi="宋体"/>
          <w:b/>
          <w:spacing w:val="-6"/>
          <w:sz w:val="21"/>
          <w:szCs w:val="21"/>
        </w:rPr>
        <w:t>6</w:t>
      </w:r>
      <w:r>
        <w:rPr>
          <w:rFonts w:ascii="宋体" w:hAnsi="宋体"/>
          <w:b/>
          <w:spacing w:val="-6"/>
          <w:sz w:val="21"/>
          <w:szCs w:val="21"/>
        </w:rPr>
        <w:t>.</w:t>
      </w:r>
      <w:r>
        <w:rPr>
          <w:rFonts w:hint="eastAsia" w:ascii="宋体" w:hAnsi="宋体"/>
          <w:b/>
          <w:spacing w:val="-6"/>
          <w:sz w:val="21"/>
          <w:szCs w:val="21"/>
        </w:rPr>
        <w:t>投标人可提供同等于或优于招标文件要求的货物和服务。</w:t>
      </w:r>
    </w:p>
    <w:p>
      <w:pPr>
        <w:pStyle w:val="17"/>
        <w:spacing w:after="120" w:line="360" w:lineRule="auto"/>
        <w:ind w:left="398" w:hanging="398"/>
        <w:jc w:val="center"/>
        <w:rPr>
          <w:rFonts w:ascii="宋体" w:hAnsi="宋体"/>
          <w:b/>
          <w:spacing w:val="-6"/>
          <w:sz w:val="24"/>
        </w:rPr>
      </w:pPr>
      <w:r>
        <w:rPr>
          <w:rFonts w:hint="eastAsia" w:ascii="宋体" w:hAnsi="宋体"/>
          <w:b/>
          <w:spacing w:val="-6"/>
          <w:sz w:val="21"/>
          <w:szCs w:val="21"/>
        </w:rPr>
        <w:br w:type="page"/>
      </w:r>
      <w:r>
        <w:rPr>
          <w:rFonts w:hint="eastAsia" w:ascii="宋体" w:hAnsi="宋体"/>
          <w:b/>
          <w:spacing w:val="-6"/>
          <w:sz w:val="24"/>
        </w:rPr>
        <w:t>以下内容格式自拟</w:t>
      </w:r>
    </w:p>
    <w:p>
      <w:pPr>
        <w:spacing w:line="360" w:lineRule="auto"/>
        <w:outlineLvl w:val="3"/>
        <w:rPr>
          <w:rFonts w:ascii="宋体" w:hAnsi="宋体"/>
          <w:b/>
          <w:color w:val="000000"/>
          <w:spacing w:val="-6"/>
          <w:sz w:val="21"/>
          <w:szCs w:val="21"/>
        </w:rPr>
      </w:pPr>
      <w:r>
        <w:rPr>
          <w:rFonts w:hint="eastAsia" w:ascii="宋体" w:hAnsi="宋体"/>
          <w:b/>
          <w:color w:val="000000"/>
          <w:spacing w:val="-6"/>
          <w:sz w:val="21"/>
          <w:szCs w:val="21"/>
        </w:rPr>
        <w:t>拟投入人员</w:t>
      </w:r>
    </w:p>
    <w:p>
      <w:pPr>
        <w:spacing w:line="360" w:lineRule="auto"/>
        <w:outlineLvl w:val="3"/>
        <w:rPr>
          <w:rFonts w:ascii="宋体" w:hAnsi="宋体"/>
          <w:b/>
          <w:color w:val="000000"/>
          <w:spacing w:val="-6"/>
          <w:sz w:val="21"/>
          <w:szCs w:val="21"/>
        </w:rPr>
      </w:pPr>
      <w:r>
        <w:rPr>
          <w:rFonts w:hint="eastAsia" w:ascii="宋体" w:hAnsi="宋体"/>
          <w:b/>
          <w:color w:val="000000"/>
          <w:spacing w:val="-6"/>
          <w:sz w:val="21"/>
          <w:szCs w:val="21"/>
        </w:rPr>
        <w:t>售后服务方案</w:t>
      </w:r>
    </w:p>
    <w:p>
      <w:pPr>
        <w:spacing w:line="360" w:lineRule="auto"/>
        <w:outlineLvl w:val="3"/>
        <w:rPr>
          <w:rFonts w:ascii="宋体" w:hAnsi="宋体"/>
          <w:b/>
          <w:color w:val="000000"/>
          <w:spacing w:val="-6"/>
          <w:sz w:val="21"/>
          <w:szCs w:val="21"/>
        </w:rPr>
      </w:pPr>
      <w:r>
        <w:rPr>
          <w:rFonts w:hint="eastAsia" w:ascii="宋体" w:hAnsi="宋体"/>
          <w:b/>
          <w:color w:val="000000"/>
          <w:spacing w:val="-6"/>
          <w:sz w:val="21"/>
          <w:szCs w:val="21"/>
        </w:rPr>
        <w:t>安装调试验收方案</w:t>
      </w:r>
    </w:p>
    <w:sectPr>
      <w:footerReference r:id="rId4" w:type="default"/>
      <w:pgSz w:w="11906" w:h="16838"/>
      <w:pgMar w:top="1440" w:right="1247" w:bottom="1440" w:left="1247" w:header="283"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pple-system">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07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77"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AJQnjLxAQAAtgMAAA4AAAAAAAAAAQAgAAAAHwEAAGRycy9lMm9Eb2MueG1sUEsFBgAAAAAGAAYA&#10;WQEAAI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en-US"/>
      </w:rPr>
      <w:drawing>
        <wp:anchor distT="0" distB="0" distL="114300" distR="114300" simplePos="0" relativeHeight="251657216" behindDoc="0" locked="0" layoutInCell="1" allowOverlap="1">
          <wp:simplePos x="0" y="0"/>
          <wp:positionH relativeFrom="column">
            <wp:posOffset>45720</wp:posOffset>
          </wp:positionH>
          <wp:positionV relativeFrom="paragraph">
            <wp:posOffset>42545</wp:posOffset>
          </wp:positionV>
          <wp:extent cx="5872480" cy="633730"/>
          <wp:effectExtent l="0" t="0" r="0" b="0"/>
          <wp:wrapSquare wrapText="bothSides"/>
          <wp:docPr id="3"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7411"/>
    <w:multiLevelType w:val="singleLevel"/>
    <w:tmpl w:val="181274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990"/>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240"/>
    <w:rsid w:val="00041D0F"/>
    <w:rsid w:val="00041FA3"/>
    <w:rsid w:val="000438E1"/>
    <w:rsid w:val="00043E78"/>
    <w:rsid w:val="00044274"/>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6B0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2425"/>
    <w:rsid w:val="00073FF7"/>
    <w:rsid w:val="00074378"/>
    <w:rsid w:val="00074D7B"/>
    <w:rsid w:val="00076570"/>
    <w:rsid w:val="000765AF"/>
    <w:rsid w:val="00077067"/>
    <w:rsid w:val="000804A7"/>
    <w:rsid w:val="00080A03"/>
    <w:rsid w:val="00083172"/>
    <w:rsid w:val="00084D5F"/>
    <w:rsid w:val="00085880"/>
    <w:rsid w:val="00085EC0"/>
    <w:rsid w:val="00085F93"/>
    <w:rsid w:val="00087C1C"/>
    <w:rsid w:val="00090ABA"/>
    <w:rsid w:val="00092E35"/>
    <w:rsid w:val="00093340"/>
    <w:rsid w:val="000941F1"/>
    <w:rsid w:val="00094C73"/>
    <w:rsid w:val="000957CD"/>
    <w:rsid w:val="00096127"/>
    <w:rsid w:val="000965C7"/>
    <w:rsid w:val="0009732C"/>
    <w:rsid w:val="00097651"/>
    <w:rsid w:val="000A2678"/>
    <w:rsid w:val="000A29BE"/>
    <w:rsid w:val="000A3119"/>
    <w:rsid w:val="000A3A96"/>
    <w:rsid w:val="000A466E"/>
    <w:rsid w:val="000A4CE6"/>
    <w:rsid w:val="000A7CFC"/>
    <w:rsid w:val="000B1842"/>
    <w:rsid w:val="000B2628"/>
    <w:rsid w:val="000B3E1B"/>
    <w:rsid w:val="000B40E6"/>
    <w:rsid w:val="000B504A"/>
    <w:rsid w:val="000B55D0"/>
    <w:rsid w:val="000B575E"/>
    <w:rsid w:val="000B5C73"/>
    <w:rsid w:val="000B64A9"/>
    <w:rsid w:val="000B6848"/>
    <w:rsid w:val="000B6C54"/>
    <w:rsid w:val="000B75B1"/>
    <w:rsid w:val="000B78AE"/>
    <w:rsid w:val="000C2DE8"/>
    <w:rsid w:val="000C35BA"/>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ACF"/>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4FC0"/>
    <w:rsid w:val="000E6042"/>
    <w:rsid w:val="000E6588"/>
    <w:rsid w:val="000E7DBB"/>
    <w:rsid w:val="000E7E44"/>
    <w:rsid w:val="000F09AF"/>
    <w:rsid w:val="000F0D64"/>
    <w:rsid w:val="000F1F26"/>
    <w:rsid w:val="000F2AAD"/>
    <w:rsid w:val="000F2E9C"/>
    <w:rsid w:val="000F31CF"/>
    <w:rsid w:val="000F47CE"/>
    <w:rsid w:val="000F5377"/>
    <w:rsid w:val="000F55B7"/>
    <w:rsid w:val="000F5BBD"/>
    <w:rsid w:val="000F5D40"/>
    <w:rsid w:val="000F665A"/>
    <w:rsid w:val="000F7174"/>
    <w:rsid w:val="000F7941"/>
    <w:rsid w:val="001003F0"/>
    <w:rsid w:val="0010098C"/>
    <w:rsid w:val="00100E4C"/>
    <w:rsid w:val="00101341"/>
    <w:rsid w:val="00101D03"/>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4A3C"/>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31E6"/>
    <w:rsid w:val="001345C3"/>
    <w:rsid w:val="00136919"/>
    <w:rsid w:val="0013796A"/>
    <w:rsid w:val="00140466"/>
    <w:rsid w:val="00142B06"/>
    <w:rsid w:val="0014310B"/>
    <w:rsid w:val="00143148"/>
    <w:rsid w:val="0014340F"/>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8C3"/>
    <w:rsid w:val="00183978"/>
    <w:rsid w:val="00183A89"/>
    <w:rsid w:val="00183AEF"/>
    <w:rsid w:val="00184D3D"/>
    <w:rsid w:val="00184E31"/>
    <w:rsid w:val="00187003"/>
    <w:rsid w:val="00187FD8"/>
    <w:rsid w:val="00190C4E"/>
    <w:rsid w:val="001913DB"/>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291"/>
    <w:rsid w:val="001A6AB8"/>
    <w:rsid w:val="001A78EC"/>
    <w:rsid w:val="001B0149"/>
    <w:rsid w:val="001B045F"/>
    <w:rsid w:val="001B0589"/>
    <w:rsid w:val="001B0E53"/>
    <w:rsid w:val="001B0ED0"/>
    <w:rsid w:val="001B20DE"/>
    <w:rsid w:val="001B27B8"/>
    <w:rsid w:val="001B2A98"/>
    <w:rsid w:val="001B2CF6"/>
    <w:rsid w:val="001B3C59"/>
    <w:rsid w:val="001B3E88"/>
    <w:rsid w:val="001B5FB1"/>
    <w:rsid w:val="001B68FB"/>
    <w:rsid w:val="001B6FB1"/>
    <w:rsid w:val="001B7852"/>
    <w:rsid w:val="001C11C5"/>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1F78"/>
    <w:rsid w:val="001F21F0"/>
    <w:rsid w:val="001F2717"/>
    <w:rsid w:val="001F2AFA"/>
    <w:rsid w:val="001F3E40"/>
    <w:rsid w:val="001F3F3F"/>
    <w:rsid w:val="001F44F4"/>
    <w:rsid w:val="001F464D"/>
    <w:rsid w:val="001F5858"/>
    <w:rsid w:val="001F627F"/>
    <w:rsid w:val="001F7D64"/>
    <w:rsid w:val="00201740"/>
    <w:rsid w:val="00201A3B"/>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16CC"/>
    <w:rsid w:val="00212052"/>
    <w:rsid w:val="002126B6"/>
    <w:rsid w:val="00212ED2"/>
    <w:rsid w:val="002143CB"/>
    <w:rsid w:val="00214D3C"/>
    <w:rsid w:val="00214FEB"/>
    <w:rsid w:val="00216BB7"/>
    <w:rsid w:val="00217173"/>
    <w:rsid w:val="00217560"/>
    <w:rsid w:val="00220173"/>
    <w:rsid w:val="00220CFB"/>
    <w:rsid w:val="0022121A"/>
    <w:rsid w:val="002225F6"/>
    <w:rsid w:val="00222E61"/>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1E5A"/>
    <w:rsid w:val="00242080"/>
    <w:rsid w:val="00242235"/>
    <w:rsid w:val="00242E6A"/>
    <w:rsid w:val="00243E14"/>
    <w:rsid w:val="00244534"/>
    <w:rsid w:val="0024503F"/>
    <w:rsid w:val="002450D1"/>
    <w:rsid w:val="0024679B"/>
    <w:rsid w:val="00247559"/>
    <w:rsid w:val="00250A45"/>
    <w:rsid w:val="0025247A"/>
    <w:rsid w:val="00253721"/>
    <w:rsid w:val="00254733"/>
    <w:rsid w:val="002547BE"/>
    <w:rsid w:val="00255253"/>
    <w:rsid w:val="002562F5"/>
    <w:rsid w:val="002571E6"/>
    <w:rsid w:val="0026011F"/>
    <w:rsid w:val="00260977"/>
    <w:rsid w:val="002629DD"/>
    <w:rsid w:val="0026507F"/>
    <w:rsid w:val="00265095"/>
    <w:rsid w:val="002702E8"/>
    <w:rsid w:val="0027040C"/>
    <w:rsid w:val="00270464"/>
    <w:rsid w:val="0027204E"/>
    <w:rsid w:val="00272542"/>
    <w:rsid w:val="00273787"/>
    <w:rsid w:val="00274A62"/>
    <w:rsid w:val="00274D87"/>
    <w:rsid w:val="00276154"/>
    <w:rsid w:val="00276367"/>
    <w:rsid w:val="00277580"/>
    <w:rsid w:val="00277C34"/>
    <w:rsid w:val="002803A1"/>
    <w:rsid w:val="00282451"/>
    <w:rsid w:val="00282C49"/>
    <w:rsid w:val="00282FB2"/>
    <w:rsid w:val="00283516"/>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2A9E"/>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47F4"/>
    <w:rsid w:val="002C5CB1"/>
    <w:rsid w:val="002C5E13"/>
    <w:rsid w:val="002C5E97"/>
    <w:rsid w:val="002C5EBF"/>
    <w:rsid w:val="002C6EB6"/>
    <w:rsid w:val="002C7CAD"/>
    <w:rsid w:val="002D03C0"/>
    <w:rsid w:val="002D0896"/>
    <w:rsid w:val="002D10B5"/>
    <w:rsid w:val="002D1786"/>
    <w:rsid w:val="002D3048"/>
    <w:rsid w:val="002D3294"/>
    <w:rsid w:val="002D47F3"/>
    <w:rsid w:val="002D5032"/>
    <w:rsid w:val="002D5FFD"/>
    <w:rsid w:val="002D7383"/>
    <w:rsid w:val="002E03E2"/>
    <w:rsid w:val="002E07ED"/>
    <w:rsid w:val="002E30BB"/>
    <w:rsid w:val="002E3A71"/>
    <w:rsid w:val="002E4C92"/>
    <w:rsid w:val="002E4FDC"/>
    <w:rsid w:val="002E549E"/>
    <w:rsid w:val="002E5791"/>
    <w:rsid w:val="002E62A7"/>
    <w:rsid w:val="002E64B2"/>
    <w:rsid w:val="002E66CF"/>
    <w:rsid w:val="002E68EC"/>
    <w:rsid w:val="002F0F07"/>
    <w:rsid w:val="002F188D"/>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4C49"/>
    <w:rsid w:val="003153A6"/>
    <w:rsid w:val="00316590"/>
    <w:rsid w:val="00316B96"/>
    <w:rsid w:val="003171CE"/>
    <w:rsid w:val="0032012F"/>
    <w:rsid w:val="00320747"/>
    <w:rsid w:val="00320E42"/>
    <w:rsid w:val="003210E3"/>
    <w:rsid w:val="00322408"/>
    <w:rsid w:val="00322663"/>
    <w:rsid w:val="003232CA"/>
    <w:rsid w:val="003232CD"/>
    <w:rsid w:val="003241E3"/>
    <w:rsid w:val="00324345"/>
    <w:rsid w:val="00324925"/>
    <w:rsid w:val="00325133"/>
    <w:rsid w:val="00325EA2"/>
    <w:rsid w:val="003264E3"/>
    <w:rsid w:val="00326C09"/>
    <w:rsid w:val="00326DBE"/>
    <w:rsid w:val="00327EC1"/>
    <w:rsid w:val="003309CC"/>
    <w:rsid w:val="00330ACE"/>
    <w:rsid w:val="00331BE2"/>
    <w:rsid w:val="00332DED"/>
    <w:rsid w:val="003337C2"/>
    <w:rsid w:val="00333ED6"/>
    <w:rsid w:val="0033444D"/>
    <w:rsid w:val="0033509F"/>
    <w:rsid w:val="00340A27"/>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4413"/>
    <w:rsid w:val="003773A7"/>
    <w:rsid w:val="00381706"/>
    <w:rsid w:val="003818C8"/>
    <w:rsid w:val="003839BD"/>
    <w:rsid w:val="00385FBB"/>
    <w:rsid w:val="00386526"/>
    <w:rsid w:val="00386BF1"/>
    <w:rsid w:val="00387150"/>
    <w:rsid w:val="00387B54"/>
    <w:rsid w:val="00387C2A"/>
    <w:rsid w:val="003933A4"/>
    <w:rsid w:val="00393EF7"/>
    <w:rsid w:val="00395436"/>
    <w:rsid w:val="003955D2"/>
    <w:rsid w:val="0039578F"/>
    <w:rsid w:val="00395BA7"/>
    <w:rsid w:val="003964A1"/>
    <w:rsid w:val="0039735E"/>
    <w:rsid w:val="00397533"/>
    <w:rsid w:val="00397FC5"/>
    <w:rsid w:val="003A06EB"/>
    <w:rsid w:val="003A0759"/>
    <w:rsid w:val="003A14F2"/>
    <w:rsid w:val="003A2CB6"/>
    <w:rsid w:val="003A2CBB"/>
    <w:rsid w:val="003A3E9B"/>
    <w:rsid w:val="003A41F8"/>
    <w:rsid w:val="003A5460"/>
    <w:rsid w:val="003A5D2C"/>
    <w:rsid w:val="003A7431"/>
    <w:rsid w:val="003A7D18"/>
    <w:rsid w:val="003B11CA"/>
    <w:rsid w:val="003B134E"/>
    <w:rsid w:val="003B1AEE"/>
    <w:rsid w:val="003B1C1F"/>
    <w:rsid w:val="003B28C2"/>
    <w:rsid w:val="003B28C9"/>
    <w:rsid w:val="003B2F96"/>
    <w:rsid w:val="003B31A6"/>
    <w:rsid w:val="003B357D"/>
    <w:rsid w:val="003B386B"/>
    <w:rsid w:val="003B4019"/>
    <w:rsid w:val="003B4C6F"/>
    <w:rsid w:val="003B51F5"/>
    <w:rsid w:val="003B51F8"/>
    <w:rsid w:val="003B5A24"/>
    <w:rsid w:val="003B659C"/>
    <w:rsid w:val="003B7413"/>
    <w:rsid w:val="003B7865"/>
    <w:rsid w:val="003C01CA"/>
    <w:rsid w:val="003C067F"/>
    <w:rsid w:val="003C1CBC"/>
    <w:rsid w:val="003C1E84"/>
    <w:rsid w:val="003C26D7"/>
    <w:rsid w:val="003C293B"/>
    <w:rsid w:val="003C3458"/>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3F0B"/>
    <w:rsid w:val="003D481B"/>
    <w:rsid w:val="003D5252"/>
    <w:rsid w:val="003D6E3B"/>
    <w:rsid w:val="003E157B"/>
    <w:rsid w:val="003E23C3"/>
    <w:rsid w:val="003E420E"/>
    <w:rsid w:val="003E432C"/>
    <w:rsid w:val="003E4AC9"/>
    <w:rsid w:val="003E4D6D"/>
    <w:rsid w:val="003E5474"/>
    <w:rsid w:val="003E5479"/>
    <w:rsid w:val="003E68D9"/>
    <w:rsid w:val="003E72D6"/>
    <w:rsid w:val="003E745A"/>
    <w:rsid w:val="003E7EBC"/>
    <w:rsid w:val="003F08F0"/>
    <w:rsid w:val="003F0B69"/>
    <w:rsid w:val="003F1386"/>
    <w:rsid w:val="003F15BA"/>
    <w:rsid w:val="003F19B7"/>
    <w:rsid w:val="003F1B5D"/>
    <w:rsid w:val="003F1EEB"/>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2C83"/>
    <w:rsid w:val="00403823"/>
    <w:rsid w:val="004042F9"/>
    <w:rsid w:val="004046C7"/>
    <w:rsid w:val="00405967"/>
    <w:rsid w:val="0040605A"/>
    <w:rsid w:val="00410855"/>
    <w:rsid w:val="00410CCA"/>
    <w:rsid w:val="00411200"/>
    <w:rsid w:val="0041213C"/>
    <w:rsid w:val="0041409C"/>
    <w:rsid w:val="0041426E"/>
    <w:rsid w:val="0041463B"/>
    <w:rsid w:val="0041545F"/>
    <w:rsid w:val="00416015"/>
    <w:rsid w:val="00416B34"/>
    <w:rsid w:val="00417DF2"/>
    <w:rsid w:val="00420634"/>
    <w:rsid w:val="0042081F"/>
    <w:rsid w:val="004211C9"/>
    <w:rsid w:val="00421296"/>
    <w:rsid w:val="004223F6"/>
    <w:rsid w:val="004232A0"/>
    <w:rsid w:val="00424B51"/>
    <w:rsid w:val="0042563A"/>
    <w:rsid w:val="00425765"/>
    <w:rsid w:val="00426194"/>
    <w:rsid w:val="00427131"/>
    <w:rsid w:val="004277BA"/>
    <w:rsid w:val="00427AF5"/>
    <w:rsid w:val="00427E22"/>
    <w:rsid w:val="00431295"/>
    <w:rsid w:val="0043176C"/>
    <w:rsid w:val="00431BAB"/>
    <w:rsid w:val="00433638"/>
    <w:rsid w:val="00434010"/>
    <w:rsid w:val="004355DD"/>
    <w:rsid w:val="00441384"/>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3D6"/>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864BA"/>
    <w:rsid w:val="00486720"/>
    <w:rsid w:val="00490624"/>
    <w:rsid w:val="00490A7B"/>
    <w:rsid w:val="004921C2"/>
    <w:rsid w:val="004925C8"/>
    <w:rsid w:val="00492B0C"/>
    <w:rsid w:val="00494993"/>
    <w:rsid w:val="00495BB8"/>
    <w:rsid w:val="00496105"/>
    <w:rsid w:val="004968B7"/>
    <w:rsid w:val="00496AF0"/>
    <w:rsid w:val="004A0E59"/>
    <w:rsid w:val="004A24A6"/>
    <w:rsid w:val="004A2DE8"/>
    <w:rsid w:val="004A3D82"/>
    <w:rsid w:val="004A3FE4"/>
    <w:rsid w:val="004A489C"/>
    <w:rsid w:val="004A79B1"/>
    <w:rsid w:val="004B005F"/>
    <w:rsid w:val="004B154C"/>
    <w:rsid w:val="004B41C6"/>
    <w:rsid w:val="004B683C"/>
    <w:rsid w:val="004B759C"/>
    <w:rsid w:val="004B7A1A"/>
    <w:rsid w:val="004C0B2C"/>
    <w:rsid w:val="004C18F8"/>
    <w:rsid w:val="004C285D"/>
    <w:rsid w:val="004C3E5D"/>
    <w:rsid w:val="004C424F"/>
    <w:rsid w:val="004C4640"/>
    <w:rsid w:val="004C4D43"/>
    <w:rsid w:val="004C52A0"/>
    <w:rsid w:val="004C5352"/>
    <w:rsid w:val="004C5C37"/>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2CB0"/>
    <w:rsid w:val="004D338F"/>
    <w:rsid w:val="004D3604"/>
    <w:rsid w:val="004D3A12"/>
    <w:rsid w:val="004D42B5"/>
    <w:rsid w:val="004D4A43"/>
    <w:rsid w:val="004D65EE"/>
    <w:rsid w:val="004D691A"/>
    <w:rsid w:val="004D6C06"/>
    <w:rsid w:val="004D7A3E"/>
    <w:rsid w:val="004D7C80"/>
    <w:rsid w:val="004E05EA"/>
    <w:rsid w:val="004E13AE"/>
    <w:rsid w:val="004E1A2F"/>
    <w:rsid w:val="004E1AC2"/>
    <w:rsid w:val="004E1C0D"/>
    <w:rsid w:val="004E248D"/>
    <w:rsid w:val="004E4DF5"/>
    <w:rsid w:val="004E55ED"/>
    <w:rsid w:val="004E5A54"/>
    <w:rsid w:val="004E5AB9"/>
    <w:rsid w:val="004E641D"/>
    <w:rsid w:val="004E6461"/>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470"/>
    <w:rsid w:val="004F6D54"/>
    <w:rsid w:val="004F6E70"/>
    <w:rsid w:val="004F76EF"/>
    <w:rsid w:val="004F790A"/>
    <w:rsid w:val="004F7AAC"/>
    <w:rsid w:val="005002DC"/>
    <w:rsid w:val="00501DC4"/>
    <w:rsid w:val="0050283A"/>
    <w:rsid w:val="00502E5B"/>
    <w:rsid w:val="00502F81"/>
    <w:rsid w:val="00503437"/>
    <w:rsid w:val="00503F1B"/>
    <w:rsid w:val="00504712"/>
    <w:rsid w:val="00504869"/>
    <w:rsid w:val="00504A29"/>
    <w:rsid w:val="00504C6B"/>
    <w:rsid w:val="00504D67"/>
    <w:rsid w:val="00505A25"/>
    <w:rsid w:val="00505C50"/>
    <w:rsid w:val="005069F0"/>
    <w:rsid w:val="00506A53"/>
    <w:rsid w:val="00510BB7"/>
    <w:rsid w:val="00511929"/>
    <w:rsid w:val="00512A62"/>
    <w:rsid w:val="00513B1C"/>
    <w:rsid w:val="0051448D"/>
    <w:rsid w:val="005144D1"/>
    <w:rsid w:val="005150AE"/>
    <w:rsid w:val="0051588D"/>
    <w:rsid w:val="00515BE8"/>
    <w:rsid w:val="0051644D"/>
    <w:rsid w:val="00516CD3"/>
    <w:rsid w:val="005170B5"/>
    <w:rsid w:val="005171A3"/>
    <w:rsid w:val="0052003F"/>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2CB1"/>
    <w:rsid w:val="005437CA"/>
    <w:rsid w:val="00544BE2"/>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5F02"/>
    <w:rsid w:val="00566529"/>
    <w:rsid w:val="00567533"/>
    <w:rsid w:val="00571DBA"/>
    <w:rsid w:val="005723DC"/>
    <w:rsid w:val="005726F3"/>
    <w:rsid w:val="00574DC1"/>
    <w:rsid w:val="00575895"/>
    <w:rsid w:val="00577C3A"/>
    <w:rsid w:val="005802E6"/>
    <w:rsid w:val="00581D03"/>
    <w:rsid w:val="0058256A"/>
    <w:rsid w:val="00582816"/>
    <w:rsid w:val="00583539"/>
    <w:rsid w:val="005836DA"/>
    <w:rsid w:val="00584DB3"/>
    <w:rsid w:val="005876EF"/>
    <w:rsid w:val="005878B8"/>
    <w:rsid w:val="005905B4"/>
    <w:rsid w:val="00590773"/>
    <w:rsid w:val="005915D7"/>
    <w:rsid w:val="005917E3"/>
    <w:rsid w:val="00592337"/>
    <w:rsid w:val="005930E6"/>
    <w:rsid w:val="00593C63"/>
    <w:rsid w:val="00594616"/>
    <w:rsid w:val="00594786"/>
    <w:rsid w:val="00594BFF"/>
    <w:rsid w:val="005967A6"/>
    <w:rsid w:val="005967EE"/>
    <w:rsid w:val="005977A9"/>
    <w:rsid w:val="005A0B3D"/>
    <w:rsid w:val="005A1471"/>
    <w:rsid w:val="005A2394"/>
    <w:rsid w:val="005A2822"/>
    <w:rsid w:val="005A2A0F"/>
    <w:rsid w:val="005A3ADA"/>
    <w:rsid w:val="005A4528"/>
    <w:rsid w:val="005A45F6"/>
    <w:rsid w:val="005A4E57"/>
    <w:rsid w:val="005A5140"/>
    <w:rsid w:val="005A6080"/>
    <w:rsid w:val="005A63E9"/>
    <w:rsid w:val="005A6690"/>
    <w:rsid w:val="005A66AD"/>
    <w:rsid w:val="005A68EE"/>
    <w:rsid w:val="005A71F4"/>
    <w:rsid w:val="005A75FA"/>
    <w:rsid w:val="005B0817"/>
    <w:rsid w:val="005B0996"/>
    <w:rsid w:val="005B0D5E"/>
    <w:rsid w:val="005B10DB"/>
    <w:rsid w:val="005B1867"/>
    <w:rsid w:val="005B1CE1"/>
    <w:rsid w:val="005B3E38"/>
    <w:rsid w:val="005B47D1"/>
    <w:rsid w:val="005B5026"/>
    <w:rsid w:val="005B5690"/>
    <w:rsid w:val="005B5789"/>
    <w:rsid w:val="005B5B8E"/>
    <w:rsid w:val="005B5CAD"/>
    <w:rsid w:val="005B6045"/>
    <w:rsid w:val="005B6BD8"/>
    <w:rsid w:val="005B7880"/>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401"/>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FCA"/>
    <w:rsid w:val="0060710A"/>
    <w:rsid w:val="00607642"/>
    <w:rsid w:val="0061157C"/>
    <w:rsid w:val="00611BD5"/>
    <w:rsid w:val="00611D13"/>
    <w:rsid w:val="00611D57"/>
    <w:rsid w:val="006122CB"/>
    <w:rsid w:val="006124EC"/>
    <w:rsid w:val="006137A4"/>
    <w:rsid w:val="00613885"/>
    <w:rsid w:val="00613D42"/>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5E4"/>
    <w:rsid w:val="00637CB2"/>
    <w:rsid w:val="00640A40"/>
    <w:rsid w:val="00641AC2"/>
    <w:rsid w:val="00641B22"/>
    <w:rsid w:val="00641ECA"/>
    <w:rsid w:val="00642353"/>
    <w:rsid w:val="00643E26"/>
    <w:rsid w:val="00644C53"/>
    <w:rsid w:val="006454A6"/>
    <w:rsid w:val="006460DA"/>
    <w:rsid w:val="00646A98"/>
    <w:rsid w:val="0064712A"/>
    <w:rsid w:val="006471BB"/>
    <w:rsid w:val="006501B1"/>
    <w:rsid w:val="00650D4C"/>
    <w:rsid w:val="00651518"/>
    <w:rsid w:val="00651589"/>
    <w:rsid w:val="0065182B"/>
    <w:rsid w:val="00651BA8"/>
    <w:rsid w:val="0065339E"/>
    <w:rsid w:val="00653E9A"/>
    <w:rsid w:val="00655257"/>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0C4E"/>
    <w:rsid w:val="006811F9"/>
    <w:rsid w:val="00682AD7"/>
    <w:rsid w:val="006839CB"/>
    <w:rsid w:val="00684614"/>
    <w:rsid w:val="00684F77"/>
    <w:rsid w:val="006858D2"/>
    <w:rsid w:val="00686915"/>
    <w:rsid w:val="00686F4F"/>
    <w:rsid w:val="00686FEB"/>
    <w:rsid w:val="006873A5"/>
    <w:rsid w:val="006902DA"/>
    <w:rsid w:val="006904D5"/>
    <w:rsid w:val="00690C1A"/>
    <w:rsid w:val="00690FD0"/>
    <w:rsid w:val="0069199E"/>
    <w:rsid w:val="00692BF2"/>
    <w:rsid w:val="00693189"/>
    <w:rsid w:val="0069387D"/>
    <w:rsid w:val="00693A7B"/>
    <w:rsid w:val="00693F70"/>
    <w:rsid w:val="006941E8"/>
    <w:rsid w:val="0069435B"/>
    <w:rsid w:val="006943DE"/>
    <w:rsid w:val="00695EC0"/>
    <w:rsid w:val="00697F33"/>
    <w:rsid w:val="006A02F8"/>
    <w:rsid w:val="006A0333"/>
    <w:rsid w:val="006A0355"/>
    <w:rsid w:val="006A0435"/>
    <w:rsid w:val="006A1121"/>
    <w:rsid w:val="006A144C"/>
    <w:rsid w:val="006A19C9"/>
    <w:rsid w:val="006A200A"/>
    <w:rsid w:val="006A21EA"/>
    <w:rsid w:val="006A27F6"/>
    <w:rsid w:val="006A2CFB"/>
    <w:rsid w:val="006A3181"/>
    <w:rsid w:val="006A3524"/>
    <w:rsid w:val="006A422D"/>
    <w:rsid w:val="006A475C"/>
    <w:rsid w:val="006A4AD6"/>
    <w:rsid w:val="006A53B8"/>
    <w:rsid w:val="006A6157"/>
    <w:rsid w:val="006A768F"/>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0E7B"/>
    <w:rsid w:val="006D2A51"/>
    <w:rsid w:val="006D33C0"/>
    <w:rsid w:val="006D385A"/>
    <w:rsid w:val="006D3864"/>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6C80"/>
    <w:rsid w:val="006F0ADD"/>
    <w:rsid w:val="006F0F42"/>
    <w:rsid w:val="006F17C3"/>
    <w:rsid w:val="006F1CCA"/>
    <w:rsid w:val="006F63A0"/>
    <w:rsid w:val="006F6A32"/>
    <w:rsid w:val="006F6FAD"/>
    <w:rsid w:val="006F72C5"/>
    <w:rsid w:val="006F764F"/>
    <w:rsid w:val="006F79CB"/>
    <w:rsid w:val="006F7E8A"/>
    <w:rsid w:val="00700546"/>
    <w:rsid w:val="00701DC6"/>
    <w:rsid w:val="00702818"/>
    <w:rsid w:val="00703C41"/>
    <w:rsid w:val="00703E33"/>
    <w:rsid w:val="007050BF"/>
    <w:rsid w:val="00707062"/>
    <w:rsid w:val="007079FC"/>
    <w:rsid w:val="00707FC5"/>
    <w:rsid w:val="0071044A"/>
    <w:rsid w:val="00710D9B"/>
    <w:rsid w:val="007124A3"/>
    <w:rsid w:val="00712C73"/>
    <w:rsid w:val="00712D65"/>
    <w:rsid w:val="00713CD3"/>
    <w:rsid w:val="00714B8A"/>
    <w:rsid w:val="00715A52"/>
    <w:rsid w:val="00716D52"/>
    <w:rsid w:val="00716F82"/>
    <w:rsid w:val="00717BBD"/>
    <w:rsid w:val="00721189"/>
    <w:rsid w:val="00721974"/>
    <w:rsid w:val="007224C5"/>
    <w:rsid w:val="00722C09"/>
    <w:rsid w:val="0072444D"/>
    <w:rsid w:val="0072490B"/>
    <w:rsid w:val="0072545F"/>
    <w:rsid w:val="00725469"/>
    <w:rsid w:val="00725715"/>
    <w:rsid w:val="00727040"/>
    <w:rsid w:val="00727B78"/>
    <w:rsid w:val="00727FC5"/>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4783E"/>
    <w:rsid w:val="007504C8"/>
    <w:rsid w:val="007522F5"/>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865"/>
    <w:rsid w:val="00776C7D"/>
    <w:rsid w:val="00777870"/>
    <w:rsid w:val="00777D33"/>
    <w:rsid w:val="007807B1"/>
    <w:rsid w:val="00780B43"/>
    <w:rsid w:val="0078100F"/>
    <w:rsid w:val="00781A1E"/>
    <w:rsid w:val="00782159"/>
    <w:rsid w:val="00784690"/>
    <w:rsid w:val="007850DE"/>
    <w:rsid w:val="00785EB0"/>
    <w:rsid w:val="007864B4"/>
    <w:rsid w:val="00786B56"/>
    <w:rsid w:val="00787A73"/>
    <w:rsid w:val="00787FCC"/>
    <w:rsid w:val="007906C1"/>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0DDD"/>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187F"/>
    <w:rsid w:val="007C238C"/>
    <w:rsid w:val="007C2534"/>
    <w:rsid w:val="007C2898"/>
    <w:rsid w:val="007C348D"/>
    <w:rsid w:val="007C3C92"/>
    <w:rsid w:val="007C63BC"/>
    <w:rsid w:val="007C6FDE"/>
    <w:rsid w:val="007C7459"/>
    <w:rsid w:val="007C75A1"/>
    <w:rsid w:val="007C7ADF"/>
    <w:rsid w:val="007C7D9A"/>
    <w:rsid w:val="007D0EBE"/>
    <w:rsid w:val="007D1221"/>
    <w:rsid w:val="007D14E5"/>
    <w:rsid w:val="007D1C44"/>
    <w:rsid w:val="007D1D15"/>
    <w:rsid w:val="007D2D93"/>
    <w:rsid w:val="007D3B2C"/>
    <w:rsid w:val="007D4369"/>
    <w:rsid w:val="007D6F12"/>
    <w:rsid w:val="007D7679"/>
    <w:rsid w:val="007D7947"/>
    <w:rsid w:val="007E058F"/>
    <w:rsid w:val="007E0CE0"/>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5258"/>
    <w:rsid w:val="007F647D"/>
    <w:rsid w:val="007F6D41"/>
    <w:rsid w:val="007F71DD"/>
    <w:rsid w:val="007F750D"/>
    <w:rsid w:val="007F794F"/>
    <w:rsid w:val="00800AAB"/>
    <w:rsid w:val="0080130F"/>
    <w:rsid w:val="00801956"/>
    <w:rsid w:val="008029B2"/>
    <w:rsid w:val="00802E9D"/>
    <w:rsid w:val="00804442"/>
    <w:rsid w:val="00804A56"/>
    <w:rsid w:val="00804FDD"/>
    <w:rsid w:val="0080545B"/>
    <w:rsid w:val="008059CB"/>
    <w:rsid w:val="008060FA"/>
    <w:rsid w:val="00807215"/>
    <w:rsid w:val="0080786B"/>
    <w:rsid w:val="00810D06"/>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A4F"/>
    <w:rsid w:val="00831E4F"/>
    <w:rsid w:val="00831F0B"/>
    <w:rsid w:val="0083207D"/>
    <w:rsid w:val="00837A14"/>
    <w:rsid w:val="00840E42"/>
    <w:rsid w:val="00841409"/>
    <w:rsid w:val="00841BCB"/>
    <w:rsid w:val="00842722"/>
    <w:rsid w:val="0084303C"/>
    <w:rsid w:val="00844B7E"/>
    <w:rsid w:val="00844EF1"/>
    <w:rsid w:val="00844F2F"/>
    <w:rsid w:val="00846521"/>
    <w:rsid w:val="00846CE8"/>
    <w:rsid w:val="00846F8D"/>
    <w:rsid w:val="00847048"/>
    <w:rsid w:val="008471C4"/>
    <w:rsid w:val="00847385"/>
    <w:rsid w:val="00847843"/>
    <w:rsid w:val="00847A88"/>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BD3"/>
    <w:rsid w:val="00861F7D"/>
    <w:rsid w:val="00862C05"/>
    <w:rsid w:val="00864094"/>
    <w:rsid w:val="008655DA"/>
    <w:rsid w:val="00866CE1"/>
    <w:rsid w:val="00866EC9"/>
    <w:rsid w:val="00870E1A"/>
    <w:rsid w:val="008724E9"/>
    <w:rsid w:val="00873FCF"/>
    <w:rsid w:val="008744BC"/>
    <w:rsid w:val="008744D1"/>
    <w:rsid w:val="00875709"/>
    <w:rsid w:val="00876961"/>
    <w:rsid w:val="00876C30"/>
    <w:rsid w:val="00876DA6"/>
    <w:rsid w:val="00880B93"/>
    <w:rsid w:val="00881357"/>
    <w:rsid w:val="00882313"/>
    <w:rsid w:val="00883518"/>
    <w:rsid w:val="00883742"/>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96C31"/>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4FBF"/>
    <w:rsid w:val="008B525E"/>
    <w:rsid w:val="008B5D73"/>
    <w:rsid w:val="008B6802"/>
    <w:rsid w:val="008B74D7"/>
    <w:rsid w:val="008C04FA"/>
    <w:rsid w:val="008C0FE3"/>
    <w:rsid w:val="008C1158"/>
    <w:rsid w:val="008C2CB9"/>
    <w:rsid w:val="008C2E48"/>
    <w:rsid w:val="008C39BC"/>
    <w:rsid w:val="008C4193"/>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6FC8"/>
    <w:rsid w:val="008D7410"/>
    <w:rsid w:val="008D76B0"/>
    <w:rsid w:val="008E00B8"/>
    <w:rsid w:val="008E0F85"/>
    <w:rsid w:val="008E15E4"/>
    <w:rsid w:val="008E17AF"/>
    <w:rsid w:val="008E1A89"/>
    <w:rsid w:val="008E1E97"/>
    <w:rsid w:val="008E36A5"/>
    <w:rsid w:val="008E3767"/>
    <w:rsid w:val="008E3C11"/>
    <w:rsid w:val="008E3CB9"/>
    <w:rsid w:val="008E52F6"/>
    <w:rsid w:val="008E5553"/>
    <w:rsid w:val="008E5B81"/>
    <w:rsid w:val="008E76FC"/>
    <w:rsid w:val="008F2A5A"/>
    <w:rsid w:val="008F398B"/>
    <w:rsid w:val="008F3EF5"/>
    <w:rsid w:val="008F489A"/>
    <w:rsid w:val="008F4A59"/>
    <w:rsid w:val="008F4CC2"/>
    <w:rsid w:val="008F50E2"/>
    <w:rsid w:val="008F5B12"/>
    <w:rsid w:val="008F61A4"/>
    <w:rsid w:val="008F673C"/>
    <w:rsid w:val="008F6820"/>
    <w:rsid w:val="008F6AAD"/>
    <w:rsid w:val="008F7726"/>
    <w:rsid w:val="00901116"/>
    <w:rsid w:val="00901FE7"/>
    <w:rsid w:val="00902041"/>
    <w:rsid w:val="009026E9"/>
    <w:rsid w:val="00902874"/>
    <w:rsid w:val="00905495"/>
    <w:rsid w:val="0090632C"/>
    <w:rsid w:val="00906B13"/>
    <w:rsid w:val="00906CE8"/>
    <w:rsid w:val="009079F8"/>
    <w:rsid w:val="00910AB5"/>
    <w:rsid w:val="009118A7"/>
    <w:rsid w:val="00911E91"/>
    <w:rsid w:val="00913C4B"/>
    <w:rsid w:val="0091587E"/>
    <w:rsid w:val="009220F6"/>
    <w:rsid w:val="009222F4"/>
    <w:rsid w:val="00923861"/>
    <w:rsid w:val="00924652"/>
    <w:rsid w:val="00924753"/>
    <w:rsid w:val="00925075"/>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7746"/>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C40"/>
    <w:rsid w:val="00994CDE"/>
    <w:rsid w:val="00995542"/>
    <w:rsid w:val="00996D2C"/>
    <w:rsid w:val="009A01D0"/>
    <w:rsid w:val="009A0209"/>
    <w:rsid w:val="009A0AB5"/>
    <w:rsid w:val="009A405D"/>
    <w:rsid w:val="009A56C6"/>
    <w:rsid w:val="009A60A5"/>
    <w:rsid w:val="009A71F0"/>
    <w:rsid w:val="009A7B57"/>
    <w:rsid w:val="009A7D0E"/>
    <w:rsid w:val="009B1124"/>
    <w:rsid w:val="009B256C"/>
    <w:rsid w:val="009B36B4"/>
    <w:rsid w:val="009B3AC5"/>
    <w:rsid w:val="009B4484"/>
    <w:rsid w:val="009B59F1"/>
    <w:rsid w:val="009B5ACC"/>
    <w:rsid w:val="009B7D9D"/>
    <w:rsid w:val="009C047F"/>
    <w:rsid w:val="009C1131"/>
    <w:rsid w:val="009C2700"/>
    <w:rsid w:val="009C292F"/>
    <w:rsid w:val="009C2B88"/>
    <w:rsid w:val="009C3F74"/>
    <w:rsid w:val="009C51CB"/>
    <w:rsid w:val="009C5D35"/>
    <w:rsid w:val="009C6D3B"/>
    <w:rsid w:val="009C6DB3"/>
    <w:rsid w:val="009D0762"/>
    <w:rsid w:val="009D09F7"/>
    <w:rsid w:val="009D0DD8"/>
    <w:rsid w:val="009D1EAA"/>
    <w:rsid w:val="009D2856"/>
    <w:rsid w:val="009D38D4"/>
    <w:rsid w:val="009D3992"/>
    <w:rsid w:val="009D4487"/>
    <w:rsid w:val="009D471F"/>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1ECF"/>
    <w:rsid w:val="009F364F"/>
    <w:rsid w:val="009F39C8"/>
    <w:rsid w:val="009F5EFB"/>
    <w:rsid w:val="009F78F0"/>
    <w:rsid w:val="009F7D5C"/>
    <w:rsid w:val="00A0018F"/>
    <w:rsid w:val="00A0051E"/>
    <w:rsid w:val="00A00DB1"/>
    <w:rsid w:val="00A02135"/>
    <w:rsid w:val="00A02621"/>
    <w:rsid w:val="00A02976"/>
    <w:rsid w:val="00A02B31"/>
    <w:rsid w:val="00A04118"/>
    <w:rsid w:val="00A0427E"/>
    <w:rsid w:val="00A05A52"/>
    <w:rsid w:val="00A075CF"/>
    <w:rsid w:val="00A077CD"/>
    <w:rsid w:val="00A07B93"/>
    <w:rsid w:val="00A10456"/>
    <w:rsid w:val="00A129D7"/>
    <w:rsid w:val="00A12FA2"/>
    <w:rsid w:val="00A1392D"/>
    <w:rsid w:val="00A141D4"/>
    <w:rsid w:val="00A1431A"/>
    <w:rsid w:val="00A14728"/>
    <w:rsid w:val="00A1491D"/>
    <w:rsid w:val="00A14A74"/>
    <w:rsid w:val="00A14BB6"/>
    <w:rsid w:val="00A14BCD"/>
    <w:rsid w:val="00A157FB"/>
    <w:rsid w:val="00A15BB2"/>
    <w:rsid w:val="00A15DFA"/>
    <w:rsid w:val="00A16AAB"/>
    <w:rsid w:val="00A16AF9"/>
    <w:rsid w:val="00A16F40"/>
    <w:rsid w:val="00A17254"/>
    <w:rsid w:val="00A205DF"/>
    <w:rsid w:val="00A21540"/>
    <w:rsid w:val="00A2170E"/>
    <w:rsid w:val="00A23505"/>
    <w:rsid w:val="00A236DE"/>
    <w:rsid w:val="00A23AC7"/>
    <w:rsid w:val="00A2439F"/>
    <w:rsid w:val="00A243CE"/>
    <w:rsid w:val="00A248F2"/>
    <w:rsid w:val="00A25439"/>
    <w:rsid w:val="00A259E8"/>
    <w:rsid w:val="00A25CB7"/>
    <w:rsid w:val="00A26AB9"/>
    <w:rsid w:val="00A27FC5"/>
    <w:rsid w:val="00A30DD5"/>
    <w:rsid w:val="00A312EA"/>
    <w:rsid w:val="00A31424"/>
    <w:rsid w:val="00A32176"/>
    <w:rsid w:val="00A33692"/>
    <w:rsid w:val="00A33965"/>
    <w:rsid w:val="00A355F6"/>
    <w:rsid w:val="00A35D91"/>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9B0"/>
    <w:rsid w:val="00A81CC4"/>
    <w:rsid w:val="00A824E5"/>
    <w:rsid w:val="00A8260B"/>
    <w:rsid w:val="00A836BC"/>
    <w:rsid w:val="00A83AB2"/>
    <w:rsid w:val="00A85BAC"/>
    <w:rsid w:val="00A868BE"/>
    <w:rsid w:val="00A87032"/>
    <w:rsid w:val="00A87240"/>
    <w:rsid w:val="00A876D6"/>
    <w:rsid w:val="00A901B8"/>
    <w:rsid w:val="00A9040C"/>
    <w:rsid w:val="00A912C1"/>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5E9"/>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56A9"/>
    <w:rsid w:val="00B06AFE"/>
    <w:rsid w:val="00B072BD"/>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4D9"/>
    <w:rsid w:val="00B44562"/>
    <w:rsid w:val="00B44A46"/>
    <w:rsid w:val="00B45A2B"/>
    <w:rsid w:val="00B46C44"/>
    <w:rsid w:val="00B50F4A"/>
    <w:rsid w:val="00B51B73"/>
    <w:rsid w:val="00B52542"/>
    <w:rsid w:val="00B5299E"/>
    <w:rsid w:val="00B53074"/>
    <w:rsid w:val="00B554D4"/>
    <w:rsid w:val="00B55E8A"/>
    <w:rsid w:val="00B5729E"/>
    <w:rsid w:val="00B605F7"/>
    <w:rsid w:val="00B60EF2"/>
    <w:rsid w:val="00B6105C"/>
    <w:rsid w:val="00B617FF"/>
    <w:rsid w:val="00B61FFB"/>
    <w:rsid w:val="00B64AB2"/>
    <w:rsid w:val="00B6501B"/>
    <w:rsid w:val="00B67D0C"/>
    <w:rsid w:val="00B70ACC"/>
    <w:rsid w:val="00B72011"/>
    <w:rsid w:val="00B72356"/>
    <w:rsid w:val="00B7236D"/>
    <w:rsid w:val="00B74D31"/>
    <w:rsid w:val="00B74F6E"/>
    <w:rsid w:val="00B751A1"/>
    <w:rsid w:val="00B760B4"/>
    <w:rsid w:val="00B76747"/>
    <w:rsid w:val="00B77620"/>
    <w:rsid w:val="00B778BE"/>
    <w:rsid w:val="00B77949"/>
    <w:rsid w:val="00B80FBA"/>
    <w:rsid w:val="00B81584"/>
    <w:rsid w:val="00B815D5"/>
    <w:rsid w:val="00B82862"/>
    <w:rsid w:val="00B8286B"/>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2F18"/>
    <w:rsid w:val="00BC335D"/>
    <w:rsid w:val="00BC339A"/>
    <w:rsid w:val="00BC3C0E"/>
    <w:rsid w:val="00BC52C9"/>
    <w:rsid w:val="00BC5ABD"/>
    <w:rsid w:val="00BC6BDA"/>
    <w:rsid w:val="00BC6DAD"/>
    <w:rsid w:val="00BD10C8"/>
    <w:rsid w:val="00BD16E8"/>
    <w:rsid w:val="00BD255E"/>
    <w:rsid w:val="00BD2C6A"/>
    <w:rsid w:val="00BD2E63"/>
    <w:rsid w:val="00BD3E6D"/>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67B"/>
    <w:rsid w:val="00BF59F4"/>
    <w:rsid w:val="00BF6921"/>
    <w:rsid w:val="00BF6C0E"/>
    <w:rsid w:val="00C00F72"/>
    <w:rsid w:val="00C00FDC"/>
    <w:rsid w:val="00C01D3E"/>
    <w:rsid w:val="00C01DDE"/>
    <w:rsid w:val="00C03FFD"/>
    <w:rsid w:val="00C04D10"/>
    <w:rsid w:val="00C05116"/>
    <w:rsid w:val="00C0606C"/>
    <w:rsid w:val="00C0696D"/>
    <w:rsid w:val="00C1086B"/>
    <w:rsid w:val="00C10CDB"/>
    <w:rsid w:val="00C11418"/>
    <w:rsid w:val="00C134EC"/>
    <w:rsid w:val="00C141C9"/>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407"/>
    <w:rsid w:val="00C565EB"/>
    <w:rsid w:val="00C5770E"/>
    <w:rsid w:val="00C6150A"/>
    <w:rsid w:val="00C6154C"/>
    <w:rsid w:val="00C61B53"/>
    <w:rsid w:val="00C620D3"/>
    <w:rsid w:val="00C62AC5"/>
    <w:rsid w:val="00C630AC"/>
    <w:rsid w:val="00C63234"/>
    <w:rsid w:val="00C6410B"/>
    <w:rsid w:val="00C64228"/>
    <w:rsid w:val="00C64265"/>
    <w:rsid w:val="00C6448D"/>
    <w:rsid w:val="00C64564"/>
    <w:rsid w:val="00C6664D"/>
    <w:rsid w:val="00C66CBE"/>
    <w:rsid w:val="00C67342"/>
    <w:rsid w:val="00C67743"/>
    <w:rsid w:val="00C67A98"/>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2529"/>
    <w:rsid w:val="00C83623"/>
    <w:rsid w:val="00C836D5"/>
    <w:rsid w:val="00C842A2"/>
    <w:rsid w:val="00C84727"/>
    <w:rsid w:val="00C850E2"/>
    <w:rsid w:val="00C85E08"/>
    <w:rsid w:val="00C86BA3"/>
    <w:rsid w:val="00C87B83"/>
    <w:rsid w:val="00C92255"/>
    <w:rsid w:val="00C93A92"/>
    <w:rsid w:val="00C93C59"/>
    <w:rsid w:val="00C94C58"/>
    <w:rsid w:val="00C9505D"/>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2985"/>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D74F5"/>
    <w:rsid w:val="00CD7864"/>
    <w:rsid w:val="00CE1191"/>
    <w:rsid w:val="00CE177A"/>
    <w:rsid w:val="00CE1EB4"/>
    <w:rsid w:val="00CE213F"/>
    <w:rsid w:val="00CE2279"/>
    <w:rsid w:val="00CE2B79"/>
    <w:rsid w:val="00CE2C00"/>
    <w:rsid w:val="00CE2D60"/>
    <w:rsid w:val="00CE3C9A"/>
    <w:rsid w:val="00CE4480"/>
    <w:rsid w:val="00CE492D"/>
    <w:rsid w:val="00CE4BD0"/>
    <w:rsid w:val="00CE4CD5"/>
    <w:rsid w:val="00CE6381"/>
    <w:rsid w:val="00CE6AC0"/>
    <w:rsid w:val="00CE7C7B"/>
    <w:rsid w:val="00CF0663"/>
    <w:rsid w:val="00CF1CEF"/>
    <w:rsid w:val="00CF245C"/>
    <w:rsid w:val="00CF2659"/>
    <w:rsid w:val="00CF350E"/>
    <w:rsid w:val="00CF3825"/>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557B"/>
    <w:rsid w:val="00D063A9"/>
    <w:rsid w:val="00D07096"/>
    <w:rsid w:val="00D11C81"/>
    <w:rsid w:val="00D1208F"/>
    <w:rsid w:val="00D12CC2"/>
    <w:rsid w:val="00D133EA"/>
    <w:rsid w:val="00D20B0D"/>
    <w:rsid w:val="00D21E42"/>
    <w:rsid w:val="00D23EA0"/>
    <w:rsid w:val="00D24132"/>
    <w:rsid w:val="00D24153"/>
    <w:rsid w:val="00D24548"/>
    <w:rsid w:val="00D26276"/>
    <w:rsid w:val="00D26777"/>
    <w:rsid w:val="00D26E98"/>
    <w:rsid w:val="00D27718"/>
    <w:rsid w:val="00D30081"/>
    <w:rsid w:val="00D304C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5FD2"/>
    <w:rsid w:val="00D46DD9"/>
    <w:rsid w:val="00D47FA2"/>
    <w:rsid w:val="00D504AF"/>
    <w:rsid w:val="00D52155"/>
    <w:rsid w:val="00D53FF7"/>
    <w:rsid w:val="00D546F4"/>
    <w:rsid w:val="00D54A7A"/>
    <w:rsid w:val="00D553ED"/>
    <w:rsid w:val="00D5549E"/>
    <w:rsid w:val="00D56886"/>
    <w:rsid w:val="00D57009"/>
    <w:rsid w:val="00D60528"/>
    <w:rsid w:val="00D6182B"/>
    <w:rsid w:val="00D65845"/>
    <w:rsid w:val="00D65FAC"/>
    <w:rsid w:val="00D67892"/>
    <w:rsid w:val="00D71451"/>
    <w:rsid w:val="00D72441"/>
    <w:rsid w:val="00D72835"/>
    <w:rsid w:val="00D72ADC"/>
    <w:rsid w:val="00D72BA6"/>
    <w:rsid w:val="00D7397C"/>
    <w:rsid w:val="00D73FE7"/>
    <w:rsid w:val="00D74B2C"/>
    <w:rsid w:val="00D753F1"/>
    <w:rsid w:val="00D77F1F"/>
    <w:rsid w:val="00D8005B"/>
    <w:rsid w:val="00D8163E"/>
    <w:rsid w:val="00D81CB6"/>
    <w:rsid w:val="00D82CEC"/>
    <w:rsid w:val="00D82D58"/>
    <w:rsid w:val="00D83F66"/>
    <w:rsid w:val="00D84429"/>
    <w:rsid w:val="00D84D51"/>
    <w:rsid w:val="00D85B44"/>
    <w:rsid w:val="00D8698C"/>
    <w:rsid w:val="00D86CE5"/>
    <w:rsid w:val="00D8746E"/>
    <w:rsid w:val="00D87AF6"/>
    <w:rsid w:val="00D90740"/>
    <w:rsid w:val="00D9111F"/>
    <w:rsid w:val="00D91B1D"/>
    <w:rsid w:val="00D92F1E"/>
    <w:rsid w:val="00D931D7"/>
    <w:rsid w:val="00D93AEB"/>
    <w:rsid w:val="00D951D2"/>
    <w:rsid w:val="00D9781D"/>
    <w:rsid w:val="00D97CCD"/>
    <w:rsid w:val="00DA11D1"/>
    <w:rsid w:val="00DA14A8"/>
    <w:rsid w:val="00DA23DC"/>
    <w:rsid w:val="00DA3DE4"/>
    <w:rsid w:val="00DA51AD"/>
    <w:rsid w:val="00DA7373"/>
    <w:rsid w:val="00DA73A5"/>
    <w:rsid w:val="00DB06DD"/>
    <w:rsid w:val="00DB1138"/>
    <w:rsid w:val="00DB14D0"/>
    <w:rsid w:val="00DB151A"/>
    <w:rsid w:val="00DB28B7"/>
    <w:rsid w:val="00DB3929"/>
    <w:rsid w:val="00DB40FD"/>
    <w:rsid w:val="00DB5011"/>
    <w:rsid w:val="00DB5075"/>
    <w:rsid w:val="00DB5100"/>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03D8"/>
    <w:rsid w:val="00DD16A9"/>
    <w:rsid w:val="00DD1BAB"/>
    <w:rsid w:val="00DD1DDF"/>
    <w:rsid w:val="00DD2076"/>
    <w:rsid w:val="00DD209E"/>
    <w:rsid w:val="00DD22E9"/>
    <w:rsid w:val="00DD249B"/>
    <w:rsid w:val="00DD2E59"/>
    <w:rsid w:val="00DD3B2F"/>
    <w:rsid w:val="00DD3C36"/>
    <w:rsid w:val="00DD442C"/>
    <w:rsid w:val="00DD484F"/>
    <w:rsid w:val="00DD487F"/>
    <w:rsid w:val="00DD51CB"/>
    <w:rsid w:val="00DD521D"/>
    <w:rsid w:val="00DD746E"/>
    <w:rsid w:val="00DD76CE"/>
    <w:rsid w:val="00DD7742"/>
    <w:rsid w:val="00DD7A86"/>
    <w:rsid w:val="00DD7BB6"/>
    <w:rsid w:val="00DD7EF3"/>
    <w:rsid w:val="00DE0506"/>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1971"/>
    <w:rsid w:val="00E02269"/>
    <w:rsid w:val="00E029D5"/>
    <w:rsid w:val="00E03577"/>
    <w:rsid w:val="00E0378B"/>
    <w:rsid w:val="00E03F23"/>
    <w:rsid w:val="00E05628"/>
    <w:rsid w:val="00E06A26"/>
    <w:rsid w:val="00E06AD6"/>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398B"/>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51E87"/>
    <w:rsid w:val="00E52AC3"/>
    <w:rsid w:val="00E5309B"/>
    <w:rsid w:val="00E53133"/>
    <w:rsid w:val="00E53215"/>
    <w:rsid w:val="00E53849"/>
    <w:rsid w:val="00E538D9"/>
    <w:rsid w:val="00E53D0E"/>
    <w:rsid w:val="00E53E04"/>
    <w:rsid w:val="00E54270"/>
    <w:rsid w:val="00E542AE"/>
    <w:rsid w:val="00E547ED"/>
    <w:rsid w:val="00E554A9"/>
    <w:rsid w:val="00E56197"/>
    <w:rsid w:val="00E56850"/>
    <w:rsid w:val="00E56C7A"/>
    <w:rsid w:val="00E60310"/>
    <w:rsid w:val="00E60CAE"/>
    <w:rsid w:val="00E617C1"/>
    <w:rsid w:val="00E61935"/>
    <w:rsid w:val="00E62B4D"/>
    <w:rsid w:val="00E62D70"/>
    <w:rsid w:val="00E62EB1"/>
    <w:rsid w:val="00E6358A"/>
    <w:rsid w:val="00E63CB4"/>
    <w:rsid w:val="00E64173"/>
    <w:rsid w:val="00E64263"/>
    <w:rsid w:val="00E6495B"/>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8C4"/>
    <w:rsid w:val="00E97011"/>
    <w:rsid w:val="00E97303"/>
    <w:rsid w:val="00E973E3"/>
    <w:rsid w:val="00E978B5"/>
    <w:rsid w:val="00E97D98"/>
    <w:rsid w:val="00EA0048"/>
    <w:rsid w:val="00EA0096"/>
    <w:rsid w:val="00EA0692"/>
    <w:rsid w:val="00EA0DD6"/>
    <w:rsid w:val="00EA1466"/>
    <w:rsid w:val="00EA3363"/>
    <w:rsid w:val="00EA34B8"/>
    <w:rsid w:val="00EA3E7A"/>
    <w:rsid w:val="00EA3FD8"/>
    <w:rsid w:val="00EA4330"/>
    <w:rsid w:val="00EA5EB5"/>
    <w:rsid w:val="00EA5EFF"/>
    <w:rsid w:val="00EA74CD"/>
    <w:rsid w:val="00EB196C"/>
    <w:rsid w:val="00EB2541"/>
    <w:rsid w:val="00EB2A4D"/>
    <w:rsid w:val="00EB3108"/>
    <w:rsid w:val="00EB349C"/>
    <w:rsid w:val="00EB574C"/>
    <w:rsid w:val="00EB5D91"/>
    <w:rsid w:val="00EB73AE"/>
    <w:rsid w:val="00EC014C"/>
    <w:rsid w:val="00EC07AC"/>
    <w:rsid w:val="00EC102A"/>
    <w:rsid w:val="00EC2129"/>
    <w:rsid w:val="00EC24FD"/>
    <w:rsid w:val="00EC2961"/>
    <w:rsid w:val="00EC2E15"/>
    <w:rsid w:val="00EC3354"/>
    <w:rsid w:val="00EC34DF"/>
    <w:rsid w:val="00EC3C03"/>
    <w:rsid w:val="00EC4DB9"/>
    <w:rsid w:val="00EC57DE"/>
    <w:rsid w:val="00EC66F2"/>
    <w:rsid w:val="00EC7A06"/>
    <w:rsid w:val="00EC7B7C"/>
    <w:rsid w:val="00ED12BE"/>
    <w:rsid w:val="00ED1D39"/>
    <w:rsid w:val="00ED277D"/>
    <w:rsid w:val="00ED336F"/>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C86"/>
    <w:rsid w:val="00EE2E28"/>
    <w:rsid w:val="00EE33B3"/>
    <w:rsid w:val="00EE417F"/>
    <w:rsid w:val="00EE470A"/>
    <w:rsid w:val="00EE47E7"/>
    <w:rsid w:val="00EE564A"/>
    <w:rsid w:val="00EE58BF"/>
    <w:rsid w:val="00EE6BDC"/>
    <w:rsid w:val="00EF0A7B"/>
    <w:rsid w:val="00EF132F"/>
    <w:rsid w:val="00EF1426"/>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348"/>
    <w:rsid w:val="00F0291D"/>
    <w:rsid w:val="00F029D8"/>
    <w:rsid w:val="00F02B44"/>
    <w:rsid w:val="00F04857"/>
    <w:rsid w:val="00F04D5D"/>
    <w:rsid w:val="00F067C2"/>
    <w:rsid w:val="00F0706C"/>
    <w:rsid w:val="00F07277"/>
    <w:rsid w:val="00F10DBB"/>
    <w:rsid w:val="00F1181C"/>
    <w:rsid w:val="00F125F3"/>
    <w:rsid w:val="00F12C87"/>
    <w:rsid w:val="00F14514"/>
    <w:rsid w:val="00F148B2"/>
    <w:rsid w:val="00F15C6C"/>
    <w:rsid w:val="00F16673"/>
    <w:rsid w:val="00F1779C"/>
    <w:rsid w:val="00F1780A"/>
    <w:rsid w:val="00F17D5E"/>
    <w:rsid w:val="00F17FDA"/>
    <w:rsid w:val="00F2011D"/>
    <w:rsid w:val="00F21C9A"/>
    <w:rsid w:val="00F22455"/>
    <w:rsid w:val="00F23E53"/>
    <w:rsid w:val="00F23E72"/>
    <w:rsid w:val="00F24237"/>
    <w:rsid w:val="00F2482F"/>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36BCB"/>
    <w:rsid w:val="00F370FC"/>
    <w:rsid w:val="00F40CF0"/>
    <w:rsid w:val="00F4145E"/>
    <w:rsid w:val="00F41F7F"/>
    <w:rsid w:val="00F42046"/>
    <w:rsid w:val="00F43F29"/>
    <w:rsid w:val="00F456DC"/>
    <w:rsid w:val="00F50E37"/>
    <w:rsid w:val="00F512E8"/>
    <w:rsid w:val="00F5182F"/>
    <w:rsid w:val="00F519F5"/>
    <w:rsid w:val="00F51BAE"/>
    <w:rsid w:val="00F521A6"/>
    <w:rsid w:val="00F531FC"/>
    <w:rsid w:val="00F54A4A"/>
    <w:rsid w:val="00F56637"/>
    <w:rsid w:val="00F56EAB"/>
    <w:rsid w:val="00F572B7"/>
    <w:rsid w:val="00F57407"/>
    <w:rsid w:val="00F5753F"/>
    <w:rsid w:val="00F57559"/>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5B2F"/>
    <w:rsid w:val="00FA6A77"/>
    <w:rsid w:val="00FA6B7D"/>
    <w:rsid w:val="00FB03BD"/>
    <w:rsid w:val="00FB11A0"/>
    <w:rsid w:val="00FB265B"/>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D7233"/>
    <w:rsid w:val="00FE03A0"/>
    <w:rsid w:val="00FE0DF1"/>
    <w:rsid w:val="00FE12B4"/>
    <w:rsid w:val="00FE1AD5"/>
    <w:rsid w:val="00FE1E56"/>
    <w:rsid w:val="00FE211E"/>
    <w:rsid w:val="00FE2603"/>
    <w:rsid w:val="00FE3625"/>
    <w:rsid w:val="00FE3911"/>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AB4491"/>
    <w:rsid w:val="01B53780"/>
    <w:rsid w:val="01DB3C18"/>
    <w:rsid w:val="02236824"/>
    <w:rsid w:val="028426B0"/>
    <w:rsid w:val="02885499"/>
    <w:rsid w:val="02992DB8"/>
    <w:rsid w:val="02AE35CB"/>
    <w:rsid w:val="0301696B"/>
    <w:rsid w:val="03031BA4"/>
    <w:rsid w:val="031B2597"/>
    <w:rsid w:val="037763AB"/>
    <w:rsid w:val="03AB679F"/>
    <w:rsid w:val="03D012A8"/>
    <w:rsid w:val="041222D4"/>
    <w:rsid w:val="04625CA9"/>
    <w:rsid w:val="0476464C"/>
    <w:rsid w:val="04BF387D"/>
    <w:rsid w:val="04F92F58"/>
    <w:rsid w:val="051A5AF1"/>
    <w:rsid w:val="05551C16"/>
    <w:rsid w:val="057D35B7"/>
    <w:rsid w:val="059233AC"/>
    <w:rsid w:val="0598690D"/>
    <w:rsid w:val="059B3AAE"/>
    <w:rsid w:val="05A80EFD"/>
    <w:rsid w:val="05C86530"/>
    <w:rsid w:val="05FD12F1"/>
    <w:rsid w:val="06010BB0"/>
    <w:rsid w:val="06150FA8"/>
    <w:rsid w:val="062B4BF2"/>
    <w:rsid w:val="0686670B"/>
    <w:rsid w:val="06984505"/>
    <w:rsid w:val="07054C6D"/>
    <w:rsid w:val="076013E0"/>
    <w:rsid w:val="079375B6"/>
    <w:rsid w:val="07B70998"/>
    <w:rsid w:val="07F54BC0"/>
    <w:rsid w:val="082008CE"/>
    <w:rsid w:val="084E3529"/>
    <w:rsid w:val="08724419"/>
    <w:rsid w:val="08732BE6"/>
    <w:rsid w:val="08DF221C"/>
    <w:rsid w:val="08F45FE8"/>
    <w:rsid w:val="094D23D2"/>
    <w:rsid w:val="095B20FB"/>
    <w:rsid w:val="096B180A"/>
    <w:rsid w:val="09705438"/>
    <w:rsid w:val="09933D81"/>
    <w:rsid w:val="09A04D49"/>
    <w:rsid w:val="09A815EF"/>
    <w:rsid w:val="09BF0A5F"/>
    <w:rsid w:val="09E7370B"/>
    <w:rsid w:val="09F37181"/>
    <w:rsid w:val="09FF14CE"/>
    <w:rsid w:val="0A7C48D4"/>
    <w:rsid w:val="0A800311"/>
    <w:rsid w:val="0A897CE9"/>
    <w:rsid w:val="0B6D3222"/>
    <w:rsid w:val="0BCF050F"/>
    <w:rsid w:val="0C566760"/>
    <w:rsid w:val="0C64421C"/>
    <w:rsid w:val="0CB633D9"/>
    <w:rsid w:val="0D0A5D09"/>
    <w:rsid w:val="0D12317E"/>
    <w:rsid w:val="0D521B34"/>
    <w:rsid w:val="0D533931"/>
    <w:rsid w:val="0D8060B5"/>
    <w:rsid w:val="0DFB7AC2"/>
    <w:rsid w:val="0E0A7653"/>
    <w:rsid w:val="0E7526B5"/>
    <w:rsid w:val="0EA87102"/>
    <w:rsid w:val="0F1E000F"/>
    <w:rsid w:val="0F6F5CAE"/>
    <w:rsid w:val="0FAB0FA8"/>
    <w:rsid w:val="0FE92C15"/>
    <w:rsid w:val="100168CC"/>
    <w:rsid w:val="10435247"/>
    <w:rsid w:val="10817ED7"/>
    <w:rsid w:val="10C733E0"/>
    <w:rsid w:val="10CE67C0"/>
    <w:rsid w:val="10F519F2"/>
    <w:rsid w:val="11647498"/>
    <w:rsid w:val="11BE1624"/>
    <w:rsid w:val="11BE2404"/>
    <w:rsid w:val="11D3202B"/>
    <w:rsid w:val="11DF68DF"/>
    <w:rsid w:val="11E43329"/>
    <w:rsid w:val="120454F1"/>
    <w:rsid w:val="125D0261"/>
    <w:rsid w:val="125E6002"/>
    <w:rsid w:val="12C276E5"/>
    <w:rsid w:val="12F05378"/>
    <w:rsid w:val="12FA13F5"/>
    <w:rsid w:val="130A06A1"/>
    <w:rsid w:val="132C75E5"/>
    <w:rsid w:val="1391198A"/>
    <w:rsid w:val="13B30E0B"/>
    <w:rsid w:val="142C015D"/>
    <w:rsid w:val="147439AB"/>
    <w:rsid w:val="147C5C35"/>
    <w:rsid w:val="14BA3EE0"/>
    <w:rsid w:val="14DB3B34"/>
    <w:rsid w:val="156B1BAF"/>
    <w:rsid w:val="159D60AA"/>
    <w:rsid w:val="159F4F27"/>
    <w:rsid w:val="15F54BC5"/>
    <w:rsid w:val="160E074B"/>
    <w:rsid w:val="161533F4"/>
    <w:rsid w:val="166951DF"/>
    <w:rsid w:val="16823E01"/>
    <w:rsid w:val="168A7548"/>
    <w:rsid w:val="168E35F3"/>
    <w:rsid w:val="16A55344"/>
    <w:rsid w:val="16D704B9"/>
    <w:rsid w:val="170C0021"/>
    <w:rsid w:val="174B0860"/>
    <w:rsid w:val="17637C2E"/>
    <w:rsid w:val="178072CB"/>
    <w:rsid w:val="179B12F7"/>
    <w:rsid w:val="17C41AE7"/>
    <w:rsid w:val="17C5097C"/>
    <w:rsid w:val="17CD7F2C"/>
    <w:rsid w:val="17F35790"/>
    <w:rsid w:val="17FD0542"/>
    <w:rsid w:val="18AC3253"/>
    <w:rsid w:val="18C01770"/>
    <w:rsid w:val="192E5C4E"/>
    <w:rsid w:val="19416DFD"/>
    <w:rsid w:val="194444AB"/>
    <w:rsid w:val="19503D2D"/>
    <w:rsid w:val="19B62CB0"/>
    <w:rsid w:val="1A012B5F"/>
    <w:rsid w:val="1A084772"/>
    <w:rsid w:val="1A110090"/>
    <w:rsid w:val="1A275168"/>
    <w:rsid w:val="1A4C04ED"/>
    <w:rsid w:val="1A4D7C55"/>
    <w:rsid w:val="1A5D6BD9"/>
    <w:rsid w:val="1AA33CBC"/>
    <w:rsid w:val="1ADD18E5"/>
    <w:rsid w:val="1AF91405"/>
    <w:rsid w:val="1AF95386"/>
    <w:rsid w:val="1B30632B"/>
    <w:rsid w:val="1B3D3845"/>
    <w:rsid w:val="1B531A1C"/>
    <w:rsid w:val="1B546478"/>
    <w:rsid w:val="1B773F37"/>
    <w:rsid w:val="1B7E45CC"/>
    <w:rsid w:val="1BCC4D5A"/>
    <w:rsid w:val="1BD21818"/>
    <w:rsid w:val="1BE95AA6"/>
    <w:rsid w:val="1C515DB3"/>
    <w:rsid w:val="1D2F0A85"/>
    <w:rsid w:val="1D49300A"/>
    <w:rsid w:val="1D6C20DF"/>
    <w:rsid w:val="1D950DF5"/>
    <w:rsid w:val="1DE354B6"/>
    <w:rsid w:val="1E491587"/>
    <w:rsid w:val="1EBE3259"/>
    <w:rsid w:val="1EBF464D"/>
    <w:rsid w:val="1EC16D2C"/>
    <w:rsid w:val="1EC835CB"/>
    <w:rsid w:val="1EE14F15"/>
    <w:rsid w:val="1F2C7FBC"/>
    <w:rsid w:val="1FBA6CCE"/>
    <w:rsid w:val="1FF76471"/>
    <w:rsid w:val="20046FD1"/>
    <w:rsid w:val="201574A1"/>
    <w:rsid w:val="20183540"/>
    <w:rsid w:val="201B6574"/>
    <w:rsid w:val="20822DE8"/>
    <w:rsid w:val="209B00B8"/>
    <w:rsid w:val="20CB5CFA"/>
    <w:rsid w:val="20CC07CE"/>
    <w:rsid w:val="21014A8D"/>
    <w:rsid w:val="214A5106"/>
    <w:rsid w:val="21560235"/>
    <w:rsid w:val="21913DBA"/>
    <w:rsid w:val="222416AA"/>
    <w:rsid w:val="22564C3B"/>
    <w:rsid w:val="226E18D2"/>
    <w:rsid w:val="227117F0"/>
    <w:rsid w:val="229032BC"/>
    <w:rsid w:val="22E91128"/>
    <w:rsid w:val="23283A0B"/>
    <w:rsid w:val="23345E0E"/>
    <w:rsid w:val="23CD1FB5"/>
    <w:rsid w:val="23EE4811"/>
    <w:rsid w:val="23F4633A"/>
    <w:rsid w:val="23F519CD"/>
    <w:rsid w:val="2408451B"/>
    <w:rsid w:val="24287BD3"/>
    <w:rsid w:val="24340275"/>
    <w:rsid w:val="24691523"/>
    <w:rsid w:val="24795DAD"/>
    <w:rsid w:val="248F341C"/>
    <w:rsid w:val="24983B90"/>
    <w:rsid w:val="24AC7022"/>
    <w:rsid w:val="24E21EE4"/>
    <w:rsid w:val="24F417CC"/>
    <w:rsid w:val="250658E9"/>
    <w:rsid w:val="250C0AFF"/>
    <w:rsid w:val="25CD6E0D"/>
    <w:rsid w:val="25D55E6F"/>
    <w:rsid w:val="263059F4"/>
    <w:rsid w:val="265E792E"/>
    <w:rsid w:val="26647764"/>
    <w:rsid w:val="26BE7FC3"/>
    <w:rsid w:val="26F85FDC"/>
    <w:rsid w:val="27535BB4"/>
    <w:rsid w:val="2760332F"/>
    <w:rsid w:val="27902B5C"/>
    <w:rsid w:val="27EE2546"/>
    <w:rsid w:val="28222BD0"/>
    <w:rsid w:val="28BE6AD5"/>
    <w:rsid w:val="28E46616"/>
    <w:rsid w:val="28FC2B64"/>
    <w:rsid w:val="290B52A5"/>
    <w:rsid w:val="2975179A"/>
    <w:rsid w:val="29992D97"/>
    <w:rsid w:val="29AD7DEE"/>
    <w:rsid w:val="29E83B4C"/>
    <w:rsid w:val="2A32641D"/>
    <w:rsid w:val="2A5B30DB"/>
    <w:rsid w:val="2A830702"/>
    <w:rsid w:val="2ABE5E63"/>
    <w:rsid w:val="2AFD3C60"/>
    <w:rsid w:val="2B6C1F78"/>
    <w:rsid w:val="2BA2006A"/>
    <w:rsid w:val="2BFE3890"/>
    <w:rsid w:val="2C05252B"/>
    <w:rsid w:val="2C0F4C44"/>
    <w:rsid w:val="2C2939C1"/>
    <w:rsid w:val="2C323456"/>
    <w:rsid w:val="2C8B6B16"/>
    <w:rsid w:val="2CF12614"/>
    <w:rsid w:val="2CFC5AFB"/>
    <w:rsid w:val="2D4A1A33"/>
    <w:rsid w:val="2D780DA1"/>
    <w:rsid w:val="2DD309F0"/>
    <w:rsid w:val="2DDB2055"/>
    <w:rsid w:val="2E236631"/>
    <w:rsid w:val="2E3655A5"/>
    <w:rsid w:val="2E5D662D"/>
    <w:rsid w:val="2E9A6D8E"/>
    <w:rsid w:val="2ECE67BF"/>
    <w:rsid w:val="2F136099"/>
    <w:rsid w:val="2F3B15D1"/>
    <w:rsid w:val="2FD67739"/>
    <w:rsid w:val="30830218"/>
    <w:rsid w:val="30C52AF8"/>
    <w:rsid w:val="31195BDD"/>
    <w:rsid w:val="312377B2"/>
    <w:rsid w:val="31552BA5"/>
    <w:rsid w:val="31626EEC"/>
    <w:rsid w:val="31904461"/>
    <w:rsid w:val="31991E4B"/>
    <w:rsid w:val="31BA1499"/>
    <w:rsid w:val="31E53686"/>
    <w:rsid w:val="31F22C35"/>
    <w:rsid w:val="322446D7"/>
    <w:rsid w:val="32556B94"/>
    <w:rsid w:val="327370F7"/>
    <w:rsid w:val="32862880"/>
    <w:rsid w:val="32997283"/>
    <w:rsid w:val="32B30C96"/>
    <w:rsid w:val="32E3795F"/>
    <w:rsid w:val="335761D7"/>
    <w:rsid w:val="33633134"/>
    <w:rsid w:val="336E60F4"/>
    <w:rsid w:val="339300E8"/>
    <w:rsid w:val="33C42128"/>
    <w:rsid w:val="34165AD2"/>
    <w:rsid w:val="342C1FFE"/>
    <w:rsid w:val="34D74C20"/>
    <w:rsid w:val="34DD55F3"/>
    <w:rsid w:val="353051D1"/>
    <w:rsid w:val="354624E7"/>
    <w:rsid w:val="35A317D2"/>
    <w:rsid w:val="35B92E47"/>
    <w:rsid w:val="35EC2282"/>
    <w:rsid w:val="361C2D95"/>
    <w:rsid w:val="3677286F"/>
    <w:rsid w:val="36937331"/>
    <w:rsid w:val="36963E03"/>
    <w:rsid w:val="36B55F6B"/>
    <w:rsid w:val="36C900B7"/>
    <w:rsid w:val="36F0250E"/>
    <w:rsid w:val="370D0CC0"/>
    <w:rsid w:val="37316B00"/>
    <w:rsid w:val="37396ED7"/>
    <w:rsid w:val="37E80F39"/>
    <w:rsid w:val="37F41BB3"/>
    <w:rsid w:val="38157B80"/>
    <w:rsid w:val="382F5281"/>
    <w:rsid w:val="38455D28"/>
    <w:rsid w:val="3849224A"/>
    <w:rsid w:val="38654E64"/>
    <w:rsid w:val="38CD18D2"/>
    <w:rsid w:val="39B1799E"/>
    <w:rsid w:val="3A1C3277"/>
    <w:rsid w:val="3A496F92"/>
    <w:rsid w:val="3A8C029D"/>
    <w:rsid w:val="3B3B0F7A"/>
    <w:rsid w:val="3B7D4803"/>
    <w:rsid w:val="3B9D70F7"/>
    <w:rsid w:val="3BBC0B3B"/>
    <w:rsid w:val="3BDB63DE"/>
    <w:rsid w:val="3C022718"/>
    <w:rsid w:val="3C1770DA"/>
    <w:rsid w:val="3C760D23"/>
    <w:rsid w:val="3C8F5F78"/>
    <w:rsid w:val="3CEB1852"/>
    <w:rsid w:val="3D0F5AFE"/>
    <w:rsid w:val="3D412BBC"/>
    <w:rsid w:val="3D482F03"/>
    <w:rsid w:val="3D81332B"/>
    <w:rsid w:val="3DCE17F9"/>
    <w:rsid w:val="3DD63BA2"/>
    <w:rsid w:val="3E252E76"/>
    <w:rsid w:val="3E3844DE"/>
    <w:rsid w:val="3E55777D"/>
    <w:rsid w:val="3E5D33E1"/>
    <w:rsid w:val="3E6E0EFD"/>
    <w:rsid w:val="3E743817"/>
    <w:rsid w:val="3E9E5DB4"/>
    <w:rsid w:val="3EC035FB"/>
    <w:rsid w:val="3EEB72C9"/>
    <w:rsid w:val="3F1464BB"/>
    <w:rsid w:val="3F471A10"/>
    <w:rsid w:val="3F5102FC"/>
    <w:rsid w:val="3F662721"/>
    <w:rsid w:val="3F83211A"/>
    <w:rsid w:val="3F9107FC"/>
    <w:rsid w:val="3F9F114C"/>
    <w:rsid w:val="3FBE237E"/>
    <w:rsid w:val="3FD008F7"/>
    <w:rsid w:val="3FDC2B95"/>
    <w:rsid w:val="400C28DB"/>
    <w:rsid w:val="4062059F"/>
    <w:rsid w:val="41122B16"/>
    <w:rsid w:val="416870FB"/>
    <w:rsid w:val="41912701"/>
    <w:rsid w:val="41AC52E3"/>
    <w:rsid w:val="41CE7D37"/>
    <w:rsid w:val="41D85F1B"/>
    <w:rsid w:val="41E339FE"/>
    <w:rsid w:val="41FA15A4"/>
    <w:rsid w:val="42012363"/>
    <w:rsid w:val="421835AC"/>
    <w:rsid w:val="42355F51"/>
    <w:rsid w:val="42465FDE"/>
    <w:rsid w:val="427417CC"/>
    <w:rsid w:val="42884742"/>
    <w:rsid w:val="42890273"/>
    <w:rsid w:val="42AE5AE3"/>
    <w:rsid w:val="42D03F07"/>
    <w:rsid w:val="43205265"/>
    <w:rsid w:val="435A19B8"/>
    <w:rsid w:val="436F77C0"/>
    <w:rsid w:val="439610D7"/>
    <w:rsid w:val="43A34DB1"/>
    <w:rsid w:val="43B95D26"/>
    <w:rsid w:val="43B97087"/>
    <w:rsid w:val="43C85B6C"/>
    <w:rsid w:val="44203F0E"/>
    <w:rsid w:val="444075FB"/>
    <w:rsid w:val="44717C3B"/>
    <w:rsid w:val="44BE65E0"/>
    <w:rsid w:val="44F50EFC"/>
    <w:rsid w:val="45045AC7"/>
    <w:rsid w:val="455F7633"/>
    <w:rsid w:val="457E3FDF"/>
    <w:rsid w:val="458E64E3"/>
    <w:rsid w:val="45A936D6"/>
    <w:rsid w:val="465D36F9"/>
    <w:rsid w:val="46DF0366"/>
    <w:rsid w:val="47044815"/>
    <w:rsid w:val="471D5D1F"/>
    <w:rsid w:val="472A4DB0"/>
    <w:rsid w:val="4738342D"/>
    <w:rsid w:val="47C5448F"/>
    <w:rsid w:val="48506B8D"/>
    <w:rsid w:val="486C005E"/>
    <w:rsid w:val="48BD58BF"/>
    <w:rsid w:val="48E20288"/>
    <w:rsid w:val="490B5807"/>
    <w:rsid w:val="49197452"/>
    <w:rsid w:val="49652EED"/>
    <w:rsid w:val="49732E87"/>
    <w:rsid w:val="49D2063E"/>
    <w:rsid w:val="49FF35F0"/>
    <w:rsid w:val="4A1F57D9"/>
    <w:rsid w:val="4A2D71FF"/>
    <w:rsid w:val="4A8E43FC"/>
    <w:rsid w:val="4AB15E2F"/>
    <w:rsid w:val="4B153050"/>
    <w:rsid w:val="4B582BD7"/>
    <w:rsid w:val="4B9C0EE4"/>
    <w:rsid w:val="4BC55EC0"/>
    <w:rsid w:val="4BDB4ECF"/>
    <w:rsid w:val="4BE258DE"/>
    <w:rsid w:val="4C2058DD"/>
    <w:rsid w:val="4C582B91"/>
    <w:rsid w:val="4C814C1E"/>
    <w:rsid w:val="4C856298"/>
    <w:rsid w:val="4D1F2B08"/>
    <w:rsid w:val="4D202F62"/>
    <w:rsid w:val="4D414D00"/>
    <w:rsid w:val="4D4250FA"/>
    <w:rsid w:val="4D7F25C1"/>
    <w:rsid w:val="4DCB2E58"/>
    <w:rsid w:val="4DEE4222"/>
    <w:rsid w:val="4DEF4110"/>
    <w:rsid w:val="4DF76EC4"/>
    <w:rsid w:val="4E277758"/>
    <w:rsid w:val="4E41583C"/>
    <w:rsid w:val="4E7D5B54"/>
    <w:rsid w:val="4E8004B4"/>
    <w:rsid w:val="4EA86BDB"/>
    <w:rsid w:val="4EE05226"/>
    <w:rsid w:val="4EE851A5"/>
    <w:rsid w:val="4F140B78"/>
    <w:rsid w:val="4F2518BB"/>
    <w:rsid w:val="4F5E7ECC"/>
    <w:rsid w:val="4F6C231D"/>
    <w:rsid w:val="4FA47FEB"/>
    <w:rsid w:val="50263228"/>
    <w:rsid w:val="50581F89"/>
    <w:rsid w:val="50D802B2"/>
    <w:rsid w:val="50E13A61"/>
    <w:rsid w:val="50E768C2"/>
    <w:rsid w:val="510332A5"/>
    <w:rsid w:val="51453626"/>
    <w:rsid w:val="5146382D"/>
    <w:rsid w:val="517459E7"/>
    <w:rsid w:val="518911B3"/>
    <w:rsid w:val="519604B6"/>
    <w:rsid w:val="51B93E1F"/>
    <w:rsid w:val="51BA1695"/>
    <w:rsid w:val="51CC4063"/>
    <w:rsid w:val="51FE1D3C"/>
    <w:rsid w:val="523D1809"/>
    <w:rsid w:val="528C16DA"/>
    <w:rsid w:val="52A5602D"/>
    <w:rsid w:val="52CE3B68"/>
    <w:rsid w:val="52FC2B21"/>
    <w:rsid w:val="535D2658"/>
    <w:rsid w:val="53782955"/>
    <w:rsid w:val="539D27B9"/>
    <w:rsid w:val="53AB6D1A"/>
    <w:rsid w:val="540B48F1"/>
    <w:rsid w:val="54114993"/>
    <w:rsid w:val="542D1506"/>
    <w:rsid w:val="542F516B"/>
    <w:rsid w:val="54B9674D"/>
    <w:rsid w:val="54C52B79"/>
    <w:rsid w:val="54F24A86"/>
    <w:rsid w:val="553118B0"/>
    <w:rsid w:val="5548424A"/>
    <w:rsid w:val="559001B2"/>
    <w:rsid w:val="55B2291D"/>
    <w:rsid w:val="5609005D"/>
    <w:rsid w:val="56502D1C"/>
    <w:rsid w:val="565616CF"/>
    <w:rsid w:val="568D06DF"/>
    <w:rsid w:val="56B14CDE"/>
    <w:rsid w:val="56CC59F9"/>
    <w:rsid w:val="576E2CF5"/>
    <w:rsid w:val="58290EC7"/>
    <w:rsid w:val="58507B2C"/>
    <w:rsid w:val="58AC24B2"/>
    <w:rsid w:val="58B87927"/>
    <w:rsid w:val="58BB0954"/>
    <w:rsid w:val="58D60A67"/>
    <w:rsid w:val="5907399F"/>
    <w:rsid w:val="593144FC"/>
    <w:rsid w:val="593E5E46"/>
    <w:rsid w:val="59530660"/>
    <w:rsid w:val="59662F67"/>
    <w:rsid w:val="5A0E2665"/>
    <w:rsid w:val="5A1C3CD4"/>
    <w:rsid w:val="5A362FB0"/>
    <w:rsid w:val="5A521EF4"/>
    <w:rsid w:val="5A5B76C5"/>
    <w:rsid w:val="5A6D682C"/>
    <w:rsid w:val="5AEB3B33"/>
    <w:rsid w:val="5AF17991"/>
    <w:rsid w:val="5B3B15CF"/>
    <w:rsid w:val="5B5C53ED"/>
    <w:rsid w:val="5B72246E"/>
    <w:rsid w:val="5B7347E8"/>
    <w:rsid w:val="5B8A1F98"/>
    <w:rsid w:val="5BCE38F5"/>
    <w:rsid w:val="5BDC60C9"/>
    <w:rsid w:val="5C4E49A2"/>
    <w:rsid w:val="5C5408DC"/>
    <w:rsid w:val="5C725E17"/>
    <w:rsid w:val="5C7F7496"/>
    <w:rsid w:val="5C9F22D2"/>
    <w:rsid w:val="5CBA5771"/>
    <w:rsid w:val="5CCA218F"/>
    <w:rsid w:val="5CCA5A2B"/>
    <w:rsid w:val="5D1A42DE"/>
    <w:rsid w:val="5D4221F0"/>
    <w:rsid w:val="5D690CC4"/>
    <w:rsid w:val="5D8456FE"/>
    <w:rsid w:val="5DA70C1F"/>
    <w:rsid w:val="5E057968"/>
    <w:rsid w:val="5EA270D1"/>
    <w:rsid w:val="5EA82DB6"/>
    <w:rsid w:val="5EA90FD9"/>
    <w:rsid w:val="5F001790"/>
    <w:rsid w:val="5F112FEA"/>
    <w:rsid w:val="5F726888"/>
    <w:rsid w:val="5F751977"/>
    <w:rsid w:val="600913B2"/>
    <w:rsid w:val="60754BB7"/>
    <w:rsid w:val="60764CF9"/>
    <w:rsid w:val="609160BF"/>
    <w:rsid w:val="609163EC"/>
    <w:rsid w:val="610A32A7"/>
    <w:rsid w:val="613E4824"/>
    <w:rsid w:val="6146422C"/>
    <w:rsid w:val="61552F0D"/>
    <w:rsid w:val="61786A45"/>
    <w:rsid w:val="618D4CD1"/>
    <w:rsid w:val="61B8661C"/>
    <w:rsid w:val="61C72EAB"/>
    <w:rsid w:val="61DC549C"/>
    <w:rsid w:val="61DC63F3"/>
    <w:rsid w:val="62097ACE"/>
    <w:rsid w:val="620B111A"/>
    <w:rsid w:val="620B22C0"/>
    <w:rsid w:val="62120667"/>
    <w:rsid w:val="623E7551"/>
    <w:rsid w:val="624A5543"/>
    <w:rsid w:val="62783EB1"/>
    <w:rsid w:val="62E00992"/>
    <w:rsid w:val="62FB32C7"/>
    <w:rsid w:val="63091291"/>
    <w:rsid w:val="632B1961"/>
    <w:rsid w:val="63462E7A"/>
    <w:rsid w:val="63AC6F8D"/>
    <w:rsid w:val="63CA6489"/>
    <w:rsid w:val="63E35D12"/>
    <w:rsid w:val="63FE4EB5"/>
    <w:rsid w:val="64014D19"/>
    <w:rsid w:val="640749E9"/>
    <w:rsid w:val="64486DFF"/>
    <w:rsid w:val="64522A2D"/>
    <w:rsid w:val="645C08F1"/>
    <w:rsid w:val="648A47B6"/>
    <w:rsid w:val="648F4E80"/>
    <w:rsid w:val="649C015F"/>
    <w:rsid w:val="65676711"/>
    <w:rsid w:val="65D86E7B"/>
    <w:rsid w:val="66F74058"/>
    <w:rsid w:val="670B0904"/>
    <w:rsid w:val="671F6FDB"/>
    <w:rsid w:val="67372716"/>
    <w:rsid w:val="6742100C"/>
    <w:rsid w:val="675E4D8F"/>
    <w:rsid w:val="676F4F44"/>
    <w:rsid w:val="679720DB"/>
    <w:rsid w:val="67BB3C02"/>
    <w:rsid w:val="68127CA1"/>
    <w:rsid w:val="68462EA0"/>
    <w:rsid w:val="68542E83"/>
    <w:rsid w:val="68A13454"/>
    <w:rsid w:val="68AB2F47"/>
    <w:rsid w:val="69300193"/>
    <w:rsid w:val="696A383B"/>
    <w:rsid w:val="69AA5C07"/>
    <w:rsid w:val="6A6754CD"/>
    <w:rsid w:val="6A7F2D26"/>
    <w:rsid w:val="6A945A9B"/>
    <w:rsid w:val="6AEA2988"/>
    <w:rsid w:val="6B155834"/>
    <w:rsid w:val="6B655C57"/>
    <w:rsid w:val="6BE10C67"/>
    <w:rsid w:val="6C0471DA"/>
    <w:rsid w:val="6C1D0AF1"/>
    <w:rsid w:val="6C490484"/>
    <w:rsid w:val="6C7A7447"/>
    <w:rsid w:val="6CA874F3"/>
    <w:rsid w:val="6CB12446"/>
    <w:rsid w:val="6CC429BE"/>
    <w:rsid w:val="6CD5347D"/>
    <w:rsid w:val="6CF55FCB"/>
    <w:rsid w:val="6D1C038D"/>
    <w:rsid w:val="6D777B45"/>
    <w:rsid w:val="6DD0636B"/>
    <w:rsid w:val="6E033242"/>
    <w:rsid w:val="6E0501EE"/>
    <w:rsid w:val="6E450AE0"/>
    <w:rsid w:val="6E636E1D"/>
    <w:rsid w:val="6EA6448C"/>
    <w:rsid w:val="6EB159C7"/>
    <w:rsid w:val="6EC05B55"/>
    <w:rsid w:val="6EE22B3C"/>
    <w:rsid w:val="6EE460F8"/>
    <w:rsid w:val="6EE557C2"/>
    <w:rsid w:val="6F0C033D"/>
    <w:rsid w:val="6F25742D"/>
    <w:rsid w:val="6F5748DD"/>
    <w:rsid w:val="6F6A455F"/>
    <w:rsid w:val="6F760B24"/>
    <w:rsid w:val="6F870C7B"/>
    <w:rsid w:val="6FF96E03"/>
    <w:rsid w:val="700B3712"/>
    <w:rsid w:val="703B084C"/>
    <w:rsid w:val="70446FFB"/>
    <w:rsid w:val="70B70481"/>
    <w:rsid w:val="70CF6D65"/>
    <w:rsid w:val="714B4E0A"/>
    <w:rsid w:val="714F726A"/>
    <w:rsid w:val="71536D72"/>
    <w:rsid w:val="71D92F74"/>
    <w:rsid w:val="71FF6C48"/>
    <w:rsid w:val="721232F7"/>
    <w:rsid w:val="7214068D"/>
    <w:rsid w:val="723F744B"/>
    <w:rsid w:val="72876DEB"/>
    <w:rsid w:val="72C82DDB"/>
    <w:rsid w:val="72CE307C"/>
    <w:rsid w:val="73213242"/>
    <w:rsid w:val="73697151"/>
    <w:rsid w:val="736C0658"/>
    <w:rsid w:val="73A9032A"/>
    <w:rsid w:val="73D5196F"/>
    <w:rsid w:val="73E423CC"/>
    <w:rsid w:val="74167F9E"/>
    <w:rsid w:val="742B41E8"/>
    <w:rsid w:val="745E2689"/>
    <w:rsid w:val="747F5537"/>
    <w:rsid w:val="74CC073A"/>
    <w:rsid w:val="75315330"/>
    <w:rsid w:val="753A7791"/>
    <w:rsid w:val="75401780"/>
    <w:rsid w:val="758458C3"/>
    <w:rsid w:val="75F72551"/>
    <w:rsid w:val="760826FB"/>
    <w:rsid w:val="767A627F"/>
    <w:rsid w:val="76847F75"/>
    <w:rsid w:val="76970BE9"/>
    <w:rsid w:val="76C02781"/>
    <w:rsid w:val="770E70A0"/>
    <w:rsid w:val="771A6FC1"/>
    <w:rsid w:val="771C4BF4"/>
    <w:rsid w:val="77737DB9"/>
    <w:rsid w:val="777C2CA0"/>
    <w:rsid w:val="778B254E"/>
    <w:rsid w:val="77900E7D"/>
    <w:rsid w:val="77FC0056"/>
    <w:rsid w:val="7814331D"/>
    <w:rsid w:val="7872717E"/>
    <w:rsid w:val="78C75A4F"/>
    <w:rsid w:val="791F21A9"/>
    <w:rsid w:val="79567599"/>
    <w:rsid w:val="795B7B3E"/>
    <w:rsid w:val="7966432C"/>
    <w:rsid w:val="796E15D8"/>
    <w:rsid w:val="79A75BED"/>
    <w:rsid w:val="79B77AFD"/>
    <w:rsid w:val="7A441E7C"/>
    <w:rsid w:val="7A4C7CF2"/>
    <w:rsid w:val="7A9A1EA4"/>
    <w:rsid w:val="7AA0261E"/>
    <w:rsid w:val="7AAF4DD9"/>
    <w:rsid w:val="7ABA4E4E"/>
    <w:rsid w:val="7AFD5EEC"/>
    <w:rsid w:val="7B043B11"/>
    <w:rsid w:val="7B127A63"/>
    <w:rsid w:val="7B1A2C8D"/>
    <w:rsid w:val="7B230DB1"/>
    <w:rsid w:val="7B6B270A"/>
    <w:rsid w:val="7B6D3913"/>
    <w:rsid w:val="7B866893"/>
    <w:rsid w:val="7BBC5AB7"/>
    <w:rsid w:val="7BBE3A01"/>
    <w:rsid w:val="7BCD6BDC"/>
    <w:rsid w:val="7C880AB1"/>
    <w:rsid w:val="7CAB1C8C"/>
    <w:rsid w:val="7CAF07D5"/>
    <w:rsid w:val="7CEE69CA"/>
    <w:rsid w:val="7D374FCD"/>
    <w:rsid w:val="7D3A13EE"/>
    <w:rsid w:val="7D424EAA"/>
    <w:rsid w:val="7D464CFB"/>
    <w:rsid w:val="7D53317C"/>
    <w:rsid w:val="7DD341AE"/>
    <w:rsid w:val="7DD71392"/>
    <w:rsid w:val="7DE95CAF"/>
    <w:rsid w:val="7DF56AEA"/>
    <w:rsid w:val="7E13557A"/>
    <w:rsid w:val="7E18219E"/>
    <w:rsid w:val="7E206EC8"/>
    <w:rsid w:val="7E286A6E"/>
    <w:rsid w:val="7E490FDF"/>
    <w:rsid w:val="7E750D36"/>
    <w:rsid w:val="7EA94C29"/>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34"/>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3"/>
    <w:basedOn w:val="1"/>
    <w:next w:val="1"/>
    <w:link w:val="40"/>
    <w:qFormat/>
    <w:uiPriority w:val="9"/>
    <w:pPr>
      <w:keepNext/>
      <w:keepLines/>
      <w:spacing w:before="260" w:after="260" w:line="416" w:lineRule="auto"/>
      <w:outlineLvl w:val="2"/>
    </w:pPr>
    <w:rPr>
      <w:b/>
      <w:bCs/>
      <w:sz w:val="32"/>
      <w:szCs w:val="32"/>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7"/>
    <w:qFormat/>
    <w:uiPriority w:val="0"/>
    <w:pPr>
      <w:spacing w:line="200" w:lineRule="atLeast"/>
      <w:ind w:firstLine="301"/>
    </w:pPr>
    <w:rPr>
      <w:rFonts w:ascii="宋体" w:hAnsi="Courier New"/>
      <w:spacing w:val="-4"/>
      <w:sz w:val="18"/>
      <w:szCs w:val="20"/>
      <w:lang w:val="zh-CN"/>
    </w:rPr>
  </w:style>
  <w:style w:type="paragraph" w:styleId="6">
    <w:name w:val="List Number"/>
    <w:basedOn w:val="1"/>
    <w:qFormat/>
    <w:uiPriority w:val="0"/>
    <w:pPr>
      <w:widowControl/>
      <w:tabs>
        <w:tab w:val="left" w:pos="454"/>
      </w:tabs>
      <w:spacing w:after="156" w:afterLines="50"/>
      <w:ind w:left="454" w:hanging="284"/>
      <w:jc w:val="left"/>
    </w:pPr>
    <w:rPr>
      <w:kern w:val="0"/>
      <w:sz w:val="24"/>
      <w:szCs w:val="20"/>
    </w:rPr>
  </w:style>
  <w:style w:type="paragraph" w:styleId="7">
    <w:name w:val="Normal Indent"/>
    <w:basedOn w:val="1"/>
    <w:link w:val="35"/>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62"/>
    <w:unhideWhenUsed/>
    <w:qFormat/>
    <w:uiPriority w:val="99"/>
    <w:rPr>
      <w:rFonts w:ascii="宋体"/>
      <w:sz w:val="18"/>
      <w:szCs w:val="18"/>
      <w:lang w:val="zh-CN"/>
    </w:rPr>
  </w:style>
  <w:style w:type="paragraph" w:styleId="10">
    <w:name w:val="annotation text"/>
    <w:basedOn w:val="1"/>
    <w:link w:val="56"/>
    <w:unhideWhenUsed/>
    <w:qFormat/>
    <w:uiPriority w:val="99"/>
    <w:pPr>
      <w:jc w:val="left"/>
    </w:pPr>
    <w:rPr>
      <w:lang w:val="zh-CN"/>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64"/>
    <w:qFormat/>
    <w:uiPriority w:val="99"/>
    <w:pPr>
      <w:spacing w:before="156" w:beforeLines="50" w:after="156" w:afterLines="50" w:line="400" w:lineRule="atLeast"/>
    </w:pPr>
    <w:rPr>
      <w:rFonts w:ascii="宋体" w:hAnsi="Courier New"/>
      <w:sz w:val="24"/>
      <w:lang w:val="zh-CN"/>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69"/>
    <w:qFormat/>
    <w:uiPriority w:val="99"/>
    <w:pPr>
      <w:tabs>
        <w:tab w:val="center" w:pos="4153"/>
        <w:tab w:val="right" w:pos="8306"/>
      </w:tabs>
      <w:snapToGrid w:val="0"/>
      <w:jc w:val="left"/>
    </w:pPr>
    <w:rPr>
      <w:sz w:val="18"/>
      <w:szCs w:val="18"/>
      <w:lang w:val="zh-CN"/>
    </w:rPr>
  </w:style>
  <w:style w:type="paragraph" w:styleId="16">
    <w:name w:val="header"/>
    <w:basedOn w:val="1"/>
    <w:link w:val="46"/>
    <w:qFormat/>
    <w:uiPriority w:val="99"/>
    <w:pPr>
      <w:tabs>
        <w:tab w:val="center" w:pos="4153"/>
        <w:tab w:val="right" w:pos="8306"/>
      </w:tabs>
      <w:snapToGrid w:val="0"/>
      <w:jc w:val="center"/>
    </w:pPr>
    <w:rPr>
      <w:sz w:val="18"/>
      <w:szCs w:val="18"/>
      <w:lang w:val="zh-CN"/>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19">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10"/>
    <w:next w:val="10"/>
    <w:link w:val="52"/>
    <w:unhideWhenUsed/>
    <w:qFormat/>
    <w:uiPriority w:val="99"/>
    <w:rPr>
      <w:b/>
      <w:bCs/>
    </w:rPr>
  </w:style>
  <w:style w:type="paragraph" w:styleId="21">
    <w:name w:val="Body Text First Indent 2"/>
    <w:basedOn w:val="2"/>
    <w:unhideWhenUsed/>
    <w:qFormat/>
    <w:uiPriority w:val="99"/>
    <w:pPr>
      <w:ind w:firstLine="42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TML Definition"/>
    <w:unhideWhenUsed/>
    <w:qFormat/>
    <w:uiPriority w:val="99"/>
    <w:rPr>
      <w:i/>
    </w:rPr>
  </w:style>
  <w:style w:type="character" w:styleId="28">
    <w:name w:val="Hyperlink"/>
    <w:qFormat/>
    <w:uiPriority w:val="0"/>
    <w:rPr>
      <w:color w:val="5579A7"/>
      <w:u w:val="none"/>
    </w:rPr>
  </w:style>
  <w:style w:type="character" w:styleId="29">
    <w:name w:val="HTML Code"/>
    <w:unhideWhenUsed/>
    <w:qFormat/>
    <w:uiPriority w:val="99"/>
    <w:rPr>
      <w:rFonts w:ascii="-apple-system" w:hAnsi="-apple-system" w:eastAsia="-apple-system" w:cs="-apple-system"/>
      <w:sz w:val="21"/>
      <w:szCs w:val="21"/>
    </w:rPr>
  </w:style>
  <w:style w:type="character" w:styleId="30">
    <w:name w:val="annotation reference"/>
    <w:unhideWhenUsed/>
    <w:qFormat/>
    <w:uiPriority w:val="99"/>
    <w:rPr>
      <w:sz w:val="21"/>
      <w:szCs w:val="21"/>
    </w:rPr>
  </w:style>
  <w:style w:type="character" w:styleId="31">
    <w:name w:val="HTML Keyboard"/>
    <w:unhideWhenUsed/>
    <w:qFormat/>
    <w:uiPriority w:val="99"/>
    <w:rPr>
      <w:rFonts w:hint="default" w:ascii="-apple-system" w:hAnsi="-apple-system" w:eastAsia="-apple-system" w:cs="-apple-system"/>
      <w:sz w:val="21"/>
      <w:szCs w:val="21"/>
    </w:rPr>
  </w:style>
  <w:style w:type="character" w:styleId="32">
    <w:name w:val="HTML Sample"/>
    <w:unhideWhenUsed/>
    <w:qFormat/>
    <w:uiPriority w:val="99"/>
    <w:rPr>
      <w:rFonts w:hint="default" w:ascii="-apple-system" w:hAnsi="-apple-system" w:eastAsia="-apple-system" w:cs="-apple-system"/>
      <w:sz w:val="21"/>
      <w:szCs w:val="21"/>
    </w:rPr>
  </w:style>
  <w:style w:type="character" w:customStyle="1" w:styleId="33">
    <w:name w:val="已访问的超链接1"/>
    <w:unhideWhenUsed/>
    <w:qFormat/>
    <w:uiPriority w:val="99"/>
    <w:rPr>
      <w:color w:val="5579A7"/>
      <w:u w:val="none"/>
    </w:rPr>
  </w:style>
  <w:style w:type="character" w:customStyle="1" w:styleId="34">
    <w:name w:val="标题 2 Char"/>
    <w:link w:val="4"/>
    <w:semiHidden/>
    <w:qFormat/>
    <w:uiPriority w:val="9"/>
    <w:rPr>
      <w:rFonts w:ascii="Cambria" w:hAnsi="Cambria" w:eastAsia="宋体" w:cs="Times New Roman"/>
      <w:b/>
      <w:bCs/>
      <w:kern w:val="2"/>
      <w:sz w:val="32"/>
      <w:szCs w:val="32"/>
    </w:rPr>
  </w:style>
  <w:style w:type="character" w:customStyle="1" w:styleId="35">
    <w:name w:val="正文缩进 Char"/>
    <w:link w:val="7"/>
    <w:qFormat/>
    <w:uiPriority w:val="0"/>
    <w:rPr>
      <w:rFonts w:eastAsia="宋体"/>
      <w:kern w:val="2"/>
      <w:sz w:val="21"/>
      <w:lang w:val="en-US" w:eastAsia="zh-CN" w:bidi="ar-SA"/>
    </w:rPr>
  </w:style>
  <w:style w:type="character" w:customStyle="1" w:styleId="36">
    <w:name w:val="sub_title s0"/>
    <w:basedOn w:val="24"/>
    <w:qFormat/>
    <w:uiPriority w:val="0"/>
  </w:style>
  <w:style w:type="character" w:customStyle="1" w:styleId="37">
    <w:name w:val="正文文本缩进 Char"/>
    <w:link w:val="2"/>
    <w:qFormat/>
    <w:uiPriority w:val="0"/>
    <w:rPr>
      <w:rFonts w:ascii="宋体" w:hAnsi="Courier New"/>
      <w:spacing w:val="-4"/>
      <w:kern w:val="2"/>
      <w:sz w:val="18"/>
    </w:rPr>
  </w:style>
  <w:style w:type="character" w:customStyle="1" w:styleId="38">
    <w:name w:val="z-窗体顶端 Char"/>
    <w:link w:val="39"/>
    <w:semiHidden/>
    <w:qFormat/>
    <w:uiPriority w:val="99"/>
    <w:rPr>
      <w:rFonts w:ascii="Arial" w:hAnsi="Arial"/>
      <w:vanish/>
      <w:sz w:val="16"/>
      <w:szCs w:val="16"/>
    </w:rPr>
  </w:style>
  <w:style w:type="paragraph" w:customStyle="1" w:styleId="39">
    <w:name w:val="z-窗体顶端1"/>
    <w:basedOn w:val="1"/>
    <w:next w:val="1"/>
    <w:link w:val="38"/>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40">
    <w:name w:val="标题 3 Char"/>
    <w:link w:val="5"/>
    <w:semiHidden/>
    <w:qFormat/>
    <w:uiPriority w:val="9"/>
    <w:rPr>
      <w:b/>
      <w:bCs/>
      <w:kern w:val="2"/>
      <w:sz w:val="32"/>
      <w:szCs w:val="32"/>
    </w:rPr>
  </w:style>
  <w:style w:type="character" w:customStyle="1" w:styleId="41">
    <w:name w:val="hover9"/>
    <w:qFormat/>
    <w:uiPriority w:val="0"/>
    <w:rPr>
      <w:shd w:val="clear" w:color="auto" w:fill="EEEEEE"/>
    </w:rPr>
  </w:style>
  <w:style w:type="character" w:customStyle="1" w:styleId="42">
    <w:name w:val="纯文本 字符"/>
    <w:qFormat/>
    <w:uiPriority w:val="99"/>
    <w:rPr>
      <w:rFonts w:ascii="宋体" w:hAnsi="Courier New"/>
      <w:kern w:val="2"/>
      <w:sz w:val="24"/>
      <w:szCs w:val="24"/>
    </w:rPr>
  </w:style>
  <w:style w:type="character" w:customStyle="1" w:styleId="43">
    <w:name w:val="jbox-icon"/>
    <w:basedOn w:val="24"/>
    <w:qFormat/>
    <w:uiPriority w:val="0"/>
  </w:style>
  <w:style w:type="character" w:customStyle="1" w:styleId="44">
    <w:name w:val="old"/>
    <w:qFormat/>
    <w:uiPriority w:val="0"/>
    <w:rPr>
      <w:color w:val="999999"/>
    </w:rPr>
  </w:style>
  <w:style w:type="character" w:customStyle="1" w:styleId="45">
    <w:name w:val="jbox-icon-none"/>
    <w:qFormat/>
    <w:uiPriority w:val="0"/>
    <w:rPr>
      <w:vanish/>
    </w:rPr>
  </w:style>
  <w:style w:type="character" w:customStyle="1" w:styleId="46">
    <w:name w:val="页眉 Char"/>
    <w:link w:val="16"/>
    <w:qFormat/>
    <w:uiPriority w:val="99"/>
    <w:rPr>
      <w:kern w:val="2"/>
      <w:sz w:val="18"/>
      <w:szCs w:val="18"/>
    </w:rPr>
  </w:style>
  <w:style w:type="character" w:customStyle="1" w:styleId="47">
    <w:name w:val="z-窗体底端 Char"/>
    <w:link w:val="48"/>
    <w:semiHidden/>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49">
    <w:name w:val="标题 1 Char"/>
    <w:link w:val="3"/>
    <w:qFormat/>
    <w:uiPriority w:val="9"/>
    <w:rPr>
      <w:b/>
      <w:bCs/>
      <w:kern w:val="44"/>
      <w:sz w:val="44"/>
      <w:szCs w:val="44"/>
    </w:rPr>
  </w:style>
  <w:style w:type="character" w:customStyle="1" w:styleId="50">
    <w:name w:val="纯文本 字符2"/>
    <w:qFormat/>
    <w:uiPriority w:val="99"/>
    <w:rPr>
      <w:rFonts w:ascii="宋体" w:hAnsi="Courier New"/>
      <w:kern w:val="2"/>
      <w:sz w:val="24"/>
      <w:szCs w:val="24"/>
    </w:rPr>
  </w:style>
  <w:style w:type="character" w:customStyle="1" w:styleId="51">
    <w:name w:val="maywed421"/>
    <w:qFormat/>
    <w:uiPriority w:val="0"/>
    <w:rPr>
      <w:color w:val="366FB6"/>
      <w:u w:val="none"/>
    </w:rPr>
  </w:style>
  <w:style w:type="character" w:customStyle="1" w:styleId="52">
    <w:name w:val="批注主题 Char"/>
    <w:link w:val="20"/>
    <w:semiHidden/>
    <w:qFormat/>
    <w:uiPriority w:val="99"/>
    <w:rPr>
      <w:b/>
      <w:bCs/>
      <w:kern w:val="2"/>
      <w:sz w:val="28"/>
      <w:szCs w:val="24"/>
    </w:rPr>
  </w:style>
  <w:style w:type="character" w:customStyle="1" w:styleId="53">
    <w:name w:val="jbox-icon-warning"/>
    <w:basedOn w:val="24"/>
    <w:qFormat/>
    <w:uiPriority w:val="0"/>
  </w:style>
  <w:style w:type="character" w:customStyle="1" w:styleId="54">
    <w:name w:val="jbox-icon-error"/>
    <w:basedOn w:val="24"/>
    <w:qFormat/>
    <w:uiPriority w:val="0"/>
  </w:style>
  <w:style w:type="character" w:customStyle="1" w:styleId="55">
    <w:name w:val="jbox-icon-question"/>
    <w:basedOn w:val="24"/>
    <w:qFormat/>
    <w:uiPriority w:val="0"/>
  </w:style>
  <w:style w:type="character" w:customStyle="1" w:styleId="56">
    <w:name w:val="批注文字 Char"/>
    <w:link w:val="10"/>
    <w:qFormat/>
    <w:uiPriority w:val="99"/>
    <w:rPr>
      <w:kern w:val="2"/>
      <w:sz w:val="28"/>
      <w:szCs w:val="24"/>
    </w:rPr>
  </w:style>
  <w:style w:type="character" w:customStyle="1" w:styleId="57">
    <w:name w:val="hour_pm"/>
    <w:basedOn w:val="24"/>
    <w:qFormat/>
    <w:uiPriority w:val="0"/>
  </w:style>
  <w:style w:type="character" w:customStyle="1" w:styleId="58">
    <w:name w:val="jbox-icon-loading"/>
    <w:basedOn w:val="24"/>
    <w:qFormat/>
    <w:uiPriority w:val="0"/>
  </w:style>
  <w:style w:type="character" w:customStyle="1" w:styleId="59">
    <w:name w:val="标题 1 Char Char"/>
    <w:qFormat/>
    <w:uiPriority w:val="0"/>
    <w:rPr>
      <w:rFonts w:eastAsia="宋体"/>
      <w:b/>
      <w:spacing w:val="-2"/>
      <w:sz w:val="24"/>
      <w:lang w:val="en-US" w:eastAsia="zh-CN" w:bidi="ar-SA"/>
    </w:rPr>
  </w:style>
  <w:style w:type="character" w:customStyle="1" w:styleId="60">
    <w:name w:val="jbox-icon-info"/>
    <w:basedOn w:val="24"/>
    <w:qFormat/>
    <w:uiPriority w:val="0"/>
  </w:style>
  <w:style w:type="character" w:customStyle="1" w:styleId="61">
    <w:name w:val="纯文本 Char"/>
    <w:qFormat/>
    <w:uiPriority w:val="99"/>
    <w:rPr>
      <w:rFonts w:ascii="宋体" w:hAnsi="Courier New"/>
      <w:kern w:val="2"/>
      <w:sz w:val="24"/>
      <w:szCs w:val="24"/>
    </w:rPr>
  </w:style>
  <w:style w:type="character" w:customStyle="1" w:styleId="62">
    <w:name w:val="文档结构图 Char"/>
    <w:link w:val="9"/>
    <w:semiHidden/>
    <w:qFormat/>
    <w:uiPriority w:val="99"/>
    <w:rPr>
      <w:rFonts w:ascii="宋体"/>
      <w:kern w:val="2"/>
      <w:sz w:val="18"/>
      <w:szCs w:val="18"/>
    </w:rPr>
  </w:style>
  <w:style w:type="character" w:customStyle="1" w:styleId="63">
    <w:name w:val="black601"/>
    <w:qFormat/>
    <w:uiPriority w:val="0"/>
    <w:rPr>
      <w:color w:val="666666"/>
    </w:rPr>
  </w:style>
  <w:style w:type="character" w:customStyle="1" w:styleId="64">
    <w:name w:val="纯文本 Char2"/>
    <w:link w:val="12"/>
    <w:qFormat/>
    <w:uiPriority w:val="99"/>
    <w:rPr>
      <w:rFonts w:ascii="宋体" w:hAnsi="Courier New"/>
      <w:kern w:val="2"/>
      <w:sz w:val="24"/>
      <w:szCs w:val="24"/>
    </w:rPr>
  </w:style>
  <w:style w:type="character" w:customStyle="1" w:styleId="65">
    <w:name w:val="纯文本 Char1"/>
    <w:qFormat/>
    <w:uiPriority w:val="0"/>
    <w:rPr>
      <w:rFonts w:ascii="宋体" w:hAnsi="Courier New"/>
      <w:kern w:val="2"/>
      <w:sz w:val="21"/>
    </w:rPr>
  </w:style>
  <w:style w:type="character" w:customStyle="1" w:styleId="66">
    <w:name w:val="hour_am"/>
    <w:basedOn w:val="24"/>
    <w:qFormat/>
    <w:uiPriority w:val="0"/>
  </w:style>
  <w:style w:type="character" w:customStyle="1" w:styleId="67">
    <w:name w:val="jbox-icon-success"/>
    <w:basedOn w:val="24"/>
    <w:qFormat/>
    <w:uiPriority w:val="0"/>
  </w:style>
  <w:style w:type="character" w:customStyle="1" w:styleId="68">
    <w:name w:val="正文文本缩进 字符1"/>
    <w:qFormat/>
    <w:uiPriority w:val="0"/>
    <w:rPr>
      <w:rFonts w:ascii="宋体" w:hAnsi="Courier New"/>
      <w:spacing w:val="-4"/>
      <w:kern w:val="2"/>
      <w:sz w:val="18"/>
    </w:rPr>
  </w:style>
  <w:style w:type="character" w:customStyle="1" w:styleId="69">
    <w:name w:val="页脚 Char"/>
    <w:link w:val="15"/>
    <w:qFormat/>
    <w:uiPriority w:val="99"/>
    <w:rPr>
      <w:kern w:val="2"/>
      <w:sz w:val="18"/>
      <w:szCs w:val="18"/>
    </w:rPr>
  </w:style>
  <w:style w:type="character" w:customStyle="1" w:styleId="70">
    <w:name w:val="正文文本缩进 字符"/>
    <w:qFormat/>
    <w:uiPriority w:val="0"/>
    <w:rPr>
      <w:rFonts w:ascii="宋体" w:hAnsi="Courier New"/>
      <w:spacing w:val="-4"/>
      <w:kern w:val="2"/>
      <w:sz w:val="18"/>
    </w:rPr>
  </w:style>
  <w:style w:type="paragraph" w:customStyle="1" w:styleId="71">
    <w:name w:val="Default"/>
    <w:next w:val="7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2">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此正文"/>
    <w:basedOn w:val="1"/>
    <w:qFormat/>
    <w:uiPriority w:val="0"/>
    <w:pPr>
      <w:spacing w:line="360" w:lineRule="auto"/>
      <w:ind w:firstLine="200" w:firstLineChars="200"/>
    </w:pPr>
    <w:rPr>
      <w:sz w:val="24"/>
    </w:rPr>
  </w:style>
  <w:style w:type="paragraph" w:customStyle="1" w:styleId="74">
    <w:name w:val="正文段"/>
    <w:basedOn w:val="1"/>
    <w:qFormat/>
    <w:uiPriority w:val="0"/>
    <w:pPr>
      <w:widowControl/>
      <w:snapToGrid w:val="0"/>
      <w:spacing w:after="156" w:afterLines="50"/>
      <w:ind w:firstLine="200" w:firstLineChars="200"/>
    </w:pPr>
    <w:rPr>
      <w:kern w:val="0"/>
      <w:sz w:val="24"/>
      <w:szCs w:val="20"/>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2"/>
    <w:basedOn w:val="1"/>
    <w:qFormat/>
    <w:uiPriority w:val="0"/>
    <w:pPr>
      <w:spacing w:before="156" w:line="360" w:lineRule="auto"/>
      <w:ind w:firstLine="510" w:firstLineChars="200"/>
    </w:pPr>
    <w:rPr>
      <w:sz w:val="24"/>
      <w:szCs w:val="20"/>
    </w:rPr>
  </w:style>
  <w:style w:type="paragraph" w:customStyle="1" w:styleId="78">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4">
    <w:name w:val="标题 10"/>
    <w:basedOn w:val="4"/>
    <w:qFormat/>
    <w:uiPriority w:val="0"/>
    <w:pPr>
      <w:jc w:val="center"/>
    </w:pPr>
    <w:rPr>
      <w:kern w:val="0"/>
    </w:rPr>
  </w:style>
  <w:style w:type="paragraph" w:customStyle="1" w:styleId="85">
    <w:name w:val="List Paragraph1"/>
    <w:basedOn w:val="1"/>
    <w:qFormat/>
    <w:uiPriority w:val="0"/>
    <w:pPr>
      <w:ind w:firstLine="420" w:firstLineChars="200"/>
    </w:pPr>
    <w:rPr>
      <w:sz w:val="21"/>
    </w:rPr>
  </w:style>
  <w:style w:type="paragraph" w:customStyle="1" w:styleId="8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彩色列表 - 强调文字颜色 11"/>
    <w:basedOn w:val="1"/>
    <w:qFormat/>
    <w:uiPriority w:val="34"/>
    <w:pPr>
      <w:ind w:firstLine="420" w:firstLineChars="200"/>
    </w:pPr>
    <w:rPr>
      <w:rFonts w:ascii="Calibri" w:hAnsi="Calibri"/>
      <w:sz w:val="21"/>
      <w:szCs w:val="22"/>
    </w:rPr>
  </w:style>
  <w:style w:type="paragraph" w:customStyle="1" w:styleId="8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89">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0">
    <w:name w:val="Char Char Char Char1"/>
    <w:basedOn w:val="1"/>
    <w:qFormat/>
    <w:uiPriority w:val="0"/>
    <w:rPr>
      <w:rFonts w:ascii="Tahoma" w:hAnsi="Tahoma"/>
      <w:sz w:val="24"/>
      <w:szCs w:val="20"/>
    </w:rPr>
  </w:style>
  <w:style w:type="paragraph" w:styleId="9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39EE7-0CCC-4351-9D52-3313178641D5}">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75</Pages>
  <Words>7300</Words>
  <Characters>41614</Characters>
  <Lines>346</Lines>
  <Paragraphs>97</Paragraphs>
  <TotalTime>534</TotalTime>
  <ScaleCrop>false</ScaleCrop>
  <LinksUpToDate>false</LinksUpToDate>
  <CharactersWithSpaces>48817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2020-05-14T09:06:00Z</dcterms:created>
  <dc:creator>jj</dc:creator>
  <cp:lastModifiedBy>迈向破灭的圆舞曲</cp:lastModifiedBy>
  <cp:lastPrinted>2018-06-25T02:02:00Z</cp:lastPrinted>
  <dcterms:modified xsi:type="dcterms:W3CDTF">2020-06-12T05:53:19Z</dcterms:modified>
  <dc:title>求是招标代理有限公司</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