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val="0"/>
          <w:bCs/>
          <w:color w:val="000000" w:themeColor="text1"/>
          <w:sz w:val="48"/>
          <w:szCs w:val="48"/>
          <w:highlight w:val="none"/>
          <w14:textFill>
            <w14:solidFill>
              <w14:schemeClr w14:val="tx1"/>
            </w14:solidFill>
          </w14:textFill>
        </w:rPr>
      </w:pPr>
      <w:bookmarkStart w:id="510" w:name="_GoBack"/>
    </w:p>
    <w:p>
      <w:pPr>
        <w:adjustRightInd/>
        <w:spacing w:line="360" w:lineRule="auto"/>
        <w:jc w:val="center"/>
        <w:rPr>
          <w:rFonts w:hint="eastAsia" w:ascii="宋体" w:hAnsi="宋体" w:eastAsia="宋体" w:cs="宋体"/>
          <w:b/>
          <w:bCs w:val="0"/>
          <w:color w:val="000000" w:themeColor="text1"/>
          <w:sz w:val="48"/>
          <w:szCs w:val="48"/>
          <w:highlight w:val="none"/>
          <w:lang w:eastAsia="zh-CN"/>
          <w14:textFill>
            <w14:solidFill>
              <w14:schemeClr w14:val="tx1"/>
            </w14:solidFill>
          </w14:textFill>
        </w:rPr>
      </w:pPr>
      <w:r>
        <w:rPr>
          <w:rFonts w:hint="eastAsia" w:ascii="宋体" w:hAnsi="宋体" w:cs="宋体"/>
          <w:b/>
          <w:bCs w:val="0"/>
          <w:color w:val="000000" w:themeColor="text1"/>
          <w:sz w:val="48"/>
          <w:szCs w:val="48"/>
          <w:highlight w:val="none"/>
          <w:lang w:eastAsia="zh-CN"/>
          <w14:textFill>
            <w14:solidFill>
              <w14:schemeClr w14:val="tx1"/>
            </w14:solidFill>
          </w14:textFill>
        </w:rPr>
        <w:t>大梅林共同富裕示范带设计采购提升运营一体化服务项目</w:t>
      </w:r>
    </w:p>
    <w:p>
      <w:pPr>
        <w:adjustRightInd/>
        <w:spacing w:line="240" w:lineRule="auto"/>
        <w:jc w:val="center"/>
        <w:rPr>
          <w:rFonts w:hint="eastAsia" w:ascii="宋体" w:hAnsi="宋体" w:cs="宋体"/>
          <w:color w:val="000000" w:themeColor="text1"/>
          <w:sz w:val="24"/>
          <w:szCs w:val="24"/>
          <w:highlight w:val="none"/>
          <w14:textFill>
            <w14:solidFill>
              <w14:schemeClr w14:val="tx1"/>
            </w14:solidFill>
          </w14:textFill>
        </w:rPr>
      </w:pPr>
    </w:p>
    <w:p>
      <w:pPr>
        <w:adjustRightInd/>
        <w:spacing w:line="360" w:lineRule="auto"/>
        <w:jc w:val="center"/>
        <w:rPr>
          <w:rFonts w:ascii="宋体" w:hAnsi="宋体" w:cs="宋体"/>
          <w:color w:val="000000" w:themeColor="text1"/>
          <w:sz w:val="48"/>
          <w:szCs w:val="48"/>
          <w:highlight w:val="none"/>
          <w14:textFill>
            <w14:solidFill>
              <w14:schemeClr w14:val="tx1"/>
            </w14:solidFill>
          </w14:textFill>
        </w:rPr>
      </w:pPr>
      <w:r>
        <w:rPr>
          <w:rFonts w:hint="eastAsia" w:ascii="宋体" w:hAnsi="宋体" w:cs="宋体"/>
          <w:b/>
          <w:bCs/>
          <w:color w:val="000000" w:themeColor="text1"/>
          <w:sz w:val="48"/>
          <w:szCs w:val="48"/>
          <w:highlight w:val="none"/>
          <w:lang w:eastAsia="zh-CN"/>
          <w14:textFill>
            <w14:solidFill>
              <w14:schemeClr w14:val="tx1"/>
            </w14:solidFill>
          </w14:textFill>
        </w:rPr>
        <w:t>采购文件</w:t>
      </w:r>
      <w:r>
        <w:rPr>
          <w:rFonts w:hint="eastAsia" w:ascii="宋体" w:hAnsi="宋体" w:cs="宋体"/>
          <w:color w:val="000000" w:themeColor="text1"/>
          <w:sz w:val="48"/>
          <w:szCs w:val="48"/>
          <w:highlight w:val="none"/>
          <w14:textFill>
            <w14:solidFill>
              <w14:schemeClr w14:val="tx1"/>
            </w14:solidFill>
          </w14:textFill>
        </w:rPr>
        <w:t xml:space="preserve"> </w:t>
      </w: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宋体" w:hAnsi="宋体" w:eastAsia="宋体" w:cs="宋体"/>
          <w:color w:val="000000" w:themeColor="text1"/>
          <w:sz w:val="30"/>
          <w:szCs w:val="30"/>
          <w:highlight w:val="none"/>
          <w:lang w:eastAsia="zh-CN"/>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编号:</w:t>
      </w:r>
      <w:r>
        <w:rPr>
          <w:rFonts w:hint="eastAsia" w:ascii="宋体" w:hAnsi="宋体" w:cs="宋体"/>
          <w:color w:val="000000" w:themeColor="text1"/>
          <w:sz w:val="30"/>
          <w:szCs w:val="30"/>
          <w:highlight w:val="none"/>
          <w:lang w:eastAsia="zh-CN"/>
          <w14:textFill>
            <w14:solidFill>
              <w14:schemeClr w14:val="tx1"/>
            </w14:solidFill>
          </w14:textFill>
        </w:rPr>
        <w:t>GZCG2023GKDL-21</w:t>
      </w:r>
    </w:p>
    <w:p>
      <w:pPr>
        <w:adjustRightInd/>
        <w:spacing w:line="360" w:lineRule="auto"/>
        <w:rPr>
          <w:rFonts w:ascii="宋体" w:hAnsi="宋体" w:cs="宋体"/>
          <w:color w:val="000000" w:themeColor="text1"/>
          <w:sz w:val="28"/>
          <w:szCs w:val="20"/>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w:t>
      </w: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napToGrid w:val="0"/>
        <w:spacing w:line="360" w:lineRule="auto"/>
        <w:ind w:firstLine="1606" w:firstLineChars="500"/>
        <w:jc w:val="both"/>
        <w:rPr>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cs="宋体"/>
          <w:b/>
          <w:bCs/>
          <w:color w:val="000000" w:themeColor="text1"/>
          <w:sz w:val="32"/>
          <w:szCs w:val="32"/>
          <w:highlight w:val="none"/>
          <w:lang w:eastAsia="zh-CN"/>
          <w14:textFill>
            <w14:solidFill>
              <w14:schemeClr w14:val="tx1"/>
            </w14:solidFill>
          </w14:textFill>
        </w:rPr>
        <w:t>采购人：</w:t>
      </w:r>
      <w:r>
        <w:rPr>
          <w:rFonts w:hint="eastAsia" w:ascii="宋体" w:hAnsi="宋体" w:cs="宋体"/>
          <w:color w:val="000000" w:themeColor="text1"/>
          <w:sz w:val="32"/>
          <w:szCs w:val="32"/>
          <w:highlight w:val="none"/>
          <w:lang w:eastAsia="zh-CN"/>
          <w14:textFill>
            <w14:solidFill>
              <w14:schemeClr w14:val="tx1"/>
            </w14:solidFill>
          </w14:textFill>
        </w:rPr>
        <w:t>杭州市萧山区瓜沥镇人民政府</w:t>
      </w:r>
    </w:p>
    <w:p>
      <w:pPr>
        <w:spacing w:line="360" w:lineRule="auto"/>
        <w:ind w:firstLine="1606" w:firstLineChars="500"/>
        <w:jc w:val="both"/>
        <w:rPr>
          <w:rFonts w:hint="eastAsia" w:ascii="宋体" w:hAnsi="宋体" w:eastAsia="宋体" w:cs="宋体"/>
          <w:bCs/>
          <w:color w:val="000000" w:themeColor="text1"/>
          <w:sz w:val="32"/>
          <w:szCs w:val="32"/>
          <w:highlight w:val="none"/>
          <w:lang w:eastAsia="zh-CN"/>
          <w14:textFill>
            <w14:solidFill>
              <w14:schemeClr w14:val="tx1"/>
            </w14:solidFill>
          </w14:textFill>
        </w:rPr>
      </w:pPr>
      <w:r>
        <w:rPr>
          <w:rFonts w:hint="eastAsia" w:ascii="宋体" w:hAnsi="宋体" w:cs="宋体"/>
          <w:b/>
          <w:bCs w:val="0"/>
          <w:color w:val="000000" w:themeColor="text1"/>
          <w:sz w:val="32"/>
          <w:szCs w:val="32"/>
          <w:highlight w:val="none"/>
          <w:lang w:eastAsia="zh-CN"/>
          <w14:textFill>
            <w14:solidFill>
              <w14:schemeClr w14:val="tx1"/>
            </w14:solidFill>
          </w14:textFill>
        </w:rPr>
        <w:t>采购代理机构：</w:t>
      </w:r>
      <w:r>
        <w:rPr>
          <w:rFonts w:hint="eastAsia" w:ascii="宋体" w:hAnsi="宋体" w:cs="宋体"/>
          <w:bCs/>
          <w:color w:val="000000" w:themeColor="text1"/>
          <w:sz w:val="32"/>
          <w:szCs w:val="32"/>
          <w:highlight w:val="none"/>
          <w:lang w:eastAsia="zh-CN"/>
          <w14:textFill>
            <w14:solidFill>
              <w14:schemeClr w14:val="tx1"/>
            </w14:solidFill>
          </w14:textFill>
        </w:rPr>
        <w:t>浙江泛亚工程咨询有限公司</w:t>
      </w:r>
    </w:p>
    <w:p>
      <w:pPr>
        <w:snapToGrid w:val="0"/>
        <w:spacing w:line="360" w:lineRule="auto"/>
        <w:jc w:val="center"/>
        <w:rPr>
          <w:rFonts w:hint="eastAsia"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lang w:val="en-US" w:eastAsia="zh-CN"/>
          <w14:textFill>
            <w14:solidFill>
              <w14:schemeClr w14:val="tx1"/>
            </w14:solidFill>
          </w14:textFill>
        </w:rPr>
        <w:t>2023</w:t>
      </w:r>
      <w:r>
        <w:rPr>
          <w:rFonts w:hint="eastAsia" w:ascii="宋体" w:hAnsi="宋体" w:cs="宋体"/>
          <w:bCs/>
          <w:color w:val="000000" w:themeColor="text1"/>
          <w:sz w:val="32"/>
          <w:szCs w:val="32"/>
          <w:highlight w:val="none"/>
          <w14:textFill>
            <w14:solidFill>
              <w14:schemeClr w14:val="tx1"/>
            </w14:solidFill>
          </w14:textFill>
        </w:rPr>
        <w:t>年</w:t>
      </w:r>
      <w:r>
        <w:rPr>
          <w:rFonts w:hint="eastAsia" w:ascii="宋体" w:hAnsi="宋体" w:cs="宋体"/>
          <w:bCs/>
          <w:color w:val="000000" w:themeColor="text1"/>
          <w:sz w:val="32"/>
          <w:szCs w:val="32"/>
          <w:highlight w:val="none"/>
          <w:lang w:val="en-US" w:eastAsia="zh-CN"/>
          <w14:textFill>
            <w14:solidFill>
              <w14:schemeClr w14:val="tx1"/>
            </w14:solidFill>
          </w14:textFill>
        </w:rPr>
        <w:t>06</w:t>
      </w:r>
      <w:r>
        <w:rPr>
          <w:rFonts w:hint="eastAsia" w:ascii="宋体" w:hAnsi="宋体" w:cs="宋体"/>
          <w:bCs/>
          <w:color w:val="000000" w:themeColor="text1"/>
          <w:sz w:val="32"/>
          <w:szCs w:val="32"/>
          <w:highlight w:val="none"/>
          <w14:textFill>
            <w14:solidFill>
              <w14:schemeClr w14:val="tx1"/>
            </w14:solidFill>
          </w14:textFill>
        </w:rPr>
        <w:t>月</w:t>
      </w:r>
    </w:p>
    <w:p>
      <w:pPr>
        <w:pStyle w:val="4"/>
        <w:rPr>
          <w:color w:val="000000" w:themeColor="text1"/>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Start w:id="0" w:name="_Hlt67893495"/>
      <w:bookmarkEnd w:id="0"/>
    </w:p>
    <w:p>
      <w:pPr>
        <w:spacing w:line="360" w:lineRule="auto"/>
        <w:jc w:val="center"/>
        <w:rPr>
          <w:rFonts w:ascii="宋体" w:hAnsi="宋体" w:cs="宋体"/>
          <w:b/>
          <w:color w:val="000000" w:themeColor="text1"/>
          <w:sz w:val="48"/>
          <w:szCs w:val="48"/>
          <w:highlight w:val="none"/>
          <w14:textFill>
            <w14:solidFill>
              <w14:schemeClr w14:val="tx1"/>
            </w14:solidFill>
          </w14:textFill>
        </w:rPr>
      </w:pPr>
      <w:r>
        <w:rPr>
          <w:rFonts w:hint="eastAsia" w:ascii="宋体" w:hAnsi="宋体" w:cs="宋体"/>
          <w:b/>
          <w:color w:val="000000" w:themeColor="text1"/>
          <w:sz w:val="48"/>
          <w:szCs w:val="48"/>
          <w:highlight w:val="none"/>
          <w14:textFill>
            <w14:solidFill>
              <w14:schemeClr w14:val="tx1"/>
            </w14:solidFill>
          </w14:textFill>
        </w:rPr>
        <w:t>目  录</w:t>
      </w: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第二部分      </w:t>
      </w:r>
      <w:r>
        <w:rPr>
          <w:rFonts w:hint="eastAsia" w:ascii="宋体" w:hAnsi="宋体" w:cs="宋体"/>
          <w:color w:val="000000" w:themeColor="text1"/>
          <w:sz w:val="32"/>
          <w:szCs w:val="32"/>
          <w:highlight w:val="none"/>
          <w:lang w:eastAsia="zh-CN"/>
          <w14:textFill>
            <w14:solidFill>
              <w14:schemeClr w14:val="tx1"/>
            </w14:solidFill>
          </w14:textFill>
        </w:rPr>
        <w:t>供应商</w:t>
      </w:r>
      <w:r>
        <w:rPr>
          <w:rFonts w:hint="eastAsia" w:ascii="宋体" w:hAnsi="宋体" w:cs="宋体"/>
          <w:color w:val="000000" w:themeColor="text1"/>
          <w:sz w:val="32"/>
          <w:szCs w:val="32"/>
          <w:highlight w:val="none"/>
          <w14:textFill>
            <w14:solidFill>
              <w14:schemeClr w14:val="tx1"/>
            </w14:solidFill>
          </w14:textFill>
        </w:rPr>
        <w:t>须知</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3" w:name="第一部分"/>
      <w:r>
        <w:rPr>
          <w:rFonts w:hint="eastAsia" w:ascii="宋体" w:hAnsi="宋体" w:cs="宋体"/>
          <w:b/>
          <w:color w:val="000000" w:themeColor="text1"/>
          <w:sz w:val="36"/>
          <w:szCs w:val="36"/>
          <w:highlight w:val="none"/>
          <w14:textFill>
            <w14:solidFill>
              <w14:schemeClr w14:val="tx1"/>
            </w14:solidFill>
          </w14:textFill>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14:textFill>
            <w14:solidFill>
              <w14:schemeClr w14:val="tx1"/>
            </w14:solidFill>
          </w14:textFill>
        </w:rPr>
        <w:t>的潜在</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"https://www.zcygov.cn/）获取（下载）招标文件，并于202%20年%20月%20日%20点%20分00秒" </w:instrText>
      </w:r>
      <w:r>
        <w:rPr>
          <w:color w:val="000000" w:themeColor="text1"/>
          <w:highlight w:val="none"/>
          <w14:textFill>
            <w14:solidFill>
              <w14:schemeClr w14:val="tx1"/>
            </w14:solidFill>
          </w14:textFill>
        </w:rPr>
        <w:fldChar w:fldCharType="separate"/>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https://www.zcygov.cn/）获取（下载）</w:t>
      </w:r>
      <w:r>
        <w:rPr>
          <w:rStyle w:val="77"/>
          <w:rFonts w:hint="eastAsia" w:ascii="宋体" w:hAnsi="宋体" w:eastAsia="宋体" w:cs="宋体"/>
          <w:snapToGrid/>
          <w:color w:val="000000" w:themeColor="text1"/>
          <w:kern w:val="2"/>
          <w:sz w:val="24"/>
          <w:szCs w:val="24"/>
          <w:highlight w:val="none"/>
          <w:lang w:eastAsia="zh-CN"/>
          <w14:textFill>
            <w14:solidFill>
              <w14:schemeClr w14:val="tx1"/>
            </w14:solidFill>
          </w14:textFill>
        </w:rPr>
        <w:t>采购文件</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，并于202</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3</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年</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06</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月</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26</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 xml:space="preserve">日 </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08</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7"/>
          <w:rFonts w:hint="eastAsia" w:ascii="宋体" w:hAnsi="宋体" w:cs="宋体"/>
          <w:snapToGrid/>
          <w:color w:val="000000" w:themeColor="text1"/>
          <w:kern w:val="2"/>
          <w:sz w:val="24"/>
          <w:szCs w:val="24"/>
          <w:highlight w:val="none"/>
          <w:lang w:val="en-US" w:eastAsia="zh-CN"/>
          <w14:textFill>
            <w14:solidFill>
              <w14:schemeClr w14:val="tx1"/>
            </w14:solidFill>
          </w14:textFill>
        </w:rPr>
        <w:t>30</w:t>
      </w:r>
      <w:r>
        <w:rPr>
          <w:rStyle w:val="77"/>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Style w:val="77"/>
          <w:rFonts w:hint="eastAsia" w:ascii="宋体" w:hAnsi="宋体" w:eastAsia="宋体" w:cs="宋体"/>
          <w:bCs/>
          <w:snapToGrid/>
          <w:color w:val="000000" w:themeColor="text1"/>
          <w:kern w:val="2"/>
          <w:sz w:val="24"/>
          <w:szCs w:val="24"/>
          <w:highlight w:val="none"/>
          <w14:textFill>
            <w14:solidFill>
              <w14:schemeClr w14:val="tx1"/>
            </w14:solidFill>
          </w14:textFill>
        </w:rPr>
        <w:fldChar w:fldCharType="end"/>
      </w:r>
      <w:r>
        <w:rPr>
          <w:rFonts w:hint="eastAsia" w:ascii="宋体" w:hAnsi="宋体" w:cs="宋体"/>
          <w:bCs/>
          <w:color w:val="000000" w:themeColor="text1"/>
          <w:sz w:val="24"/>
          <w:highlight w:val="none"/>
          <w14:textFill>
            <w14:solidFill>
              <w14:schemeClr w14:val="tx1"/>
            </w14:solidFill>
          </w14:textFill>
        </w:rPr>
        <w:t>（北京时间）前</w:t>
      </w:r>
      <w:r>
        <w:rPr>
          <w:rFonts w:hint="eastAsia" w:ascii="宋体" w:hAnsi="宋体" w:cs="宋体"/>
          <w:color w:val="000000" w:themeColor="text1"/>
          <w:sz w:val="24"/>
          <w:highlight w:val="none"/>
          <w14:textFill>
            <w14:solidFill>
              <w14:schemeClr w14:val="tx1"/>
            </w14:solidFill>
          </w14:textFill>
        </w:rPr>
        <w:t>递交（上传）投标文件。</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GZCG2023GKDL-21</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项目名称：</w:t>
      </w:r>
      <w:r>
        <w:rPr>
          <w:rFonts w:hint="eastAsia" w:ascii="宋体" w:hAnsi="宋体" w:cs="宋体"/>
          <w:color w:val="000000" w:themeColor="text1"/>
          <w:sz w:val="24"/>
          <w:highlight w:val="none"/>
          <w:lang w:eastAsia="zh-CN"/>
          <w14:textFill>
            <w14:solidFill>
              <w14:schemeClr w14:val="tx1"/>
            </w14:solidFill>
          </w14:textFill>
        </w:rPr>
        <w:t>大梅林共同富裕示范带设计采购提升运营一体化服务项目</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预算金额（元）：</w:t>
      </w:r>
      <w:r>
        <w:rPr>
          <w:rFonts w:hint="eastAsia" w:ascii="宋体" w:hAnsi="宋体" w:cs="宋体"/>
          <w:b w:val="0"/>
          <w:bCs/>
          <w:color w:val="000000" w:themeColor="text1"/>
          <w:sz w:val="24"/>
          <w:highlight w:val="none"/>
          <w:lang w:val="en-US" w:eastAsia="zh-CN"/>
          <w14:textFill>
            <w14:solidFill>
              <w14:schemeClr w14:val="tx1"/>
            </w14:solidFill>
          </w14:textFill>
        </w:rPr>
        <w:t>20000000.00</w:t>
      </w:r>
      <w:r>
        <w:rPr>
          <w:rFonts w:ascii="宋体" w:hAnsi="宋体" w:cs="宋体"/>
          <w:b w:val="0"/>
          <w:bCs/>
          <w:color w:val="000000" w:themeColor="text1"/>
          <w:sz w:val="24"/>
          <w:highlight w:val="none"/>
          <w14:textFill>
            <w14:solidFill>
              <w14:schemeClr w14:val="tx1"/>
            </w14:solidFill>
          </w14:textFill>
        </w:rPr>
        <w:t xml:space="preserve">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最高限价（元）：</w:t>
      </w:r>
      <w:r>
        <w:rPr>
          <w:rFonts w:hint="eastAsia" w:ascii="宋体" w:hAnsi="宋体" w:cs="宋体"/>
          <w:b w:val="0"/>
          <w:bCs/>
          <w:color w:val="000000" w:themeColor="text1"/>
          <w:sz w:val="24"/>
          <w:highlight w:val="none"/>
          <w:lang w:val="en-US" w:eastAsia="zh-CN"/>
          <w14:textFill>
            <w14:solidFill>
              <w14:schemeClr w14:val="tx1"/>
            </w14:solidFill>
          </w14:textFill>
        </w:rPr>
        <w:t>20000000.00</w:t>
      </w:r>
    </w:p>
    <w:p>
      <w:pPr>
        <w:pStyle w:val="6"/>
        <w:spacing w:line="360" w:lineRule="auto"/>
        <w:ind w:firstLine="480"/>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采购需求：</w:t>
      </w:r>
      <w:r>
        <w:rPr>
          <w:rFonts w:hint="eastAsia" w:hAnsi="宋体" w:cs="宋体"/>
          <w:bCs/>
          <w:snapToGrid/>
          <w:color w:val="000000" w:themeColor="text1"/>
          <w:kern w:val="2"/>
          <w:sz w:val="24"/>
          <w:szCs w:val="24"/>
          <w:highlight w:val="none"/>
          <w:lang w:eastAsia="zh-CN"/>
          <w14:textFill>
            <w14:solidFill>
              <w14:schemeClr w14:val="tx1"/>
            </w14:solidFill>
          </w14:textFill>
        </w:rPr>
        <w:t>大梅林共同富裕示范带设计采购提升运营一体化服务项目</w:t>
      </w:r>
      <w:r>
        <w:rPr>
          <w:rFonts w:hint="eastAsia" w:hAnsi="宋体" w:cs="宋体"/>
          <w:bCs/>
          <w:snapToGrid/>
          <w:color w:val="000000" w:themeColor="text1"/>
          <w:kern w:val="2"/>
          <w:sz w:val="24"/>
          <w:szCs w:val="24"/>
          <w:highlight w:val="none"/>
          <w14:textFill>
            <w14:solidFill>
              <w14:schemeClr w14:val="tx1"/>
            </w14:solidFill>
          </w14:textFill>
        </w:rPr>
        <w:t>主要内容：</w:t>
      </w:r>
      <w:r>
        <w:rPr>
          <w:rFonts w:hint="eastAsia" w:hAnsi="宋体" w:cs="宋体"/>
          <w:bCs/>
          <w:snapToGrid/>
          <w:color w:val="000000" w:themeColor="text1"/>
          <w:kern w:val="2"/>
          <w:sz w:val="24"/>
          <w:szCs w:val="24"/>
          <w:highlight w:val="none"/>
          <w:lang w:eastAsia="zh-CN"/>
          <w14:textFill>
            <w14:solidFill>
              <w14:schemeClr w14:val="tx1"/>
            </w14:solidFill>
          </w14:textFill>
        </w:rPr>
        <w:t>大梅林范围内的深化农村土地制度改革探索、本地农文旅产业优化等一系列为实现共同富裕的落地实践所需的设计、运营服务与设施提升。具体包括一期区块（梅林村美好生活中心、八里桥农事体验馆、产业优化示范区深化农村土地制度改革示范点）的空间功能优化、产业设施设备、室内陈设采购、户外装置采购、植物树种添置等；全域运营管理等</w:t>
      </w:r>
      <w:r>
        <w:rPr>
          <w:rFonts w:hint="eastAsia" w:hAnsi="宋体" w:cs="宋体"/>
          <w:bCs/>
          <w:snapToGrid/>
          <w:color w:val="000000" w:themeColor="text1"/>
          <w:kern w:val="2"/>
          <w:sz w:val="24"/>
          <w:szCs w:val="24"/>
          <w:highlight w:val="none"/>
          <w14:textFill>
            <w14:solidFill>
              <w14:schemeClr w14:val="tx1"/>
            </w14:solidFill>
          </w14:textFill>
        </w:rPr>
        <w:t>。</w:t>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具体以</w:t>
      </w:r>
      <w:r>
        <w:rPr>
          <w:rFonts w:hint="eastAsia" w:asciiTheme="minorEastAsia" w:hAnsiTheme="minorEastAsia" w:eastAsiaTheme="minorEastAsia"/>
          <w:snapToGrid/>
          <w:color w:val="000000" w:themeColor="text1"/>
          <w:kern w:val="2"/>
          <w:sz w:val="24"/>
          <w:szCs w:val="24"/>
          <w:highlight w:val="none"/>
          <w:lang w:eastAsia="zh-CN"/>
          <w14:textFill>
            <w14:solidFill>
              <w14:schemeClr w14:val="tx1"/>
            </w14:solidFill>
          </w14:textFill>
        </w:rPr>
        <w:t>采购文件</w:t>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第三部分采购需求为准，供应商可点击本公告下方“浏览采购文件”查看采购需求。</w:t>
      </w:r>
    </w:p>
    <w:p>
      <w:pPr>
        <w:pStyle w:val="6"/>
        <w:spacing w:line="360" w:lineRule="auto"/>
        <w:ind w:firstLine="48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合同履约期限：</w:t>
      </w:r>
      <w:r>
        <w:rPr>
          <w:rFonts w:hint="eastAsia" w:hAnsi="宋体" w:cs="宋体"/>
          <w:b w:val="0"/>
          <w:bCs/>
          <w:color w:val="000000" w:themeColor="text1"/>
          <w:sz w:val="24"/>
          <w:highlight w:val="none"/>
          <w:lang w:eastAsia="zh-CN"/>
          <w14:textFill>
            <w14:solidFill>
              <w14:schemeClr w14:val="tx1"/>
            </w14:solidFill>
          </w14:textFill>
        </w:rPr>
        <w:t>总服务期85日历天（其中合同签订后20日历天内完成提升设计深化方案；深化方案完成后65日历天内完成设备材料的采购安装与现场施工）；运营期限3年。</w:t>
      </w:r>
    </w:p>
    <w:p>
      <w:pPr>
        <w:pStyle w:val="6"/>
        <w:spacing w:line="360" w:lineRule="auto"/>
        <w:ind w:firstLine="480"/>
        <w:rPr>
          <w:rFonts w:hAnsi="宋体" w:cs="宋体"/>
          <w:b/>
          <w:color w:val="000000" w:themeColor="text1"/>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本项目接受联合体投标：</w:t>
      </w:r>
      <w:r>
        <w:rPr>
          <w:rFonts w:hAnsi="宋体" w:cs="宋体"/>
          <w:color w:val="000000" w:themeColor="text1"/>
          <w:kern w:val="0"/>
          <w:sz w:val="24"/>
          <w:highlight w:val="none"/>
          <w14:textFill>
            <w14:solidFill>
              <w14:schemeClr w14:val="tx1"/>
            </w14:solidFill>
          </w14:textFill>
        </w:rPr>
        <w:t xml:space="preserve"> </w:t>
      </w:r>
      <w:sdt>
        <w:sdtPr>
          <w:rPr>
            <w:rFonts w:hAnsi="宋体" w:cs="宋体"/>
            <w:color w:val="000000" w:themeColor="text1"/>
            <w:kern w:val="0"/>
            <w:sz w:val="24"/>
            <w:highlight w:val="none"/>
            <w14:textFill>
              <w14:solidFill>
                <w14:schemeClr w14:val="tx1"/>
              </w14:solidFill>
            </w14:textFill>
          </w:rPr>
          <w:id w:val="-441836950"/>
          <w14:checkbox>
            <w14:checked w14:val="1"/>
            <w14:checkedState w14:val="00FE" w14:font="Wingdings"/>
            <w14:uncheckedState w14:val="2610" w14:font="MS Gothic"/>
          </w14:checkbox>
        </w:sdtPr>
        <w:sdtEndPr>
          <w:rPr>
            <w:rFonts w:hAnsi="宋体" w:cs="宋体"/>
            <w:color w:val="000000" w:themeColor="text1"/>
            <w:kern w:val="0"/>
            <w:sz w:val="24"/>
            <w:highlight w:val="none"/>
            <w14:textFill>
              <w14:solidFill>
                <w14:schemeClr w14:val="tx1"/>
              </w14:solidFill>
            </w14:textFill>
          </w:rPr>
        </w:sdtEndPr>
        <w:sdtContent>
          <w:r>
            <w:rPr>
              <w:rFonts w:ascii="Wingdings" w:hAnsi="Wingdings" w:eastAsia="宋体" w:cs="宋体"/>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hAnsi="宋体" w:cs="宋体"/>
          <w:b/>
          <w:color w:val="000000" w:themeColor="text1"/>
          <w:sz w:val="24"/>
          <w:highlight w:val="none"/>
          <w14:textFill>
            <w14:solidFill>
              <w14:schemeClr w14:val="tx1"/>
            </w14:solidFill>
          </w14:textFill>
        </w:rPr>
        <w:t>是；</w:t>
      </w:r>
      <w:sdt>
        <w:sdtPr>
          <w:rPr>
            <w:rFonts w:hAnsi="宋体" w:cs="宋体"/>
            <w:color w:val="000000" w:themeColor="text1"/>
            <w:kern w:val="0"/>
            <w:sz w:val="24"/>
            <w:highlight w:val="none"/>
            <w14:textFill>
              <w14:solidFill>
                <w14:schemeClr w14:val="tx1"/>
              </w14:solidFill>
            </w14:textFill>
          </w:rPr>
          <w:id w:val="-1591624199"/>
          <w14:checkbox>
            <w14:checked w14:val="0"/>
            <w14:checkedState w14:val="00FE" w14:font="Wingdings"/>
            <w14:uncheckedState w14:val="2610" w14:font="MS Gothic"/>
          </w14:checkbox>
        </w:sdtPr>
        <w:sdtEndPr>
          <w:rPr>
            <w:rFonts w:hAnsi="宋体" w:cs="宋体"/>
            <w:color w:val="000000" w:themeColor="text1"/>
            <w:kern w:val="0"/>
            <w:sz w:val="24"/>
            <w:highlight w:val="none"/>
            <w14:textFill>
              <w14:solidFill>
                <w14:schemeClr w14:val="tx1"/>
              </w14:solidFill>
            </w14:textFill>
          </w:rPr>
        </w:sdtEndPr>
        <w:sdtContent>
          <w:r>
            <w:rPr>
              <w:rFonts w:ascii="MS Gothic" w:hAnsi="MS Gothic" w:eastAsia="宋体" w:cs="Segoe UI Symbol"/>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hAnsi="宋体" w:cs="宋体"/>
          <w:b/>
          <w:color w:val="000000" w:themeColor="text1"/>
          <w:sz w:val="24"/>
          <w:highlight w:val="none"/>
          <w14:textFill>
            <w14:solidFill>
              <w14:schemeClr w14:val="tx1"/>
            </w14:solidFill>
          </w14:textFill>
        </w:rPr>
        <w:t>否</w:t>
      </w:r>
      <w:r>
        <w:rPr>
          <w:rFonts w:hint="eastAsia"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二、申请人的资格要求：</w:t>
      </w:r>
    </w:p>
    <w:p>
      <w:pPr>
        <w:spacing w:line="360" w:lineRule="auto"/>
        <w:ind w:firstLine="480"/>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w:t>
      </w:r>
      <w:r>
        <w:rPr>
          <w:rFonts w:hint="eastAsia" w:ascii="宋体" w:hAnsi="宋体" w:eastAsia="宋体" w:cs="宋体"/>
          <w:snapToGrid w:val="0"/>
          <w:color w:val="000000" w:themeColor="text1"/>
          <w:kern w:val="28"/>
          <w:sz w:val="24"/>
          <w:szCs w:val="20"/>
          <w:highlight w:val="none"/>
          <w14:textFill>
            <w14:solidFill>
              <w14:schemeClr w14:val="tx1"/>
            </w14:solidFill>
          </w14:textFill>
        </w:rPr>
        <w:t>列入失信被执行人、重大税收违法案件当事人名单、政府采购严重违法失信行为记录名单；</w:t>
      </w:r>
    </w:p>
    <w:p>
      <w:pPr>
        <w:spacing w:line="360" w:lineRule="auto"/>
        <w:ind w:firstLine="480" w:firstLineChars="200"/>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pPr>
      <w:r>
        <w:rPr>
          <w:rFonts w:hint="eastAsia" w:ascii="宋体" w:hAnsi="宋体" w:cs="宋体"/>
          <w:snapToGrid w:val="0"/>
          <w:color w:val="000000" w:themeColor="text1"/>
          <w:kern w:val="28"/>
          <w:sz w:val="24"/>
          <w:szCs w:val="20"/>
          <w:highlight w:val="none"/>
          <w:lang w:val="en-US" w:eastAsia="zh-CN"/>
          <w14:textFill>
            <w14:solidFill>
              <w14:schemeClr w14:val="tx1"/>
            </w14:solidFill>
          </w14:textFill>
        </w:rPr>
        <w:t>2</w:t>
      </w:r>
      <w:r>
        <w:rPr>
          <w:rFonts w:hint="eastAsia" w:ascii="宋体" w:hAnsi="宋体" w:cs="宋体"/>
          <w:snapToGrid w:val="0"/>
          <w:color w:val="000000" w:themeColor="text1"/>
          <w:kern w:val="28"/>
          <w:sz w:val="24"/>
          <w:szCs w:val="20"/>
          <w:highlight w:val="none"/>
          <w14:textFill>
            <w14:solidFill>
              <w14:schemeClr w14:val="tx1"/>
            </w14:solidFill>
          </w14:textFill>
        </w:rPr>
        <w:t>.落实政府采购政策需满足的资格要求</w:t>
      </w:r>
      <w:r>
        <w:rPr>
          <w:rFonts w:hint="eastAsia" w:ascii="宋体" w:hAnsi="宋体" w:eastAsia="宋体" w:cs="宋体"/>
          <w:snapToGrid w:val="0"/>
          <w:color w:val="000000" w:themeColor="text1"/>
          <w:kern w:val="28"/>
          <w:sz w:val="24"/>
          <w:szCs w:val="20"/>
          <w:highlight w:val="none"/>
          <w14:textFill>
            <w14:solidFill>
              <w14:schemeClr w14:val="tx1"/>
            </w14:solidFill>
          </w14:textFill>
        </w:rPr>
        <w:t>：专门面向中小企业</w:t>
      </w:r>
      <w:r>
        <w:rPr>
          <w:rFonts w:hint="eastAsia" w:ascii="宋体" w:hAnsi="宋体" w:eastAsia="宋体" w:cs="宋体"/>
          <w:snapToGrid w:val="0"/>
          <w:color w:val="000000" w:themeColor="text1"/>
          <w:kern w:val="28"/>
          <w:sz w:val="24"/>
          <w:szCs w:val="20"/>
          <w:highlight w:val="none"/>
          <w:lang w:val="en-US" w:eastAsia="zh-CN"/>
          <w14:textFill>
            <w14:solidFill>
              <w14:schemeClr w14:val="tx1"/>
            </w14:solidFill>
          </w14:textFill>
        </w:rPr>
        <w:t>。</w:t>
      </w:r>
    </w:p>
    <w:p>
      <w:pPr>
        <w:spacing w:line="360" w:lineRule="auto"/>
        <w:ind w:firstLine="48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（注：不得限制大中型企业与小微企业组成联合体参与投标</w:t>
      </w:r>
      <w:r>
        <w:rPr>
          <w:rFonts w:hint="eastAsia" w:ascii="宋体" w:hAnsi="宋体" w:eastAsia="宋体" w:cs="宋体"/>
          <w:snapToGrid w:val="0"/>
          <w:color w:val="000000" w:themeColor="text1"/>
          <w:kern w:val="28"/>
          <w:sz w:val="24"/>
          <w:szCs w:val="20"/>
          <w:highlight w:val="none"/>
          <w:lang w:eastAsia="zh-CN"/>
          <w14:textFill>
            <w14:solidFill>
              <w14:schemeClr w14:val="tx1"/>
            </w14:solidFill>
          </w14:textFill>
        </w:rPr>
        <w:t>。</w:t>
      </w:r>
      <w:r>
        <w:rPr>
          <w:rFonts w:hint="eastAsia" w:ascii="宋体" w:hAnsi="宋体" w:eastAsia="宋体" w:cs="宋体"/>
          <w:snapToGrid w:val="0"/>
          <w:color w:val="000000" w:themeColor="text1"/>
          <w:kern w:val="28"/>
          <w:sz w:val="24"/>
          <w:szCs w:val="20"/>
          <w:highlight w:val="none"/>
          <w14:textFill>
            <w14:solidFill>
              <w14:schemeClr w14:val="tx1"/>
            </w14:solidFill>
          </w14:textFill>
        </w:rPr>
        <w:t>以联合体形式投标的，提供联合协议(投标人不以联合体形式投标的，则不需要提供）</w:t>
      </w:r>
      <w:r>
        <w:rPr>
          <w:rFonts w:hint="eastAsia" w:ascii="宋体" w:hAnsi="宋体" w:eastAsia="宋体" w:cs="宋体"/>
          <w:snapToGrid w:val="0"/>
          <w:color w:val="000000" w:themeColor="text1"/>
          <w:kern w:val="28"/>
          <w:sz w:val="24"/>
          <w:szCs w:val="20"/>
          <w:highlight w:val="none"/>
          <w:lang w:eastAsia="zh-CN"/>
          <w14:textFill>
            <w14:solidFill>
              <w14:schemeClr w14:val="tx1"/>
            </w14:solidFill>
          </w14:textFill>
        </w:rPr>
        <w:t>）</w:t>
      </w:r>
      <w:r>
        <w:rPr>
          <w:rFonts w:hint="eastAsia" w:ascii="宋体" w:hAnsi="宋体" w:eastAsia="宋体" w:cs="宋体"/>
          <w:snapToGrid w:val="0"/>
          <w:color w:val="000000" w:themeColor="text1"/>
          <w:kern w:val="28"/>
          <w:sz w:val="24"/>
          <w:szCs w:val="20"/>
          <w:highlight w:val="none"/>
          <w14:textFill>
            <w14:solidFill>
              <w14:schemeClr w14:val="tx1"/>
            </w14:solidFill>
          </w14:textFill>
        </w:rPr>
        <w:t>；</w:t>
      </w:r>
    </w:p>
    <w:p>
      <w:pPr>
        <w:pStyle w:val="24"/>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bidi w:val="0"/>
        <w:adjustRightInd/>
        <w:snapToGrid/>
        <w:spacing w:line="360" w:lineRule="auto"/>
        <w:ind w:left="0" w:firstLine="480" w:firstLineChars="200"/>
        <w:jc w:val="left"/>
        <w:textAlignment w:val="auto"/>
        <w:rPr>
          <w:rFonts w:hint="eastAsia" w:ascii="宋体" w:hAnsi="宋体" w:eastAsia="宋体" w:cs="宋体"/>
          <w:color w:val="000000" w:themeColor="text1"/>
          <w:szCs w:val="24"/>
          <w:highlight w:val="none"/>
          <w:u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特定资格条件：</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①</w:t>
      </w: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供应商企业资质要求：</w:t>
      </w:r>
      <w:r>
        <w:rPr>
          <w:rFonts w:hint="eastAsia" w:ascii="宋体" w:hAnsi="宋体" w:eastAsia="宋体" w:cs="宋体"/>
          <w:color w:val="000000" w:themeColor="text1"/>
          <w:szCs w:val="24"/>
          <w:highlight w:val="none"/>
          <w:u w:val="none"/>
          <w14:textFill>
            <w14:solidFill>
              <w14:schemeClr w14:val="tx1"/>
            </w14:solidFill>
          </w14:textFill>
        </w:rPr>
        <w:t>具备施工总承包企业建筑工程(新)三级</w:t>
      </w:r>
      <w:r>
        <w:rPr>
          <w:rFonts w:hint="eastAsia" w:ascii="宋体" w:hAnsi="宋体" w:eastAsia="宋体" w:cs="宋体"/>
          <w:color w:val="000000" w:themeColor="text1"/>
          <w:szCs w:val="24"/>
          <w:highlight w:val="none"/>
          <w:u w:val="none"/>
          <w:lang w:val="en-US" w:eastAsia="zh-CN"/>
          <w14:textFill>
            <w14:solidFill>
              <w14:schemeClr w14:val="tx1"/>
            </w14:solidFill>
          </w14:textFill>
        </w:rPr>
        <w:t>及以上资质</w:t>
      </w:r>
      <w:r>
        <w:rPr>
          <w:rFonts w:hint="eastAsia" w:ascii="宋体" w:hAnsi="宋体" w:eastAsia="宋体" w:cs="宋体"/>
          <w:b/>
          <w:bCs/>
          <w:color w:val="000000" w:themeColor="text1"/>
          <w:szCs w:val="24"/>
          <w:highlight w:val="none"/>
          <w:u w:val="none"/>
          <w:lang w:val="en-US" w:eastAsia="zh-CN"/>
          <w14:textFill>
            <w14:solidFill>
              <w14:schemeClr w14:val="tx1"/>
            </w14:solidFill>
          </w14:textFill>
        </w:rPr>
        <w:t>和</w:t>
      </w:r>
      <w:r>
        <w:rPr>
          <w:rFonts w:hint="eastAsia" w:ascii="宋体" w:hAnsi="宋体" w:eastAsia="宋体" w:cs="宋体"/>
          <w:b w:val="0"/>
          <w:bCs w:val="0"/>
          <w:color w:val="000000" w:themeColor="text1"/>
          <w:kern w:val="2"/>
          <w:sz w:val="24"/>
          <w:szCs w:val="24"/>
          <w:highlight w:val="none"/>
          <w:u w:val="none"/>
          <w:lang w:val="en-US" w:eastAsia="zh-CN" w:bidi="ar-SA"/>
          <w14:textFill>
            <w14:solidFill>
              <w14:schemeClr w14:val="tx1"/>
            </w14:solidFill>
          </w14:textFill>
        </w:rPr>
        <w:t>工程设计建筑行业丙级及以上资质</w:t>
      </w:r>
      <w:r>
        <w:rPr>
          <w:rFonts w:hint="eastAsia" w:ascii="宋体" w:hAnsi="宋体" w:eastAsia="宋体" w:cs="宋体"/>
          <w:b/>
          <w:bCs/>
          <w:color w:val="000000" w:themeColor="text1"/>
          <w:kern w:val="2"/>
          <w:sz w:val="24"/>
          <w:szCs w:val="24"/>
          <w:highlight w:val="none"/>
          <w:u w:val="none"/>
          <w:lang w:val="en-US" w:eastAsia="zh-CN" w:bidi="ar-SA"/>
          <w14:textFill>
            <w14:solidFill>
              <w14:schemeClr w14:val="tx1"/>
            </w14:solidFill>
          </w14:textFill>
        </w:rPr>
        <w:t>或</w:t>
      </w:r>
      <w:r>
        <w:rPr>
          <w:rFonts w:hint="eastAsia" w:ascii="宋体" w:hAnsi="宋体" w:eastAsia="宋体" w:cs="宋体"/>
          <w:b w:val="0"/>
          <w:bCs w:val="0"/>
          <w:color w:val="000000" w:themeColor="text1"/>
          <w:kern w:val="2"/>
          <w:sz w:val="24"/>
          <w:szCs w:val="24"/>
          <w:highlight w:val="none"/>
          <w:u w:val="none"/>
          <w:lang w:val="en-US" w:eastAsia="zh-CN" w:bidi="ar-SA"/>
          <w14:textFill>
            <w14:solidFill>
              <w14:schemeClr w14:val="tx1"/>
            </w14:solidFill>
          </w14:textFill>
        </w:rPr>
        <w:t>施工总承包企业建筑工程(新)三级及以上资质和工程设计综合甲级资质</w:t>
      </w:r>
      <w:r>
        <w:rPr>
          <w:rFonts w:hint="eastAsia" w:ascii="宋体" w:hAnsi="宋体" w:eastAsia="宋体" w:cs="宋体"/>
          <w:color w:val="000000" w:themeColor="text1"/>
          <w:szCs w:val="24"/>
          <w:highlight w:val="none"/>
          <w:u w:val="none"/>
          <w14:textFill>
            <w14:solidFill>
              <w14:schemeClr w14:val="tx1"/>
            </w14:solidFill>
          </w14:textFill>
        </w:rPr>
        <w:t>；</w:t>
      </w:r>
    </w:p>
    <w:p>
      <w:pPr>
        <w:pStyle w:val="839"/>
        <w:keepNext w:val="0"/>
        <w:keepLines w:val="0"/>
        <w:pageBreakBefore w:val="0"/>
        <w:widowControl w:val="0"/>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themeColor="text1"/>
          <w:highlight w:val="none"/>
          <w:u w:val="none"/>
          <w:lang w:val="en-US" w:eastAsia="zh-CN"/>
          <w14:textFill>
            <w14:solidFill>
              <w14:schemeClr w14:val="tx1"/>
            </w14:solidFill>
          </w14:textFill>
        </w:rPr>
        <w:t>②项目经理要求：具有建筑工程专业二级及以上</w:t>
      </w:r>
      <w:r>
        <w:rPr>
          <w:rFonts w:ascii="宋体" w:hAnsi="宋体" w:eastAsia="宋体" w:cs="宋体"/>
          <w:color w:val="000000" w:themeColor="text1"/>
          <w:sz w:val="24"/>
          <w:szCs w:val="24"/>
          <w:highlight w:val="none"/>
          <w:u w:val="none"/>
          <w14:textFill>
            <w14:solidFill>
              <w14:schemeClr w14:val="tx1"/>
            </w14:solidFill>
          </w14:textFill>
        </w:rPr>
        <w:t xml:space="preserve">或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二</w:t>
      </w:r>
      <w:r>
        <w:rPr>
          <w:rFonts w:ascii="宋体" w:hAnsi="宋体" w:eastAsia="宋体" w:cs="宋体"/>
          <w:color w:val="000000" w:themeColor="text1"/>
          <w:sz w:val="24"/>
          <w:szCs w:val="24"/>
          <w:highlight w:val="none"/>
          <w:u w:val="none"/>
          <w14:textFill>
            <w14:solidFill>
              <w14:schemeClr w14:val="tx1"/>
            </w14:solidFill>
          </w14:textFill>
        </w:rPr>
        <w:t xml:space="preserve">级注册建筑师 或 </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二</w:t>
      </w:r>
      <w:r>
        <w:rPr>
          <w:rFonts w:ascii="宋体" w:hAnsi="宋体" w:eastAsia="宋体" w:cs="宋体"/>
          <w:color w:val="000000" w:themeColor="text1"/>
          <w:sz w:val="24"/>
          <w:szCs w:val="24"/>
          <w:highlight w:val="none"/>
          <w:u w:val="none"/>
          <w14:textFill>
            <w14:solidFill>
              <w14:schemeClr w14:val="tx1"/>
            </w14:solidFill>
          </w14:textFill>
        </w:rPr>
        <w:t>级注册结构工程师</w:t>
      </w:r>
      <w:r>
        <w:rPr>
          <w:rFonts w:hint="eastAsia" w:ascii="宋体" w:hAnsi="宋体" w:eastAsia="宋体" w:cs="宋体"/>
          <w:color w:val="000000" w:themeColor="text1"/>
          <w:sz w:val="24"/>
          <w:szCs w:val="24"/>
          <w:highlight w:val="none"/>
          <w:u w:val="none"/>
          <w:lang w:eastAsia="zh-CN"/>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none"/>
          <w:lang w:val="en-US" w:eastAsia="zh-CN"/>
          <w14:textFill>
            <w14:solidFill>
              <w14:schemeClr w14:val="tx1"/>
            </w14:solidFill>
          </w14:textFill>
        </w:rPr>
        <w:t>4.</w:t>
      </w:r>
      <w:r>
        <w:rPr>
          <w:rFonts w:hint="eastAsia" w:ascii="宋体" w:hAnsi="宋体" w:cs="宋体"/>
          <w:color w:val="000000" w:themeColor="text1"/>
          <w:sz w:val="24"/>
          <w:highlight w:val="none"/>
          <w:u w:val="none"/>
          <w14:textFill>
            <w14:solidFill>
              <w14:schemeClr w14:val="tx1"/>
            </w14:solidFill>
          </w14:textFill>
        </w:rPr>
        <w:t>单位负责人为同一人或者存在直接控股</w:t>
      </w:r>
      <w:r>
        <w:rPr>
          <w:rFonts w:hint="eastAsia" w:ascii="宋体" w:hAnsi="宋体" w:cs="宋体"/>
          <w:color w:val="000000" w:themeColor="text1"/>
          <w:sz w:val="24"/>
          <w:highlight w:val="none"/>
          <w14:textFill>
            <w14:solidFill>
              <w14:schemeClr w14:val="tx1"/>
            </w14:solidFill>
          </w14:textFill>
        </w:rPr>
        <w:t>、管理关系的不同供应商，不得参加同一合同项下的政府采购活动；为采购项目提供整体设计、规范编制或者项目管理、监理、检测等服务后不得再参加该采购项目的其他采购活动。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三、获取</w:t>
      </w:r>
      <w:r>
        <w:rPr>
          <w:rFonts w:hint="eastAsia" w:ascii="宋体" w:hAnsi="宋体" w:cs="宋体"/>
          <w:b/>
          <w:color w:val="000000" w:themeColor="text1"/>
          <w:sz w:val="24"/>
          <w:highlight w:val="none"/>
          <w:lang w:eastAsia="zh-CN"/>
          <w14:textFill>
            <w14:solidFill>
              <w14:schemeClr w14:val="tx1"/>
            </w14:solidFill>
          </w14:textFill>
        </w:rPr>
        <w:t>采购文件</w:t>
      </w:r>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06</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26</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售价（元）：</w:t>
      </w:r>
      <w:r>
        <w:rPr>
          <w:rFonts w:hint="eastAsia" w:ascii="宋体" w:hAnsi="宋体" w:cs="宋体"/>
          <w:color w:val="000000" w:themeColor="text1"/>
          <w:sz w:val="24"/>
          <w:highlight w:val="none"/>
          <w14:textFill>
            <w14:solidFill>
              <w14:schemeClr w14:val="tx1"/>
            </w14:solidFill>
          </w14:textFill>
        </w:rPr>
        <w:t xml:space="preserve">0 </w:t>
      </w:r>
      <w:r>
        <w:rPr>
          <w:rFonts w:hint="eastAsia" w:ascii="宋体" w:hAnsi="宋体" w:cs="宋体"/>
          <w:color w:val="000000" w:themeColor="text1"/>
          <w:sz w:val="24"/>
          <w:highlight w:val="none"/>
          <w14:textFill>
            <w14:solidFill>
              <w14:schemeClr w14:val="tx1"/>
            </w14:solidFill>
          </w14:textFill>
        </w:rPr>
        <w:tab/>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06</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26</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08</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color w:val="000000" w:themeColor="text1"/>
          <w:sz w:val="24"/>
          <w:highlight w:val="none"/>
          <w14:textFill>
            <w14:solidFill>
              <w14:schemeClr w14:val="tx1"/>
            </w14:solidFill>
          </w14:textFill>
        </w:rPr>
        <w:t>（北京时间）</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06</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26</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08</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开标地点（网址）：</w:t>
      </w:r>
      <w:r>
        <w:rPr>
          <w:rFonts w:hint="eastAsia" w:ascii="宋体" w:hAnsi="宋体" w:cs="宋体"/>
          <w:color w:val="000000" w:themeColor="text1"/>
          <w:sz w:val="24"/>
          <w:highlight w:val="none"/>
          <w14:textFill>
            <w14:solidFill>
              <w14:schemeClr w14:val="tx1"/>
            </w14:solidFill>
          </w14:textFill>
        </w:rPr>
        <w:t>政采云平台（https://www.zcygov.cn/）</w:t>
      </w:r>
    </w:p>
    <w:p>
      <w:pPr>
        <w:spacing w:line="360" w:lineRule="auto"/>
        <w:rPr>
          <w:rFonts w:hint="eastAsia" w:ascii="宋体" w:hAnsi="宋体" w:cs="宋体"/>
          <w:b/>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五、采购意向公开链接</w:t>
      </w:r>
    </w:p>
    <w:p>
      <w:pPr>
        <w:spacing w:line="360" w:lineRule="auto"/>
        <w:ind w:firstLine="480" w:firstLineChars="200"/>
        <w:rPr>
          <w:rFonts w:ascii="宋体" w:hAnsi="宋体" w:cs="宋体"/>
          <w:b w:val="0"/>
          <w:bCs/>
          <w:color w:val="000000" w:themeColor="text1"/>
          <w:sz w:val="24"/>
          <w:highlight w:val="none"/>
          <w14:textFill>
            <w14:solidFill>
              <w14:schemeClr w14:val="tx1"/>
            </w14:solidFill>
          </w14:textFill>
        </w:rPr>
      </w:pPr>
      <w:r>
        <w:rPr>
          <w:rFonts w:hint="eastAsia" w:ascii="宋体" w:hAnsi="宋体" w:cs="宋体"/>
          <w:b w:val="0"/>
          <w:bCs/>
          <w:color w:val="000000" w:themeColor="text1"/>
          <w:sz w:val="24"/>
          <w:highlight w:val="none"/>
          <w14:textFill>
            <w14:solidFill>
              <w14:schemeClr w14:val="tx1"/>
            </w14:solidFill>
          </w14:textFill>
        </w:rPr>
        <w:t>https://zfcg.czt.zj.gov.cn/innerUsed_noticeDetails/index.html?noticeId=9342473&amp;utm=web-government-front.49399a16.0.0.6ab798f0e8c211ed8b8d2187039f3947</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六</w:t>
      </w:r>
      <w:r>
        <w:rPr>
          <w:rFonts w:hint="eastAsia" w:ascii="宋体" w:hAnsi="宋体" w:cs="宋体"/>
          <w:b/>
          <w:color w:val="000000" w:themeColor="text1"/>
          <w:sz w:val="24"/>
          <w:highlight w:val="none"/>
          <w14:textFill>
            <w14:solidFill>
              <w14:schemeClr w14:val="tx1"/>
            </w14:solidFill>
          </w14:textFill>
        </w:rPr>
        <w:t xml:space="preserve">、公告期限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七</w:t>
      </w:r>
      <w:r>
        <w:rPr>
          <w:rFonts w:hint="eastAsia" w:ascii="宋体" w:hAnsi="宋体" w:cs="宋体"/>
          <w:b/>
          <w:color w:val="000000" w:themeColor="text1"/>
          <w:sz w:val="24"/>
          <w:highlight w:val="none"/>
          <w14:textFill>
            <w14:solidFill>
              <w14:schemeClr w14:val="tx1"/>
            </w14:solidFill>
          </w14:textFill>
        </w:rPr>
        <w:t>、其他补充事宜</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w:t>
      </w:r>
      <w:r>
        <w:rPr>
          <w:rFonts w:ascii="宋体" w:hAnsi="宋体" w:cs="宋体"/>
          <w:color w:val="000000" w:themeColor="text1"/>
          <w:sz w:val="24"/>
          <w:highlight w:val="none"/>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3.供应商认为</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使自己的权益受到损害的，可以自获取</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之日或者</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公告期限届满之日（公告期限届满后获取</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cs="宋体"/>
          <w:color w:val="000000" w:themeColor="text1"/>
          <w:sz w:val="24"/>
          <w:highlight w:val="none"/>
          <w:lang w:val="en-US" w:eastAsia="zh-CN"/>
          <w14:textFill>
            <w14:solidFill>
              <w14:schemeClr w14:val="tx1"/>
            </w14:solidFill>
          </w14:textFill>
        </w:rPr>
        <w:t>项目是否接收备份文件，以前附表说明为准。</w:t>
      </w:r>
      <w:r>
        <w:rPr>
          <w:rFonts w:hint="eastAsia" w:ascii="宋体" w:hAnsi="宋体" w:cs="宋体"/>
          <w:color w:val="000000" w:themeColor="text1"/>
          <w:sz w:val="24"/>
          <w:highlight w:val="none"/>
          <w14:textFill>
            <w14:solidFill>
              <w14:schemeClr w14:val="tx1"/>
            </w14:solidFill>
          </w14:textFill>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八</w:t>
      </w:r>
      <w:r>
        <w:rPr>
          <w:rFonts w:hint="eastAsia" w:ascii="宋体" w:hAnsi="宋体" w:cs="宋体"/>
          <w:b/>
          <w:color w:val="000000" w:themeColor="text1"/>
          <w:sz w:val="24"/>
          <w:highlight w:val="none"/>
          <w14:textFill>
            <w14:solidFill>
              <w14:schemeClr w14:val="tx1"/>
            </w14:solidFill>
          </w14:textFill>
        </w:rPr>
        <w:t>、对本次采购提出询问、质疑、投诉，请按以下方式联系</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1.采购人信息</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名    称：</w:t>
      </w:r>
      <w:r>
        <w:rPr>
          <w:rFonts w:hint="eastAsia" w:ascii="宋体" w:hAnsi="宋体" w:cs="宋体"/>
          <w:color w:val="000000" w:themeColor="text1"/>
          <w:sz w:val="24"/>
          <w:highlight w:val="non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地    址：</w:t>
      </w:r>
      <w:r>
        <w:rPr>
          <w:rFonts w:hint="eastAsia" w:ascii="宋体" w:hAnsi="宋体" w:cs="宋体"/>
          <w:color w:val="000000" w:themeColor="text1"/>
          <w:sz w:val="24"/>
          <w:highlight w:val="none"/>
          <w:lang w:eastAsia="zh-CN"/>
          <w14:textFill>
            <w14:solidFill>
              <w14:schemeClr w14:val="tx1"/>
            </w14:solidFill>
          </w14:textFill>
        </w:rPr>
        <w:t>萧山区建设四路</w:t>
      </w:r>
      <w:r>
        <w:rPr>
          <w:rFonts w:hint="eastAsia" w:ascii="宋体" w:hAnsi="宋体" w:cs="宋体"/>
          <w:color w:val="000000" w:themeColor="text1"/>
          <w:sz w:val="24"/>
          <w:highlight w:val="none"/>
          <w:lang w:val="en-US" w:eastAsia="zh-CN"/>
          <w14:textFill>
            <w14:solidFill>
              <w14:schemeClr w14:val="tx1"/>
            </w14:solidFill>
          </w14:textFill>
        </w:rPr>
        <w:t>10777号</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项目联系人（询问）：</w:t>
      </w:r>
      <w:r>
        <w:rPr>
          <w:rFonts w:hint="eastAsia" w:ascii="宋体" w:hAnsi="宋体" w:cs="宋体"/>
          <w:color w:val="000000" w:themeColor="text1"/>
          <w:sz w:val="24"/>
          <w:highlight w:val="none"/>
          <w:lang w:val="en-US" w:eastAsia="zh-CN"/>
          <w14:textFill>
            <w14:solidFill>
              <w14:schemeClr w14:val="tx1"/>
            </w14:solidFill>
          </w14:textFill>
        </w:rPr>
        <w:t>高怡宁</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项目联系方式（询问）：0571-83589027</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eastAsia="zh-CN"/>
          <w14:textFill>
            <w14:solidFill>
              <w14:schemeClr w14:val="tx1"/>
            </w14:solidFill>
          </w14:textFill>
        </w:rPr>
        <w:t>许天钢</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default" w:ascii="宋体" w:hAnsi="宋体" w:cs="宋体"/>
          <w:color w:val="000000" w:themeColor="text1"/>
          <w:sz w:val="24"/>
          <w:highlight w:val="none"/>
          <w:lang w:val="en-US"/>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highlight w:val="none"/>
          <w:lang w:val="en-US" w:eastAsia="zh-CN"/>
          <w14:textFill>
            <w14:solidFill>
              <w14:schemeClr w14:val="tx1"/>
            </w14:solidFill>
          </w14:textFill>
        </w:rPr>
        <w:t>0571-57152632</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lang w:eastAsia="zh-CN"/>
          <w14:textFill>
            <w14:solidFill>
              <w14:schemeClr w14:val="tx1"/>
            </w14:solidFill>
          </w14:textFill>
        </w:rPr>
        <w:t>浙江泛亚工程咨询有限公司</w:t>
      </w:r>
    </w:p>
    <w:p>
      <w:pPr>
        <w:spacing w:line="360" w:lineRule="auto"/>
        <w:ind w:firstLine="48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lang w:eastAsia="zh-CN"/>
          <w14:textFill>
            <w14:solidFill>
              <w14:schemeClr w14:val="tx1"/>
            </w14:solidFill>
          </w14:textFill>
        </w:rPr>
        <w:t>杭州市天目山路</w:t>
      </w:r>
      <w:r>
        <w:rPr>
          <w:rFonts w:hint="eastAsia" w:ascii="宋体" w:hAnsi="宋体" w:cs="宋体"/>
          <w:color w:val="000000" w:themeColor="text1"/>
          <w:sz w:val="24"/>
          <w:highlight w:val="none"/>
          <w:lang w:val="en-US" w:eastAsia="zh-CN"/>
          <w14:textFill>
            <w14:solidFill>
              <w14:schemeClr w14:val="tx1"/>
            </w14:solidFill>
          </w14:textFill>
        </w:rPr>
        <w:t>181号天际大厦804</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传    真： </w:t>
      </w:r>
      <w:r>
        <w:rPr>
          <w:rFonts w:hint="eastAsia" w:ascii="宋体" w:hAnsi="宋体" w:cs="宋体"/>
          <w:color w:val="000000" w:themeColor="text1"/>
          <w:sz w:val="24"/>
          <w:highlight w:val="none"/>
          <w:lang w:val="en-US" w:eastAsia="zh-CN"/>
          <w14:textFill>
            <w14:solidFill>
              <w14:schemeClr w14:val="tx1"/>
            </w14:solidFill>
          </w14:textFill>
        </w:rPr>
        <w:t>0571-87993775</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项目联系人（询问）：</w:t>
      </w:r>
      <w:r>
        <w:rPr>
          <w:rFonts w:hint="eastAsia" w:ascii="宋体" w:hAnsi="宋体" w:cs="宋体"/>
          <w:color w:val="000000" w:themeColor="text1"/>
          <w:sz w:val="24"/>
          <w:highlight w:val="none"/>
          <w:lang w:val="en-US" w:eastAsia="zh-CN"/>
          <w14:textFill>
            <w14:solidFill>
              <w14:schemeClr w14:val="tx1"/>
            </w14:solidFill>
          </w14:textFill>
        </w:rPr>
        <w:t>李芳芳</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w:t>
      </w:r>
      <w:r>
        <w:rPr>
          <w:rFonts w:hint="eastAsia" w:ascii="宋体" w:hAnsi="宋体" w:cs="宋体"/>
          <w:color w:val="000000" w:themeColor="text1"/>
          <w:sz w:val="24"/>
          <w:highlight w:val="none"/>
          <w:lang w:val="en-US" w:eastAsia="zh-CN"/>
          <w14:textFill>
            <w14:solidFill>
              <w14:schemeClr w14:val="tx1"/>
            </w14:solidFill>
          </w14:textFill>
        </w:rPr>
        <w:t>13605802875</w:t>
      </w:r>
    </w:p>
    <w:p>
      <w:pPr>
        <w:spacing w:line="360" w:lineRule="auto"/>
        <w:rPr>
          <w:rFonts w:hint="default" w:ascii="宋体" w:hAnsi="宋体" w:cs="宋体"/>
          <w:color w:val="000000" w:themeColor="text1"/>
          <w:sz w:val="24"/>
          <w:highlight w:val="none"/>
          <w:lang w:val="en-US"/>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val="en-US" w:eastAsia="zh-CN"/>
          <w14:textFill>
            <w14:solidFill>
              <w14:schemeClr w14:val="tx1"/>
            </w14:solidFill>
          </w14:textFill>
        </w:rPr>
        <w:t>杨佩瑾</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highlight w:val="none"/>
          <w:lang w:val="en-US" w:eastAsia="zh-CN"/>
          <w14:textFill>
            <w14:solidFill>
              <w14:schemeClr w14:val="tx1"/>
            </w14:solidFill>
          </w14:textFill>
        </w:rPr>
        <w:t>15068827539</w:t>
      </w:r>
    </w:p>
    <w:p>
      <w:pPr>
        <w:numPr>
          <w:ilvl w:val="0"/>
          <w:numId w:val="1"/>
        </w:numPr>
        <w:spacing w:line="360" w:lineRule="auto"/>
        <w:ind w:left="480" w:leftChars="0" w:firstLine="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同级政府采购监督管理部门</w:t>
      </w:r>
    </w:p>
    <w:p>
      <w:pPr>
        <w:numPr>
          <w:ilvl w:val="0"/>
          <w:numId w:val="0"/>
        </w:numPr>
        <w:spacing w:line="360" w:lineRule="auto"/>
        <w:ind w:left="480" w:left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w:t>
      </w:r>
      <w:r>
        <w:rPr>
          <w:rFonts w:hint="eastAsia" w:ascii="宋体" w:hAnsi="宋体" w:eastAsia="宋体" w:cs="宋体"/>
          <w:color w:val="000000" w:themeColor="text1"/>
          <w:sz w:val="24"/>
          <w:highlight w:val="none"/>
          <w14:textFill>
            <w14:solidFill>
              <w14:schemeClr w14:val="tx1"/>
            </w14:solidFill>
          </w14:textFill>
        </w:rPr>
        <w:t>  </w:t>
      </w:r>
      <w:r>
        <w:rPr>
          <w:rFonts w:hint="eastAsia" w:ascii="宋体" w:hAnsi="宋体" w:cs="宋体"/>
          <w:color w:val="000000" w:themeColor="text1"/>
          <w:sz w:val="24"/>
          <w:highlight w:val="none"/>
          <w14:textFill>
            <w14:solidFill>
              <w14:schemeClr w14:val="tx1"/>
            </w14:solidFill>
          </w14:textFill>
        </w:rPr>
        <w:t xml:space="preserve"> 称：萧山区财政局</w:t>
      </w:r>
    </w:p>
    <w:p>
      <w:pPr>
        <w:spacing w:line="360" w:lineRule="auto"/>
        <w:ind w:left="237" w:leftChars="113" w:firstLine="180" w:firstLineChars="75"/>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w:t>
      </w:r>
      <w:r>
        <w:rPr>
          <w:rFonts w:hint="eastAsia" w:ascii="宋体" w:hAnsi="宋体" w:eastAsia="宋体" w:cs="宋体"/>
          <w:color w:val="000000" w:themeColor="text1"/>
          <w:sz w:val="24"/>
          <w:highlight w:val="none"/>
          <w14:textFill>
            <w14:solidFill>
              <w14:schemeClr w14:val="tx1"/>
            </w14:solidFill>
          </w14:textFill>
        </w:rPr>
        <w:t>  </w:t>
      </w:r>
      <w:r>
        <w:rPr>
          <w:rFonts w:hint="eastAsia" w:ascii="宋体" w:hAnsi="宋体" w:cs="宋体"/>
          <w:color w:val="000000" w:themeColor="text1"/>
          <w:sz w:val="24"/>
          <w:highlight w:val="none"/>
          <w14:textFill>
            <w14:solidFill>
              <w14:schemeClr w14:val="tx1"/>
            </w14:solidFill>
          </w14:textFill>
        </w:rPr>
        <w:t xml:space="preserve"> 址：杭州市萧山区人民路318号</w:t>
      </w:r>
    </w:p>
    <w:p>
      <w:pPr>
        <w:spacing w:line="360" w:lineRule="auto"/>
        <w:ind w:left="237" w:leftChars="113" w:firstLine="180" w:firstLineChars="75"/>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w:t>
      </w:r>
      <w:r>
        <w:rPr>
          <w:rFonts w:hint="eastAsia" w:ascii="宋体" w:hAnsi="宋体" w:eastAsia="宋体" w:cs="宋体"/>
          <w:color w:val="000000" w:themeColor="text1"/>
          <w:sz w:val="24"/>
          <w:highlight w:val="none"/>
          <w14:textFill>
            <w14:solidFill>
              <w14:schemeClr w14:val="tx1"/>
            </w14:solidFill>
          </w14:textFill>
        </w:rPr>
        <w:t> </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w:t>
      </w:r>
      <w:r>
        <w:rPr>
          <w:rFonts w:hint="eastAsia" w:ascii="宋体" w:hAnsi="宋体" w:cs="宋体"/>
          <w:color w:val="000000" w:themeColor="text1"/>
          <w:sz w:val="24"/>
          <w:highlight w:val="none"/>
          <w14:textFill>
            <w14:solidFill>
              <w14:schemeClr w14:val="tx1"/>
            </w14:solidFill>
          </w14:textFill>
        </w:rPr>
        <w:t>真：0571-82756122</w:t>
      </w:r>
    </w:p>
    <w:p>
      <w:pPr>
        <w:spacing w:line="360" w:lineRule="auto"/>
        <w:ind w:left="237" w:leftChars="113" w:firstLine="180" w:firstLineChars="75"/>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 ：汤先生</w:t>
      </w:r>
    </w:p>
    <w:p>
      <w:pPr>
        <w:spacing w:line="360" w:lineRule="auto"/>
        <w:ind w:left="237" w:leftChars="113" w:firstLine="180" w:firstLineChars="75"/>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监督投诉电话：0571-82756122</w:t>
      </w:r>
      <w:r>
        <w:rPr>
          <w:rFonts w:hint="eastAsia" w:ascii="宋体" w:hAnsi="宋体" w:eastAsia="宋体" w:cs="宋体"/>
          <w:color w:val="000000" w:themeColor="text1"/>
          <w:sz w:val="24"/>
          <w:highlight w:val="none"/>
          <w14:textFill>
            <w14:solidFill>
              <w14:schemeClr w14:val="tx1"/>
            </w14:solidFill>
          </w14:textFill>
        </w:rPr>
        <w:t>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rPr>
          <w:rFonts w:hint="eastAsia" w:ascii="宋体" w:hAnsi="宋体" w:cs="宋体"/>
          <w:color w:val="000000" w:themeColor="text1"/>
          <w:sz w:val="24"/>
          <w:highlight w:val="none"/>
          <w:lang w:val="en-US" w:eastAsia="zh-CN"/>
          <w14:textFill>
            <w14:solidFill>
              <w14:schemeClr w14:val="tx1"/>
            </w14:solidFill>
          </w14:textFill>
        </w:rPr>
      </w:pPr>
    </w:p>
    <w:p>
      <w:pPr>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CA问题联系电话（人工）：汇信CA 400-888-4636；天谷CA 400-087-8198。</w:t>
      </w:r>
    </w:p>
    <w:p>
      <w:pPr>
        <w:widowControl/>
        <w:adjustRightInd/>
        <w:jc w:val="left"/>
        <w:rPr>
          <w:rFonts w:ascii="宋体" w:hAnsi="宋体" w:cs="宋体"/>
          <w:b/>
          <w:color w:val="000000" w:themeColor="text1"/>
          <w:sz w:val="36"/>
          <w:szCs w:val="20"/>
          <w:highlight w:val="none"/>
          <w14:textFill>
            <w14:solidFill>
              <w14:schemeClr w14:val="tx1"/>
            </w14:solidFill>
          </w14:textFill>
        </w:rPr>
      </w:pPr>
      <w:r>
        <w:rPr>
          <w:rFonts w:ascii="宋体" w:hAnsi="宋体" w:cs="宋体"/>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第二部分</w:t>
      </w:r>
      <w:bookmarkEnd w:id="8"/>
      <w:r>
        <w:rPr>
          <w:rFonts w:hint="eastAsia" w:ascii="宋体" w:hAnsi="宋体" w:cs="宋体"/>
          <w:b/>
          <w:color w:val="000000" w:themeColor="text1"/>
          <w:sz w:val="36"/>
          <w:szCs w:val="20"/>
          <w:highlight w:val="none"/>
          <w14:textFill>
            <w14:solidFill>
              <w14:schemeClr w14:val="tx1"/>
            </w14:solidFill>
          </w14:textFill>
        </w:rPr>
        <w:t xml:space="preserve"> </w:t>
      </w:r>
      <w:r>
        <w:rPr>
          <w:rFonts w:hint="eastAsia" w:ascii="宋体" w:hAnsi="宋体" w:cs="宋体"/>
          <w:b/>
          <w:color w:val="000000" w:themeColor="text1"/>
          <w:sz w:val="36"/>
          <w:szCs w:val="20"/>
          <w:highlight w:val="none"/>
          <w:lang w:eastAsia="zh-CN"/>
          <w14:textFill>
            <w14:solidFill>
              <w14:schemeClr w14:val="tx1"/>
            </w14:solidFill>
          </w14:textFill>
        </w:rPr>
        <w:t>供应商</w:t>
      </w:r>
      <w:r>
        <w:rPr>
          <w:rFonts w:hint="eastAsia" w:ascii="宋体" w:hAnsi="宋体" w:cs="宋体"/>
          <w:b/>
          <w:color w:val="000000" w:themeColor="text1"/>
          <w:sz w:val="36"/>
          <w:szCs w:val="20"/>
          <w:highlight w:val="none"/>
          <w14:textFill>
            <w14:solidFill>
              <w14:schemeClr w14:val="tx1"/>
            </w14:solidFill>
          </w14:textFill>
        </w:rPr>
        <w:t>须知</w:t>
      </w:r>
      <w:bookmarkEnd w:id="9"/>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前附表</w:t>
      </w:r>
    </w:p>
    <w:tbl>
      <w:tblPr>
        <w:tblStyle w:val="63"/>
        <w:tblW w:w="9400" w:type="dxa"/>
        <w:tblInd w:w="-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83"/>
        <w:gridCol w:w="1900"/>
        <w:gridCol w:w="68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3" w:hRule="atLeast"/>
          <w:tblHead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71" w:hRule="atLeast"/>
          <w:tblHeader/>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（1）标的：</w:t>
            </w:r>
            <w:r>
              <w:rPr>
                <w:rFonts w:hint="eastAsia" w:ascii="宋体" w:hAnsi="宋体" w:cs="宋体"/>
                <w:color w:val="000000" w:themeColor="text1"/>
                <w:sz w:val="24"/>
                <w:highlight w:val="none"/>
                <w:u w:val="single"/>
                <w14:textFill>
                  <w14:solidFill>
                    <w14:schemeClr w14:val="tx1"/>
                  </w14:solidFill>
                </w14:textFill>
              </w:rPr>
              <w:t>大梅林共同富裕示范带设计采购提升运营一体化服务</w:t>
            </w:r>
            <w:r>
              <w:rPr>
                <w:rFonts w:hint="eastAsia" w:ascii="宋体" w:hAnsi="宋体" w:cs="宋体"/>
                <w:color w:val="000000" w:themeColor="text1"/>
                <w:sz w:val="24"/>
                <w:highlight w:val="none"/>
                <w14:textFill>
                  <w14:solidFill>
                    <w14:schemeClr w14:val="tx1"/>
                  </w14:solidFill>
                </w14:textFill>
              </w:rPr>
              <w:t>，属于</w:t>
            </w:r>
            <w:r>
              <w:rPr>
                <w:rFonts w:hint="eastAsia" w:ascii="宋体" w:hAnsi="宋体" w:eastAsia="宋体" w:cs="宋体"/>
                <w:b/>
                <w:bCs/>
                <w:color w:val="000000" w:themeColor="text1"/>
                <w:sz w:val="24"/>
                <w:highlight w:val="none"/>
                <w:u w:val="single"/>
                <w14:textFill>
                  <w14:solidFill>
                    <w14:schemeClr w14:val="tx1"/>
                  </w14:solidFill>
                </w14:textFill>
              </w:rPr>
              <w:t>其他未列明行业</w:t>
            </w:r>
            <w:r>
              <w:rPr>
                <w:rFonts w:hint="eastAsia" w:ascii="宋体" w:hAnsi="宋体" w:cs="宋体"/>
                <w:color w:val="000000" w:themeColor="text1"/>
                <w:sz w:val="24"/>
                <w:highlight w:val="none"/>
                <w14:textFill>
                  <w14:solidFill>
                    <w14:schemeClr w14:val="tx1"/>
                  </w14:solidFill>
                </w14:textFill>
              </w:rPr>
              <w:t>；</w:t>
            </w:r>
          </w:p>
          <w:p>
            <w:pPr>
              <w:spacing w:line="312" w:lineRule="auto"/>
              <w:rPr>
                <w:rFonts w:hint="eastAsia" w:ascii="宋体" w:hAnsi="宋体" w:cs="宋体"/>
                <w:color w:val="000000" w:themeColor="text1"/>
                <w:sz w:val="24"/>
                <w:highlight w:val="none"/>
                <w:lang w:val="en-US"/>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5" w:hRule="atLeast"/>
          <w:tblHeader/>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是否允许采购进口产品</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cs="宋体"/>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sdtEndPr>
              <w:sdtContent>
                <w:r>
                  <w:rPr>
                    <w:rFonts w:hint="eastAsia" w:ascii="Wingdings" w:hAnsi="Wingdings" w:eastAsia="仿宋" w:cs="仿宋"/>
                    <w:snapToGrid w:val="0"/>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cs="宋体"/>
                <w:color w:val="000000" w:themeColor="text1"/>
                <w:kern w:val="0"/>
                <w:sz w:val="24"/>
                <w:highlight w:val="none"/>
                <w:lang w:val="en-US" w:eastAsia="zh-CN"/>
                <w14:textFill>
                  <w14:solidFill>
                    <w14:schemeClr w14:val="tx1"/>
                  </w14:solidFill>
                </w14:textFill>
              </w:rPr>
              <w:t>A</w:t>
            </w:r>
            <w:r>
              <w:rPr>
                <w:rFonts w:hint="eastAsia" w:ascii="宋体" w:hAnsi="宋体" w:cs="宋体"/>
                <w:color w:val="000000" w:themeColor="text1"/>
                <w:kern w:val="0"/>
                <w:sz w:val="24"/>
                <w:highlight w:val="none"/>
                <w14:textFill>
                  <w14:solidFill>
                    <w14:schemeClr w14:val="tx1"/>
                  </w14:solidFill>
                </w14:textFill>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3" w:hRule="atLeast"/>
          <w:tblHeader/>
        </w:trPr>
        <w:tc>
          <w:tcPr>
            <w:tcW w:w="683"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分包</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jc w:val="both"/>
              <w:rPr>
                <w:rFonts w:hint="eastAsia" w:ascii="宋体" w:hAnsi="宋体" w:cs="宋体"/>
                <w:color w:val="000000" w:themeColor="text1"/>
                <w:sz w:val="24"/>
                <w:highlight w:val="none"/>
                <w:lang w:eastAsia="zh-CN"/>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sdtEndPr>
              <w:sdtContent>
                <w:r>
                  <w:rPr>
                    <w:rFonts w:hint="eastAsia" w:ascii="Wingdings" w:hAnsi="Wingdings" w:eastAsia="仿宋" w:cs="仿宋"/>
                    <w:snapToGrid w:val="0"/>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highlight w:val="none"/>
                <w:lang w:val="en-US" w:eastAsia="zh-CN"/>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同意将非主体、非关键性的</w:t>
            </w:r>
            <w:r>
              <w:rPr>
                <w:rFonts w:hint="eastAsia" w:ascii="宋体" w:hAnsi="宋体" w:cs="宋体"/>
                <w:b/>
                <w:bCs/>
                <w:color w:val="000000" w:themeColor="text1"/>
                <w:sz w:val="24"/>
                <w:highlight w:val="none"/>
                <w:u w:val="single"/>
                <w14:textFill>
                  <w14:solidFill>
                    <w14:schemeClr w14:val="tx1"/>
                  </w14:solidFill>
                </w14:textFill>
              </w:rPr>
              <w:t>对其进行</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统一功能提升及设备安装时需确保其安全及操作规范，若“</w:t>
            </w:r>
            <w:r>
              <w:rPr>
                <w:rFonts w:hint="eastAsia" w:ascii="宋体" w:hAnsi="宋体" w:cs="宋体"/>
                <w:b/>
                <w:bCs/>
                <w:color w:val="000000" w:themeColor="text1"/>
                <w:sz w:val="24"/>
                <w:highlight w:val="none"/>
                <w:u w:val="single"/>
                <w:lang w:val="en-US" w:eastAsia="zh-CN"/>
                <w14:textFill>
                  <w14:solidFill>
                    <w14:schemeClr w14:val="tx1"/>
                  </w14:solidFill>
                </w14:textFill>
              </w:rPr>
              <w:t>采购提升</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”其中有局部专</w:t>
            </w:r>
            <w:r>
              <w:rPr>
                <w:rFonts w:hint="eastAsia" w:ascii="宋体" w:hAnsi="宋体" w:cs="宋体"/>
                <w:b/>
                <w:bCs/>
                <w:color w:val="000000" w:themeColor="text1"/>
                <w:sz w:val="24"/>
                <w:highlight w:val="none"/>
                <w:u w:val="single"/>
                <w:lang w:val="en-US" w:eastAsia="zh-CN"/>
                <w14:textFill>
                  <w14:solidFill>
                    <w14:schemeClr w14:val="tx1"/>
                  </w14:solidFill>
                </w14:textFill>
              </w:rPr>
              <w:t>业</w:t>
            </w:r>
            <w:r>
              <w:rPr>
                <w:rFonts w:hint="eastAsia" w:ascii="宋体" w:hAnsi="宋体" w:cs="宋体"/>
                <w:color w:val="000000" w:themeColor="text1"/>
                <w:sz w:val="24"/>
                <w:highlight w:val="none"/>
                <w14:textFill>
                  <w14:solidFill>
                    <w14:schemeClr w14:val="tx1"/>
                  </w14:solidFill>
                </w14:textFill>
              </w:rPr>
              <w:t>工作分包</w:t>
            </w:r>
            <w:r>
              <w:rPr>
                <w:rFonts w:hint="eastAsia" w:ascii="宋体" w:hAnsi="宋体" w:cs="宋体"/>
                <w:color w:val="000000" w:themeColor="text1"/>
                <w:sz w:val="24"/>
                <w:highlight w:val="none"/>
                <w:lang w:eastAsia="zh-CN"/>
                <w14:textFill>
                  <w14:solidFill>
                    <w14:schemeClr w14:val="tx1"/>
                  </w14:solidFill>
                </w14:textFill>
              </w:rPr>
              <w:t>。</w:t>
            </w:r>
          </w:p>
          <w:p>
            <w:pPr>
              <w:spacing w:line="312" w:lineRule="auto"/>
              <w:jc w:val="both"/>
              <w:rPr>
                <w:rFonts w:hint="eastAsia" w:ascii="宋体" w:hAnsi="宋体" w:eastAsia="仿宋"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分包的确定：乙方</w:t>
            </w:r>
            <w:r>
              <w:rPr>
                <w:rFonts w:hint="eastAsia" w:ascii="宋体" w:hAnsi="宋体" w:eastAsia="宋体" w:cs="宋体"/>
                <w:color w:val="000000" w:themeColor="text1"/>
                <w:kern w:val="0"/>
                <w:sz w:val="24"/>
                <w:highlight w:val="none"/>
                <w14:textFill>
                  <w14:solidFill>
                    <w14:schemeClr w14:val="tx1"/>
                  </w14:solidFill>
                </w14:textFill>
              </w:rPr>
              <w:t>不具备相关专业的专业资质，可以将局部的专业</w:t>
            </w:r>
            <w:r>
              <w:rPr>
                <w:rFonts w:hint="eastAsia" w:ascii="宋体" w:hAnsi="宋体" w:eastAsia="宋体" w:cs="宋体"/>
                <w:color w:val="000000" w:themeColor="text1"/>
                <w:kern w:val="0"/>
                <w:sz w:val="24"/>
                <w:highlight w:val="none"/>
                <w:lang w:val="en-US" w:eastAsia="zh-CN"/>
                <w14:textFill>
                  <w14:solidFill>
                    <w14:schemeClr w14:val="tx1"/>
                  </w14:solidFill>
                </w14:textFill>
              </w:rPr>
              <w:t>工作内容</w:t>
            </w:r>
            <w:r>
              <w:rPr>
                <w:rFonts w:hint="eastAsia" w:ascii="宋体" w:hAnsi="宋体" w:eastAsia="宋体" w:cs="宋体"/>
                <w:color w:val="000000" w:themeColor="text1"/>
                <w:kern w:val="0"/>
                <w:sz w:val="24"/>
                <w:highlight w:val="none"/>
                <w14:textFill>
                  <w14:solidFill>
                    <w14:schemeClr w14:val="tx1"/>
                  </w14:solidFill>
                </w14:textFill>
              </w:rPr>
              <w:t>依法分包给具备相应专业资质的</w:t>
            </w:r>
            <w:r>
              <w:rPr>
                <w:rFonts w:hint="eastAsia" w:ascii="宋体" w:hAnsi="宋体" w:eastAsia="宋体" w:cs="宋体"/>
                <w:color w:val="000000" w:themeColor="text1"/>
                <w:kern w:val="0"/>
                <w:sz w:val="24"/>
                <w:highlight w:val="none"/>
                <w:lang w:val="en-US" w:eastAsia="zh-CN"/>
                <w14:textFill>
                  <w14:solidFill>
                    <w14:schemeClr w14:val="tx1"/>
                  </w14:solidFill>
                </w14:textFill>
              </w:rPr>
              <w:t>第三方</w:t>
            </w:r>
            <w:r>
              <w:rPr>
                <w:rFonts w:hint="eastAsia" w:ascii="宋体" w:hAnsi="宋体" w:eastAsia="宋体" w:cs="宋体"/>
                <w:color w:val="000000" w:themeColor="text1"/>
                <w:kern w:val="0"/>
                <w:sz w:val="24"/>
                <w:highlight w:val="none"/>
                <w14:textFill>
                  <w14:solidFill>
                    <w14:schemeClr w14:val="tx1"/>
                  </w14:solidFill>
                </w14:textFill>
              </w:rPr>
              <w:t>单位，确定的分包单位需经</w:t>
            </w:r>
            <w:r>
              <w:rPr>
                <w:rFonts w:hint="eastAsia" w:ascii="宋体" w:hAnsi="宋体" w:eastAsia="宋体" w:cs="宋体"/>
                <w:color w:val="000000" w:themeColor="text1"/>
                <w:kern w:val="0"/>
                <w:sz w:val="24"/>
                <w:highlight w:val="none"/>
                <w:lang w:val="en-US" w:eastAsia="zh-CN"/>
                <w14:textFill>
                  <w14:solidFill>
                    <w14:schemeClr w14:val="tx1"/>
                  </w14:solidFill>
                </w14:textFill>
              </w:rPr>
              <w:t>采购人</w:t>
            </w:r>
            <w:r>
              <w:rPr>
                <w:rFonts w:hint="eastAsia" w:ascii="宋体" w:hAnsi="宋体" w:eastAsia="宋体" w:cs="宋体"/>
                <w:color w:val="000000" w:themeColor="text1"/>
                <w:kern w:val="0"/>
                <w:sz w:val="24"/>
                <w:highlight w:val="none"/>
                <w14:textFill>
                  <w14:solidFill>
                    <w14:schemeClr w14:val="tx1"/>
                  </w14:solidFill>
                </w14:textFill>
              </w:rPr>
              <w:t>同意</w:t>
            </w:r>
            <w:r>
              <w:rPr>
                <w:rFonts w:hint="eastAsia" w:ascii="宋体" w:hAnsi="宋体" w:eastAsia="宋体" w:cs="宋体"/>
                <w:color w:val="000000" w:themeColor="text1"/>
                <w:kern w:val="0"/>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7" w:hRule="atLeast"/>
          <w:tblHeader/>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ind w:firstLine="0" w:firstLine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开标前答疑会或现场考察</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cs="宋体"/>
                <w:color w:val="000000" w:themeColor="text1"/>
                <w:sz w:val="24"/>
                <w:szCs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sdtEndPr>
              <w:sdtContent>
                <w:r>
                  <w:rPr>
                    <w:rFonts w:hint="eastAsia" w:ascii="Wingdings" w:hAnsi="Wingdings" w:eastAsia="仿宋" w:cs="仿宋"/>
                    <w:snapToGrid w:val="0"/>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highlight w:val="none"/>
                <w:lang w:val="en-US" w:eastAsia="zh-CN"/>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0" w:hRule="atLeast"/>
          <w:tblHeader/>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样品提供</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cs="宋体"/>
                <w:b/>
                <w:color w:val="000000" w:themeColor="text1"/>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sdtEndPr>
              <w:sdtContent>
                <w:r>
                  <w:rPr>
                    <w:rFonts w:hint="eastAsia" w:ascii="Wingdings" w:hAnsi="Wingdings" w:eastAsia="仿宋" w:cs="仿宋"/>
                    <w:snapToGrid w:val="0"/>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highlight w:val="none"/>
                <w:lang w:val="en-US" w:eastAsia="zh-CN"/>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trPr>
        <w:tc>
          <w:tcPr>
            <w:tcW w:w="683"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900"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方案讲解演示</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cs="宋体"/>
                <w:b/>
                <w:color w:val="000000" w:themeColor="text1"/>
                <w:kern w:val="0"/>
                <w:sz w:val="24"/>
                <w:highlight w:val="none"/>
                <w:lang w:val="zh-CN"/>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sdtEndPr>
              <w:sdtContent>
                <w:r>
                  <w:rPr>
                    <w:rFonts w:hint="eastAsia" w:ascii="Wingdings" w:hAnsi="Wingdings" w:eastAsia="仿宋" w:cs="仿宋"/>
                    <w:snapToGrid w:val="0"/>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0"/>
                <w:sz w:val="24"/>
                <w:highlight w:val="none"/>
                <w:lang w:val="en-US" w:eastAsia="zh-CN"/>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83" w:type="dxa"/>
            <w:vMerge w:val="restart"/>
            <w:tcBorders>
              <w:top w:val="single" w:color="auto" w:sz="4" w:space="0"/>
              <w:left w:val="single" w:color="auto" w:sz="4" w:space="0"/>
              <w:right w:val="single" w:color="auto" w:sz="4"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900" w:type="dxa"/>
            <w:vMerge w:val="restart"/>
            <w:tcBorders>
              <w:top w:val="single" w:color="000000" w:sz="8" w:space="0"/>
              <w:left w:val="single" w:color="auto" w:sz="4"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供应商</w:t>
            </w:r>
            <w:r>
              <w:rPr>
                <w:rFonts w:hint="eastAsia" w:ascii="宋体" w:hAnsi="宋体" w:cs="宋体"/>
                <w:b/>
                <w:color w:val="000000" w:themeColor="text1"/>
                <w:sz w:val="24"/>
                <w:highlight w:val="none"/>
                <w14:textFill>
                  <w14:solidFill>
                    <w14:schemeClr w14:val="tx1"/>
                  </w14:solidFill>
                </w14:textFill>
              </w:rPr>
              <w:t>应当提供的资格、资信证明文件</w:t>
            </w:r>
          </w:p>
        </w:tc>
        <w:tc>
          <w:tcPr>
            <w:tcW w:w="6817" w:type="dxa"/>
            <w:tcBorders>
              <w:top w:val="single" w:color="000000" w:sz="8" w:space="0"/>
              <w:left w:val="single" w:color="000000" w:sz="2" w:space="0"/>
              <w:bottom w:val="single" w:color="auto" w:sz="4" w:space="0"/>
              <w:right w:val="single" w:color="000000" w:sz="8" w:space="0"/>
            </w:tcBorders>
            <w:vAlign w:val="center"/>
          </w:tcPr>
          <w:p>
            <w:pPr>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（1）资格证明文件：见</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第二部分11.1。</w:t>
            </w:r>
          </w:p>
          <w:p>
            <w:pPr>
              <w:spacing w:line="312" w:lineRule="auto"/>
              <w:rPr>
                <w:rFonts w:hint="eastAsia" w:ascii="宋体" w:hAnsi="宋体" w:cs="宋体"/>
                <w:snapToGrid w:val="0"/>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1" w:hRule="atLeast"/>
          <w:tblHeader/>
        </w:trPr>
        <w:tc>
          <w:tcPr>
            <w:tcW w:w="683" w:type="dxa"/>
            <w:vMerge w:val="continue"/>
            <w:tcBorders>
              <w:left w:val="single" w:color="auto" w:sz="4" w:space="0"/>
              <w:bottom w:val="single" w:color="auto" w:sz="4" w:space="0"/>
              <w:right w:val="single" w:color="auto" w:sz="4"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900" w:type="dxa"/>
            <w:vMerge w:val="continue"/>
            <w:tcBorders>
              <w:left w:val="single" w:color="auto" w:sz="4"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p>
        </w:tc>
        <w:tc>
          <w:tcPr>
            <w:tcW w:w="6817" w:type="dxa"/>
            <w:tcBorders>
              <w:top w:val="single" w:color="auto" w:sz="4" w:space="0"/>
              <w:left w:val="single" w:color="000000" w:sz="2" w:space="0"/>
              <w:bottom w:val="single" w:color="000000" w:sz="8" w:space="0"/>
              <w:right w:val="single" w:color="000000" w:sz="8" w:space="0"/>
            </w:tcBorders>
            <w:vAlign w:val="center"/>
          </w:tcPr>
          <w:p>
            <w:pPr>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（2）资信证明文件：根据</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3"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90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节能产品、环境标志产品</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83"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90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left"/>
              <w:rPr>
                <w:rFonts w:hint="eastAsia"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有关本项目实施所需的所有费用</w:t>
            </w:r>
            <w:r>
              <w:rPr>
                <w:rFonts w:hint="eastAsia" w:ascii="宋体" w:hAnsi="宋体" w:eastAsia="宋体" w:cs="宋体"/>
                <w:color w:val="000000" w:themeColor="text1"/>
                <w:kern w:val="0"/>
                <w:sz w:val="24"/>
                <w:highlight w:val="none"/>
                <w:lang w:val="zh-CN"/>
                <w14:textFill>
                  <w14:solidFill>
                    <w14:schemeClr w14:val="tx1"/>
                  </w14:solidFill>
                </w14:textFill>
              </w:rPr>
              <w:t>（含税费）均计入报价，</w:t>
            </w:r>
            <w:r>
              <w:rPr>
                <w:rFonts w:hint="eastAsia" w:ascii="宋体" w:hAnsi="宋体" w:eastAsia="宋体" w:cs="宋体"/>
                <w:color w:val="000000" w:themeColor="text1"/>
                <w:kern w:val="0"/>
                <w:sz w:val="24"/>
                <w:highlight w:val="none"/>
                <w:lang w:val="en-US" w:eastAsia="zh-CN"/>
                <w14:textFill>
                  <w14:solidFill>
                    <w14:schemeClr w14:val="tx1"/>
                  </w14:solidFill>
                </w14:textFill>
              </w:rPr>
              <w:t>应包括技术服务费、策划方案编制费、调研考察费、专家咨询费、人工费、材料费、食宿费、交通费、配套设施设备费、策划方案</w:t>
            </w:r>
            <w:r>
              <w:rPr>
                <w:rFonts w:hint="eastAsia" w:ascii="宋体" w:hAnsi="宋体" w:cs="宋体"/>
                <w:color w:val="000000" w:themeColor="text1"/>
                <w:kern w:val="0"/>
                <w:sz w:val="24"/>
                <w:highlight w:val="none"/>
                <w:lang w:val="en-US" w:eastAsia="zh-CN"/>
                <w14:textFill>
                  <w14:solidFill>
                    <w14:schemeClr w14:val="tx1"/>
                  </w14:solidFill>
                </w14:textFill>
              </w:rPr>
              <w:t>专家</w:t>
            </w:r>
            <w:r>
              <w:rPr>
                <w:rFonts w:hint="eastAsia" w:ascii="宋体" w:hAnsi="宋体" w:eastAsia="宋体" w:cs="宋体"/>
                <w:color w:val="000000" w:themeColor="text1"/>
                <w:kern w:val="0"/>
                <w:sz w:val="24"/>
                <w:highlight w:val="none"/>
                <w:lang w:val="en-US" w:eastAsia="zh-CN"/>
                <w14:textFill>
                  <w14:solidFill>
                    <w14:schemeClr w14:val="tx1"/>
                  </w14:solidFill>
                </w14:textFill>
              </w:rPr>
              <w:t>评审费、验收费、税费、不可预见风险等完成本项目所需要的一切税金和费用</w:t>
            </w: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开标一览表（报价表）是报价的唯一载体，如</w:t>
            </w:r>
            <w:r>
              <w:rPr>
                <w:rFonts w:hint="eastAsia" w:ascii="宋体" w:hAnsi="宋体" w:cs="宋体"/>
                <w:b/>
                <w:bCs/>
                <w:color w:val="000000" w:themeColor="text1"/>
                <w:sz w:val="24"/>
                <w:highlight w:val="none"/>
                <w:lang w:eastAsia="zh-CN"/>
                <w14:textFill>
                  <w14:solidFill>
                    <w14:schemeClr w14:val="tx1"/>
                  </w14:solidFill>
                </w14:textFill>
              </w:rPr>
              <w:t>供应商</w:t>
            </w:r>
            <w:r>
              <w:rPr>
                <w:rFonts w:hint="eastAsia" w:ascii="宋体" w:hAnsi="宋体" w:cs="宋体"/>
                <w:b/>
                <w:bCs/>
                <w:color w:val="000000" w:themeColor="text1"/>
                <w:sz w:val="24"/>
                <w:highlight w:val="none"/>
                <w14:textFill>
                  <w14:solidFill>
                    <w14:schemeClr w14:val="tx1"/>
                  </w14:solidFill>
                </w14:textFill>
              </w:rPr>
              <w:t>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highlight w:val="none"/>
                <w:lang w:val="zh-CN"/>
                <w14:textFill>
                  <w14:solidFill>
                    <w14:schemeClr w14:val="tx1"/>
                  </w14:solidFill>
                </w14:textFill>
              </w:rPr>
              <w:t>投标文件中价格全部采用人民币报价。采购文件未列明，而供应商认为必需的费用也需列入报价。</w:t>
            </w:r>
            <w:r>
              <w:rPr>
                <w:rFonts w:hint="eastAsia" w:ascii="宋体" w:hAnsi="宋体" w:cs="宋体"/>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312" w:lineRule="auto"/>
              <w:jc w:val="left"/>
              <w:rPr>
                <w:rFonts w:hint="eastAsia"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312" w:lineRule="auto"/>
              <w:ind w:firstLine="0" w:firstLineChars="0"/>
              <w:jc w:val="left"/>
              <w:rPr>
                <w:rFonts w:hint="eastAsia"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1</w:t>
            </w:r>
            <w:r>
              <w:rPr>
                <w:rFonts w:hint="eastAsia" w:ascii="宋体" w:hAnsi="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12" w:lineRule="auto"/>
              <w:ind w:firstLine="0" w:firstLineChars="0"/>
              <w:jc w:val="lef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2</w:t>
            </w:r>
            <w:r>
              <w:rPr>
                <w:rFonts w:hint="eastAsia" w:ascii="宋体" w:hAnsi="宋体" w:cs="宋体"/>
                <w:b/>
                <w:color w:val="000000" w:themeColor="text1"/>
                <w:kern w:val="0"/>
                <w:sz w:val="24"/>
                <w:highlight w:val="none"/>
                <w:lang w:val="zh-CN"/>
                <w14:textFill>
                  <w14:solidFill>
                    <w14:schemeClr w14:val="tx1"/>
                  </w14:solidFill>
                </w14:textFill>
              </w:rPr>
              <w:t>）投标报价超过采购文件中规定的预算金额或者最高限价的;</w:t>
            </w:r>
          </w:p>
          <w:p>
            <w:pPr>
              <w:spacing w:line="312" w:lineRule="auto"/>
              <w:ind w:firstLine="0" w:firstLineChars="0"/>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3</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报价明显低于其他通过符合性审查</w:t>
            </w:r>
            <w:r>
              <w:rPr>
                <w:rFonts w:hint="eastAsia" w:ascii="宋体" w:hAnsi="宋体" w:cs="宋体"/>
                <w:b/>
                <w:color w:val="000000" w:themeColor="text1"/>
                <w:kern w:val="0"/>
                <w:sz w:val="24"/>
                <w:highlight w:val="none"/>
                <w:lang w:eastAsia="zh-CN"/>
                <w14:textFill>
                  <w14:solidFill>
                    <w14:schemeClr w14:val="tx1"/>
                  </w14:solidFill>
                </w14:textFill>
              </w:rPr>
              <w:t>供应商</w:t>
            </w:r>
            <w:r>
              <w:rPr>
                <w:rFonts w:hint="eastAsia" w:ascii="宋体" w:hAnsi="宋体" w:cs="宋体"/>
                <w:b/>
                <w:color w:val="000000" w:themeColor="text1"/>
                <w:kern w:val="0"/>
                <w:sz w:val="24"/>
                <w:highlight w:val="none"/>
                <w14:textFill>
                  <w14:solidFill>
                    <w14:schemeClr w14:val="tx1"/>
                  </w14:solidFill>
                </w14:textFill>
              </w:rPr>
              <w:t>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4"/>
                <w:highlight w:val="none"/>
                <w14:textFill>
                  <w14:solidFill>
                    <w14:schemeClr w14:val="tx1"/>
                  </w14:solidFill>
                </w14:textFill>
              </w:rPr>
              <w:t>;</w:t>
            </w:r>
          </w:p>
          <w:p>
            <w:pPr>
              <w:spacing w:line="312" w:lineRule="auto"/>
              <w:ind w:firstLine="0" w:firstLineChars="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lang w:val="en-US" w:eastAsia="zh-CN"/>
                <w14:textFill>
                  <w14:solidFill>
                    <w14:schemeClr w14:val="tx1"/>
                  </w14:solidFill>
                </w14:textFill>
              </w:rPr>
              <w:t>4</w:t>
            </w:r>
            <w:r>
              <w:rPr>
                <w:rFonts w:hint="eastAsia" w:ascii="宋体" w:hAnsi="宋体" w:cs="宋体"/>
                <w:b/>
                <w:color w:val="000000" w:themeColor="text1"/>
                <w:kern w:val="0"/>
                <w:sz w:val="24"/>
                <w:highlight w:val="none"/>
                <w:lang w:eastAsia="zh-CN"/>
                <w14:textFill>
                  <w14:solidFill>
                    <w14:schemeClr w14:val="tx1"/>
                  </w14:solidFill>
                </w14:textFill>
              </w:rPr>
              <w:t>）供应商</w:t>
            </w:r>
            <w:r>
              <w:rPr>
                <w:rFonts w:hint="eastAsia" w:ascii="宋体" w:hAnsi="宋体" w:cs="宋体"/>
                <w:b/>
                <w:color w:val="000000" w:themeColor="text1"/>
                <w:kern w:val="0"/>
                <w:sz w:val="24"/>
                <w:highlight w:val="none"/>
                <w14:textFill>
                  <w14:solidFill>
                    <w14:schemeClr w14:val="tx1"/>
                  </w14:solidFill>
                </w14:textFill>
              </w:rPr>
              <w:t>对根据修正原则修正后的报价不确认的</w:t>
            </w:r>
            <w:r>
              <w:rPr>
                <w:rFonts w:hint="eastAsia" w:ascii="宋体" w:hAnsi="宋体" w:cs="宋体"/>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83" w:type="dxa"/>
            <w:tcBorders>
              <w:top w:val="single" w:color="auto" w:sz="4" w:space="0"/>
              <w:left w:val="single" w:color="000000" w:sz="8" w:space="0"/>
              <w:right w:val="single" w:color="000000" w:sz="2"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p>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900" w:type="dxa"/>
            <w:tcBorders>
              <w:top w:val="single" w:color="000000" w:sz="8" w:space="0"/>
              <w:left w:val="single" w:color="000000" w:sz="2"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中小企业信用融资</w:t>
            </w:r>
          </w:p>
        </w:tc>
        <w:tc>
          <w:tcPr>
            <w:tcW w:w="6817" w:type="dxa"/>
            <w:tcBorders>
              <w:top w:val="single" w:color="000000" w:sz="8" w:space="0"/>
              <w:left w:val="single" w:color="000000" w:sz="2" w:space="0"/>
              <w:right w:val="single" w:color="000000" w:sz="8" w:space="0"/>
            </w:tcBorders>
            <w:vAlign w:val="center"/>
          </w:tcPr>
          <w:p>
            <w:pPr>
              <w:spacing w:line="312" w:lineRule="auto"/>
              <w:ind w:firstLine="0" w:firstLineChars="0"/>
              <w:rPr>
                <w:rFonts w:hint="eastAsia"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12" w:lineRule="auto"/>
              <w:ind w:firstLine="0" w:firstLineChars="0"/>
              <w:rPr>
                <w:rFonts w:hint="eastAsia"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本项目支持《杭州市萧山区政府采购支持中小企业信用融资暂行办法》。</w:t>
            </w:r>
          </w:p>
          <w:p>
            <w:pPr>
              <w:spacing w:line="312" w:lineRule="auto"/>
              <w:ind w:firstLine="0" w:firstLineChars="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83"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900"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备份投标文件送达地点和签收人员</w:t>
            </w:r>
          </w:p>
        </w:tc>
        <w:tc>
          <w:tcPr>
            <w:tcW w:w="6817" w:type="dxa"/>
            <w:tcBorders>
              <w:top w:val="single" w:color="000000" w:sz="8" w:space="0"/>
              <w:left w:val="single" w:color="000000" w:sz="2" w:space="0"/>
              <w:bottom w:val="single" w:color="000000" w:sz="8" w:space="0"/>
              <w:right w:val="single" w:color="000000" w:sz="8" w:space="0"/>
            </w:tcBorders>
            <w:vAlign w:val="center"/>
          </w:tcPr>
          <w:p>
            <w:pPr>
              <w:pStyle w:val="36"/>
              <w:keepNext w:val="0"/>
              <w:keepLines w:val="0"/>
              <w:pageBreakBefore w:val="0"/>
              <w:kinsoku/>
              <w:wordWrap/>
              <w:overflowPunct/>
              <w:topLinePunct w:val="0"/>
              <w:autoSpaceDE/>
              <w:autoSpaceDN/>
              <w:bidi w:val="0"/>
              <w:adjustRightInd/>
              <w:snapToGrid/>
              <w:spacing w:line="312" w:lineRule="auto"/>
              <w:textAlignment w:val="auto"/>
              <w:rPr>
                <w:rFonts w:hint="eastAsia" w:hAnsi="宋体" w:cs="宋体"/>
                <w:color w:val="000000" w:themeColor="text1"/>
                <w:sz w:val="24"/>
                <w:szCs w:val="24"/>
                <w:highlight w:val="none"/>
                <w14:textFill>
                  <w14:solidFill>
                    <w14:schemeClr w14:val="tx1"/>
                  </w14:solidFill>
                </w14:textFill>
              </w:rPr>
            </w:pPr>
            <w:r>
              <w:rPr>
                <w:rFonts w:hint="eastAsia" w:hAnsi="宋体" w:cs="宋体"/>
                <w:color w:val="000000" w:themeColor="text1"/>
                <w:kern w:val="28"/>
                <w:sz w:val="24"/>
                <w:szCs w:val="24"/>
                <w:highlight w:val="none"/>
                <w14:textFill>
                  <w14:solidFill>
                    <w14:schemeClr w14:val="tx1"/>
                  </w14:solidFill>
                </w14:textFill>
              </w:rPr>
              <w:t>备份投标文件送达地点：</w:t>
            </w:r>
            <w:r>
              <w:rPr>
                <w:rFonts w:hint="eastAsia" w:hAnsi="宋体" w:cs="宋体"/>
                <w:color w:val="000000" w:themeColor="text1"/>
                <w:kern w:val="28"/>
                <w:sz w:val="24"/>
                <w:szCs w:val="24"/>
                <w:highlight w:val="none"/>
                <w:lang w:eastAsia="zh-CN"/>
                <w14:textFill>
                  <w14:solidFill>
                    <w14:schemeClr w14:val="tx1"/>
                  </w14:solidFill>
                </w14:textFill>
              </w:rPr>
              <w:t>杭州市西湖区天目山路</w:t>
            </w:r>
            <w:r>
              <w:rPr>
                <w:rFonts w:hint="eastAsia" w:hAnsi="宋体" w:cs="宋体"/>
                <w:color w:val="000000" w:themeColor="text1"/>
                <w:kern w:val="28"/>
                <w:sz w:val="24"/>
                <w:szCs w:val="24"/>
                <w:highlight w:val="none"/>
                <w:lang w:val="en-US" w:eastAsia="zh-CN"/>
                <w14:textFill>
                  <w14:solidFill>
                    <w14:schemeClr w14:val="tx1"/>
                  </w14:solidFill>
                </w14:textFill>
              </w:rPr>
              <w:t>181号天际大厦804</w:t>
            </w:r>
            <w:r>
              <w:rPr>
                <w:rFonts w:hint="eastAsia" w:hAnsi="宋体" w:cs="宋体"/>
                <w:color w:val="000000" w:themeColor="text1"/>
                <w:kern w:val="28"/>
                <w:sz w:val="24"/>
                <w:szCs w:val="24"/>
                <w:highlight w:val="none"/>
                <w14:textFill>
                  <w14:solidFill>
                    <w14:schemeClr w14:val="tx1"/>
                  </w14:solidFill>
                </w14:textFill>
              </w:rPr>
              <w:t>；备份投标文件签收人员联系电话：</w:t>
            </w:r>
            <w:r>
              <w:rPr>
                <w:rFonts w:hint="eastAsia" w:hAnsi="宋体" w:cs="宋体"/>
                <w:color w:val="000000" w:themeColor="text1"/>
                <w:kern w:val="28"/>
                <w:sz w:val="24"/>
                <w:szCs w:val="24"/>
                <w:highlight w:val="none"/>
                <w:lang w:eastAsia="zh-CN"/>
                <w14:textFill>
                  <w14:solidFill>
                    <w14:schemeClr w14:val="tx1"/>
                  </w14:solidFill>
                </w14:textFill>
              </w:rPr>
              <w:t>杨工，</w:t>
            </w:r>
            <w:r>
              <w:rPr>
                <w:rFonts w:hint="eastAsia" w:hAnsi="宋体" w:cs="宋体"/>
                <w:color w:val="000000" w:themeColor="text1"/>
                <w:kern w:val="28"/>
                <w:sz w:val="24"/>
                <w:szCs w:val="24"/>
                <w:highlight w:val="none"/>
                <w:lang w:val="en-US" w:eastAsia="zh-CN"/>
                <w14:textFill>
                  <w14:solidFill>
                    <w14:schemeClr w14:val="tx1"/>
                  </w14:solidFill>
                </w14:textFill>
              </w:rPr>
              <w:t>15700122572</w:t>
            </w:r>
            <w:r>
              <w:rPr>
                <w:rFonts w:hint="eastAsia" w:hAnsi="宋体" w:cs="宋体"/>
                <w:color w:val="000000" w:themeColor="text1"/>
                <w:sz w:val="24"/>
                <w:szCs w:val="24"/>
                <w:highlight w:val="none"/>
                <w14:textFill>
                  <w14:solidFill>
                    <w14:schemeClr w14:val="tx1"/>
                  </w14:solidFill>
                </w14:textFill>
              </w:rPr>
              <w:t>。</w:t>
            </w:r>
          </w:p>
          <w:p>
            <w:pPr>
              <w:pStyle w:val="36"/>
              <w:keepNext w:val="0"/>
              <w:keepLines w:val="0"/>
              <w:pageBreakBefore w:val="0"/>
              <w:kinsoku/>
              <w:wordWrap/>
              <w:overflowPunct/>
              <w:topLinePunct w:val="0"/>
              <w:autoSpaceDE/>
              <w:autoSpaceDN/>
              <w:bidi w:val="0"/>
              <w:adjustRightInd/>
              <w:snapToGrid/>
              <w:spacing w:line="312" w:lineRule="auto"/>
              <w:textAlignment w:val="auto"/>
              <w:rPr>
                <w:rFonts w:hint="eastAsia" w:hAnsi="宋体" w:cs="宋体"/>
                <w:color w:val="000000" w:themeColor="text1"/>
                <w:kern w:val="28"/>
                <w:sz w:val="24"/>
                <w:szCs w:val="24"/>
                <w:highlight w:val="none"/>
                <w14:textFill>
                  <w14:solidFill>
                    <w14:schemeClr w14:val="tx1"/>
                  </w14:solidFill>
                </w14:textFill>
              </w:rPr>
            </w:pPr>
            <w:r>
              <w:rPr>
                <w:rFonts w:hint="eastAsia" w:ascii="宋体" w:hAnsi="宋体" w:eastAsia="宋体" w:cs="宋体"/>
                <w:snapToGrid/>
                <w:color w:val="000000" w:themeColor="text1"/>
                <w:sz w:val="24"/>
                <w:szCs w:val="24"/>
                <w:highlight w:val="none"/>
                <w14:textFill>
                  <w14:solidFill>
                    <w14:schemeClr w14:val="tx1"/>
                  </w14:solidFill>
                </w14:textFill>
              </w:rPr>
              <w:t>本项目开标评标在</w:t>
            </w:r>
            <w:r>
              <w:rPr>
                <w:rFonts w:hint="eastAsia" w:ascii="宋体" w:hAnsi="宋体" w:eastAsia="宋体" w:cs="宋体"/>
                <w:snapToGrid/>
                <w:color w:val="000000" w:themeColor="text1"/>
                <w:sz w:val="24"/>
                <w:szCs w:val="24"/>
                <w:highlight w:val="none"/>
                <w:lang w:eastAsia="zh-CN"/>
                <w14:textFill>
                  <w14:solidFill>
                    <w14:schemeClr w14:val="tx1"/>
                  </w14:solidFill>
                </w14:textFill>
              </w:rPr>
              <w:t>采购人</w:t>
            </w:r>
            <w:r>
              <w:rPr>
                <w:rFonts w:hint="eastAsia" w:ascii="宋体" w:hAnsi="宋体" w:eastAsia="宋体" w:cs="宋体"/>
                <w:snapToGrid/>
                <w:color w:val="000000" w:themeColor="text1"/>
                <w:sz w:val="24"/>
                <w:szCs w:val="24"/>
                <w:highlight w:val="none"/>
                <w14:textFill>
                  <w14:solidFill>
                    <w14:schemeClr w14:val="tx1"/>
                  </w14:solidFill>
                </w14:textFill>
              </w:rPr>
              <w:t>安排的场地进行，</w:t>
            </w:r>
            <w:r>
              <w:rPr>
                <w:rFonts w:hint="eastAsia" w:ascii="宋体" w:hAnsi="宋体" w:eastAsia="宋体" w:cs="宋体"/>
                <w:snapToGrid/>
                <w:color w:val="000000" w:themeColor="text1"/>
                <w:sz w:val="24"/>
                <w:szCs w:val="24"/>
                <w:highlight w:val="none"/>
                <w:lang w:eastAsia="zh-CN"/>
                <w14:textFill>
                  <w14:solidFill>
                    <w14:schemeClr w14:val="tx1"/>
                  </w14:solidFill>
                </w14:textFill>
              </w:rPr>
              <w:t>供应商</w:t>
            </w:r>
            <w:r>
              <w:rPr>
                <w:rFonts w:hint="eastAsia" w:ascii="宋体" w:hAnsi="宋体" w:eastAsia="宋体" w:cs="宋体"/>
                <w:snapToGrid/>
                <w:color w:val="000000" w:themeColor="text1"/>
                <w:sz w:val="24"/>
                <w:szCs w:val="24"/>
                <w:highlight w:val="none"/>
                <w14:textFill>
                  <w14:solidFill>
                    <w14:schemeClr w14:val="tx1"/>
                  </w14:solidFill>
                </w14:textFill>
              </w:rPr>
              <w:t>需要提供备份文件的请在投标截止时间前一天送达代理公司，开标当天并在投标截止时间前</w:t>
            </w:r>
            <w:r>
              <w:rPr>
                <w:rFonts w:hint="eastAsia" w:ascii="宋体" w:hAnsi="宋体" w:eastAsia="宋体" w:cs="宋体"/>
                <w:snapToGrid/>
                <w:color w:val="000000" w:themeColor="text1"/>
                <w:sz w:val="24"/>
                <w:szCs w:val="24"/>
                <w:highlight w:val="none"/>
                <w:lang w:eastAsia="zh-CN"/>
                <w14:textFill>
                  <w14:solidFill>
                    <w14:schemeClr w14:val="tx1"/>
                  </w14:solidFill>
                </w14:textFill>
              </w:rPr>
              <w:t>2</w:t>
            </w:r>
            <w:r>
              <w:rPr>
                <w:rFonts w:hint="eastAsia" w:ascii="宋体" w:hAnsi="宋体" w:eastAsia="宋体" w:cs="宋体"/>
                <w:snapToGrid/>
                <w:color w:val="000000" w:themeColor="text1"/>
                <w:sz w:val="24"/>
                <w:szCs w:val="24"/>
                <w:highlight w:val="none"/>
                <w14:textFill>
                  <w14:solidFill>
                    <w14:schemeClr w14:val="tx1"/>
                  </w14:solidFill>
                </w14:textFill>
              </w:rPr>
              <w:t>小时内送达的，请送至萧山区瓜沥镇政通路100号公共资源交易中心3楼</w:t>
            </w:r>
            <w:r>
              <w:rPr>
                <w:rFonts w:hint="eastAsia" w:ascii="宋体" w:hAnsi="宋体" w:eastAsia="宋体" w:cs="宋体"/>
                <w:snapToGrid/>
                <w:color w:val="000000" w:themeColor="text1"/>
                <w:sz w:val="24"/>
                <w:szCs w:val="24"/>
                <w:highlight w:val="none"/>
                <w:lang w:val="en-US" w:eastAsia="zh-CN"/>
                <w14:textFill>
                  <w14:solidFill>
                    <w14:schemeClr w14:val="tx1"/>
                  </w14:solidFill>
                </w14:textFill>
              </w:rPr>
              <w:t>开标室</w:t>
            </w:r>
            <w:r>
              <w:rPr>
                <w:rFonts w:hint="eastAsia" w:ascii="宋体" w:hAnsi="宋体" w:eastAsia="宋体" w:cs="宋体"/>
                <w:snapToGrid/>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14:textFill>
                  <w14:solidFill>
                    <w14:schemeClr w14:val="tx1"/>
                  </w14:solidFill>
                </w14:textFill>
              </w:rPr>
              <w:t>采购人、</w:t>
            </w:r>
            <w:r>
              <w:rPr>
                <w:rFonts w:hint="eastAsia" w:ascii="宋体" w:hAnsi="宋体" w:eastAsia="宋体" w:cs="宋体"/>
                <w:b/>
                <w:color w:val="000000" w:themeColor="text1"/>
                <w:sz w:val="24"/>
                <w:szCs w:val="24"/>
                <w:highlight w:val="none"/>
                <w:lang w:eastAsia="zh-CN"/>
                <w14:textFill>
                  <w14:solidFill>
                    <w14:schemeClr w14:val="tx1"/>
                  </w14:solidFill>
                </w14:textFill>
              </w:rPr>
              <w:t>采购代理机构</w:t>
            </w:r>
            <w:r>
              <w:rPr>
                <w:rFonts w:hint="eastAsia" w:ascii="宋体" w:hAnsi="宋体" w:eastAsia="宋体" w:cs="宋体"/>
                <w:b/>
                <w:color w:val="000000" w:themeColor="text1"/>
                <w:sz w:val="24"/>
                <w:szCs w:val="24"/>
                <w:highlight w:val="none"/>
                <w14:textFill>
                  <w14:solidFill>
                    <w14:schemeClr w14:val="tx1"/>
                  </w14:solidFill>
                </w14:textFill>
              </w:rPr>
              <w:t>不强制或变相强制</w:t>
            </w:r>
            <w:r>
              <w:rPr>
                <w:rFonts w:hint="eastAsia" w:ascii="宋体" w:hAnsi="宋体" w:eastAsia="宋体" w:cs="宋体"/>
                <w:b/>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color w:val="000000" w:themeColor="text1"/>
                <w:sz w:val="24"/>
                <w:szCs w:val="24"/>
                <w:highlight w:val="none"/>
                <w14:textFill>
                  <w14:solidFill>
                    <w14:schemeClr w14:val="tx1"/>
                  </w14:solidFill>
                </w14:textFill>
              </w:rPr>
              <w:t>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7" w:hRule="atLeast"/>
          <w:tblHeader/>
        </w:trPr>
        <w:tc>
          <w:tcPr>
            <w:tcW w:w="683" w:type="dxa"/>
            <w:tcBorders>
              <w:top w:val="single" w:color="auto" w:sz="4" w:space="0"/>
              <w:left w:val="single" w:color="000000" w:sz="8" w:space="0"/>
              <w:bottom w:val="single" w:color="auto" w:sz="4" w:space="0"/>
              <w:right w:val="single" w:color="000000" w:sz="2" w:space="0"/>
            </w:tcBorders>
            <w:vAlign w:val="center"/>
          </w:tcPr>
          <w:p>
            <w:pPr>
              <w:spacing w:after="0" w:line="312"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13</w:t>
            </w:r>
          </w:p>
        </w:tc>
        <w:tc>
          <w:tcPr>
            <w:tcW w:w="1900" w:type="dxa"/>
            <w:tcBorders>
              <w:top w:val="single" w:color="000000" w:sz="8" w:space="0"/>
              <w:left w:val="single" w:color="000000" w:sz="2" w:space="0"/>
              <w:bottom w:val="single" w:color="000000" w:sz="8" w:space="0"/>
              <w:right w:val="single" w:color="000000" w:sz="8" w:space="0"/>
            </w:tcBorders>
            <w:vAlign w:val="center"/>
          </w:tcPr>
          <w:p>
            <w:pPr>
              <w:spacing w:after="0" w:line="312"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资格审查和信用信息审查</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after="0" w:line="312"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83" w:type="dxa"/>
            <w:tcBorders>
              <w:top w:val="single" w:color="auto" w:sz="4" w:space="0"/>
              <w:left w:val="single" w:color="000000" w:sz="8" w:space="0"/>
              <w:bottom w:val="single" w:color="auto" w:sz="4" w:space="0"/>
              <w:right w:val="single" w:color="000000" w:sz="2" w:space="0"/>
            </w:tcBorders>
            <w:vAlign w:val="center"/>
          </w:tcPr>
          <w:p>
            <w:pPr>
              <w:spacing w:after="0" w:line="312"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14</w:t>
            </w:r>
          </w:p>
        </w:tc>
        <w:tc>
          <w:tcPr>
            <w:tcW w:w="1900" w:type="dxa"/>
            <w:tcBorders>
              <w:top w:val="single" w:color="000000" w:sz="8" w:space="0"/>
              <w:left w:val="single" w:color="000000" w:sz="2" w:space="0"/>
              <w:bottom w:val="single" w:color="000000" w:sz="8" w:space="0"/>
              <w:right w:val="single" w:color="000000" w:sz="8" w:space="0"/>
            </w:tcBorders>
            <w:vAlign w:val="center"/>
          </w:tcPr>
          <w:p>
            <w:pPr>
              <w:spacing w:after="0" w:line="312"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质疑接收人及答复</w:t>
            </w:r>
          </w:p>
        </w:tc>
        <w:tc>
          <w:tcPr>
            <w:tcW w:w="6817"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12" w:lineRule="auto"/>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采购人、采购机构质疑接收人、联系方式：详见公告</w:t>
            </w:r>
          </w:p>
          <w:p>
            <w:pPr>
              <w:snapToGrid w:val="0"/>
              <w:spacing w:after="0" w:line="312"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线上提交质疑方式：政采云线上质疑路径：项目采购-询问质疑投诉-质疑列表。请使用ca签章在每一页质疑文件中加盖电子公章，上传完整附件。</w:t>
            </w:r>
          </w:p>
          <w:p>
            <w:pPr>
              <w:snapToGrid w:val="0"/>
              <w:spacing w:after="0"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本项目涉及资格条件、采购需求、评分办法及采购过程中有关现场考察或开标前答疑会等事项由采购人进行答复。</w:t>
            </w:r>
          </w:p>
          <w:p>
            <w:pPr>
              <w:spacing w:after="0"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83" w:type="dxa"/>
            <w:tcBorders>
              <w:top w:val="single" w:color="auto" w:sz="4" w:space="0"/>
              <w:left w:val="single" w:color="000000" w:sz="8" w:space="0"/>
              <w:bottom w:val="single" w:color="auto" w:sz="4" w:space="0"/>
              <w:right w:val="single" w:color="000000" w:sz="2" w:space="0"/>
            </w:tcBorders>
            <w:vAlign w:val="center"/>
          </w:tcPr>
          <w:p>
            <w:pPr>
              <w:spacing w:after="0" w:line="312"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15</w:t>
            </w:r>
          </w:p>
        </w:tc>
        <w:tc>
          <w:tcPr>
            <w:tcW w:w="1900" w:type="dxa"/>
            <w:tcBorders>
              <w:top w:val="single" w:color="000000" w:sz="8" w:space="0"/>
              <w:left w:val="single" w:color="000000" w:sz="2" w:space="0"/>
              <w:bottom w:val="single" w:color="000000" w:sz="8" w:space="0"/>
              <w:right w:val="single" w:color="000000" w:sz="8" w:space="0"/>
            </w:tcBorders>
            <w:vAlign w:val="center"/>
          </w:tcPr>
          <w:p>
            <w:pPr>
              <w:pStyle w:val="27"/>
              <w:tabs>
                <w:tab w:val="left" w:pos="-5"/>
              </w:tabs>
              <w:spacing w:line="312" w:lineRule="auto"/>
              <w:ind w:firstLine="0" w:firstLineChars="0"/>
              <w:jc w:val="center"/>
              <w:rPr>
                <w:rFonts w:hint="eastAsia" w:eastAsia="宋体" w:cs="宋体"/>
                <w:b/>
                <w:color w:val="000000" w:themeColor="text1"/>
                <w:sz w:val="24"/>
                <w:highlight w:val="none"/>
                <w:lang w:val="en-US" w:eastAsia="zh-CN"/>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履约</w:t>
            </w:r>
            <w:r>
              <w:rPr>
                <w:rFonts w:hint="eastAsia" w:ascii="宋体" w:hAnsi="宋体" w:eastAsia="宋体" w:cs="宋体"/>
                <w:b/>
                <w:color w:val="000000" w:themeColor="text1"/>
                <w:highlight w:val="none"/>
                <w:lang w:val="en-US" w:eastAsia="zh-CN"/>
                <w14:textFill>
                  <w14:solidFill>
                    <w14:schemeClr w14:val="tx1"/>
                  </w14:solidFill>
                </w14:textFill>
              </w:rPr>
              <w:t>验收</w:t>
            </w:r>
          </w:p>
        </w:tc>
        <w:tc>
          <w:tcPr>
            <w:tcW w:w="681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cs="宋体"/>
                <w:color w:val="000000" w:themeColor="text1"/>
                <w:sz w:val="24"/>
                <w:highlight w:val="none"/>
                <w:lang w:val="en-US" w:eastAsia="zh-CN"/>
                <w14:textFill>
                  <w14:solidFill>
                    <w14:schemeClr w14:val="tx1"/>
                  </w14:solidFill>
                </w14:textFill>
              </w:rPr>
              <w:t>后</w:t>
            </w:r>
            <w:r>
              <w:rPr>
                <w:rFonts w:hint="eastAsia" w:ascii="宋体" w:hAnsi="宋体" w:cs="宋体"/>
                <w:color w:val="000000" w:themeColor="text1"/>
                <w:sz w:val="24"/>
                <w:highlight w:val="none"/>
                <w14:textFill>
                  <w14:solidFill>
                    <w14:schemeClr w14:val="tx1"/>
                  </w14:solidFill>
                </w14:textFill>
              </w:rPr>
              <w:t>已有新文件</w:t>
            </w:r>
            <w:r>
              <w:rPr>
                <w:rFonts w:hint="eastAsia" w:ascii="宋体" w:hAnsi="宋体" w:cs="宋体"/>
                <w:color w:val="000000" w:themeColor="text1"/>
                <w:sz w:val="24"/>
                <w:highlight w:val="none"/>
                <w:lang w:val="en-US" w:eastAsia="zh-CN"/>
                <w14:textFill>
                  <w14:solidFill>
                    <w14:schemeClr w14:val="tx1"/>
                  </w14:solidFill>
                </w14:textFill>
              </w:rPr>
              <w:t>规定</w:t>
            </w:r>
            <w:r>
              <w:rPr>
                <w:rFonts w:hint="eastAsia" w:ascii="宋体" w:hAnsi="宋体" w:cs="宋体"/>
                <w:color w:val="000000" w:themeColor="text1"/>
                <w:sz w:val="24"/>
                <w:highlight w:val="none"/>
                <w14:textFill>
                  <w14:solidFill>
                    <w14:schemeClr w14:val="tx1"/>
                  </w14:solidFill>
                </w14:textFill>
              </w:rPr>
              <w:t>，按照最新文件执行）。存在隐蔽工程的项目，采购单位及供应商应在货物到货并将实施安装前，申请进行初验收。</w:t>
            </w:r>
          </w:p>
          <w:p>
            <w:pPr>
              <w:spacing w:line="312"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blHeader/>
        </w:trPr>
        <w:tc>
          <w:tcPr>
            <w:tcW w:w="683" w:type="dxa"/>
            <w:tcBorders>
              <w:top w:val="single" w:color="auto" w:sz="4" w:space="0"/>
              <w:left w:val="single" w:color="000000" w:sz="8" w:space="0"/>
              <w:bottom w:val="single" w:color="auto" w:sz="4" w:space="0"/>
              <w:right w:val="single" w:color="000000" w:sz="2" w:space="0"/>
            </w:tcBorders>
            <w:vAlign w:val="center"/>
          </w:tcPr>
          <w:p>
            <w:pPr>
              <w:spacing w:after="0" w:line="312" w:lineRule="auto"/>
              <w:jc w:val="cente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16</w:t>
            </w:r>
          </w:p>
        </w:tc>
        <w:tc>
          <w:tcPr>
            <w:tcW w:w="1900" w:type="dxa"/>
            <w:tcBorders>
              <w:top w:val="single" w:color="000000" w:sz="8" w:space="0"/>
              <w:left w:val="single" w:color="000000" w:sz="2" w:space="0"/>
              <w:bottom w:val="single" w:color="000000" w:sz="8" w:space="0"/>
              <w:right w:val="single" w:color="000000" w:sz="8" w:space="0"/>
            </w:tcBorders>
            <w:vAlign w:val="center"/>
          </w:tcPr>
          <w:p>
            <w:pPr>
              <w:pStyle w:val="27"/>
              <w:tabs>
                <w:tab w:val="left" w:pos="-5"/>
              </w:tabs>
              <w:spacing w:line="312" w:lineRule="auto"/>
              <w:ind w:firstLine="0" w:firstLineChars="0"/>
              <w:jc w:val="center"/>
              <w:rPr>
                <w:rFonts w:hint="eastAsia" w:cs="宋体"/>
                <w:b/>
                <w:color w:val="000000" w:themeColor="text1"/>
                <w:highlight w:val="none"/>
                <w14:textFill>
                  <w14:solidFill>
                    <w14:schemeClr w14:val="tx1"/>
                  </w14:solidFill>
                </w14:textFill>
              </w:rPr>
            </w:pPr>
            <w:r>
              <w:rPr>
                <w:rFonts w:hint="eastAsia" w:cs="宋体"/>
                <w:b/>
                <w:color w:val="000000" w:themeColor="text1"/>
                <w:highlight w:val="none"/>
                <w:lang w:eastAsia="zh-CN"/>
                <w14:textFill>
                  <w14:solidFill>
                    <w14:schemeClr w14:val="tx1"/>
                  </w14:solidFill>
                </w14:textFill>
              </w:rPr>
              <w:t>采购</w:t>
            </w:r>
            <w:r>
              <w:rPr>
                <w:rFonts w:hint="eastAsia" w:cs="宋体"/>
                <w:b/>
                <w:color w:val="000000" w:themeColor="text1"/>
                <w:highlight w:val="none"/>
                <w14:textFill>
                  <w14:solidFill>
                    <w14:schemeClr w14:val="tx1"/>
                  </w14:solidFill>
                </w14:textFill>
              </w:rPr>
              <w:t>代理</w:t>
            </w:r>
          </w:p>
          <w:p>
            <w:pPr>
              <w:snapToGrid w:val="0"/>
              <w:spacing w:line="312"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服务费</w:t>
            </w:r>
          </w:p>
        </w:tc>
        <w:tc>
          <w:tcPr>
            <w:tcW w:w="681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beforeAutospacing="0" w:afterAutospacing="0" w:line="240" w:lineRule="auto"/>
              <w:textAlignment w:val="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本项目由采购代理机构负责采购代理工作，采购活动结束后中标单位在领取中标通知书需向采购代理机构支付代理服务费，费用按发改价格（2011）534号中规定的招标代理服务费标准计取，采购代理收费按照差额定率累计法记取。</w:t>
            </w:r>
            <w:r>
              <w:rPr>
                <w:rFonts w:hint="eastAsia" w:ascii="宋体" w:hAnsi="宋体" w:eastAsia="宋体" w:cs="宋体"/>
                <w:snapToGrid w:val="0"/>
                <w:color w:val="000000" w:themeColor="text1"/>
                <w:kern w:val="28"/>
                <w:sz w:val="24"/>
                <w:highlight w:val="none"/>
                <w14:textFill>
                  <w14:solidFill>
                    <w14:schemeClr w14:val="tx1"/>
                  </w14:solidFill>
                </w14:textFill>
              </w:rPr>
              <w:t>具体标准为:</w:t>
            </w:r>
          </w:p>
          <w:p>
            <w:pPr>
              <w:pageBreakBefore w:val="0"/>
              <w:widowControl w:val="0"/>
              <w:kinsoku/>
              <w:wordWrap/>
              <w:overflowPunct/>
              <w:topLinePunct w:val="0"/>
              <w:autoSpaceDE/>
              <w:autoSpaceDN/>
              <w:bidi w:val="0"/>
              <w:snapToGrid w:val="0"/>
              <w:spacing w:beforeAutospacing="0" w:afterAutospacing="0" w:line="240" w:lineRule="auto"/>
              <w:textAlignment w:val="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中标金额为100万元及以下：中标金额×1.5%；</w:t>
            </w:r>
          </w:p>
          <w:p>
            <w:pPr>
              <w:pageBreakBefore w:val="0"/>
              <w:widowControl w:val="0"/>
              <w:kinsoku/>
              <w:wordWrap/>
              <w:overflowPunct/>
              <w:topLinePunct w:val="0"/>
              <w:autoSpaceDE/>
              <w:autoSpaceDN/>
              <w:bidi w:val="0"/>
              <w:snapToGrid w:val="0"/>
              <w:spacing w:beforeAutospacing="0" w:afterAutospacing="0" w:line="240" w:lineRule="auto"/>
              <w:textAlignment w:val="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中标金额为100～500万元：100万×1.5%+(中标金额-100万)×</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0.8</w:t>
            </w:r>
            <w:r>
              <w:rPr>
                <w:rFonts w:hint="eastAsia" w:ascii="宋体" w:hAnsi="宋体" w:eastAsia="宋体" w:cs="宋体"/>
                <w:snapToGrid w:val="0"/>
                <w:color w:val="000000" w:themeColor="text1"/>
                <w:kern w:val="28"/>
                <w:sz w:val="24"/>
                <w:highlight w:val="none"/>
                <w14:textFill>
                  <w14:solidFill>
                    <w14:schemeClr w14:val="tx1"/>
                  </w14:solidFill>
                </w14:textFill>
              </w:rPr>
              <w:t>%。</w:t>
            </w:r>
          </w:p>
          <w:p>
            <w:pPr>
              <w:pageBreakBefore w:val="0"/>
              <w:widowControl w:val="0"/>
              <w:kinsoku/>
              <w:wordWrap/>
              <w:overflowPunct/>
              <w:topLinePunct w:val="0"/>
              <w:autoSpaceDE/>
              <w:autoSpaceDN/>
              <w:bidi w:val="0"/>
              <w:snapToGrid w:val="0"/>
              <w:spacing w:beforeAutospacing="0" w:afterAutospacing="0" w:line="240" w:lineRule="auto"/>
              <w:textAlignment w:val="auto"/>
              <w:rPr>
                <w:rFonts w:hint="eastAsia" w:ascii="宋体" w:hAnsi="宋体" w:eastAsia="宋体" w:cs="宋体"/>
                <w:snapToGrid w:val="0"/>
                <w:color w:val="000000" w:themeColor="text1"/>
                <w:kern w:val="28"/>
                <w:sz w:val="24"/>
                <w:highlight w:val="none"/>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中标金额为500～1000万元：100万×1.5%+(500万-100万)×</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0.8</w:t>
            </w:r>
            <w:r>
              <w:rPr>
                <w:rFonts w:hint="eastAsia" w:ascii="宋体" w:hAnsi="宋体" w:eastAsia="宋体" w:cs="宋体"/>
                <w:snapToGrid w:val="0"/>
                <w:color w:val="000000" w:themeColor="text1"/>
                <w:kern w:val="28"/>
                <w:sz w:val="24"/>
                <w:highlight w:val="none"/>
                <w14:textFill>
                  <w14:solidFill>
                    <w14:schemeClr w14:val="tx1"/>
                  </w14:solidFill>
                </w14:textFill>
              </w:rPr>
              <w:t>%+(中标金额-500万)×0.</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45</w:t>
            </w:r>
            <w:r>
              <w:rPr>
                <w:rFonts w:hint="eastAsia" w:ascii="宋体" w:hAnsi="宋体" w:eastAsia="宋体" w:cs="宋体"/>
                <w:snapToGrid w:val="0"/>
                <w:color w:val="000000" w:themeColor="text1"/>
                <w:kern w:val="28"/>
                <w:sz w:val="24"/>
                <w:highlight w:val="none"/>
                <w14:textFill>
                  <w14:solidFill>
                    <w14:schemeClr w14:val="tx1"/>
                  </w14:solidFill>
                </w14:textFill>
              </w:rPr>
              <w:t>%。</w:t>
            </w:r>
          </w:p>
          <w:p>
            <w:pPr>
              <w:pageBreakBefore w:val="0"/>
              <w:widowControl w:val="0"/>
              <w:kinsoku/>
              <w:wordWrap/>
              <w:overflowPunct/>
              <w:topLinePunct w:val="0"/>
              <w:autoSpaceDE/>
              <w:autoSpaceDN/>
              <w:bidi w:val="0"/>
              <w:snapToGrid w:val="0"/>
              <w:spacing w:beforeAutospacing="0" w:afterAutospacing="0" w:line="240" w:lineRule="auto"/>
              <w:textAlignment w:val="auto"/>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ascii="宋体" w:hAnsi="宋体" w:eastAsia="宋体" w:cs="宋体"/>
                <w:snapToGrid w:val="0"/>
                <w:color w:val="000000" w:themeColor="text1"/>
                <w:kern w:val="28"/>
                <w:sz w:val="24"/>
                <w:highlight w:val="none"/>
                <w14:textFill>
                  <w14:solidFill>
                    <w14:schemeClr w14:val="tx1"/>
                  </w14:solidFill>
                </w14:textFill>
              </w:rPr>
              <w:t>中标金额为</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1000</w:t>
            </w:r>
            <w:r>
              <w:rPr>
                <w:rFonts w:hint="eastAsia" w:ascii="宋体" w:hAnsi="宋体" w:eastAsia="宋体" w:cs="宋体"/>
                <w:snapToGrid w:val="0"/>
                <w:color w:val="000000" w:themeColor="text1"/>
                <w:kern w:val="28"/>
                <w:sz w:val="24"/>
                <w:highlight w:val="none"/>
                <w14:textFill>
                  <w14:solidFill>
                    <w14:schemeClr w14:val="tx1"/>
                  </w14:solidFill>
                </w14:textFill>
              </w:rPr>
              <w:t>～</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5</w:t>
            </w:r>
            <w:r>
              <w:rPr>
                <w:rFonts w:hint="eastAsia" w:ascii="宋体" w:hAnsi="宋体" w:eastAsia="宋体" w:cs="宋体"/>
                <w:snapToGrid w:val="0"/>
                <w:color w:val="000000" w:themeColor="text1"/>
                <w:kern w:val="28"/>
                <w:sz w:val="24"/>
                <w:highlight w:val="none"/>
                <w14:textFill>
                  <w14:solidFill>
                    <w14:schemeClr w14:val="tx1"/>
                  </w14:solidFill>
                </w14:textFill>
              </w:rPr>
              <w:t>000万元：100万×1.5%+(500万-100万)×</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0.8</w:t>
            </w:r>
            <w:r>
              <w:rPr>
                <w:rFonts w:hint="eastAsia" w:ascii="宋体" w:hAnsi="宋体" w:eastAsia="宋体" w:cs="宋体"/>
                <w:snapToGrid w:val="0"/>
                <w:color w:val="000000" w:themeColor="text1"/>
                <w:kern w:val="28"/>
                <w:sz w:val="24"/>
                <w:highlight w:val="none"/>
                <w14:textFill>
                  <w14:solidFill>
                    <w14:schemeClr w14:val="tx1"/>
                  </w14:solidFill>
                </w14:textFill>
              </w:rPr>
              <w:t>%+(</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1000</w:t>
            </w:r>
            <w:r>
              <w:rPr>
                <w:rFonts w:hint="eastAsia" w:ascii="宋体" w:hAnsi="宋体" w:eastAsia="宋体" w:cs="宋体"/>
                <w:snapToGrid w:val="0"/>
                <w:color w:val="000000" w:themeColor="text1"/>
                <w:kern w:val="28"/>
                <w:sz w:val="24"/>
                <w:highlight w:val="none"/>
                <w14:textFill>
                  <w14:solidFill>
                    <w14:schemeClr w14:val="tx1"/>
                  </w14:solidFill>
                </w14:textFill>
              </w:rPr>
              <w:t>-500万)×0.</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45</w:t>
            </w:r>
            <w:r>
              <w:rPr>
                <w:rFonts w:hint="eastAsia" w:ascii="宋体" w:hAnsi="宋体" w:eastAsia="宋体" w:cs="宋体"/>
                <w:snapToGrid w:val="0"/>
                <w:color w:val="000000" w:themeColor="text1"/>
                <w:kern w:val="28"/>
                <w:sz w:val="24"/>
                <w:highlight w:val="none"/>
                <w14:textFill>
                  <w14:solidFill>
                    <w14:schemeClr w14:val="tx1"/>
                  </w14:solidFill>
                </w14:textFill>
              </w:rPr>
              <w:t>%</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w:t>
            </w:r>
            <w:r>
              <w:rPr>
                <w:rFonts w:hint="eastAsia" w:ascii="宋体" w:hAnsi="宋体" w:eastAsia="宋体" w:cs="宋体"/>
                <w:snapToGrid w:val="0"/>
                <w:color w:val="000000" w:themeColor="text1"/>
                <w:kern w:val="28"/>
                <w:sz w:val="24"/>
                <w:highlight w:val="none"/>
                <w14:textFill>
                  <w14:solidFill>
                    <w14:schemeClr w14:val="tx1"/>
                  </w14:solidFill>
                </w14:textFill>
              </w:rPr>
              <w:t>(中标金额-</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10</w:t>
            </w:r>
            <w:r>
              <w:rPr>
                <w:rFonts w:hint="eastAsia" w:ascii="宋体" w:hAnsi="宋体" w:eastAsia="宋体" w:cs="宋体"/>
                <w:snapToGrid w:val="0"/>
                <w:color w:val="000000" w:themeColor="text1"/>
                <w:kern w:val="28"/>
                <w:sz w:val="24"/>
                <w:highlight w:val="none"/>
                <w14:textFill>
                  <w14:solidFill>
                    <w14:schemeClr w14:val="tx1"/>
                  </w14:solidFill>
                </w14:textFill>
              </w:rPr>
              <w:t>00万)×0.</w:t>
            </w:r>
            <w:r>
              <w:rPr>
                <w:rFonts w:hint="eastAsia" w:ascii="宋体" w:hAnsi="宋体" w:eastAsia="宋体" w:cs="宋体"/>
                <w:snapToGrid w:val="0"/>
                <w:color w:val="000000" w:themeColor="text1"/>
                <w:kern w:val="28"/>
                <w:sz w:val="24"/>
                <w:highlight w:val="none"/>
                <w:lang w:val="en-US" w:eastAsia="zh-CN"/>
                <w14:textFill>
                  <w14:solidFill>
                    <w14:schemeClr w14:val="tx1"/>
                  </w14:solidFill>
                </w14:textFill>
              </w:rPr>
              <w:t>25</w:t>
            </w:r>
            <w:r>
              <w:rPr>
                <w:rFonts w:hint="eastAsia" w:ascii="宋体" w:hAnsi="宋体" w:eastAsia="宋体" w:cs="宋体"/>
                <w:snapToGrid w:val="0"/>
                <w:color w:val="000000" w:themeColor="text1"/>
                <w:kern w:val="28"/>
                <w:sz w:val="24"/>
                <w:highlight w:val="none"/>
                <w14:textFill>
                  <w14:solidFill>
                    <w14:schemeClr w14:val="tx1"/>
                  </w14:solidFill>
                </w14:textFill>
              </w:rPr>
              <w:t>%。结算方式及时间为：在领取中标通知书时由中标供应商一次性向采购代理机构付清。</w:t>
            </w:r>
            <w:r>
              <w:rPr>
                <w:rFonts w:hint="eastAsia" w:ascii="宋体" w:hAnsi="宋体" w:cs="宋体"/>
                <w:snapToGrid w:val="0"/>
                <w:color w:val="000000" w:themeColor="text1"/>
                <w:kern w:val="28"/>
                <w:sz w:val="24"/>
                <w:highlight w:val="none"/>
                <w14:textFill>
                  <w14:solidFill>
                    <w14:schemeClr w14:val="tx1"/>
                  </w14:solidFill>
                </w14:textFill>
              </w:rPr>
              <w:t>该费用考虑在投标总报价中，不必单列。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9" w:hRule="atLeast"/>
          <w:tblHeader/>
        </w:trPr>
        <w:tc>
          <w:tcPr>
            <w:tcW w:w="683" w:type="dxa"/>
            <w:tcBorders>
              <w:top w:val="single" w:color="auto" w:sz="4" w:space="0"/>
              <w:left w:val="single" w:color="000000" w:sz="8" w:space="0"/>
              <w:bottom w:val="single" w:color="auto" w:sz="4" w:space="0"/>
              <w:right w:val="single" w:color="000000" w:sz="2" w:space="0"/>
            </w:tcBorders>
            <w:vAlign w:val="center"/>
          </w:tcPr>
          <w:p>
            <w:pPr>
              <w:spacing w:after="0" w:line="312" w:lineRule="auto"/>
              <w:jc w:val="cente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w:t>
            </w:r>
          </w:p>
        </w:tc>
        <w:tc>
          <w:tcPr>
            <w:tcW w:w="1900" w:type="dxa"/>
            <w:tcBorders>
              <w:top w:val="single" w:color="000000" w:sz="8" w:space="0"/>
              <w:left w:val="single" w:color="000000" w:sz="2" w:space="0"/>
              <w:bottom w:val="single" w:color="000000" w:sz="8" w:space="0"/>
              <w:right w:val="single" w:color="000000" w:sz="8" w:space="0"/>
            </w:tcBorders>
            <w:vAlign w:val="center"/>
          </w:tcPr>
          <w:p>
            <w:pPr>
              <w:pStyle w:val="27"/>
              <w:tabs>
                <w:tab w:val="left" w:pos="-5"/>
              </w:tabs>
              <w:spacing w:line="312" w:lineRule="auto"/>
              <w:ind w:firstLine="0" w:firstLineChars="0"/>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cs="宋体"/>
                <w:b/>
                <w:color w:val="000000" w:themeColor="text1"/>
                <w:highlight w:val="none"/>
                <w14:textFill>
                  <w14:solidFill>
                    <w14:schemeClr w14:val="tx1"/>
                  </w14:solidFill>
                </w14:textFill>
              </w:rPr>
              <w:t>最高限价</w:t>
            </w:r>
          </w:p>
        </w:tc>
        <w:tc>
          <w:tcPr>
            <w:tcW w:w="6817" w:type="dxa"/>
            <w:tcBorders>
              <w:top w:val="single" w:color="000000" w:sz="8" w:space="0"/>
              <w:left w:val="single" w:color="000000" w:sz="2" w:space="0"/>
              <w:bottom w:val="single" w:color="000000" w:sz="8" w:space="0"/>
              <w:right w:val="single" w:color="000000" w:sz="8" w:space="0"/>
            </w:tcBorders>
            <w:vAlign w:val="center"/>
          </w:tcPr>
          <w:p>
            <w:pPr>
              <w:pStyle w:val="27"/>
              <w:tabs>
                <w:tab w:val="left" w:pos="-5"/>
              </w:tabs>
              <w:spacing w:line="312" w:lineRule="auto"/>
              <w:ind w:firstLine="0" w:firstLineChars="0"/>
              <w:jc w:val="both"/>
              <w:rPr>
                <w:rFonts w:hint="eastAsia"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cs="宋体"/>
                <w:color w:val="000000" w:themeColor="text1"/>
                <w:highlight w:val="none"/>
                <w:u w:val="single"/>
                <w:lang w:val="en-US" w:eastAsia="zh-CN"/>
                <w14:textFill>
                  <w14:solidFill>
                    <w14:schemeClr w14:val="tx1"/>
                  </w14:solidFill>
                </w14:textFill>
              </w:rPr>
              <w:t>最高限价20000000.00</w:t>
            </w:r>
            <w:r>
              <w:rPr>
                <w:rFonts w:hint="eastAsia" w:cs="宋体"/>
                <w:color w:val="000000" w:themeColor="text1"/>
                <w:highlight w:val="none"/>
                <w:u w:val="single"/>
                <w14:textFill>
                  <w14:solidFill>
                    <w14:schemeClr w14:val="tx1"/>
                  </w14:solidFill>
                </w14:textFill>
              </w:rPr>
              <w:t>元</w:t>
            </w:r>
            <w:r>
              <w:rPr>
                <w:rFonts w:hint="eastAsia" w:cs="宋体"/>
                <w:color w:val="000000" w:themeColor="text1"/>
                <w:highlight w:val="none"/>
                <w:u w:val="single"/>
                <w:lang w:val="en-US" w:eastAsia="zh-CN"/>
                <w14:textFill>
                  <w14:solidFill>
                    <w14:schemeClr w14:val="tx1"/>
                  </w14:solidFill>
                </w14:textFill>
              </w:rPr>
              <w:t>(其中设计费最高限价1500000.00元；</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采购提升费用最高限价13500000.00元；运营管理费用最高限价5000000.00元）</w:t>
            </w:r>
            <w:r>
              <w:rPr>
                <w:rFonts w:hint="eastAsia" w:cs="宋体"/>
                <w:color w:val="000000" w:themeColor="text1"/>
                <w:highlight w:val="none"/>
                <w14:textFill>
                  <w14:solidFill>
                    <w14:schemeClr w14:val="tx1"/>
                  </w14:solidFill>
                </w14:textFill>
              </w:rPr>
              <w:t>，超过最高限价的投标无效</w:t>
            </w:r>
            <w:r>
              <w:rPr>
                <w:rFonts w:hint="eastAsia" w:cs="宋体"/>
                <w:color w:val="000000" w:themeColor="text1"/>
                <w:highlight w:val="none"/>
                <w:lang w:val="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blHeader/>
        </w:trPr>
        <w:tc>
          <w:tcPr>
            <w:tcW w:w="683" w:type="dxa"/>
            <w:tcBorders>
              <w:top w:val="single" w:color="auto" w:sz="4" w:space="0"/>
              <w:left w:val="single" w:color="000000" w:sz="8" w:space="0"/>
              <w:bottom w:val="single" w:color="auto" w:sz="4" w:space="0"/>
              <w:right w:val="single" w:color="000000" w:sz="2" w:space="0"/>
            </w:tcBorders>
            <w:vAlign w:val="center"/>
          </w:tcPr>
          <w:p>
            <w:pPr>
              <w:spacing w:after="0"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18</w:t>
            </w:r>
          </w:p>
        </w:tc>
        <w:tc>
          <w:tcPr>
            <w:tcW w:w="1900" w:type="dxa"/>
            <w:tcBorders>
              <w:top w:val="single" w:color="000000" w:sz="8" w:space="0"/>
              <w:left w:val="single" w:color="000000" w:sz="2" w:space="0"/>
              <w:bottom w:val="single" w:color="auto" w:sz="4" w:space="0"/>
              <w:right w:val="single" w:color="000000" w:sz="8" w:space="0"/>
            </w:tcBorders>
            <w:vAlign w:val="center"/>
          </w:tcPr>
          <w:p>
            <w:pPr>
              <w:autoSpaceDE w:val="0"/>
              <w:autoSpaceDN w:val="0"/>
              <w:spacing w:line="312"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履约保证金</w:t>
            </w:r>
          </w:p>
        </w:tc>
        <w:tc>
          <w:tcPr>
            <w:tcW w:w="6817" w:type="dxa"/>
            <w:tcBorders>
              <w:top w:val="single" w:color="000000" w:sz="8" w:space="0"/>
              <w:left w:val="single" w:color="000000" w:sz="2" w:space="0"/>
              <w:bottom w:val="single" w:color="auto" w:sz="4" w:space="0"/>
              <w:right w:val="single" w:color="000000" w:sz="8" w:space="0"/>
            </w:tcBorders>
            <w:vAlign w:val="center"/>
          </w:tcPr>
          <w:p>
            <w:pPr>
              <w:autoSpaceDE w:val="0"/>
              <w:autoSpaceDN w:val="0"/>
              <w:spacing w:line="312"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合同价的1%。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blHeader/>
        </w:trPr>
        <w:tc>
          <w:tcPr>
            <w:tcW w:w="683" w:type="dxa"/>
            <w:tcBorders>
              <w:top w:val="single" w:color="auto" w:sz="4" w:space="0"/>
              <w:left w:val="single" w:color="auto" w:sz="4" w:space="0"/>
              <w:bottom w:val="single" w:color="auto" w:sz="4" w:space="0"/>
              <w:right w:val="single" w:color="auto" w:sz="4" w:space="0"/>
            </w:tcBorders>
            <w:vAlign w:val="center"/>
          </w:tcPr>
          <w:p>
            <w:pPr>
              <w:spacing w:after="0"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19</w:t>
            </w:r>
          </w:p>
        </w:tc>
        <w:tc>
          <w:tcPr>
            <w:tcW w:w="19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12" w:lineRule="auto"/>
              <w:jc w:val="cente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中标公告及中标通知书</w:t>
            </w:r>
          </w:p>
        </w:tc>
        <w:tc>
          <w:tcPr>
            <w:tcW w:w="68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12"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评标结束后</w:t>
            </w:r>
            <w:r>
              <w:rPr>
                <w:rFonts w:hint="eastAsia"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lang w:val="zh-CN"/>
                <w14:textFill>
                  <w14:solidFill>
                    <w14:schemeClr w14:val="tx1"/>
                  </w14:solidFill>
                </w14:textFill>
              </w:rPr>
              <w:t>个工作日内</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中标公告发布于浙江省政府采购网</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HYPERLINK "http://www.zjzfcg.gov.cn)，中标公示期1" </w:instrText>
            </w:r>
            <w:r>
              <w:rPr>
                <w:rFonts w:hint="eastAsia" w:ascii="宋体" w:hAnsi="宋体" w:cs="宋体"/>
                <w:color w:val="000000" w:themeColor="text1"/>
                <w:sz w:val="24"/>
                <w:highlight w:val="none"/>
                <w14:textFill>
                  <w14:solidFill>
                    <w14:schemeClr w14:val="tx1"/>
                  </w14:solidFill>
                </w14:textFill>
              </w:rPr>
              <w:fldChar w:fldCharType="separate"/>
            </w:r>
            <w:r>
              <w:rPr>
                <w:rFonts w:hint="eastAsia" w:ascii="宋体" w:hAnsi="宋体" w:cs="宋体"/>
                <w:color w:val="000000" w:themeColor="text1"/>
                <w:sz w:val="24"/>
                <w:highlight w:val="none"/>
                <w:lang w:val="zh-CN"/>
                <w14:textFill>
                  <w14:solidFill>
                    <w14:schemeClr w14:val="tx1"/>
                  </w14:solidFill>
                </w14:textFill>
              </w:rPr>
              <w:t>https://www.zcygov.cn/)，中标公示期1</w:t>
            </w:r>
            <w:r>
              <w:rPr>
                <w:rFonts w:hint="eastAsia" w:ascii="宋体" w:hAnsi="宋体" w:cs="宋体"/>
                <w:color w:val="000000" w:themeColor="text1"/>
                <w:sz w:val="24"/>
                <w:highlight w:val="none"/>
                <w:lang w:val="zh-CN"/>
                <w14:textFill>
                  <w14:solidFill>
                    <w14:schemeClr w14:val="tx1"/>
                  </w14:solidFill>
                </w14:textFill>
              </w:rPr>
              <w:fldChar w:fldCharType="end"/>
            </w:r>
            <w:r>
              <w:rPr>
                <w:rFonts w:hint="eastAsia" w:ascii="宋体" w:hAnsi="宋体" w:cs="宋体"/>
                <w:color w:val="000000" w:themeColor="text1"/>
                <w:sz w:val="24"/>
                <w:highlight w:val="none"/>
                <w:lang w:val="zh-CN"/>
                <w14:textFill>
                  <w14:solidFill>
                    <w14:schemeClr w14:val="tx1"/>
                  </w14:solidFill>
                </w14:textFill>
              </w:rPr>
              <w:t>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blHeader/>
        </w:trPr>
        <w:tc>
          <w:tcPr>
            <w:tcW w:w="68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20</w:t>
            </w:r>
          </w:p>
        </w:tc>
        <w:tc>
          <w:tcPr>
            <w:tcW w:w="190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cs="宋体"/>
                <w:b/>
                <w:color w:val="000000" w:themeColor="text1"/>
                <w:sz w:val="24"/>
                <w:highlight w:val="none"/>
                <w:lang w:val="zh-CN"/>
                <w14:textFill>
                  <w14:solidFill>
                    <w14:schemeClr w14:val="tx1"/>
                  </w14:solidFill>
                </w14:textFill>
              </w:rPr>
            </w:pPr>
            <w:r>
              <w:rPr>
                <w:rFonts w:hint="eastAsia" w:cs="仿宋_GB2312" w:asciiTheme="minorEastAsia" w:hAnsiTheme="minorEastAsia" w:eastAsiaTheme="minorEastAsia"/>
                <w:b/>
                <w:color w:val="000000" w:themeColor="text1"/>
                <w:sz w:val="24"/>
                <w:highlight w:val="none"/>
                <w14:textFill>
                  <w14:solidFill>
                    <w14:schemeClr w14:val="tx1"/>
                  </w14:solidFill>
                </w14:textFill>
              </w:rPr>
              <w:t>特别说明</w:t>
            </w:r>
          </w:p>
        </w:tc>
        <w:tc>
          <w:tcPr>
            <w:tcW w:w="6817"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t>业绩证明材料</w:t>
            </w:r>
          </w:p>
          <w:p>
            <w:pPr>
              <w:pStyle w:val="3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themeColor="text1"/>
                <w:kern w:val="28"/>
                <w:sz w:val="24"/>
                <w:szCs w:val="24"/>
                <w:highlight w:val="none"/>
                <w:lang w:val="en-US" w:eastAsia="zh-CN"/>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MS Gothic" w:hAnsi="MS Gothic" w:eastAsia="仿宋" w:cs="仿宋"/>
                    <w:snapToGrid w:val="0"/>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t>联合体投标的，按联合体协议约定的分工内容出具相应的业绩证明材料。承担相同工作的各方或工作内容存在部分相同的，业绩数量以提供材料较少的一方为准。</w:t>
            </w:r>
          </w:p>
          <w:p>
            <w:pPr>
              <w:pStyle w:val="3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cs="宋体"/>
                <w:color w:val="000000" w:themeColor="text1"/>
                <w:sz w:val="24"/>
                <w:highlight w:val="none"/>
                <w:lang w:val="zh-CN"/>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Wingdings" w:hAnsi="Wingdings" w:eastAsia="仿宋" w:cs="仿宋"/>
                    <w:snapToGrid w:val="0"/>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t>联合体投标的，由联合体牵头方出具相应的业绩证明材料。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9" w:hRule="atLeast"/>
          <w:tblHeader/>
        </w:trPr>
        <w:tc>
          <w:tcPr>
            <w:tcW w:w="68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themeColor="text1"/>
                <w:sz w:val="24"/>
                <w:highlight w:val="none"/>
                <w:lang w:val="en-US" w:eastAsia="zh-CN"/>
                <w14:textFill>
                  <w14:solidFill>
                    <w14:schemeClr w14:val="tx1"/>
                  </w14:solidFill>
                </w14:textFill>
              </w:rPr>
            </w:pPr>
          </w:p>
        </w:tc>
        <w:tc>
          <w:tcPr>
            <w:tcW w:w="1900"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cs="仿宋_GB2312" w:asciiTheme="minorEastAsia" w:hAnsiTheme="minorEastAsia" w:eastAsiaTheme="minorEastAsia"/>
                <w:b/>
                <w:color w:val="000000" w:themeColor="text1"/>
                <w:sz w:val="24"/>
                <w:highlight w:val="none"/>
                <w14:textFill>
                  <w14:solidFill>
                    <w14:schemeClr w14:val="tx1"/>
                  </w14:solidFill>
                </w14:textFill>
              </w:rPr>
            </w:pPr>
          </w:p>
        </w:tc>
        <w:tc>
          <w:tcPr>
            <w:tcW w:w="6817"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t>其他资信证明材料</w:t>
            </w:r>
          </w:p>
          <w:p>
            <w:pPr>
              <w:pStyle w:val="3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themeColor="text1"/>
                <w:kern w:val="28"/>
                <w:sz w:val="24"/>
                <w:szCs w:val="24"/>
                <w:highlight w:val="none"/>
                <w:lang w:val="en-US" w:eastAsia="zh-CN"/>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0"/>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sdtEndPr>
              <w:sdtContent>
                <w:r>
                  <w:rPr>
                    <w:rFonts w:hint="eastAsia" w:ascii="MS Gothic" w:hAnsi="MS Gothic" w:eastAsia="仿宋" w:cs="仿宋"/>
                    <w:snapToGrid w:val="0"/>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t>联合体投标的，联合体各方均需按招标文件第四部分评标标准要求提供资信证明文件，否则视为不符合相关要求。</w:t>
            </w:r>
          </w:p>
          <w:p>
            <w:pPr>
              <w:pStyle w:val="3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cs="宋体"/>
                <w:snapToGrid w:val="0"/>
                <w:color w:val="000000" w:themeColor="text1"/>
                <w:kern w:val="28"/>
                <w:sz w:val="24"/>
                <w:highlight w:val="none"/>
                <w14:textFill>
                  <w14:solidFill>
                    <w14:schemeClr w14:val="tx1"/>
                  </w14:solidFill>
                </w14:textFill>
              </w:rPr>
            </w:pPr>
            <w:sdt>
              <w:sdtPr>
                <w:rPr>
                  <w:rFonts w:hint="eastAsia" w:ascii="仿宋" w:hAnsi="仿宋" w:eastAsia="仿宋" w:cs="仿宋"/>
                  <w:color w:val="000000" w:themeColor="text1"/>
                  <w:kern w:val="0"/>
                  <w:sz w:val="24"/>
                  <w:highlight w:val="none"/>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sdtEndPr>
              <w:sdtContent>
                <w:r>
                  <w:rPr>
                    <w:rFonts w:hint="eastAsia" w:ascii="Wingdings" w:hAnsi="Wingdings" w:eastAsia="仿宋" w:cs="仿宋"/>
                    <w:snapToGrid w:val="0"/>
                    <w:color w:val="000000" w:themeColor="text1"/>
                    <w:kern w:val="0"/>
                    <w:sz w:val="24"/>
                    <w:szCs w:val="24"/>
                    <w:highlight w:val="none"/>
                    <w:lang w:val="en-US" w:eastAsia="zh-CN" w:bidi="ar-SA"/>
                    <w14:textFill>
                      <w14:solidFill>
                        <w14:schemeClr w14:val="tx1"/>
                      </w14:solidFill>
                    </w14:textFill>
                  </w:rPr>
                  <w:t>þ</w:t>
                </w:r>
              </w:sdtContent>
            </w:sdt>
            <w:r>
              <w:rPr>
                <w:rFonts w:hint="eastAsia" w:ascii="宋体" w:hAnsi="宋体" w:eastAsia="宋体" w:cs="宋体"/>
                <w:color w:val="000000" w:themeColor="text1"/>
                <w:kern w:val="28"/>
                <w:sz w:val="24"/>
                <w:szCs w:val="24"/>
                <w:highlight w:val="none"/>
                <w:lang w:val="en-US" w:eastAsia="zh-CN"/>
                <w14:textFill>
                  <w14:solidFill>
                    <w14:schemeClr w14:val="tx1"/>
                  </w14:solidFill>
                </w14:textFill>
              </w:rPr>
              <w:t>联合体投标的，联合体牵头方或者联合体成员根据分工按招标文件第四部分评标标准要求提供资信证明文件的，视为符合了相关要求。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bookmarkEnd w:id="10"/>
    <w:p>
      <w:pPr>
        <w:rPr>
          <w:rFonts w:hint="eastAsia" w:ascii="宋体" w:hAnsi="宋体" w:cs="宋体"/>
          <w:b/>
          <w:color w:val="000000" w:themeColor="text1"/>
          <w:sz w:val="32"/>
          <w:szCs w:val="20"/>
          <w:highlight w:val="none"/>
          <w14:textFill>
            <w14:solidFill>
              <w14:schemeClr w14:val="tx1"/>
            </w14:solidFill>
          </w14:textFill>
        </w:rPr>
      </w:pPr>
      <w:bookmarkStart w:id="11" w:name="第三部分"/>
      <w:bookmarkStart w:id="12" w:name="_Toc164416483"/>
      <w:r>
        <w:rPr>
          <w:rFonts w:hint="eastAsia" w:ascii="宋体" w:hAnsi="宋体" w:cs="宋体"/>
          <w:b/>
          <w:color w:val="000000" w:themeColor="text1"/>
          <w:sz w:val="32"/>
          <w:szCs w:val="20"/>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”系指招标公告中载明的本项目的</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”系指是指响应招标、参加投标竞争的法人、其他组织或者自然人。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w:t>
      </w:r>
      <w:r>
        <w:rPr>
          <w:rFonts w:hint="eastAsia" w:ascii="宋体" w:hAnsi="宋体" w:cs="宋体"/>
          <w:color w:val="000000" w:themeColor="text1"/>
          <w:sz w:val="24"/>
          <w:highlight w:val="none"/>
          <w:lang w:val="en-US" w:eastAsia="zh-CN"/>
          <w14:textFill>
            <w14:solidFill>
              <w14:schemeClr w14:val="tx1"/>
            </w14:solidFill>
          </w14:textFill>
        </w:rPr>
        <w:t>系</w:t>
      </w:r>
      <w:r>
        <w:rPr>
          <w:rFonts w:hint="eastAsia" w:ascii="宋体" w:hAnsi="宋体" w:cs="宋体"/>
          <w:color w:val="000000" w:themeColor="text1"/>
          <w:sz w:val="24"/>
          <w:highlight w:val="none"/>
          <w14:textFill>
            <w14:solidFill>
              <w14:schemeClr w14:val="tx1"/>
            </w14:solidFill>
          </w14:textFill>
        </w:rPr>
        <w:t>指本项目政府采购活动所依托的政府采购云平台（https://www.zcygov.cn/）。</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 系指实质性要求条款，“</w:t>
      </w:r>
      <w:sdt>
        <w:sdtPr>
          <w:rPr>
            <w:rFonts w:hint="eastAsia" w:ascii="宋体" w:hAnsi="宋体" w:cs="宋体"/>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系指适用本项目的要求，“</w:t>
      </w:r>
      <w:sdt>
        <w:sdtPr>
          <w:rPr>
            <w:rFonts w:hint="eastAsia" w:ascii="宋体" w:hAnsi="宋体" w:cs="宋体"/>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不会对其加以限制，仍将按照公平竞争原则实施采购）；</w:t>
      </w:r>
      <w:r>
        <w:rPr>
          <w:rFonts w:hint="eastAsia" w:ascii="宋体" w:hAnsi="宋体" w:cs="宋体"/>
          <w:color w:val="000000" w:themeColor="text1"/>
          <w:kern w:val="0"/>
          <w:sz w:val="24"/>
          <w:highlight w:val="none"/>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须按</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要求提供相关产品认证证书。</w:t>
      </w:r>
      <w:r>
        <w:rPr>
          <w:rFonts w:hint="eastAsia" w:ascii="宋体" w:hAnsi="宋体" w:cs="宋体"/>
          <w:b/>
          <w:color w:val="000000" w:themeColor="text1"/>
          <w:sz w:val="24"/>
          <w:highlight w:val="none"/>
          <w14:textFill>
            <w14:solidFill>
              <w14:schemeClr w14:val="tx1"/>
            </w14:solidFill>
          </w14:textFill>
        </w:rPr>
        <w:t>▲采购人拟采购的产品属于政府强制采购的节能产品品目清单范围的，</w:t>
      </w:r>
      <w:r>
        <w:rPr>
          <w:rFonts w:hint="eastAsia" w:ascii="宋体" w:hAnsi="宋体" w:cs="宋体"/>
          <w:b/>
          <w:color w:val="000000" w:themeColor="text1"/>
          <w:sz w:val="24"/>
          <w:highlight w:val="none"/>
          <w:lang w:eastAsia="zh-CN"/>
          <w14:textFill>
            <w14:solidFill>
              <w14:schemeClr w14:val="tx1"/>
            </w14:solidFill>
          </w14:textFill>
        </w:rPr>
        <w:t>供应商</w:t>
      </w:r>
      <w:r>
        <w:rPr>
          <w:rFonts w:hint="eastAsia" w:ascii="宋体" w:hAnsi="宋体" w:cs="宋体"/>
          <w:b/>
          <w:color w:val="000000" w:themeColor="text1"/>
          <w:sz w:val="24"/>
          <w:highlight w:val="none"/>
          <w14:textFill>
            <w14:solidFill>
              <w14:schemeClr w14:val="tx1"/>
            </w14:solidFill>
          </w14:textFill>
        </w:rPr>
        <w:t>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 修缮、装修类项目采购建材的，采购人应将绿色建筑和绿色建材性能、指标等作为实质性条件纳入</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和合同。</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3.2.4 </w:t>
      </w:r>
      <w:r>
        <w:rPr>
          <w:rFonts w:hint="eastAsia" w:ascii="宋体" w:hAnsi="宋体" w:cs="宋体"/>
          <w:color w:val="000000" w:themeColor="text1"/>
          <w:sz w:val="24"/>
          <w:highlight w:val="none"/>
          <w14:textFill>
            <w14:solidFill>
              <w14:schemeClr w14:val="tx1"/>
            </w14:solidFill>
          </w14:textFill>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bCs/>
          <w:color w:val="000000" w:themeColor="text1"/>
          <w:sz w:val="24"/>
          <w:highlight w:val="none"/>
          <w14:textFill>
            <w14:solidFill>
              <w14:schemeClr w14:val="tx1"/>
            </w14:solidFill>
          </w14:textFill>
        </w:rPr>
        <w:t>3.3.2</w:t>
      </w:r>
      <w:r>
        <w:rPr>
          <w:rFonts w:hint="eastAsia" w:ascii="宋体" w:hAnsi="宋体" w:cs="宋体"/>
          <w:color w:val="000000" w:themeColor="text1"/>
          <w:kern w:val="0"/>
          <w:sz w:val="24"/>
          <w:highlight w:val="none"/>
          <w14:textFill>
            <w14:solidFill>
              <w14:schemeClr w14:val="tx1"/>
            </w14:solidFill>
          </w14:textFill>
        </w:rPr>
        <w:t>在政府采购活动中，</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提供的货物、工程或者服务符合下列情形的，享受中小企业扶持政策：在服务采购项目中，服务由中小企业承接，即提供服务的人员为中小企业依照《中华人民共和国劳动</w:t>
      </w:r>
      <w:r>
        <w:rPr>
          <w:rFonts w:hint="eastAsia" w:ascii="宋体" w:hAnsi="宋体" w:cs="宋体"/>
          <w:color w:val="000000" w:themeColor="text1"/>
          <w:kern w:val="0"/>
          <w:sz w:val="24"/>
          <w:highlight w:val="none"/>
          <w:lang w:eastAsia="zh-CN"/>
          <w14:textFill>
            <w14:solidFill>
              <w14:schemeClr w14:val="tx1"/>
            </w14:solidFill>
          </w14:textFill>
        </w:rPr>
        <w:t>民法典</w:t>
      </w:r>
      <w:r>
        <w:rPr>
          <w:rFonts w:hint="eastAsia" w:ascii="宋体" w:hAnsi="宋体" w:cs="宋体"/>
          <w:color w:val="000000" w:themeColor="text1"/>
          <w:kern w:val="0"/>
          <w:sz w:val="24"/>
          <w:highlight w:val="none"/>
          <w14:textFill>
            <w14:solidFill>
              <w14:schemeClr w14:val="tx1"/>
            </w14:solidFill>
          </w14:textFill>
        </w:rPr>
        <w:t>》订立劳动合同的从业人员。</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%的扣除（</w:t>
      </w:r>
      <w:r>
        <w:rPr>
          <w:rFonts w:hint="eastAsia" w:ascii="宋体" w:hAnsi="宋体" w:cs="宋体"/>
          <w:snapToGrid w:val="0"/>
          <w:color w:val="000000" w:themeColor="text1"/>
          <w:kern w:val="28"/>
          <w:sz w:val="24"/>
          <w:highlight w:val="none"/>
          <w:lang w:eastAsia="zh-CN"/>
          <w14:textFill>
            <w14:solidFill>
              <w14:schemeClr w14:val="tx1"/>
            </w14:solidFill>
          </w14:textFill>
        </w:rPr>
        <w:t>采购文件</w:t>
      </w:r>
      <w:r>
        <w:rPr>
          <w:rFonts w:hint="eastAsia" w:ascii="宋体" w:hAnsi="宋体" w:cs="宋体"/>
          <w:snapToGrid w:val="0"/>
          <w:color w:val="000000" w:themeColor="text1"/>
          <w:kern w:val="28"/>
          <w:sz w:val="24"/>
          <w:highlight w:val="none"/>
          <w14:textFill>
            <w14:solidFill>
              <w14:schemeClr w14:val="tx1"/>
            </w14:solidFill>
          </w14:textFill>
        </w:rPr>
        <w:t>第四部分</w:t>
      </w:r>
      <w:r>
        <w:rPr>
          <w:rFonts w:hint="eastAsia" w:ascii="宋体" w:hAnsi="宋体" w:cs="宋体"/>
          <w:color w:val="000000" w:themeColor="text1"/>
          <w:sz w:val="24"/>
          <w:highlight w:val="none"/>
          <w:u w:val="single"/>
          <w14:textFill>
            <w14:solidFill>
              <w14:schemeClr w14:val="tx1"/>
            </w14:solidFill>
          </w14:textFill>
        </w:rPr>
        <w:t>评标办分法明确具体的扣除比例，未明确的，</w:t>
      </w:r>
      <w:r>
        <w:rPr>
          <w:rFonts w:hint="eastAsia" w:ascii="宋体" w:hAnsi="宋体" w:cs="宋体"/>
          <w:color w:val="000000" w:themeColor="text1"/>
          <w:sz w:val="24"/>
          <w:highlight w:val="none"/>
          <w14:textFill>
            <w14:solidFill>
              <w14:schemeClr w14:val="tx1"/>
            </w14:solidFill>
          </w14:textFill>
        </w:rPr>
        <w:t>给予</w:t>
      </w:r>
      <w:r>
        <w:rPr>
          <w:rFonts w:hint="eastAsia" w:ascii="宋体" w:hAnsi="宋体" w:cs="宋体"/>
          <w:color w:val="000000" w:themeColor="text1"/>
          <w:sz w:val="24"/>
          <w:highlight w:val="none"/>
          <w:lang w:val="en-US" w:eastAsia="zh-CN"/>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0</w:t>
      </w:r>
      <w:r>
        <w:rPr>
          <w:rFonts w:hint="eastAsia" w:ascii="宋体" w:hAnsi="宋体" w:cs="宋体"/>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%的扣除（</w:t>
      </w:r>
      <w:r>
        <w:rPr>
          <w:rFonts w:hint="eastAsia" w:ascii="宋体" w:hAnsi="宋体" w:cs="宋体"/>
          <w:snapToGrid w:val="0"/>
          <w:color w:val="000000" w:themeColor="text1"/>
          <w:kern w:val="28"/>
          <w:sz w:val="24"/>
          <w:highlight w:val="none"/>
          <w:lang w:eastAsia="zh-CN"/>
          <w14:textFill>
            <w14:solidFill>
              <w14:schemeClr w14:val="tx1"/>
            </w14:solidFill>
          </w14:textFill>
        </w:rPr>
        <w:t>采购文件</w:t>
      </w:r>
      <w:r>
        <w:rPr>
          <w:rFonts w:hint="eastAsia" w:ascii="宋体" w:hAnsi="宋体" w:cs="宋体"/>
          <w:snapToGrid w:val="0"/>
          <w:color w:val="000000" w:themeColor="text1"/>
          <w:kern w:val="28"/>
          <w:sz w:val="24"/>
          <w:highlight w:val="none"/>
          <w14:textFill>
            <w14:solidFill>
              <w14:schemeClr w14:val="tx1"/>
            </w14:solidFill>
          </w14:textFill>
        </w:rPr>
        <w:t>第四部分</w:t>
      </w:r>
      <w:r>
        <w:rPr>
          <w:rFonts w:hint="eastAsia" w:ascii="宋体" w:hAnsi="宋体" w:cs="宋体"/>
          <w:color w:val="000000" w:themeColor="text1"/>
          <w:sz w:val="24"/>
          <w:highlight w:val="none"/>
          <w:u w:val="single"/>
          <w14:textFill>
            <w14:solidFill>
              <w14:schemeClr w14:val="tx1"/>
            </w14:solidFill>
          </w14:textFill>
        </w:rPr>
        <w:t>评标办分法明确具体的扣除比例，未明确的，</w:t>
      </w:r>
      <w:r>
        <w:rPr>
          <w:rFonts w:hint="eastAsia" w:ascii="宋体" w:hAnsi="宋体" w:cs="宋体"/>
          <w:color w:val="000000" w:themeColor="text1"/>
          <w:sz w:val="24"/>
          <w:highlight w:val="none"/>
          <w14:textFill>
            <w14:solidFill>
              <w14:schemeClr w14:val="tx1"/>
            </w14:solidFill>
          </w14:textFill>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3.3.6可享受中小企业扶持政策的</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应按照</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格式要求提供《中小企业声明函》，</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r>
        <w:rPr>
          <w:rFonts w:hint="eastAsia" w:ascii="宋体" w:hAnsi="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3.4.2首台套产品被纳入《首台套产品推广应用指导目录》之日起</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240"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highlight w:val="none"/>
          <w14:textFill>
            <w14:solidFill>
              <w14:schemeClr w14:val="tx1"/>
            </w14:solidFill>
          </w14:textFill>
        </w:rPr>
        <w:cr/>
      </w:r>
      <w:r>
        <w:rPr>
          <w:rFonts w:hint="eastAsia" w:ascii="宋体" w:hAnsi="宋体" w:cs="宋体"/>
          <w:b/>
          <w:color w:val="000000" w:themeColor="text1"/>
          <w:sz w:val="24"/>
          <w:highlight w:val="none"/>
          <w14:textFill>
            <w14:solidFill>
              <w14:schemeClr w14:val="tx1"/>
            </w14:solidFill>
          </w14:textFill>
        </w:rPr>
        <w:t>4. 询问、质疑、投诉</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4.3供应商质疑</w:t>
      </w:r>
    </w:p>
    <w:p>
      <w:pPr>
        <w:pStyle w:val="36"/>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w:t>
      </w:r>
      <w:r>
        <w:rPr>
          <w:rFonts w:hint="eastAsia" w:hAnsi="宋体" w:cs="宋体"/>
          <w:color w:val="000000" w:themeColor="text1"/>
          <w:sz w:val="24"/>
          <w:highlight w:val="none"/>
          <w:lang w:eastAsia="zh-CN"/>
          <w14:textFill>
            <w14:solidFill>
              <w14:schemeClr w14:val="tx1"/>
            </w14:solidFill>
          </w14:textFill>
        </w:rPr>
        <w:t>采购文件</w:t>
      </w:r>
      <w:r>
        <w:rPr>
          <w:rFonts w:hint="eastAsia" w:hAnsi="宋体" w:cs="宋体"/>
          <w:color w:val="000000" w:themeColor="text1"/>
          <w:sz w:val="24"/>
          <w:highlight w:val="none"/>
          <w14:textFill>
            <w14:solidFill>
              <w14:schemeClr w14:val="tx1"/>
            </w14:solidFill>
          </w14:textFill>
        </w:rPr>
        <w:t>的，可以对该文件提出质疑。</w:t>
      </w:r>
    </w:p>
    <w:p>
      <w:pPr>
        <w:pStyle w:val="36"/>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.2供应商认为</w:t>
      </w:r>
      <w:r>
        <w:rPr>
          <w:rFonts w:hint="eastAsia" w:hAnsi="宋体" w:cs="宋体"/>
          <w:color w:val="000000" w:themeColor="text1"/>
          <w:sz w:val="24"/>
          <w:highlight w:val="none"/>
          <w:lang w:eastAsia="zh-CN"/>
          <w14:textFill>
            <w14:solidFill>
              <w14:schemeClr w14:val="tx1"/>
            </w14:solidFill>
          </w14:textFill>
        </w:rPr>
        <w:t>采购文件</w:t>
      </w:r>
      <w:r>
        <w:rPr>
          <w:rFonts w:hint="eastAsia" w:hAnsi="宋体" w:cs="宋体"/>
          <w:color w:val="000000" w:themeColor="text1"/>
          <w:sz w:val="24"/>
          <w:highlight w:val="none"/>
          <w14:textFill>
            <w14:solidFill>
              <w14:schemeClr w14:val="tx1"/>
            </w14:solidFill>
          </w14:textFill>
        </w:rPr>
        <w:t>、采购过程和中标结果使自己的权益受到损害的，可以在知道或者应知其权益受到损害之日起七个工作日内，以书面形式向采购人或者</w:t>
      </w:r>
      <w:r>
        <w:rPr>
          <w:rFonts w:hint="eastAsia" w:hAnsi="宋体" w:cs="宋体"/>
          <w:color w:val="000000" w:themeColor="text1"/>
          <w:sz w:val="24"/>
          <w:highlight w:val="none"/>
          <w:lang w:eastAsia="zh-CN"/>
          <w14:textFill>
            <w14:solidFill>
              <w14:schemeClr w14:val="tx1"/>
            </w14:solidFill>
          </w14:textFill>
        </w:rPr>
        <w:t>采购代理机构</w:t>
      </w:r>
      <w:r>
        <w:rPr>
          <w:rFonts w:hint="eastAsia" w:hAnsi="宋体" w:cs="宋体"/>
          <w:color w:val="000000" w:themeColor="text1"/>
          <w:sz w:val="24"/>
          <w:highlight w:val="none"/>
          <w14:textFill>
            <w14:solidFill>
              <w14:schemeClr w14:val="tx1"/>
            </w14:solidFill>
          </w14:textFill>
        </w:rPr>
        <w:t>提出质疑，否则，采购人或者</w:t>
      </w:r>
      <w:r>
        <w:rPr>
          <w:rFonts w:hint="eastAsia" w:hAnsi="宋体" w:cs="宋体"/>
          <w:color w:val="000000" w:themeColor="text1"/>
          <w:sz w:val="24"/>
          <w:highlight w:val="none"/>
          <w:lang w:eastAsia="zh-CN"/>
          <w14:textFill>
            <w14:solidFill>
              <w14:schemeClr w14:val="tx1"/>
            </w14:solidFill>
          </w14:textFill>
        </w:rPr>
        <w:t>采购代理机构</w:t>
      </w:r>
      <w:r>
        <w:rPr>
          <w:rFonts w:hint="eastAsia" w:hAnsi="宋体" w:cs="宋体"/>
          <w:color w:val="000000" w:themeColor="text1"/>
          <w:sz w:val="24"/>
          <w:highlight w:val="none"/>
          <w14:textFill>
            <w14:solidFill>
              <w14:schemeClr w14:val="tx1"/>
            </w14:solidFill>
          </w14:textFill>
        </w:rPr>
        <w:t>不予受理：</w:t>
      </w:r>
    </w:p>
    <w:p>
      <w:pPr>
        <w:pStyle w:val="6"/>
        <w:spacing w:line="360" w:lineRule="auto"/>
        <w:ind w:firstLine="480" w:firstLineChars="200"/>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4.3.2.1对</w:t>
      </w:r>
      <w:r>
        <w:rPr>
          <w:rFonts w:hint="eastAsia" w:hAnsi="宋体" w:cs="宋体"/>
          <w:snapToGrid/>
          <w:color w:val="000000" w:themeColor="text1"/>
          <w:kern w:val="2"/>
          <w:sz w:val="24"/>
          <w:highlight w:val="none"/>
          <w:lang w:eastAsia="zh-CN"/>
          <w14:textFill>
            <w14:solidFill>
              <w14:schemeClr w14:val="tx1"/>
            </w14:solidFill>
          </w14:textFill>
        </w:rPr>
        <w:t>采购文件</w:t>
      </w:r>
      <w:r>
        <w:rPr>
          <w:rFonts w:hint="eastAsia" w:hAnsi="宋体" w:cs="宋体"/>
          <w:snapToGrid/>
          <w:color w:val="000000" w:themeColor="text1"/>
          <w:kern w:val="2"/>
          <w:sz w:val="24"/>
          <w:highlight w:val="none"/>
          <w14:textFill>
            <w14:solidFill>
              <w14:schemeClr w14:val="tx1"/>
            </w14:solidFill>
          </w14:textFill>
        </w:rPr>
        <w:t>提出质疑的，质疑期限为供应商获得</w:t>
      </w:r>
      <w:r>
        <w:rPr>
          <w:rFonts w:hint="eastAsia" w:hAnsi="宋体" w:cs="宋体"/>
          <w:snapToGrid/>
          <w:color w:val="000000" w:themeColor="text1"/>
          <w:kern w:val="2"/>
          <w:sz w:val="24"/>
          <w:highlight w:val="none"/>
          <w:lang w:eastAsia="zh-CN"/>
          <w14:textFill>
            <w14:solidFill>
              <w14:schemeClr w14:val="tx1"/>
            </w14:solidFill>
          </w14:textFill>
        </w:rPr>
        <w:t>采购文件</w:t>
      </w:r>
      <w:r>
        <w:rPr>
          <w:rFonts w:hint="eastAsia" w:hAnsi="宋体" w:cs="宋体"/>
          <w:snapToGrid/>
          <w:color w:val="000000" w:themeColor="text1"/>
          <w:kern w:val="2"/>
          <w:sz w:val="24"/>
          <w:highlight w:val="none"/>
          <w14:textFill>
            <w14:solidFill>
              <w14:schemeClr w14:val="tx1"/>
            </w14:solidFill>
          </w14:textFill>
        </w:rPr>
        <w:t>之日或者</w:t>
      </w:r>
      <w:r>
        <w:rPr>
          <w:rFonts w:hint="eastAsia" w:hAnsi="宋体" w:cs="宋体"/>
          <w:snapToGrid/>
          <w:color w:val="000000" w:themeColor="text1"/>
          <w:kern w:val="2"/>
          <w:sz w:val="24"/>
          <w:highlight w:val="none"/>
          <w:lang w:eastAsia="zh-CN"/>
          <w14:textFill>
            <w14:solidFill>
              <w14:schemeClr w14:val="tx1"/>
            </w14:solidFill>
          </w14:textFill>
        </w:rPr>
        <w:t>采购文件</w:t>
      </w:r>
      <w:r>
        <w:rPr>
          <w:rFonts w:hint="eastAsia" w:hAnsi="宋体" w:cs="宋体"/>
          <w:snapToGrid/>
          <w:color w:val="000000" w:themeColor="text1"/>
          <w:kern w:val="2"/>
          <w:sz w:val="24"/>
          <w:highlight w:val="none"/>
          <w14:textFill>
            <w14:solidFill>
              <w14:schemeClr w14:val="tx1"/>
            </w14:solidFill>
          </w14:textFill>
        </w:rPr>
        <w:t>公告期限届满之日起计算。</w:t>
      </w:r>
    </w:p>
    <w:p>
      <w:pPr>
        <w:pStyle w:val="36"/>
        <w:spacing w:line="360" w:lineRule="auto"/>
        <w:ind w:left="479" w:leftChars="228"/>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6"/>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4.3.3.1供应商的姓名或者名称、地址、邮编、联系人及联系电话；</w:t>
      </w:r>
    </w:p>
    <w:p>
      <w:pPr>
        <w:pStyle w:val="36"/>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4.3.3.2质疑项目的名称、编号；</w:t>
      </w:r>
    </w:p>
    <w:p>
      <w:pPr>
        <w:pStyle w:val="36"/>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4.3.3.3具体、明确的质疑事项和与质疑事项相关的请求；</w:t>
      </w:r>
    </w:p>
    <w:p>
      <w:pPr>
        <w:pStyle w:val="36"/>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4.3.3.4事实依据；</w:t>
      </w:r>
    </w:p>
    <w:p>
      <w:pPr>
        <w:pStyle w:val="36"/>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4.3.3.5必要的法律依据；</w:t>
      </w:r>
    </w:p>
    <w:p>
      <w:pPr>
        <w:pStyle w:val="36"/>
        <w:spacing w:line="360" w:lineRule="auto"/>
        <w:ind w:firstLine="960" w:firstLineChars="4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4.3.3.6提出质疑的日期。</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质疑函范本及制作说明详见附件2。</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.5采购人或者</w:t>
      </w:r>
      <w:r>
        <w:rPr>
          <w:rFonts w:hint="eastAsia"/>
          <w:color w:val="000000" w:themeColor="text1"/>
          <w:highlight w:val="none"/>
          <w:lang w:eastAsia="zh-CN"/>
          <w14:textFill>
            <w14:solidFill>
              <w14:schemeClr w14:val="tx1"/>
            </w14:solidFill>
          </w14:textFill>
        </w:rPr>
        <w:t>采购代理机构</w:t>
      </w:r>
      <w:r>
        <w:rPr>
          <w:rFonts w:hint="eastAsia"/>
          <w:color w:val="000000" w:themeColor="text1"/>
          <w:highlight w:val="none"/>
          <w14:textFill>
            <w14:solidFill>
              <w14:schemeClr w14:val="tx1"/>
            </w14:solidFill>
          </w14:textFill>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000000" w:themeColor="text1"/>
          <w:highlight w:val="none"/>
          <w:lang w:eastAsia="zh-CN"/>
          <w14:textFill>
            <w14:solidFill>
              <w14:schemeClr w14:val="tx1"/>
            </w14:solidFill>
          </w14:textFill>
        </w:rPr>
        <w:t>采购代理机构</w:t>
      </w:r>
      <w:r>
        <w:rPr>
          <w:rFonts w:hint="eastAsia"/>
          <w:color w:val="000000" w:themeColor="text1"/>
          <w:highlight w:val="none"/>
          <w14:textFill>
            <w14:solidFill>
              <w14:schemeClr w14:val="tx1"/>
            </w14:solidFill>
          </w14:textFill>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4.4供应商投诉</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4.4.1质疑供应商对采购人、</w:t>
      </w:r>
      <w:r>
        <w:rPr>
          <w:rFonts w:hint="eastAsia"/>
          <w:color w:val="000000" w:themeColor="text1"/>
          <w:highlight w:val="none"/>
          <w:lang w:eastAsia="zh-CN"/>
          <w14:textFill>
            <w14:solidFill>
              <w14:schemeClr w14:val="tx1"/>
            </w14:solidFill>
          </w14:textFill>
        </w:rPr>
        <w:t>采购代理机构</w:t>
      </w:r>
      <w:r>
        <w:rPr>
          <w:rFonts w:hint="eastAsia"/>
          <w:color w:val="000000" w:themeColor="text1"/>
          <w:highlight w:val="none"/>
          <w14:textFill>
            <w14:solidFill>
              <w14:schemeClr w14:val="tx1"/>
            </w14:solidFill>
          </w14:textFill>
        </w:rPr>
        <w:t>的答复不满意或者采购人、</w:t>
      </w:r>
      <w:r>
        <w:rPr>
          <w:rFonts w:hint="eastAsia"/>
          <w:color w:val="000000" w:themeColor="text1"/>
          <w:highlight w:val="none"/>
          <w:lang w:eastAsia="zh-CN"/>
          <w14:textFill>
            <w14:solidFill>
              <w14:schemeClr w14:val="tx1"/>
            </w14:solidFill>
          </w14:textFill>
        </w:rPr>
        <w:t>采购代理机构</w:t>
      </w:r>
      <w:r>
        <w:rPr>
          <w:rFonts w:hint="eastAsia"/>
          <w:color w:val="000000" w:themeColor="text1"/>
          <w:highlight w:val="none"/>
          <w14:textFill>
            <w14:solidFill>
              <w14:schemeClr w14:val="tx1"/>
            </w14:solidFill>
          </w14:textFill>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w:t>
      </w:r>
      <w:r>
        <w:rPr>
          <w:rFonts w:hint="eastAsia"/>
          <w:color w:val="000000" w:themeColor="text1"/>
          <w:highlight w:val="none"/>
          <w:lang w:val="zh-CN"/>
          <w14:textFill>
            <w14:solidFill>
              <w14:schemeClr w14:val="tx1"/>
            </w14:solidFill>
          </w14:textFill>
        </w:rPr>
        <w:t>2</w:t>
      </w:r>
      <w:r>
        <w:rPr>
          <w:rFonts w:hint="eastAsia"/>
          <w:color w:val="000000" w:themeColor="text1"/>
          <w:highlight w:val="none"/>
          <w14:textFill>
            <w14:solidFill>
              <w14:schemeClr w14:val="tx1"/>
            </w14:solidFill>
          </w14:textFill>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4.4.3供应商投诉应当有明确的请求和必要的证明材料。</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shd w:val="clear" w:color="auto" w:fill="FFFFFF"/>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投诉书范本及制作说明详见附件3。</w:t>
      </w:r>
    </w:p>
    <w:p>
      <w:pPr>
        <w:pStyle w:val="133"/>
        <w:snapToGrid w:val="0"/>
        <w:spacing w:before="0"/>
        <w:ind w:firstLine="360"/>
        <w:rPr>
          <w:rFonts w:ascii="宋体" w:hAnsi="宋体" w:cs="宋体"/>
          <w:color w:val="000000" w:themeColor="text1"/>
          <w:sz w:val="18"/>
          <w:szCs w:val="18"/>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二、</w:t>
      </w:r>
      <w:r>
        <w:rPr>
          <w:rFonts w:hint="eastAsia" w:ascii="宋体" w:hAnsi="宋体" w:cs="宋体"/>
          <w:b/>
          <w:color w:val="000000" w:themeColor="text1"/>
          <w:sz w:val="32"/>
          <w:szCs w:val="20"/>
          <w:highlight w:val="none"/>
          <w:lang w:eastAsia="zh-CN"/>
          <w14:textFill>
            <w14:solidFill>
              <w14:schemeClr w14:val="tx1"/>
            </w14:solidFill>
          </w14:textFill>
        </w:rPr>
        <w:t>采购文件</w:t>
      </w:r>
      <w:r>
        <w:rPr>
          <w:rFonts w:hint="eastAsia" w:ascii="宋体" w:hAnsi="宋体" w:cs="宋体"/>
          <w:b/>
          <w:color w:val="000000" w:themeColor="text1"/>
          <w:sz w:val="32"/>
          <w:szCs w:val="20"/>
          <w:highlight w:val="none"/>
          <w14:textFill>
            <w14:solidFill>
              <w14:schemeClr w14:val="tx1"/>
            </w14:solidFill>
          </w14:textFill>
        </w:rPr>
        <w:t>的构成、澄清、修改</w:t>
      </w:r>
    </w:p>
    <w:p>
      <w:pPr>
        <w:pStyle w:val="36"/>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w:t>
      </w:r>
      <w:r>
        <w:rPr>
          <w:rFonts w:hint="eastAsia" w:hAnsi="宋体" w:cs="宋体"/>
          <w:b/>
          <w:color w:val="000000" w:themeColor="text1"/>
          <w:sz w:val="24"/>
          <w:szCs w:val="24"/>
          <w:highlight w:val="none"/>
          <w:lang w:eastAsia="zh-CN"/>
          <w14:textFill>
            <w14:solidFill>
              <w14:schemeClr w14:val="tx1"/>
            </w14:solidFill>
          </w14:textFill>
        </w:rPr>
        <w:t>采购文件</w:t>
      </w:r>
      <w:r>
        <w:rPr>
          <w:rFonts w:hint="eastAsia" w:hAnsi="宋体" w:cs="宋体"/>
          <w:b/>
          <w:color w:val="000000" w:themeColor="text1"/>
          <w:sz w:val="24"/>
          <w:szCs w:val="24"/>
          <w:highlight w:val="none"/>
          <w14:textFill>
            <w14:solidFill>
              <w14:schemeClr w14:val="tx1"/>
            </w14:solidFill>
          </w14:textFill>
        </w:rPr>
        <w:t>的构成</w:t>
      </w:r>
    </w:p>
    <w:p>
      <w:pPr>
        <w:pStyle w:val="36"/>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5.1 </w:t>
      </w:r>
      <w:r>
        <w:rPr>
          <w:rFonts w:hint="eastAsia" w:hAnsi="宋体" w:cs="宋体"/>
          <w:color w:val="000000" w:themeColor="text1"/>
          <w:sz w:val="24"/>
          <w:szCs w:val="24"/>
          <w:highlight w:val="none"/>
          <w:lang w:eastAsia="zh-CN"/>
          <w14:textFill>
            <w14:solidFill>
              <w14:schemeClr w14:val="tx1"/>
            </w14:solidFill>
          </w14:textFill>
        </w:rPr>
        <w:t>采购文件</w:t>
      </w:r>
      <w:r>
        <w:rPr>
          <w:rFonts w:hint="eastAsia" w:hAnsi="宋体" w:cs="宋体"/>
          <w:color w:val="000000" w:themeColor="text1"/>
          <w:sz w:val="24"/>
          <w:szCs w:val="24"/>
          <w:highlight w:val="none"/>
          <w14:textFill>
            <w14:solidFill>
              <w14:schemeClr w14:val="tx1"/>
            </w14:solidFill>
          </w14:textFill>
        </w:rPr>
        <w:t>包括下列文件及附件：</w:t>
      </w:r>
    </w:p>
    <w:p>
      <w:pPr>
        <w:pStyle w:val="36"/>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5.1.1招标公告；</w:t>
      </w:r>
    </w:p>
    <w:p>
      <w:pPr>
        <w:pStyle w:val="36"/>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5.1.2</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须知；</w:t>
      </w:r>
    </w:p>
    <w:p>
      <w:pPr>
        <w:pStyle w:val="36"/>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5.1.3采购需求；</w:t>
      </w:r>
    </w:p>
    <w:p>
      <w:pPr>
        <w:pStyle w:val="36"/>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5.1.4评标办法；</w:t>
      </w:r>
    </w:p>
    <w:p>
      <w:pPr>
        <w:pStyle w:val="36"/>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5.1.5拟签订的合同文本；</w:t>
      </w:r>
    </w:p>
    <w:p>
      <w:pPr>
        <w:pStyle w:val="36"/>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5.1.6</w:t>
      </w:r>
      <w:r>
        <w:rPr>
          <w:rFonts w:hint="eastAsia" w:hAnsi="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5.2与本项目有关的</w:t>
      </w:r>
      <w:r>
        <w:rPr>
          <w:rFonts w:hint="eastAsia" w:ascii="宋体" w:hAnsi="宋体" w:cs="宋体"/>
          <w:bCs/>
          <w:color w:val="000000" w:themeColor="text1"/>
          <w:sz w:val="24"/>
          <w:highlight w:val="none"/>
          <w14:textFill>
            <w14:solidFill>
              <w14:schemeClr w14:val="tx1"/>
            </w14:solidFill>
          </w14:textFill>
        </w:rPr>
        <w:t>澄清或者修改的内容为</w:t>
      </w:r>
      <w:r>
        <w:rPr>
          <w:rFonts w:hint="eastAsia" w:ascii="宋体" w:hAnsi="宋体" w:cs="宋体"/>
          <w:bCs/>
          <w:color w:val="000000" w:themeColor="text1"/>
          <w:sz w:val="24"/>
          <w:highlight w:val="none"/>
          <w:lang w:eastAsia="zh-CN"/>
          <w14:textFill>
            <w14:solidFill>
              <w14:schemeClr w14:val="tx1"/>
            </w14:solidFill>
          </w14:textFill>
        </w:rPr>
        <w:t>采购文件</w:t>
      </w:r>
      <w:r>
        <w:rPr>
          <w:rFonts w:hint="eastAsia" w:ascii="宋体" w:hAnsi="宋体" w:cs="宋体"/>
          <w:bCs/>
          <w:color w:val="000000" w:themeColor="text1"/>
          <w:sz w:val="24"/>
          <w:highlight w:val="none"/>
          <w14:textFill>
            <w14:solidFill>
              <w14:schemeClr w14:val="tx1"/>
            </w14:solidFill>
          </w14:textFill>
        </w:rPr>
        <w:t>的组成部分</w:t>
      </w:r>
      <w:r>
        <w:rPr>
          <w:rFonts w:hint="eastAsia" w:ascii="宋体" w:hAnsi="宋体" w:cs="宋体"/>
          <w:color w:val="000000" w:themeColor="text1"/>
          <w:sz w:val="24"/>
          <w:highlight w:val="none"/>
          <w14:textFill>
            <w14:solidFill>
              <w14:schemeClr w14:val="tx1"/>
            </w14:solidFill>
          </w14:textFill>
        </w:rPr>
        <w:t>。</w:t>
      </w:r>
    </w:p>
    <w:p>
      <w:pPr>
        <w:pStyle w:val="36"/>
        <w:spacing w:line="360" w:lineRule="auto"/>
        <w:rPr>
          <w:rFonts w:hint="default" w:hAnsi="宋体" w:eastAsia="宋体" w:cs="宋体"/>
          <w:b/>
          <w:color w:val="000000" w:themeColor="text1"/>
          <w:sz w:val="24"/>
          <w:szCs w:val="24"/>
          <w:highlight w:val="none"/>
          <w:lang w:val="en-US" w:eastAsia="zh-CN"/>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6. </w:t>
      </w:r>
      <w:r>
        <w:rPr>
          <w:rFonts w:hint="eastAsia" w:hAnsi="宋体" w:cs="宋体"/>
          <w:b/>
          <w:color w:val="000000" w:themeColor="text1"/>
          <w:sz w:val="24"/>
          <w:szCs w:val="24"/>
          <w:highlight w:val="none"/>
          <w:lang w:eastAsia="zh-CN"/>
          <w14:textFill>
            <w14:solidFill>
              <w14:schemeClr w14:val="tx1"/>
            </w14:solidFill>
          </w14:textFill>
        </w:rPr>
        <w:t>采购文件</w:t>
      </w:r>
      <w:r>
        <w:rPr>
          <w:rFonts w:hint="eastAsia" w:hAnsi="宋体" w:cs="宋体"/>
          <w:b/>
          <w:color w:val="000000" w:themeColor="text1"/>
          <w:sz w:val="24"/>
          <w:szCs w:val="24"/>
          <w:highlight w:val="none"/>
          <w14:textFill>
            <w14:solidFill>
              <w14:schemeClr w14:val="tx1"/>
            </w14:solidFill>
          </w14:textFill>
        </w:rPr>
        <w:t>的澄清、修改</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6.1已获取</w:t>
      </w:r>
      <w:r>
        <w:rPr>
          <w:rFonts w:hint="eastAsia" w:ascii="宋体" w:hAnsi="宋体" w:cs="宋体"/>
          <w:color w:val="000000" w:themeColor="text1"/>
          <w:highlight w:val="none"/>
          <w:lang w:eastAsia="zh-CN"/>
          <w14:textFill>
            <w14:solidFill>
              <w14:schemeClr w14:val="tx1"/>
            </w14:solidFill>
          </w14:textFill>
        </w:rPr>
        <w:t>采购文件</w:t>
      </w:r>
      <w:r>
        <w:rPr>
          <w:rFonts w:hint="eastAsia" w:ascii="宋体" w:hAnsi="宋体" w:cs="宋体"/>
          <w:color w:val="000000" w:themeColor="text1"/>
          <w:highlight w:val="none"/>
          <w14:textFill>
            <w14:solidFill>
              <w14:schemeClr w14:val="tx1"/>
            </w14:solidFill>
          </w14:textFill>
        </w:rPr>
        <w:t>的潜在</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，若有问题需要澄清，应于投标截止时间前，以书面形式向</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提出。</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6.2 </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对</w:t>
      </w:r>
      <w:r>
        <w:rPr>
          <w:rFonts w:hint="eastAsia" w:ascii="宋体" w:hAnsi="宋体" w:cs="宋体"/>
          <w:color w:val="000000" w:themeColor="text1"/>
          <w:highlight w:val="none"/>
          <w:lang w:eastAsia="zh-CN"/>
          <w14:textFill>
            <w14:solidFill>
              <w14:schemeClr w14:val="tx1"/>
            </w14:solidFill>
          </w14:textFill>
        </w:rPr>
        <w:t>采购文件</w:t>
      </w:r>
      <w:r>
        <w:rPr>
          <w:rFonts w:hint="eastAsia" w:ascii="宋体" w:hAnsi="宋体" w:cs="宋体"/>
          <w:color w:val="000000" w:themeColor="text1"/>
          <w:highlight w:val="none"/>
          <w14:textFill>
            <w14:solidFill>
              <w14:schemeClr w14:val="tx1"/>
            </w14:solidFill>
          </w14:textFill>
        </w:rPr>
        <w:t>进行澄清或修改的，将同时通过电子交易平台通知已获取</w:t>
      </w:r>
      <w:r>
        <w:rPr>
          <w:rFonts w:hint="eastAsia" w:ascii="宋体" w:hAnsi="宋体" w:cs="宋体"/>
          <w:color w:val="000000" w:themeColor="text1"/>
          <w:highlight w:val="none"/>
          <w:lang w:eastAsia="zh-CN"/>
          <w14:textFill>
            <w14:solidFill>
              <w14:schemeClr w14:val="tx1"/>
            </w14:solidFill>
          </w14:textFill>
        </w:rPr>
        <w:t>采购文件</w:t>
      </w:r>
      <w:r>
        <w:rPr>
          <w:rFonts w:hint="eastAsia" w:ascii="宋体" w:hAnsi="宋体" w:cs="宋体"/>
          <w:color w:val="000000" w:themeColor="text1"/>
          <w:highlight w:val="none"/>
          <w14:textFill>
            <w14:solidFill>
              <w14:schemeClr w14:val="tx1"/>
            </w14:solidFill>
          </w14:textFill>
        </w:rPr>
        <w:t>的潜在</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。依法应当公告的，将按规定公告，同时视情况延长投标截止时间和开标时间。该澄清或者修改的内容为</w:t>
      </w:r>
      <w:r>
        <w:rPr>
          <w:rFonts w:hint="eastAsia" w:ascii="宋体" w:hAnsi="宋体" w:cs="宋体"/>
          <w:color w:val="000000" w:themeColor="text1"/>
          <w:highlight w:val="none"/>
          <w:lang w:eastAsia="zh-CN"/>
          <w14:textFill>
            <w14:solidFill>
              <w14:schemeClr w14:val="tx1"/>
            </w14:solidFill>
          </w14:textFill>
        </w:rPr>
        <w:t>采购文件</w:t>
      </w:r>
      <w:r>
        <w:rPr>
          <w:rFonts w:hint="eastAsia" w:ascii="宋体" w:hAnsi="宋体" w:cs="宋体"/>
          <w:color w:val="000000" w:themeColor="text1"/>
          <w:highlight w:val="none"/>
          <w14:textFill>
            <w14:solidFill>
              <w14:schemeClr w14:val="tx1"/>
            </w14:solidFill>
          </w14:textFill>
        </w:rPr>
        <w:t>的组成部分。</w:t>
      </w:r>
    </w:p>
    <w:p>
      <w:pPr>
        <w:pStyle w:val="24"/>
        <w:rPr>
          <w:rFonts w:hAnsi="宋体" w:cs="宋体"/>
          <w:color w:val="000000" w:themeColor="text1"/>
          <w:sz w:val="18"/>
          <w:szCs w:val="18"/>
          <w:highlight w:val="none"/>
          <w:lang w:val="en-US"/>
          <w14:textFill>
            <w14:solidFill>
              <w14:schemeClr w14:val="tx1"/>
            </w14:solidFill>
          </w14:textFill>
        </w:rPr>
      </w:pPr>
      <w:r>
        <w:rPr>
          <w:rFonts w:hint="eastAsia" w:hAnsi="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highlight w:val="none"/>
          <w14:textFill>
            <w14:solidFill>
              <w14:schemeClr w14:val="tx1"/>
            </w14:solidFill>
          </w14:textFill>
        </w:rPr>
      </w:pPr>
      <w:r>
        <w:rPr>
          <w:rFonts w:hint="eastAsia" w:ascii="宋体" w:hAnsi="宋体" w:cs="宋体"/>
          <w:b/>
          <w:color w:val="000000" w:themeColor="text1"/>
          <w:sz w:val="30"/>
          <w:szCs w:val="20"/>
          <w:highlight w:val="none"/>
          <w14:textFill>
            <w14:solidFill>
              <w14:schemeClr w14:val="tx1"/>
            </w14:solidFill>
          </w14:textFill>
        </w:rPr>
        <w:t>三、投标</w:t>
      </w:r>
    </w:p>
    <w:p>
      <w:pPr>
        <w:pStyle w:val="36"/>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7. </w:t>
      </w:r>
      <w:r>
        <w:rPr>
          <w:rFonts w:hint="eastAsia" w:hAnsi="宋体" w:cs="宋体"/>
          <w:b/>
          <w:color w:val="000000" w:themeColor="text1"/>
          <w:sz w:val="24"/>
          <w:szCs w:val="24"/>
          <w:highlight w:val="none"/>
          <w:lang w:eastAsia="zh-CN"/>
          <w14:textFill>
            <w14:solidFill>
              <w14:schemeClr w14:val="tx1"/>
            </w14:solidFill>
          </w14:textFill>
        </w:rPr>
        <w:t>采购文件</w:t>
      </w:r>
      <w:r>
        <w:rPr>
          <w:rFonts w:hint="eastAsia" w:hAnsi="宋体" w:cs="宋体"/>
          <w:b/>
          <w:color w:val="000000" w:themeColor="text1"/>
          <w:sz w:val="24"/>
          <w:szCs w:val="24"/>
          <w:highlight w:val="none"/>
          <w14:textFill>
            <w14:solidFill>
              <w14:schemeClr w14:val="tx1"/>
            </w14:solidFill>
          </w14:textFill>
        </w:rPr>
        <w:t>的获取</w:t>
      </w:r>
    </w:p>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详见招标公告中获取</w:t>
      </w:r>
      <w:r>
        <w:rPr>
          <w:rFonts w:hint="eastAsia" w:ascii="宋体" w:hAnsi="宋体" w:cs="宋体"/>
          <w:snapToGrid w:val="0"/>
          <w:color w:val="000000" w:themeColor="text1"/>
          <w:kern w:val="28"/>
          <w:sz w:val="24"/>
          <w:highlight w:val="none"/>
          <w:lang w:eastAsia="zh-CN"/>
          <w14:textFill>
            <w14:solidFill>
              <w14:schemeClr w14:val="tx1"/>
            </w14:solidFill>
          </w14:textFill>
        </w:rPr>
        <w:t>采购文件</w:t>
      </w:r>
      <w:r>
        <w:rPr>
          <w:rFonts w:hint="eastAsia" w:ascii="宋体" w:hAnsi="宋体" w:cs="宋体"/>
          <w:snapToGrid w:val="0"/>
          <w:color w:val="000000" w:themeColor="text1"/>
          <w:kern w:val="28"/>
          <w:sz w:val="24"/>
          <w:highlight w:val="none"/>
          <w14:textFill>
            <w14:solidFill>
              <w14:schemeClr w14:val="tx1"/>
            </w14:solidFill>
          </w14:textFill>
        </w:rPr>
        <w:t>的时间期限、地点、方式及</w:t>
      </w:r>
      <w:r>
        <w:rPr>
          <w:rFonts w:hint="eastAsia" w:ascii="宋体" w:hAnsi="宋体" w:cs="宋体"/>
          <w:snapToGrid w:val="0"/>
          <w:color w:val="000000" w:themeColor="text1"/>
          <w:kern w:val="28"/>
          <w:sz w:val="24"/>
          <w:highlight w:val="none"/>
          <w:lang w:eastAsia="zh-CN"/>
          <w14:textFill>
            <w14:solidFill>
              <w14:schemeClr w14:val="tx1"/>
            </w14:solidFill>
          </w14:textFill>
        </w:rPr>
        <w:t>采购文件</w:t>
      </w:r>
      <w:r>
        <w:rPr>
          <w:rFonts w:hint="eastAsia" w:ascii="宋体" w:hAnsi="宋体" w:cs="宋体"/>
          <w:snapToGrid w:val="0"/>
          <w:color w:val="000000" w:themeColor="text1"/>
          <w:kern w:val="28"/>
          <w:sz w:val="24"/>
          <w:highlight w:val="none"/>
          <w14:textFill>
            <w14:solidFill>
              <w14:schemeClr w14:val="tx1"/>
            </w14:solidFill>
          </w14:textFill>
        </w:rPr>
        <w:t>售价。</w:t>
      </w:r>
    </w:p>
    <w:p>
      <w:pPr>
        <w:pStyle w:val="36"/>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8.开标前答疑会或现场考察</w:t>
      </w:r>
    </w:p>
    <w:p>
      <w:pPr>
        <w:pStyle w:val="36"/>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采购人组织潜在</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现场考察或者召开开标前答疑会的，潜在</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按第二部分</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须知前附表的规定参加现场考察或者开标前答疑会。</w:t>
      </w:r>
    </w:p>
    <w:p>
      <w:pPr>
        <w:pStyle w:val="36"/>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9.投标保证金</w:t>
      </w:r>
    </w:p>
    <w:p>
      <w:pPr>
        <w:pStyle w:val="6"/>
        <w:spacing w:line="360" w:lineRule="auto"/>
        <w:ind w:firstLine="470" w:firstLineChars="196"/>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本项目不需缴纳投标保证金。</w:t>
      </w:r>
    </w:p>
    <w:p>
      <w:pPr>
        <w:pStyle w:val="36"/>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投标文件及</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与采购有关的来往通知、函件和文件均应使用中文。</w:t>
      </w:r>
    </w:p>
    <w:p>
      <w:pPr>
        <w:pStyle w:val="36"/>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b/>
          <w:color w:val="000000" w:themeColor="text1"/>
          <w:sz w:val="24"/>
          <w:highlight w:val="none"/>
          <w14:textFill>
            <w14:solidFill>
              <w14:schemeClr w14:val="tx1"/>
            </w14:solidFill>
          </w14:textFill>
        </w:rPr>
        <w:t>资格文件</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本项目的特定资格要求</w:t>
      </w:r>
    </w:p>
    <w:p>
      <w:pPr>
        <w:snapToGrid w:val="0"/>
        <w:spacing w:line="360" w:lineRule="auto"/>
        <w:ind w:firstLine="960" w:firstLineChars="4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highlight w:val="none"/>
          <w:u w:val="singl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11.</w:t>
      </w:r>
      <w:r>
        <w:rPr>
          <w:rFonts w:hint="eastAsia" w:ascii="宋体" w:hAnsi="宋体" w:cs="宋体"/>
          <w:color w:val="000000" w:themeColor="text1"/>
          <w:kern w:val="0"/>
          <w:sz w:val="24"/>
          <w:highlight w:val="none"/>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报价文件：</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11.3.2中小企业声明函。</w:t>
      </w: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lang w:eastAsia="zh-CN"/>
          <w14:textFill>
            <w14:solidFill>
              <w14:schemeClr w14:val="tx1"/>
            </w14:solidFill>
          </w14:textFill>
        </w:rPr>
        <w:t>供应商</w:t>
      </w:r>
      <w:r>
        <w:rPr>
          <w:rFonts w:hint="eastAsia" w:ascii="宋体" w:hAnsi="宋体" w:cs="宋体"/>
          <w:b/>
          <w:color w:val="000000" w:themeColor="text1"/>
          <w:sz w:val="24"/>
          <w:highlight w:val="none"/>
          <w14:textFill>
            <w14:solidFill>
              <w14:schemeClr w14:val="tx1"/>
            </w14:solidFill>
          </w14:textFill>
        </w:rPr>
        <w:t>提供虚假材料投标的，投标无效。</w:t>
      </w:r>
    </w:p>
    <w:p>
      <w:pPr>
        <w:pStyle w:val="133"/>
        <w:snapToGrid w:val="0"/>
        <w:spacing w:before="0"/>
        <w:ind w:firstLine="0" w:firstLineChars="0"/>
        <w:outlineLvl w:val="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12</w:t>
      </w:r>
      <w:r>
        <w:rPr>
          <w:rFonts w:hint="eastAsia" w:ascii="宋体" w:hAnsi="宋体" w:cs="宋体"/>
          <w:b/>
          <w:color w:val="000000" w:themeColor="text1"/>
          <w:kern w:val="0"/>
          <w:szCs w:val="24"/>
          <w:highlight w:val="none"/>
          <w:lang w:val="zh-CN"/>
          <w14:textFill>
            <w14:solidFill>
              <w14:schemeClr w14:val="tx1"/>
            </w14:solidFill>
          </w14:textFill>
        </w:rPr>
        <w:t xml:space="preserve">. </w:t>
      </w:r>
      <w:r>
        <w:rPr>
          <w:rFonts w:hint="eastAsia" w:ascii="宋体" w:hAnsi="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投标文件分为资格文件、商务技术文件、报价文件三部分。各供应商在编制投标文件时请按照采购文件第六部分规定的格式进行，混乱的编排导致投标文件被误读或评标委员会查找不到有效文件是供应商的风险。</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12.2供应商进行电子投标应安装客户端软件—“政采云电子交易客户端”，并按照采购文件和电子交易平台的要求编制并加密投标文件。供应商未按规定加密的投标文件，电子交易平台将拒收并提示。</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13.投标文件的签署、盖章</w:t>
      </w:r>
    </w:p>
    <w:p>
      <w:pPr>
        <w:pStyle w:val="133"/>
        <w:snapToGrid w:val="0"/>
        <w:spacing w:before="0"/>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13.1投标文件按照</w:t>
      </w:r>
      <w:r>
        <w:rPr>
          <w:rFonts w:hint="eastAsia" w:ascii="宋体" w:hAnsi="宋体" w:cs="宋体"/>
          <w:color w:val="000000" w:themeColor="text1"/>
          <w:szCs w:val="24"/>
          <w:highlight w:val="none"/>
          <w:lang w:eastAsia="zh-CN"/>
          <w14:textFill>
            <w14:solidFill>
              <w14:schemeClr w14:val="tx1"/>
            </w14:solidFill>
          </w14:textFill>
        </w:rPr>
        <w:t>采购文件</w:t>
      </w:r>
      <w:r>
        <w:rPr>
          <w:rFonts w:hint="eastAsia" w:ascii="宋体" w:hAnsi="宋体" w:cs="宋体"/>
          <w:color w:val="000000" w:themeColor="text1"/>
          <w:szCs w:val="24"/>
          <w:highlight w:val="none"/>
          <w14:textFill>
            <w14:solidFill>
              <w14:schemeClr w14:val="tx1"/>
            </w14:solidFill>
          </w14:textFill>
        </w:rPr>
        <w:t>第六部分格式要</w:t>
      </w:r>
      <w:r>
        <w:rPr>
          <w:rFonts w:hint="eastAsia" w:ascii="宋体" w:hAnsi="宋体" w:cs="宋体"/>
          <w:color w:val="000000" w:themeColor="text1"/>
          <w:highlight w:val="none"/>
          <w14:textFill>
            <w14:solidFill>
              <w14:schemeClr w14:val="tx1"/>
            </w14:solidFill>
          </w14:textFill>
        </w:rPr>
        <w:t>求进行签署、盖章。</w:t>
      </w:r>
      <w:r>
        <w:rPr>
          <w:rFonts w:hint="eastAsia" w:ascii="宋体" w:hAnsi="宋体" w:cs="宋体"/>
          <w:b/>
          <w:color w:val="000000" w:themeColor="text1"/>
          <w:highlight w:val="none"/>
          <w14:textFill>
            <w14:solidFill>
              <w14:schemeClr w14:val="tx1"/>
            </w14:solidFill>
          </w14:textFill>
        </w:rPr>
        <w:t>▲</w:t>
      </w:r>
      <w:r>
        <w:rPr>
          <w:rFonts w:hint="eastAsia" w:ascii="宋体" w:hAnsi="宋体" w:cs="宋体"/>
          <w:b/>
          <w:color w:val="000000" w:themeColor="text1"/>
          <w:highlight w:val="none"/>
          <w:lang w:eastAsia="zh-CN"/>
          <w14:textFill>
            <w14:solidFill>
              <w14:schemeClr w14:val="tx1"/>
            </w14:solidFill>
          </w14:textFill>
        </w:rPr>
        <w:t>供应商</w:t>
      </w:r>
      <w:r>
        <w:rPr>
          <w:rFonts w:hint="eastAsia" w:ascii="宋体" w:hAnsi="宋体" w:cs="宋体"/>
          <w:b/>
          <w:color w:val="000000" w:themeColor="text1"/>
          <w:highlight w:val="none"/>
          <w14:textFill>
            <w14:solidFill>
              <w14:schemeClr w14:val="tx1"/>
            </w14:solidFill>
          </w14:textFill>
        </w:rPr>
        <w:t>的投标文件未按照</w:t>
      </w:r>
      <w:r>
        <w:rPr>
          <w:rFonts w:hint="eastAsia" w:ascii="宋体" w:hAnsi="宋体" w:cs="宋体"/>
          <w:b/>
          <w:color w:val="000000" w:themeColor="text1"/>
          <w:highlight w:val="none"/>
          <w:lang w:eastAsia="zh-CN"/>
          <w14:textFill>
            <w14:solidFill>
              <w14:schemeClr w14:val="tx1"/>
            </w14:solidFill>
          </w14:textFill>
        </w:rPr>
        <w:t>采购文件</w:t>
      </w:r>
      <w:r>
        <w:rPr>
          <w:rFonts w:hint="eastAsia" w:ascii="宋体" w:hAnsi="宋体" w:cs="宋体"/>
          <w:b/>
          <w:color w:val="000000" w:themeColor="text1"/>
          <w:highlight w:val="none"/>
          <w14:textFill>
            <w14:solidFill>
              <w14:schemeClr w14:val="tx1"/>
            </w14:solidFill>
          </w14:textFill>
        </w:rPr>
        <w:t>要求签署、盖章的，其投标无效</w:t>
      </w:r>
      <w:r>
        <w:rPr>
          <w:rFonts w:hint="eastAsia" w:ascii="宋体" w:hAnsi="宋体" w:cs="宋体"/>
          <w:color w:val="000000" w:themeColor="text1"/>
          <w:szCs w:val="24"/>
          <w:highlight w:val="none"/>
          <w14:textFill>
            <w14:solidFill>
              <w14:schemeClr w14:val="tx1"/>
            </w14:solidFill>
          </w14:textFill>
        </w:rPr>
        <w:t>。</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应当在投标截止时间前完成在“政府采购云平台”的身份认证，确保在电子投标过程中能够对相关数据电文进行加密和使用电子签名。</w:t>
      </w:r>
    </w:p>
    <w:p>
      <w:pPr>
        <w:pStyle w:val="133"/>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w:t>
      </w:r>
      <w:r>
        <w:rPr>
          <w:rFonts w:hint="eastAsia" w:ascii="宋体" w:hAnsi="宋体" w:cs="宋体"/>
          <w:color w:val="000000" w:themeColor="text1"/>
          <w:highlight w:val="none"/>
          <w:lang w:eastAsia="zh-CN"/>
          <w14:textFill>
            <w14:solidFill>
              <w14:schemeClr w14:val="tx1"/>
            </w14:solidFill>
          </w14:textFill>
        </w:rPr>
        <w:t>采购文件</w:t>
      </w:r>
      <w:r>
        <w:rPr>
          <w:rFonts w:hint="eastAsia" w:ascii="宋体" w:hAnsi="宋体" w:cs="宋体"/>
          <w:color w:val="000000" w:themeColor="text1"/>
          <w:highlight w:val="none"/>
          <w14:textFill>
            <w14:solidFill>
              <w14:schemeClr w14:val="tx1"/>
            </w14:solidFill>
          </w14:textFill>
        </w:rPr>
        <w:t>对投标文件签署、盖章的要求适用于电子签名。</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14. 投标文件的提交、补充、修改、撤回</w:t>
      </w:r>
    </w:p>
    <w:p>
      <w:pPr>
        <w:pStyle w:val="133"/>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3"/>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14.3采购人、</w:t>
      </w:r>
      <w:r>
        <w:rPr>
          <w:rFonts w:hint="eastAsia" w:ascii="宋体" w:hAnsi="宋体" w:cs="宋体"/>
          <w:color w:val="000000" w:themeColor="text1"/>
          <w:szCs w:val="24"/>
          <w:highlight w:val="none"/>
          <w:lang w:eastAsia="zh-CN"/>
          <w14:textFill>
            <w14:solidFill>
              <w14:schemeClr w14:val="tx1"/>
            </w14:solidFill>
          </w14:textFill>
        </w:rPr>
        <w:t>采购代理机构</w:t>
      </w:r>
      <w:r>
        <w:rPr>
          <w:rFonts w:hint="eastAsia" w:ascii="宋体" w:hAnsi="宋体" w:cs="宋体"/>
          <w:color w:val="000000" w:themeColor="text1"/>
          <w:szCs w:val="24"/>
          <w:highlight w:val="none"/>
          <w14:textFill>
            <w14:solidFill>
              <w14:schemeClr w14:val="tx1"/>
            </w14:solidFill>
          </w14:textFill>
        </w:rPr>
        <w:t>可以视情况延长投标文件提交的截止时间。在上述情况下，</w:t>
      </w:r>
      <w:r>
        <w:rPr>
          <w:rFonts w:hint="eastAsia" w:ascii="宋体" w:hAnsi="宋体" w:cs="宋体"/>
          <w:color w:val="000000" w:themeColor="text1"/>
          <w:szCs w:val="24"/>
          <w:highlight w:val="none"/>
          <w:lang w:eastAsia="zh-CN"/>
          <w14:textFill>
            <w14:solidFill>
              <w14:schemeClr w14:val="tx1"/>
            </w14:solidFill>
          </w14:textFill>
        </w:rPr>
        <w:t>采购代理机构</w:t>
      </w:r>
      <w:r>
        <w:rPr>
          <w:rFonts w:hint="eastAsia" w:ascii="宋体" w:hAnsi="宋体" w:cs="宋体"/>
          <w:color w:val="000000" w:themeColor="text1"/>
          <w:szCs w:val="24"/>
          <w:highlight w:val="none"/>
          <w14:textFill>
            <w14:solidFill>
              <w14:schemeClr w14:val="tx1"/>
            </w14:solidFill>
          </w14:textFill>
        </w:rPr>
        <w:t>与</w:t>
      </w:r>
      <w:r>
        <w:rPr>
          <w:rFonts w:hint="eastAsia" w:ascii="宋体" w:hAnsi="宋体" w:cs="宋体"/>
          <w:color w:val="000000" w:themeColor="text1"/>
          <w:szCs w:val="24"/>
          <w:highlight w:val="none"/>
          <w:lang w:eastAsia="zh-CN"/>
          <w14:textFill>
            <w14:solidFill>
              <w14:schemeClr w14:val="tx1"/>
            </w14:solidFill>
          </w14:textFill>
        </w:rPr>
        <w:t>供应商</w:t>
      </w:r>
      <w:r>
        <w:rPr>
          <w:rFonts w:hint="eastAsia" w:ascii="宋体" w:hAnsi="宋体" w:cs="宋体"/>
          <w:color w:val="000000" w:themeColor="text1"/>
          <w:szCs w:val="24"/>
          <w:highlight w:val="none"/>
          <w14:textFill>
            <w14:solidFill>
              <w14:schemeClr w14:val="tx1"/>
            </w14:solidFill>
          </w14:textFill>
        </w:rPr>
        <w:t>以前在投标截止期方面的全部权利、责任和义务，将适用于延长至新的投标截止期。</w:t>
      </w:r>
    </w:p>
    <w:p>
      <w:pPr>
        <w:pStyle w:val="36"/>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15.备份投标文件</w:t>
      </w:r>
    </w:p>
    <w:p>
      <w:pPr>
        <w:pStyle w:val="36"/>
        <w:spacing w:line="360" w:lineRule="auto"/>
        <w:ind w:firstLine="360" w:firstLineChars="15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在电子交易平台传输递交投标文件后，还可以在投标截止时间前直接提交或者以邮政快递方式递交备份投标文件1份，</w:t>
      </w:r>
      <w:r>
        <w:rPr>
          <w:rFonts w:hint="eastAsia" w:hAnsi="宋体" w:cs="宋体"/>
          <w:b/>
          <w:color w:val="000000" w:themeColor="text1"/>
          <w:sz w:val="24"/>
          <w:szCs w:val="24"/>
          <w:highlight w:val="none"/>
          <w14:textFill>
            <w14:solidFill>
              <w14:schemeClr w14:val="tx1"/>
            </w14:solidFill>
          </w14:textFill>
        </w:rPr>
        <w:t>但采购人、</w:t>
      </w:r>
      <w:r>
        <w:rPr>
          <w:rFonts w:hint="eastAsia" w:hAnsi="宋体" w:cs="宋体"/>
          <w:b/>
          <w:color w:val="000000" w:themeColor="text1"/>
          <w:sz w:val="24"/>
          <w:szCs w:val="24"/>
          <w:highlight w:val="none"/>
          <w:lang w:eastAsia="zh-CN"/>
          <w14:textFill>
            <w14:solidFill>
              <w14:schemeClr w14:val="tx1"/>
            </w14:solidFill>
          </w14:textFill>
        </w:rPr>
        <w:t>采购代理机构</w:t>
      </w:r>
      <w:r>
        <w:rPr>
          <w:rFonts w:hint="eastAsia" w:hAnsi="宋体" w:cs="宋体"/>
          <w:b/>
          <w:color w:val="000000" w:themeColor="text1"/>
          <w:sz w:val="24"/>
          <w:szCs w:val="24"/>
          <w:highlight w:val="none"/>
          <w14:textFill>
            <w14:solidFill>
              <w14:schemeClr w14:val="tx1"/>
            </w14:solidFill>
          </w14:textFill>
        </w:rPr>
        <w:t>不强制或变相强制</w:t>
      </w:r>
      <w:r>
        <w:rPr>
          <w:rFonts w:hint="eastAsia" w:hAnsi="宋体" w:cs="宋体"/>
          <w:b/>
          <w:color w:val="000000" w:themeColor="text1"/>
          <w:sz w:val="24"/>
          <w:szCs w:val="24"/>
          <w:highlight w:val="none"/>
          <w:lang w:eastAsia="zh-CN"/>
          <w14:textFill>
            <w14:solidFill>
              <w14:schemeClr w14:val="tx1"/>
            </w14:solidFill>
          </w14:textFill>
        </w:rPr>
        <w:t>供应商</w:t>
      </w:r>
      <w:r>
        <w:rPr>
          <w:rFonts w:hint="eastAsia" w:hAnsi="宋体" w:cs="宋体"/>
          <w:b/>
          <w:color w:val="000000" w:themeColor="text1"/>
          <w:sz w:val="24"/>
          <w:szCs w:val="24"/>
          <w:highlight w:val="none"/>
          <w14:textFill>
            <w14:solidFill>
              <w14:schemeClr w14:val="tx1"/>
            </w14:solidFill>
          </w14:textFill>
        </w:rPr>
        <w:t>提交备份投标文件。</w:t>
      </w:r>
    </w:p>
    <w:p>
      <w:pPr>
        <w:pStyle w:val="36"/>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hAnsi="宋体" w:cs="宋体"/>
          <w:color w:val="000000" w:themeColor="text1"/>
          <w:sz w:val="24"/>
          <w:highlight w:val="none"/>
          <w14:textFill>
            <w14:solidFill>
              <w14:schemeClr w14:val="tx1"/>
            </w14:solidFill>
          </w14:textFill>
        </w:rPr>
        <w:t>DVD光盘</w:t>
      </w:r>
      <w:r>
        <w:rPr>
          <w:rFonts w:hint="eastAsia" w:hAnsi="宋体" w:cs="宋体"/>
          <w:color w:val="000000" w:themeColor="text1"/>
          <w:sz w:val="24"/>
          <w:highlight w:val="none"/>
          <w:lang w:val="en-US" w:eastAsia="zh-CN"/>
          <w14:textFill>
            <w14:solidFill>
              <w14:schemeClr w14:val="tx1"/>
            </w14:solidFill>
          </w14:textFill>
        </w:rPr>
        <w:t>等存储介质</w:t>
      </w:r>
      <w:r>
        <w:rPr>
          <w:rFonts w:hint="eastAsia" w:hAnsi="宋体" w:cs="宋体"/>
          <w:color w:val="000000" w:themeColor="text1"/>
          <w:sz w:val="24"/>
          <w:szCs w:val="24"/>
          <w:highlight w:val="none"/>
          <w14:textFill>
            <w14:solidFill>
              <w14:schemeClr w14:val="tx1"/>
            </w14:solidFill>
          </w14:textFill>
        </w:rPr>
        <w:t>中。备份投标文件应当密封包装并在包装上加盖公章并注明投标项目名称，</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名称(联合体投标的，包装物封面需注明联合体投标，并注明联合体成员各方的名称和联合协议中约定的牵头人的名称)。</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6"/>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15.3直接提交备份投标文件的，</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应于投标截止时间前在招标公告中载明的开标地点将备份投标文件提交给</w:t>
      </w:r>
      <w:r>
        <w:rPr>
          <w:rFonts w:hint="eastAsia" w:hAnsi="宋体" w:cs="宋体"/>
          <w:color w:val="000000" w:themeColor="text1"/>
          <w:sz w:val="24"/>
          <w:szCs w:val="24"/>
          <w:highlight w:val="none"/>
          <w:lang w:eastAsia="zh-CN"/>
          <w14:textFill>
            <w14:solidFill>
              <w14:schemeClr w14:val="tx1"/>
            </w14:solidFill>
          </w14:textFill>
        </w:rPr>
        <w:t>采购代理机构</w:t>
      </w:r>
      <w:r>
        <w:rPr>
          <w:rFonts w:hint="eastAsia" w:hAnsi="宋体" w:cs="宋体"/>
          <w:color w:val="000000" w:themeColor="text1"/>
          <w:sz w:val="24"/>
          <w:szCs w:val="24"/>
          <w:highlight w:val="none"/>
          <w14:textFill>
            <w14:solidFill>
              <w14:schemeClr w14:val="tx1"/>
            </w14:solidFill>
          </w14:textFill>
        </w:rPr>
        <w:t>，</w:t>
      </w:r>
      <w:r>
        <w:rPr>
          <w:rFonts w:hint="eastAsia" w:hAnsi="宋体" w:cs="宋体"/>
          <w:color w:val="000000" w:themeColor="text1"/>
          <w:sz w:val="24"/>
          <w:szCs w:val="24"/>
          <w:highlight w:val="none"/>
          <w:lang w:eastAsia="zh-CN"/>
          <w14:textFill>
            <w14:solidFill>
              <w14:schemeClr w14:val="tx1"/>
            </w14:solidFill>
          </w14:textFill>
        </w:rPr>
        <w:t>采购代理机构</w:t>
      </w:r>
      <w:r>
        <w:rPr>
          <w:rFonts w:hint="eastAsia" w:hAnsi="宋体" w:cs="宋体"/>
          <w:color w:val="000000" w:themeColor="text1"/>
          <w:sz w:val="24"/>
          <w:szCs w:val="24"/>
          <w:highlight w:val="none"/>
          <w14:textFill>
            <w14:solidFill>
              <w14:schemeClr w14:val="tx1"/>
            </w14:solidFill>
          </w14:textFill>
        </w:rPr>
        <w:t>将拒绝接受逾期送达的备份投标文件。</w:t>
      </w:r>
    </w:p>
    <w:p>
      <w:pPr>
        <w:pStyle w:val="36"/>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15.4以邮政快递方式递交备份投标文件的，</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应先将备份投标文件按要求密封和标记，再进行邮政快递包装后邮寄。备份投标文件须在投标截止时间之前送达</w:t>
      </w:r>
      <w:r>
        <w:rPr>
          <w:rFonts w:hint="eastAsia" w:hAnsi="宋体" w:cs="宋体"/>
          <w:snapToGrid/>
          <w:color w:val="000000" w:themeColor="text1"/>
          <w:sz w:val="24"/>
          <w:szCs w:val="24"/>
          <w:highlight w:val="none"/>
          <w:lang w:eastAsia="zh-CN"/>
          <w14:textFill>
            <w14:solidFill>
              <w14:schemeClr w14:val="tx1"/>
            </w14:solidFill>
          </w14:textFill>
        </w:rPr>
        <w:t>采购文件</w:t>
      </w:r>
      <w:r>
        <w:rPr>
          <w:rFonts w:hint="eastAsia" w:hAnsi="宋体" w:cs="宋体"/>
          <w:snapToGrid/>
          <w:color w:val="000000" w:themeColor="text1"/>
          <w:sz w:val="24"/>
          <w:szCs w:val="24"/>
          <w:highlight w:val="none"/>
          <w14:textFill>
            <w14:solidFill>
              <w14:schemeClr w14:val="tx1"/>
            </w14:solidFill>
          </w14:textFill>
        </w:rPr>
        <w:t>第二部分</w:t>
      </w:r>
      <w:r>
        <w:rPr>
          <w:rFonts w:hint="eastAsia" w:hAnsi="宋体" w:cs="宋体"/>
          <w:snapToGrid/>
          <w:color w:val="000000" w:themeColor="text1"/>
          <w:sz w:val="24"/>
          <w:szCs w:val="24"/>
          <w:highlight w:val="none"/>
          <w:lang w:eastAsia="zh-CN"/>
          <w14:textFill>
            <w14:solidFill>
              <w14:schemeClr w14:val="tx1"/>
            </w14:solidFill>
          </w14:textFill>
        </w:rPr>
        <w:t>供应商</w:t>
      </w:r>
      <w:r>
        <w:rPr>
          <w:rFonts w:hint="eastAsia" w:hAnsi="宋体" w:cs="宋体"/>
          <w:snapToGrid/>
          <w:color w:val="000000" w:themeColor="text1"/>
          <w:sz w:val="24"/>
          <w:szCs w:val="24"/>
          <w:highlight w:val="none"/>
          <w14:textFill>
            <w14:solidFill>
              <w14:schemeClr w14:val="tx1"/>
            </w14:solidFill>
          </w14:textFill>
        </w:rPr>
        <w:t>须知前附表规定的备份投标文件送达地点；</w:t>
      </w:r>
      <w:r>
        <w:rPr>
          <w:rFonts w:hint="eastAsia" w:hAnsi="宋体" w:cs="宋体"/>
          <w:color w:val="000000" w:themeColor="text1"/>
          <w:sz w:val="24"/>
          <w:szCs w:val="24"/>
          <w:highlight w:val="none"/>
          <w14:textFill>
            <w14:solidFill>
              <w14:schemeClr w14:val="tx1"/>
            </w14:solidFill>
          </w14:textFill>
        </w:rPr>
        <w:t>送达时间以签收人签收时间为准。</w:t>
      </w:r>
      <w:r>
        <w:rPr>
          <w:rFonts w:hint="eastAsia" w:hAnsi="宋体" w:cs="宋体"/>
          <w:color w:val="000000" w:themeColor="text1"/>
          <w:sz w:val="24"/>
          <w:szCs w:val="24"/>
          <w:highlight w:val="none"/>
          <w:lang w:eastAsia="zh-CN"/>
          <w14:textFill>
            <w14:solidFill>
              <w14:schemeClr w14:val="tx1"/>
            </w14:solidFill>
          </w14:textFill>
        </w:rPr>
        <w:t>采购代理机构</w:t>
      </w:r>
      <w:r>
        <w:rPr>
          <w:rFonts w:hint="eastAsia" w:hAnsi="宋体" w:cs="宋体"/>
          <w:color w:val="000000" w:themeColor="text1"/>
          <w:sz w:val="24"/>
          <w:szCs w:val="24"/>
          <w:highlight w:val="none"/>
          <w14:textFill>
            <w14:solidFill>
              <w14:schemeClr w14:val="tx1"/>
            </w14:solidFill>
          </w14:textFill>
        </w:rPr>
        <w:t>将拒绝接受逾期送达的备份投标文件。邮寄过程中，电子备份投标文件发生泄露、遗失、损坏或延期送达等情况的，由</w:t>
      </w:r>
      <w:r>
        <w:rPr>
          <w:rFonts w:hint="eastAsia" w:hAnsi="宋体" w:cs="宋体"/>
          <w:color w:val="000000" w:themeColor="text1"/>
          <w:sz w:val="24"/>
          <w:szCs w:val="24"/>
          <w:highlight w:val="none"/>
          <w:lang w:eastAsia="zh-CN"/>
          <w14:textFill>
            <w14:solidFill>
              <w14:schemeClr w14:val="tx1"/>
            </w14:solidFill>
          </w14:textFill>
        </w:rPr>
        <w:t>供应商</w:t>
      </w:r>
      <w:r>
        <w:rPr>
          <w:rFonts w:hint="eastAsia" w:hAnsi="宋体" w:cs="宋体"/>
          <w:color w:val="000000" w:themeColor="text1"/>
          <w:sz w:val="24"/>
          <w:szCs w:val="24"/>
          <w:highlight w:val="none"/>
          <w14:textFill>
            <w14:solidFill>
              <w14:schemeClr w14:val="tx1"/>
            </w14:solidFill>
          </w14:textFill>
        </w:rPr>
        <w:t>自行负责。</w:t>
      </w:r>
    </w:p>
    <w:p>
      <w:pPr>
        <w:pStyle w:val="36"/>
        <w:spacing w:line="360" w:lineRule="auto"/>
        <w:ind w:firstLine="479" w:firstLineChars="199"/>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w:t>
      </w:r>
      <w:r>
        <w:rPr>
          <w:rFonts w:hint="eastAsia" w:hAnsi="宋体" w:cs="宋体"/>
          <w:b/>
          <w:color w:val="000000" w:themeColor="text1"/>
          <w:sz w:val="24"/>
          <w:szCs w:val="24"/>
          <w:highlight w:val="none"/>
          <w:lang w:eastAsia="zh-CN"/>
          <w14:textFill>
            <w14:solidFill>
              <w14:schemeClr w14:val="tx1"/>
            </w14:solidFill>
          </w14:textFill>
        </w:rPr>
        <w:t>供应商</w:t>
      </w:r>
      <w:r>
        <w:rPr>
          <w:rFonts w:hint="eastAsia" w:hAnsi="宋体" w:cs="宋体"/>
          <w:b/>
          <w:color w:val="000000" w:themeColor="text1"/>
          <w:sz w:val="24"/>
          <w:szCs w:val="24"/>
          <w:highlight w:val="none"/>
          <w14:textFill>
            <w14:solidFill>
              <w14:schemeClr w14:val="tx1"/>
            </w14:solidFill>
          </w14:textFill>
        </w:rPr>
        <w:t>仅提交备份投标文件，未在电子交易平台传输递交投标文件的，投标无效。</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16.投标文件的无效处理</w:t>
      </w:r>
    </w:p>
    <w:p>
      <w:pPr>
        <w:pStyle w:val="27"/>
        <w:spacing w:line="360" w:lineRule="auto"/>
        <w:ind w:firstLine="360" w:firstLineChars="15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w:t>
      </w:r>
      <w:r>
        <w:rPr>
          <w:rFonts w:hint="eastAsia" w:cs="宋体"/>
          <w:color w:val="000000" w:themeColor="text1"/>
          <w:szCs w:val="21"/>
          <w:highlight w:val="none"/>
          <w:lang w:eastAsia="zh-CN"/>
          <w14:textFill>
            <w14:solidFill>
              <w14:schemeClr w14:val="tx1"/>
            </w14:solidFill>
          </w14:textFill>
        </w:rPr>
        <w:t>采购文件</w:t>
      </w:r>
      <w:r>
        <w:rPr>
          <w:rFonts w:hint="eastAsia" w:cs="宋体"/>
          <w:color w:val="000000" w:themeColor="text1"/>
          <w:szCs w:val="21"/>
          <w:highlight w:val="none"/>
          <w14:textFill>
            <w14:solidFill>
              <w14:schemeClr w14:val="tx1"/>
            </w14:solidFill>
          </w14:textFill>
        </w:rPr>
        <w:t>第四部分</w:t>
      </w:r>
      <w:r>
        <w:rPr>
          <w:rFonts w:cs="宋体"/>
          <w:color w:val="000000" w:themeColor="text1"/>
          <w:szCs w:val="2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的情形之一的，投标无效：</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highlight w:val="none"/>
          <w:lang w:eastAsia="zh-CN"/>
          <w14:textFill>
            <w14:solidFill>
              <w14:schemeClr w14:val="tx1"/>
            </w14:solidFill>
          </w14:textFill>
        </w:rPr>
        <w:t>供应商</w:t>
      </w:r>
      <w:r>
        <w:rPr>
          <w:rFonts w:hint="eastAsia" w:ascii="宋体" w:hAnsi="宋体" w:cs="宋体"/>
          <w:b/>
          <w:color w:val="000000" w:themeColor="text1"/>
          <w:sz w:val="24"/>
          <w:szCs w:val="20"/>
          <w:highlight w:val="none"/>
          <w14:textFill>
            <w14:solidFill>
              <w14:schemeClr w14:val="tx1"/>
            </w14:solidFill>
          </w14:textFill>
        </w:rPr>
        <w:t>的投标文件中承</w:t>
      </w:r>
      <w:r>
        <w:rPr>
          <w:rFonts w:hint="eastAsia" w:ascii="宋体" w:hAnsi="宋体" w:cs="宋体"/>
          <w:b/>
          <w:color w:val="000000" w:themeColor="text1"/>
          <w:sz w:val="24"/>
          <w:szCs w:val="21"/>
          <w:highlight w:val="none"/>
          <w14:textFill>
            <w14:solidFill>
              <w14:schemeClr w14:val="tx1"/>
            </w14:solidFill>
          </w14:textFill>
        </w:rPr>
        <w:t>诺的投标有效期少于</w:t>
      </w:r>
      <w:r>
        <w:rPr>
          <w:rFonts w:hint="eastAsia" w:ascii="宋体" w:hAnsi="宋体" w:cs="宋体"/>
          <w:b/>
          <w:color w:val="000000" w:themeColor="text1"/>
          <w:sz w:val="24"/>
          <w:szCs w:val="21"/>
          <w:highlight w:val="none"/>
          <w:lang w:eastAsia="zh-CN"/>
          <w14:textFill>
            <w14:solidFill>
              <w14:schemeClr w14:val="tx1"/>
            </w14:solidFill>
          </w14:textFill>
        </w:rPr>
        <w:t>采购文件</w:t>
      </w:r>
      <w:r>
        <w:rPr>
          <w:rFonts w:hint="eastAsia" w:ascii="宋体" w:hAnsi="宋体" w:cs="宋体"/>
          <w:b/>
          <w:color w:val="000000" w:themeColor="text1"/>
          <w:sz w:val="24"/>
          <w:szCs w:val="21"/>
          <w:highlight w:val="none"/>
          <w14:textFill>
            <w14:solidFill>
              <w14:schemeClr w14:val="tx1"/>
            </w14:solidFill>
          </w14:textFill>
        </w:rPr>
        <w:t>中载明的投标有效期的，投标无效。</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17.2投标文件合格投递后，自投标截止日期起，在投标有效期内有效。</w:t>
      </w:r>
    </w:p>
    <w:p>
      <w:pPr>
        <w:pStyle w:val="133"/>
        <w:spacing w:before="0"/>
        <w:ind w:firstLine="48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17.3在原定投标有效期满之前，如果出现特殊情况，</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可以以书面形式通知</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延长投标有效期。</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同意延长的，不得要求或被允许修改其投标文件，</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拒绝延长的，其投标无效。</w:t>
      </w:r>
      <w:r>
        <w:rPr>
          <w:rFonts w:hint="eastAsia" w:ascii="宋体" w:hAnsi="宋体" w:cs="宋体"/>
          <w:color w:val="000000" w:themeColor="text1"/>
          <w:highlight w:val="none"/>
          <w14:textFill>
            <w14:solidFill>
              <w14:schemeClr w14:val="tx1"/>
            </w14:solidFill>
          </w14:textFill>
        </w:rPr>
        <w:br w:type="textWrapping"/>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17.4在投标截止时间起至投标有效期届满，供应商投标文件不可撤销。</w:t>
      </w:r>
    </w:p>
    <w:p>
      <w:pPr>
        <w:pStyle w:val="133"/>
        <w:spacing w:before="0"/>
        <w:ind w:firstLine="643"/>
        <w:rPr>
          <w:rFonts w:ascii="宋体" w:hAnsi="宋体" w:cs="宋体"/>
          <w:b/>
          <w:color w:val="000000" w:themeColor="text1"/>
          <w:sz w:val="32"/>
          <w:highlight w:val="none"/>
          <w14:textFill>
            <w14:solidFill>
              <w14:schemeClr w14:val="tx1"/>
            </w14:solidFill>
          </w14:textFill>
        </w:rPr>
      </w:pPr>
    </w:p>
    <w:p>
      <w:pPr>
        <w:pStyle w:val="133"/>
        <w:spacing w:before="0"/>
        <w:ind w:left="0" w:leftChars="0" w:firstLine="0" w:firstLineChars="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四、开标、资格审查与信用信息查询</w:t>
      </w:r>
    </w:p>
    <w:p>
      <w:pPr>
        <w:pStyle w:val="556"/>
        <w:spacing w:before="0" w:line="360" w:lineRule="auto"/>
        <w:ind w:left="0" w:firstLine="241"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18.开标</w:t>
      </w:r>
      <w:r>
        <w:rPr>
          <w:rFonts w:hint="eastAsia" w:ascii="宋体" w:hAnsi="宋体" w:cs="宋体"/>
          <w:color w:val="000000" w:themeColor="text1"/>
          <w:sz w:val="24"/>
          <w:highlight w:val="none"/>
          <w14:textFill>
            <w14:solidFill>
              <w14:schemeClr w14:val="tx1"/>
            </w14:solidFill>
          </w14:textFill>
        </w:rPr>
        <w:t xml:space="preserve"> </w:t>
      </w:r>
    </w:p>
    <w:p>
      <w:pPr>
        <w:pStyle w:val="556"/>
        <w:spacing w:before="0" w:line="360" w:lineRule="auto"/>
        <w:ind w:left="0" w:firstLine="480" w:firstLineChars="2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按照</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规定的时间通过电子交易平台组织开标，所有</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均应当准时在线参加。</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不足3家的，不得开标。</w:t>
      </w:r>
    </w:p>
    <w:p>
      <w:pPr>
        <w:pStyle w:val="556"/>
        <w:spacing w:before="0" w:line="360" w:lineRule="auto"/>
        <w:ind w:left="0" w:firstLine="240"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18.2开标时，电子交易平台按开标时间自动提取所有投标文件。</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依托电子交易平台发起开始解密指令，</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按照平台提示和</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的规定在半小时内完成在线解密。</w:t>
      </w:r>
    </w:p>
    <w:p>
      <w:pPr>
        <w:pStyle w:val="556"/>
        <w:spacing w:before="0" w:line="360" w:lineRule="auto"/>
        <w:ind w:left="0" w:firstLine="240" w:firstLineChars="100"/>
        <w:contextualSpacing/>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18.3</w:t>
      </w:r>
      <w:r>
        <w:rPr>
          <w:rFonts w:hint="eastAsia" w:ascii="宋体" w:hAnsi="宋体" w:cs="宋体"/>
          <w:b/>
          <w:color w:val="000000" w:themeColor="text1"/>
          <w:sz w:val="24"/>
          <w:highlight w:val="none"/>
          <w14:textFill>
            <w14:solidFill>
              <w14:schemeClr w14:val="tx1"/>
            </w14:solidFill>
          </w14:textFill>
        </w:rPr>
        <w:t>投标文件未按时解密，</w:t>
      </w:r>
      <w:r>
        <w:rPr>
          <w:rFonts w:hint="eastAsia" w:ascii="宋体" w:hAnsi="宋体" w:cs="宋体"/>
          <w:b/>
          <w:color w:val="000000" w:themeColor="text1"/>
          <w:sz w:val="24"/>
          <w:highlight w:val="none"/>
          <w:lang w:eastAsia="zh-CN"/>
          <w14:textFill>
            <w14:solidFill>
              <w14:schemeClr w14:val="tx1"/>
            </w14:solidFill>
          </w14:textFill>
        </w:rPr>
        <w:t>供应商</w:t>
      </w:r>
      <w:r>
        <w:rPr>
          <w:rFonts w:hint="eastAsia" w:ascii="宋体" w:hAnsi="宋体" w:cs="宋体"/>
          <w:b/>
          <w:color w:val="000000" w:themeColor="text1"/>
          <w:sz w:val="24"/>
          <w:highlight w:val="none"/>
          <w14:textFill>
            <w14:solidFill>
              <w14:schemeClr w14:val="tx1"/>
            </w14:solidFill>
          </w14:textFill>
        </w:rPr>
        <w:t>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szCs w:val="20"/>
          <w:highlight w:val="none"/>
          <w14:textFill>
            <w14:solidFill>
              <w14:schemeClr w14:val="tx1"/>
            </w14:solidFill>
          </w14:textFill>
        </w:rPr>
        <w:t>　19、资格审查</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19.1开标后，采购人将依据法律法规和</w:t>
      </w:r>
      <w:r>
        <w:rPr>
          <w:rFonts w:hint="eastAsia" w:ascii="宋体" w:hAnsi="宋体" w:cs="宋体"/>
          <w:color w:val="000000" w:themeColor="text1"/>
          <w:kern w:val="0"/>
          <w:szCs w:val="24"/>
          <w:highlight w:val="none"/>
          <w:lang w:eastAsia="zh-CN"/>
          <w14:textFill>
            <w14:solidFill>
              <w14:schemeClr w14:val="tx1"/>
            </w14:solidFill>
          </w14:textFill>
        </w:rPr>
        <w:t>采购文件</w:t>
      </w:r>
      <w:r>
        <w:rPr>
          <w:rFonts w:hint="eastAsia" w:ascii="宋体" w:hAnsi="宋体" w:cs="宋体"/>
          <w:color w:val="000000" w:themeColor="text1"/>
          <w:kern w:val="0"/>
          <w:szCs w:val="24"/>
          <w:highlight w:val="none"/>
          <w14:textFill>
            <w14:solidFill>
              <w14:schemeClr w14:val="tx1"/>
            </w14:solidFill>
          </w14:textFill>
        </w:rPr>
        <w:t>的规定，对</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的资格进行审查。</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19.2</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未按照</w:t>
      </w:r>
      <w:r>
        <w:rPr>
          <w:rFonts w:hint="eastAsia" w:ascii="宋体" w:hAnsi="宋体" w:cs="宋体"/>
          <w:color w:val="000000" w:themeColor="text1"/>
          <w:kern w:val="0"/>
          <w:szCs w:val="24"/>
          <w:highlight w:val="none"/>
          <w:lang w:eastAsia="zh-CN"/>
          <w14:textFill>
            <w14:solidFill>
              <w14:schemeClr w14:val="tx1"/>
            </w14:solidFill>
          </w14:textFill>
        </w:rPr>
        <w:t>采购文件</w:t>
      </w:r>
      <w:r>
        <w:rPr>
          <w:rFonts w:hint="eastAsia" w:ascii="宋体" w:hAnsi="宋体" w:cs="宋体"/>
          <w:color w:val="000000" w:themeColor="text1"/>
          <w:kern w:val="0"/>
          <w:szCs w:val="24"/>
          <w:highlight w:val="none"/>
          <w14:textFill>
            <w14:solidFill>
              <w14:schemeClr w14:val="tx1"/>
            </w14:solidFill>
          </w14:textFill>
        </w:rPr>
        <w:t>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不具备</w:t>
      </w:r>
      <w:r>
        <w:rPr>
          <w:rFonts w:hint="eastAsia" w:ascii="宋体" w:hAnsi="宋体" w:cs="宋体"/>
          <w:color w:val="000000" w:themeColor="text1"/>
          <w:highlight w:val="none"/>
          <w:lang w:eastAsia="zh-CN"/>
          <w14:textFill>
            <w14:solidFill>
              <w14:schemeClr w14:val="tx1"/>
            </w14:solidFill>
          </w14:textFill>
        </w:rPr>
        <w:t>采购文件</w:t>
      </w:r>
      <w:r>
        <w:rPr>
          <w:rFonts w:hint="eastAsia" w:ascii="宋体" w:hAnsi="宋体" w:cs="宋体"/>
          <w:color w:val="000000" w:themeColor="text1"/>
          <w:highlight w:val="none"/>
          <w14:textFill>
            <w14:solidFill>
              <w14:schemeClr w14:val="tx1"/>
            </w14:solidFill>
          </w14:textFill>
        </w:rPr>
        <w:t>中规定的资格要求，其投标无效。</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3对未通过资格审查的</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，告知其未通过的原因。</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4合格</w:t>
      </w:r>
      <w:r>
        <w:rPr>
          <w:rFonts w:hint="eastAsia" w:ascii="宋体" w:hAnsi="宋体" w:cs="宋体"/>
          <w:color w:val="000000" w:themeColor="text1"/>
          <w:highlight w:val="none"/>
          <w:lang w:eastAsia="zh-CN"/>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不足3家的，不再评标。</w:t>
      </w:r>
    </w:p>
    <w:p>
      <w:pPr>
        <w:pStyle w:val="133"/>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20、信用信息查询</w:t>
      </w:r>
    </w:p>
    <w:p>
      <w:pPr>
        <w:pStyle w:val="133"/>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w:t>
      </w:r>
      <w:r>
        <w:rPr>
          <w:rFonts w:hint="eastAsia" w:ascii="宋体" w:hAnsi="宋体" w:cs="宋体"/>
          <w:color w:val="000000" w:themeColor="text1"/>
          <w:kern w:val="0"/>
          <w:szCs w:val="24"/>
          <w:highlight w:val="none"/>
          <w:lang w:val="en-US" w:eastAsia="zh-CN"/>
          <w14:textFill>
            <w14:solidFill>
              <w14:schemeClr w14:val="tx1"/>
            </w14:solidFill>
          </w14:textFill>
        </w:rPr>
        <w:t>采购人</w:t>
      </w:r>
      <w:r>
        <w:rPr>
          <w:rFonts w:hint="eastAsia" w:ascii="宋体" w:hAnsi="宋体" w:cs="宋体"/>
          <w:color w:val="000000" w:themeColor="text1"/>
          <w:kern w:val="0"/>
          <w:szCs w:val="24"/>
          <w:highlight w:val="none"/>
          <w14:textFill>
            <w14:solidFill>
              <w14:schemeClr w14:val="tx1"/>
            </w14:solidFill>
          </w14:textFill>
        </w:rPr>
        <w:t>将在资格审查时通过“信用中国”网站(www.creditchina.gov.cn)、中国政府采购网(www.ccgp.gov.cn)渠道查询</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接受资格时的信用记录。</w:t>
      </w:r>
    </w:p>
    <w:p>
      <w:pPr>
        <w:pStyle w:val="133"/>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的信用记录、查询结果经确认后将与采购文件一起存档。</w:t>
      </w:r>
    </w:p>
    <w:p>
      <w:pPr>
        <w:pStyle w:val="133"/>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20.3信用信息的使用规则：经查询列入失信被执行人名单、重大税收违法案件当事人名单、政府采购严重违法失信行为记录名单的</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将被拒绝参与政府采购活动。</w:t>
      </w:r>
    </w:p>
    <w:p>
      <w:pPr>
        <w:pStyle w:val="133"/>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pStyle w:val="133"/>
        <w:spacing w:before="0"/>
        <w:ind w:firstLine="0" w:firstLineChars="0"/>
        <w:rPr>
          <w:rFonts w:ascii="宋体" w:hAnsi="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五、评标</w:t>
      </w:r>
    </w:p>
    <w:p>
      <w:pPr>
        <w:spacing w:line="360" w:lineRule="auto"/>
        <w:rPr>
          <w:rFonts w:ascii="宋体" w:hAnsi="宋体" w:cs="宋体"/>
          <w:b/>
          <w:color w:val="000000" w:themeColor="text1"/>
          <w:sz w:val="24"/>
          <w:highlight w:val="none"/>
          <w14:textFill>
            <w14:solidFill>
              <w14:schemeClr w14:val="tx1"/>
            </w14:solidFill>
          </w14:textFill>
        </w:rPr>
      </w:pPr>
      <w:bookmarkStart w:id="13" w:name="_Toc91899903"/>
      <w:r>
        <w:rPr>
          <w:rFonts w:hint="eastAsia" w:ascii="宋体" w:hAnsi="宋体" w:cs="宋体"/>
          <w:b/>
          <w:color w:val="000000" w:themeColor="text1"/>
          <w:sz w:val="24"/>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评标委员会将根据</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和有关规定，履行评标工作职责，并按照评标方法及评分标准，全面衡量各</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对</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的响应情况。对实质上响应</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的</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，按照评审因素的量化指标排出推荐中标的</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的先后顺序，并按顺序提出授标建议。</w:t>
      </w:r>
      <w:r>
        <w:rPr>
          <w:rFonts w:hint="eastAsia" w:ascii="宋体" w:hAnsi="宋体" w:cs="宋体"/>
          <w:b/>
          <w:color w:val="000000" w:themeColor="text1"/>
          <w:sz w:val="24"/>
          <w:highlight w:val="none"/>
          <w14:textFill>
            <w14:solidFill>
              <w14:schemeClr w14:val="tx1"/>
            </w14:solidFill>
          </w14:textFill>
        </w:rPr>
        <w:t>详见</w:t>
      </w:r>
      <w:r>
        <w:rPr>
          <w:rFonts w:hint="eastAsia" w:ascii="宋体" w:hAnsi="宋体" w:cs="宋体"/>
          <w:b/>
          <w:color w:val="000000" w:themeColor="text1"/>
          <w:sz w:val="24"/>
          <w:highlight w:val="none"/>
          <w:lang w:eastAsia="zh-CN"/>
          <w14:textFill>
            <w14:solidFill>
              <w14:schemeClr w14:val="tx1"/>
            </w14:solidFill>
          </w14:textFill>
        </w:rPr>
        <w:t>采购文件</w:t>
      </w:r>
      <w:r>
        <w:rPr>
          <w:rFonts w:hint="eastAsia" w:ascii="宋体" w:hAnsi="宋体" w:cs="宋体"/>
          <w:b/>
          <w:color w:val="000000" w:themeColor="text1"/>
          <w:sz w:val="24"/>
          <w:highlight w:val="none"/>
          <w14:textFill>
            <w14:solidFill>
              <w14:schemeClr w14:val="tx1"/>
            </w14:solidFill>
          </w14:textFill>
        </w:rPr>
        <w:t>第四部分评标办法。</w:t>
      </w:r>
    </w:p>
    <w:p>
      <w:pPr>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六、定 标</w:t>
      </w:r>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确定中标供应商</w:t>
      </w:r>
    </w:p>
    <w:p>
      <w:pPr>
        <w:pStyle w:val="133"/>
        <w:snapToGrid w:val="0"/>
        <w:spacing w:before="0"/>
        <w:ind w:firstLine="480"/>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3"/>
        <w:snapToGrid w:val="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23.1自中标人确定之日起2个工作日内，</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通过电子交易平台向中标人发出中标通知书，同时编制发布采购结果公告。</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也可以以纸质形式进行中标通知。</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23.2中标结果公告内容包括采购人及其委托的</w:t>
      </w:r>
      <w:r>
        <w:rPr>
          <w:rFonts w:hint="eastAsia" w:ascii="宋体" w:hAnsi="宋体" w:cs="宋体"/>
          <w:color w:val="000000" w:themeColor="text1"/>
          <w:sz w:val="24"/>
          <w:highlight w:val="none"/>
          <w:lang w:eastAsia="zh-CN"/>
          <w14:textFill>
            <w14:solidFill>
              <w14:schemeClr w14:val="tx1"/>
            </w14:solidFill>
          </w14:textFill>
        </w:rPr>
        <w:t>采购代理机构</w:t>
      </w:r>
      <w:r>
        <w:rPr>
          <w:rFonts w:hint="eastAsia" w:ascii="宋体" w:hAnsi="宋体" w:cs="宋体"/>
          <w:color w:val="000000" w:themeColor="text1"/>
          <w:sz w:val="24"/>
          <w:highlight w:val="none"/>
          <w14:textFill>
            <w14:solidFill>
              <w14:schemeClr w14:val="tx1"/>
            </w14:solidFill>
          </w14:textFill>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000000" w:themeColor="text1"/>
          <w:sz w:val="24"/>
          <w:highlight w:val="none"/>
          <w14:textFill>
            <w14:solidFill>
              <w14:schemeClr w14:val="tx1"/>
            </w14:solidFill>
          </w14:textFill>
        </w:rPr>
        <w:t>资格审查情况、评审专家抽取规则、符合性审查情况、</w:t>
      </w:r>
      <w:bookmarkEnd w:id="14"/>
      <w:r>
        <w:rPr>
          <w:rFonts w:hint="eastAsia" w:ascii="宋体" w:hAnsi="宋体" w:cs="宋体"/>
          <w:color w:val="000000" w:themeColor="text1"/>
          <w:sz w:val="24"/>
          <w:highlight w:val="none"/>
          <w14:textFill>
            <w14:solidFill>
              <w14:schemeClr w14:val="tx1"/>
            </w14:solidFill>
          </w14:textFill>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p>
    <w:p>
      <w:pPr>
        <w:snapToGrid w:val="0"/>
        <w:spacing w:line="360" w:lineRule="auto"/>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七、合同授予</w:t>
      </w:r>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 xml:space="preserve">24. </w:t>
      </w:r>
      <w:r>
        <w:rPr>
          <w:rFonts w:hint="eastAsia" w:cs="宋体"/>
          <w:color w:val="000000" w:themeColor="text1"/>
          <w:highlight w:val="none"/>
          <w14:textFill>
            <w14:solidFill>
              <w14:schemeClr w14:val="tx1"/>
            </w14:solidFill>
          </w14:textFill>
        </w:rPr>
        <w:t>合同主要条款详见第五部分拟签订的合同文本。</w:t>
      </w:r>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25.1</w:t>
      </w:r>
      <w:r>
        <w:rPr>
          <w:rFonts w:hint="eastAsia" w:ascii="宋体" w:hAnsi="宋体" w:cs="宋体"/>
          <w:color w:val="000000" w:themeColor="text1"/>
          <w:kern w:val="0"/>
          <w:sz w:val="24"/>
          <w:highlight w:val="none"/>
          <w14:textFill>
            <w14:solidFill>
              <w14:schemeClr w14:val="tx1"/>
            </w14:solidFill>
          </w14:textFill>
        </w:rPr>
        <w:t xml:space="preserve"> 采购人与中标人应当通过电子交易平台在中标通知书发出之日起十日内，按照</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3"/>
        <w:snapToGrid w:val="0"/>
        <w:spacing w:before="0"/>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25.5采购合同由采购人与中标供应商根据</w:t>
      </w:r>
      <w:r>
        <w:rPr>
          <w:rFonts w:hint="eastAsia" w:ascii="宋体" w:hAnsi="宋体" w:cs="宋体"/>
          <w:color w:val="000000" w:themeColor="text1"/>
          <w:highlight w:val="none"/>
          <w:lang w:eastAsia="zh-CN"/>
          <w14:textFill>
            <w14:solidFill>
              <w14:schemeClr w14:val="tx1"/>
            </w14:solidFill>
          </w14:textFill>
        </w:rPr>
        <w:t>采购文件</w:t>
      </w:r>
      <w:r>
        <w:rPr>
          <w:rFonts w:hint="eastAsia" w:ascii="宋体" w:hAnsi="宋体" w:cs="宋体"/>
          <w:color w:val="000000" w:themeColor="text1"/>
          <w:highlight w:val="none"/>
          <w14:textFill>
            <w14:solidFill>
              <w14:schemeClr w14:val="tx1"/>
            </w14:solidFill>
          </w14:textFill>
        </w:rPr>
        <w:t>、投标文件等内容通过政府采购电子交易平台在线签订，自动备案。</w:t>
      </w:r>
    </w:p>
    <w:p>
      <w:pPr>
        <w:pStyle w:val="27"/>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highlight w:val="none"/>
          <w14:textFill>
            <w14:solidFill>
              <w14:schemeClr w14:val="tx1"/>
            </w14:solidFill>
          </w14:textFill>
        </w:rPr>
        <w:t>。履约保证金的数额不得超过政府采购合同金额的</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highlight w:val="none"/>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highlight w:val="none"/>
          <w14:textFill>
            <w14:solidFill>
              <w14:schemeClr w14:val="tx1"/>
            </w14:solidFill>
          </w14:textFill>
        </w:rPr>
        <w:t>。</w:t>
      </w:r>
    </w:p>
    <w:p>
      <w:pPr>
        <w:pStyle w:val="4"/>
        <w:ind w:left="0" w:firstLine="480" w:firstLineChars="200"/>
        <w:rPr>
          <w:rFonts w:ascii="宋体" w:hAnsi="宋体" w:eastAsia="宋体" w:cs="宋体"/>
          <w:b w:val="0"/>
          <w:bCs w:val="0"/>
          <w:snapToGrid w:val="0"/>
          <w:color w:val="000000" w:themeColor="text1"/>
          <w:kern w:val="28"/>
          <w:sz w:val="24"/>
          <w:highlight w:val="none"/>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000000" w:themeColor="text1"/>
          <w:highlight w:val="none"/>
          <w14:textFill>
            <w14:solidFill>
              <w14:schemeClr w14:val="tx1"/>
            </w14:solidFill>
          </w14:textFill>
        </w:rPr>
      </w:pPr>
      <w:r>
        <w:rPr>
          <w:rFonts w:ascii="宋体" w:hAnsi="宋体" w:eastAsia="宋体"/>
          <w:b/>
          <w:bCs/>
          <w:color w:val="000000" w:themeColor="text1"/>
          <w:sz w:val="24"/>
          <w:szCs w:val="32"/>
          <w:highlight w:val="none"/>
          <w:lang w:val="en-US"/>
          <w14:textFill>
            <w14:solidFill>
              <w14:schemeClr w14:val="tx1"/>
            </w14:solidFill>
          </w14:textFill>
        </w:rPr>
        <w:t>27.预付款</w:t>
      </w:r>
    </w:p>
    <w:p>
      <w:pPr>
        <w:adjustRightInd/>
        <w:spacing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采购单位应当在政府采购合同中约定预付款，对中小企业合同预付款比例原则上不低于合同金额的</w:t>
      </w:r>
      <w:r>
        <w:rPr>
          <w:rFonts w:ascii="宋体" w:hAnsi="宋体"/>
          <w:color w:val="000000" w:themeColor="text1"/>
          <w:sz w:val="24"/>
          <w:highlight w:val="none"/>
          <w14:textFill>
            <w14:solidFill>
              <w14:schemeClr w14:val="tx1"/>
            </w14:solidFill>
          </w14:textFill>
        </w:rPr>
        <w:t>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70%；项目分年安排预算的，每年预付款比例</w:t>
      </w:r>
      <w:r>
        <w:rPr>
          <w:rFonts w:hint="eastAsia" w:ascii="宋体" w:hAnsi="宋体"/>
          <w:color w:val="000000" w:themeColor="text1"/>
          <w:sz w:val="24"/>
          <w:highlight w:val="none"/>
          <w14:textFill>
            <w14:solidFill>
              <w14:schemeClr w14:val="tx1"/>
            </w14:solidFill>
          </w14:textFill>
        </w:rPr>
        <w:t>不低于</w:t>
      </w:r>
      <w:r>
        <w:rPr>
          <w:rFonts w:ascii="宋体" w:hAnsi="宋体"/>
          <w:color w:val="000000" w:themeColor="text1"/>
          <w:sz w:val="24"/>
          <w:highlight w:val="none"/>
          <w14:textFill>
            <w14:solidFill>
              <w14:schemeClr w14:val="tx1"/>
            </w14:solidFill>
          </w14:textFill>
        </w:rPr>
        <w:t>项目年度计划支付资金额的40％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70%；采购项目实施以人工投入为主的，</w:t>
      </w:r>
      <w:r>
        <w:rPr>
          <w:rFonts w:hint="eastAsia" w:ascii="宋体" w:hAnsi="宋体"/>
          <w:color w:val="000000" w:themeColor="text1"/>
          <w:sz w:val="24"/>
          <w:highlight w:val="none"/>
          <w14:textFill>
            <w14:solidFill>
              <w14:schemeClr w14:val="tx1"/>
            </w14:solidFill>
          </w14:textFill>
        </w:rPr>
        <w:t>可适当降低预付款比例，但不得低于</w:t>
      </w:r>
      <w:r>
        <w:rPr>
          <w:rFonts w:ascii="宋体" w:hAnsi="宋体"/>
          <w:color w:val="000000" w:themeColor="text1"/>
          <w:sz w:val="24"/>
          <w:highlight w:val="none"/>
          <w14:textFill>
            <w14:solidFill>
              <w14:schemeClr w14:val="tx1"/>
            </w14:solidFill>
          </w14:textFill>
        </w:rPr>
        <w:t>20%。对供应商为大型企业的项目或者以人工投入为主且实行按月定期结算支付款项的项目，预付款可低于上述比例或者不约定预付款。在签订合同时，</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明确表示无需预付款或者主动要求降低预付款比例的，</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可不适用前述规定。</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根据项目特点、供应商诚信等因素，可以要求</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提交银行、保险公司等金融机构出具的预付款保函或其他担保措施。政府采购预付款应在合同生效以及具备实施条件后5个工作日内支付。</w:t>
      </w:r>
      <w:r>
        <w:rPr>
          <w:rFonts w:hint="eastAsia" w:ascii="宋体" w:hAnsi="宋体"/>
          <w:color w:val="000000" w:themeColor="text1"/>
          <w:sz w:val="24"/>
          <w:highlight w:val="none"/>
          <w14:textFill>
            <w14:solidFill>
              <w14:schemeClr w14:val="tx1"/>
            </w14:solidFill>
          </w14:textFill>
        </w:rPr>
        <w:t>政府采购工程以及与工程建设有关的货物、服务，采用招标方式采购的，预付款从其相关规定。供应商可登录政采云前台大厅选择金融服务</w:t>
      </w:r>
      <w:r>
        <w:rPr>
          <w:rFonts w:ascii="宋体" w:hAnsi="宋体"/>
          <w:color w:val="000000" w:themeColor="text1"/>
          <w:sz w:val="24"/>
          <w:highlight w:val="none"/>
          <w14:textFill>
            <w14:solidFill>
              <w14:schemeClr w14:val="tx1"/>
            </w14:solidFill>
          </w14:textFill>
        </w:rPr>
        <w:t xml:space="preserve"> - </w:t>
      </w:r>
      <w:r>
        <w:rPr>
          <w:rFonts w:hint="eastAsia" w:ascii="宋体" w:hAnsi="宋体"/>
          <w:color w:val="000000" w:themeColor="text1"/>
          <w:sz w:val="24"/>
          <w:highlight w:val="none"/>
          <w14:textFill>
            <w14:solidFill>
              <w14:schemeClr w14:val="tx1"/>
            </w14:solidFill>
          </w14:textFill>
        </w:rPr>
        <w:t>【保函保险服务】出具预付款保函，具体步骤：选择产品—填写供应商信息—选择中标项目—确认信息—等待保险</w:t>
      </w:r>
      <w:r>
        <w:rPr>
          <w:rFonts w:ascii="宋体" w:hAnsi="宋体"/>
          <w:color w:val="000000" w:themeColor="text1"/>
          <w:sz w:val="24"/>
          <w:highlight w:val="none"/>
          <w14:textFill>
            <w14:solidFill>
              <w14:schemeClr w14:val="tx1"/>
            </w14:solidFill>
          </w14:textFill>
        </w:rPr>
        <w:t>/保函受理—确认保单—支付保费—成功出单。政</w:t>
      </w:r>
      <w:r>
        <w:rPr>
          <w:rFonts w:hint="eastAsia" w:ascii="宋体" w:hAnsi="宋体"/>
          <w:color w:val="000000" w:themeColor="text1"/>
          <w:sz w:val="24"/>
          <w:highlight w:val="none"/>
          <w14:textFill>
            <w14:solidFill>
              <w14:schemeClr w14:val="tx1"/>
            </w14:solidFill>
          </w14:textFill>
        </w:rPr>
        <w:t>采云金融专线</w:t>
      </w:r>
      <w:r>
        <w:rPr>
          <w:rFonts w:ascii="宋体" w:hAnsi="宋体"/>
          <w:color w:val="000000" w:themeColor="text1"/>
          <w:sz w:val="24"/>
          <w:highlight w:val="none"/>
          <w14:textFill>
            <w14:solidFill>
              <w14:schemeClr w14:val="tx1"/>
            </w14:solidFill>
          </w14:textFill>
        </w:rPr>
        <w:t>400-903-9583。</w:t>
      </w:r>
    </w:p>
    <w:p>
      <w:pPr>
        <w:snapToGrid w:val="0"/>
        <w:spacing w:line="360" w:lineRule="auto"/>
        <w:ind w:firstLine="3357" w:firstLineChars="1045"/>
        <w:rPr>
          <w:rFonts w:ascii="宋体" w:hAnsi="宋体" w:cs="宋体"/>
          <w:b/>
          <w:color w:val="000000" w:themeColor="text1"/>
          <w:sz w:val="32"/>
          <w:highlight w:val="none"/>
          <w14:textFill>
            <w14:solidFill>
              <w14:schemeClr w14:val="tx1"/>
            </w14:solidFill>
          </w14:textFill>
        </w:rPr>
      </w:pPr>
    </w:p>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p>
    <w:p>
      <w:pPr>
        <w:pStyle w:val="133"/>
        <w:snapToGrid w:val="0"/>
        <w:spacing w:before="0"/>
        <w:ind w:firstLine="0" w:firstLineChars="0"/>
        <w:rPr>
          <w:rFonts w:ascii="宋体" w:hAnsi="宋体" w:cs="宋体"/>
          <w:color w:val="000000" w:themeColor="text1"/>
          <w:highlight w:val="none"/>
          <w14:textFill>
            <w14:solidFill>
              <w14:schemeClr w14:val="tx1"/>
            </w14:solidFill>
          </w14:textFill>
        </w:rPr>
      </w:pPr>
      <w:r>
        <w:rPr>
          <w:rFonts w:ascii="宋体" w:hAnsi="宋体" w:cs="宋体"/>
          <w:b/>
          <w:bCs/>
          <w:color w:val="000000" w:themeColor="text1"/>
          <w:sz w:val="24"/>
          <w:szCs w:val="20"/>
          <w:highlight w:val="none"/>
          <w14:textFill>
            <w14:solidFill>
              <w14:schemeClr w14:val="tx1"/>
            </w14:solidFill>
          </w14:textFill>
        </w:rPr>
        <w:t>2</w:t>
      </w:r>
      <w:r>
        <w:rPr>
          <w:rFonts w:ascii="宋体" w:hAnsi="宋体" w:cs="宋体"/>
          <w:b/>
          <w:bCs/>
          <w:color w:val="000000" w:themeColor="text1"/>
          <w:sz w:val="24"/>
          <w:szCs w:val="24"/>
          <w:highlight w:val="none"/>
          <w14:textFill>
            <w14:solidFill>
              <w14:schemeClr w14:val="tx1"/>
            </w14:solidFill>
          </w14:textFill>
        </w:rPr>
        <w:t>8</w:t>
      </w:r>
      <w:r>
        <w:rPr>
          <w:rFonts w:hint="eastAsia" w:ascii="宋体" w:hAnsi="宋体" w:cs="宋体"/>
          <w:b/>
          <w:color w:val="000000" w:themeColor="text1"/>
          <w:szCs w:val="24"/>
          <w:highlight w:val="none"/>
          <w14:textFill>
            <w14:solidFill>
              <w14:schemeClr w14:val="tx1"/>
            </w14:solidFill>
          </w14:textFill>
        </w:rPr>
        <w:t>.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w:t>
      </w:r>
      <w:r>
        <w:rPr>
          <w:rFonts w:hint="eastAsia" w:ascii="宋体" w:hAnsi="宋体" w:cs="宋体"/>
          <w:color w:val="000000" w:themeColor="text1"/>
          <w:highlight w:val="none"/>
          <w:lang w:eastAsia="zh-CN"/>
          <w14:textFill>
            <w14:solidFill>
              <w14:schemeClr w14:val="tx1"/>
            </w14:solidFill>
          </w14:textFill>
        </w:rPr>
        <w:t>采购代理机构</w:t>
      </w:r>
      <w:r>
        <w:rPr>
          <w:rFonts w:hint="eastAsia" w:ascii="宋体" w:hAnsi="宋体" w:cs="宋体"/>
          <w:color w:val="000000" w:themeColor="text1"/>
          <w:highlight w:val="none"/>
          <w14:textFill>
            <w14:solidFill>
              <w14:schemeClr w14:val="tx1"/>
            </w14:solidFill>
          </w14:textFill>
        </w:rPr>
        <w:t>可中止电子交易活动：</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28.1电子交易平台发生故障而无法登录访问的； </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28.2电子交易平台应用或数据库出现错误，不能进行正常操作的；</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28.3电子交易平台发现严重安全漏洞，有潜在泄密危险的；</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28.4病毒发作导致不能进行正常操作的； </w:t>
      </w:r>
    </w:p>
    <w:p>
      <w:pPr>
        <w:pStyle w:val="133"/>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28.5其他无法保证电子交易的公平、公正和安全的情况。</w:t>
      </w:r>
    </w:p>
    <w:p>
      <w:pPr>
        <w:pStyle w:val="133"/>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九、验收</w:t>
      </w:r>
    </w:p>
    <w:p>
      <w:pPr>
        <w:pStyle w:val="27"/>
        <w:spacing w:line="360" w:lineRule="auto"/>
        <w:ind w:firstLine="0" w:firstLineChars="0"/>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30.2采购人可以邀请参加本项目的其他</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或者第三方机构参与验收。参与验收的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417" w:right="1474" w:bottom="1417" w:left="1474" w:header="851" w:footer="992" w:gutter="0"/>
          <w:cols w:space="720" w:num="1"/>
          <w:titlePg/>
          <w:docGrid w:linePitch="312" w:charSpace="0"/>
        </w:sectPr>
      </w:pPr>
      <w:bookmarkStart w:id="15" w:name="_Hlt74729768"/>
      <w:bookmarkEnd w:id="15"/>
      <w:bookmarkStart w:id="16" w:name="_Hlt74714665"/>
      <w:bookmarkEnd w:id="16"/>
      <w:bookmarkStart w:id="17" w:name="_Hlt68073093"/>
      <w:bookmarkEnd w:id="17"/>
      <w:bookmarkStart w:id="18" w:name="_Hlt75236290"/>
      <w:bookmarkEnd w:id="18"/>
      <w:bookmarkStart w:id="19" w:name="_Hlt68403820"/>
      <w:bookmarkEnd w:id="19"/>
      <w:bookmarkStart w:id="20" w:name="_Hlt68072990"/>
      <w:bookmarkEnd w:id="20"/>
      <w:bookmarkStart w:id="21" w:name="_Hlt74707468"/>
      <w:bookmarkEnd w:id="21"/>
      <w:bookmarkStart w:id="22" w:name="_Hlt68072998"/>
      <w:bookmarkEnd w:id="22"/>
      <w:bookmarkStart w:id="23" w:name="_Hlt74730295"/>
      <w:bookmarkEnd w:id="23"/>
      <w:bookmarkStart w:id="24" w:name="_Hlt75236101"/>
      <w:bookmarkEnd w:id="24"/>
      <w:bookmarkStart w:id="25" w:name="_Hlt68057669"/>
      <w:bookmarkEnd w:id="25"/>
      <w:bookmarkStart w:id="26" w:name="_Hlt75236011"/>
      <w:bookmarkEnd w:id="26"/>
    </w:p>
    <w:bookmarkEnd w:id="11"/>
    <w:bookmarkEnd w:id="12"/>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bookmarkStart w:id="27" w:name="第四部分"/>
      <w:r>
        <w:rPr>
          <w:rFonts w:hint="eastAsia" w:ascii="宋体" w:hAnsi="宋体" w:cs="宋体"/>
          <w:b/>
          <w:color w:val="000000" w:themeColor="text1"/>
          <w:sz w:val="36"/>
          <w:szCs w:val="36"/>
          <w:highlight w:val="none"/>
          <w14:textFill>
            <w14:solidFill>
              <w14:schemeClr w14:val="tx1"/>
            </w14:solidFill>
          </w14:textFill>
        </w:rPr>
        <w:t>第三部分   采购需求</w:t>
      </w:r>
    </w:p>
    <w:p>
      <w:pPr>
        <w:tabs>
          <w:tab w:val="left" w:pos="8280"/>
        </w:tabs>
        <w:autoSpaceDE w:val="0"/>
        <w:autoSpaceDN w:val="0"/>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一、招标一览表</w:t>
      </w:r>
    </w:p>
    <w:tbl>
      <w:tblPr>
        <w:tblStyle w:val="63"/>
        <w:tblW w:w="9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103"/>
        <w:gridCol w:w="654"/>
        <w:gridCol w:w="871"/>
        <w:gridCol w:w="1433"/>
        <w:gridCol w:w="387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8" w:hRule="atLeast"/>
        </w:trPr>
        <w:tc>
          <w:tcPr>
            <w:tcW w:w="523" w:type="dxa"/>
            <w:tcMar>
              <w:top w:w="15" w:type="dxa"/>
              <w:left w:w="15" w:type="dxa"/>
              <w:bottom w:w="0" w:type="dxa"/>
              <w:right w:w="15" w:type="dxa"/>
            </w:tcMar>
            <w:vAlign w:val="center"/>
          </w:tcPr>
          <w:p>
            <w:pPr>
              <w:tabs>
                <w:tab w:val="left" w:pos="0"/>
              </w:tabs>
              <w:adjustRightInd/>
              <w:spacing w:line="288"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1103" w:type="dxa"/>
            <w:tcMar>
              <w:top w:w="15" w:type="dxa"/>
              <w:left w:w="15" w:type="dxa"/>
              <w:bottom w:w="0" w:type="dxa"/>
              <w:right w:w="15" w:type="dxa"/>
            </w:tcMar>
            <w:vAlign w:val="center"/>
          </w:tcPr>
          <w:p>
            <w:pPr>
              <w:tabs>
                <w:tab w:val="left" w:pos="0"/>
              </w:tabs>
              <w:adjustRightInd/>
              <w:spacing w:line="288"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名称</w:t>
            </w:r>
          </w:p>
        </w:tc>
        <w:tc>
          <w:tcPr>
            <w:tcW w:w="654" w:type="dxa"/>
            <w:tcMar>
              <w:top w:w="15" w:type="dxa"/>
              <w:left w:w="15" w:type="dxa"/>
              <w:bottom w:w="0" w:type="dxa"/>
              <w:right w:w="15" w:type="dxa"/>
            </w:tcMar>
            <w:vAlign w:val="center"/>
          </w:tcPr>
          <w:p>
            <w:pPr>
              <w:tabs>
                <w:tab w:val="left" w:pos="0"/>
              </w:tabs>
              <w:adjustRightInd/>
              <w:spacing w:line="288"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数量</w:t>
            </w:r>
          </w:p>
        </w:tc>
        <w:tc>
          <w:tcPr>
            <w:tcW w:w="871" w:type="dxa"/>
            <w:tcMar>
              <w:top w:w="15" w:type="dxa"/>
              <w:left w:w="15" w:type="dxa"/>
              <w:bottom w:w="0" w:type="dxa"/>
              <w:right w:w="15" w:type="dxa"/>
            </w:tcMar>
            <w:vAlign w:val="center"/>
          </w:tcPr>
          <w:p>
            <w:pPr>
              <w:tabs>
                <w:tab w:val="left" w:pos="0"/>
              </w:tabs>
              <w:adjustRightInd/>
              <w:spacing w:line="288"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单位</w:t>
            </w:r>
          </w:p>
        </w:tc>
        <w:tc>
          <w:tcPr>
            <w:tcW w:w="1433" w:type="dxa"/>
            <w:vAlign w:val="center"/>
          </w:tcPr>
          <w:p>
            <w:pPr>
              <w:tabs>
                <w:tab w:val="left" w:pos="0"/>
              </w:tabs>
              <w:adjustRightInd/>
              <w:spacing w:line="288"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预算（元）</w:t>
            </w:r>
          </w:p>
        </w:tc>
        <w:tc>
          <w:tcPr>
            <w:tcW w:w="3873" w:type="dxa"/>
            <w:vAlign w:val="center"/>
          </w:tcPr>
          <w:p>
            <w:pPr>
              <w:tabs>
                <w:tab w:val="left" w:pos="0"/>
              </w:tabs>
              <w:adjustRightInd/>
              <w:spacing w:line="288"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简要规格描述或基本情况介绍</w:t>
            </w:r>
          </w:p>
        </w:tc>
        <w:tc>
          <w:tcPr>
            <w:tcW w:w="1427" w:type="dxa"/>
            <w:vAlign w:val="center"/>
          </w:tcPr>
          <w:p>
            <w:pPr>
              <w:tabs>
                <w:tab w:val="left" w:pos="0"/>
              </w:tabs>
              <w:adjustRightInd/>
              <w:spacing w:line="288"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tcMar>
              <w:top w:w="15" w:type="dxa"/>
              <w:left w:w="15" w:type="dxa"/>
              <w:bottom w:w="0" w:type="dxa"/>
              <w:right w:w="15" w:type="dxa"/>
            </w:tcMar>
            <w:vAlign w:val="center"/>
          </w:tcPr>
          <w:p>
            <w:pPr>
              <w:tabs>
                <w:tab w:val="left" w:pos="0"/>
              </w:tabs>
              <w:adjustRightInd/>
              <w:spacing w:line="288"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103" w:type="dxa"/>
            <w:tcMar>
              <w:top w:w="15" w:type="dxa"/>
              <w:left w:w="15" w:type="dxa"/>
              <w:bottom w:w="0" w:type="dxa"/>
              <w:right w:w="15" w:type="dxa"/>
            </w:tcMar>
            <w:vAlign w:val="center"/>
          </w:tcPr>
          <w:p>
            <w:pPr>
              <w:adjustRightInd/>
              <w:spacing w:line="288" w:lineRule="auto"/>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大梅林共同富裕示范带设计采购提升运营一体化服务项目</w:t>
            </w:r>
          </w:p>
        </w:tc>
        <w:tc>
          <w:tcPr>
            <w:tcW w:w="654" w:type="dxa"/>
            <w:tcMar>
              <w:top w:w="15" w:type="dxa"/>
              <w:left w:w="15" w:type="dxa"/>
              <w:bottom w:w="0" w:type="dxa"/>
              <w:right w:w="15" w:type="dxa"/>
            </w:tcMar>
            <w:vAlign w:val="center"/>
          </w:tcPr>
          <w:p>
            <w:pPr>
              <w:adjustRightInd/>
              <w:spacing w:line="288" w:lineRule="auto"/>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871" w:type="dxa"/>
            <w:tcMar>
              <w:top w:w="15" w:type="dxa"/>
              <w:left w:w="15" w:type="dxa"/>
              <w:bottom w:w="0" w:type="dxa"/>
              <w:right w:w="15" w:type="dxa"/>
            </w:tcMar>
            <w:vAlign w:val="center"/>
          </w:tcPr>
          <w:p>
            <w:pPr>
              <w:adjustRightInd/>
              <w:spacing w:line="288" w:lineRule="auto"/>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w:t>
            </w:r>
          </w:p>
        </w:tc>
        <w:tc>
          <w:tcPr>
            <w:tcW w:w="1433" w:type="dxa"/>
            <w:vAlign w:val="center"/>
          </w:tcPr>
          <w:p>
            <w:pPr>
              <w:adjustRightInd/>
              <w:spacing w:line="288" w:lineRule="auto"/>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20000000.00</w:t>
            </w:r>
          </w:p>
        </w:tc>
        <w:tc>
          <w:tcPr>
            <w:tcW w:w="3873" w:type="dxa"/>
            <w:vAlign w:val="center"/>
          </w:tcPr>
          <w:p>
            <w:pPr>
              <w:tabs>
                <w:tab w:val="left" w:pos="0"/>
              </w:tabs>
              <w:adjustRightInd/>
              <w:spacing w:line="288"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大梅林范围内的农村土地制度改革探索、本地农文旅产业优化等一系列为实现共同富裕的落地实践所需的设计、运营服务与设施提升。具体包括一期区块（梅林村美好生活中心、八里桥农事体验馆、产业优化示范区农村土地制度改革示范点）的空间功能优化、产业设施设备、室内陈设采购、户外装置采购、植物树种添置等；全域运营管理等。</w:t>
            </w:r>
          </w:p>
        </w:tc>
        <w:tc>
          <w:tcPr>
            <w:tcW w:w="1427" w:type="dxa"/>
            <w:vAlign w:val="center"/>
          </w:tcPr>
          <w:p>
            <w:pPr>
              <w:adjustRightInd/>
              <w:spacing w:line="288" w:lineRule="auto"/>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20000000.00</w:t>
            </w:r>
          </w:p>
        </w:tc>
      </w:tr>
    </w:tbl>
    <w:p>
      <w:pPr>
        <w:pStyle w:val="25"/>
        <w:autoSpaceDE/>
        <w:autoSpaceDN/>
        <w:ind w:firstLine="422" w:firstLineChars="175"/>
        <w:rPr>
          <w:rFonts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二、服务内容和</w:t>
      </w:r>
      <w:r>
        <w:rPr>
          <w:rFonts w:hint="eastAsia" w:hAnsi="宋体" w:cs="宋体"/>
          <w:b/>
          <w:bCs/>
          <w:color w:val="000000" w:themeColor="text1"/>
          <w:szCs w:val="24"/>
          <w:highlight w:val="none"/>
          <w14:textFill>
            <w14:solidFill>
              <w14:schemeClr w14:val="tx1"/>
            </w14:solidFill>
          </w14:textFill>
        </w:rPr>
        <w:t>相关</w:t>
      </w:r>
      <w:r>
        <w:rPr>
          <w:rFonts w:hint="eastAsia" w:hAnsi="宋体" w:cs="宋体"/>
          <w:b/>
          <w:bCs/>
          <w:color w:val="000000" w:themeColor="text1"/>
          <w:szCs w:val="24"/>
          <w:highlight w:val="none"/>
          <w:lang w:val="en-US"/>
          <w14:textFill>
            <w14:solidFill>
              <w14:schemeClr w14:val="tx1"/>
            </w14:solidFill>
          </w14:textFill>
        </w:rPr>
        <w:t>技术要求</w:t>
      </w:r>
    </w:p>
    <w:p>
      <w:pPr>
        <w:pStyle w:val="25"/>
        <w:autoSpaceDE w:val="0"/>
        <w:autoSpaceDN w:val="0"/>
        <w:ind w:firstLine="480" w:firstLineChars="200"/>
        <w:rPr>
          <w:rFonts w:hAnsi="宋体" w:cs="宋体"/>
          <w:bCs/>
          <w:color w:val="000000" w:themeColor="text1"/>
          <w:highlight w:val="none"/>
          <w:lang w:val="en-US"/>
          <w14:textFill>
            <w14:solidFill>
              <w14:schemeClr w14:val="tx1"/>
            </w14:solidFill>
          </w14:textFill>
        </w:rPr>
      </w:pPr>
      <w:r>
        <w:rPr>
          <w:rFonts w:hint="eastAsia" w:hAnsi="宋体" w:cs="宋体"/>
          <w:bCs/>
          <w:color w:val="000000" w:themeColor="text1"/>
          <w:highlight w:val="none"/>
          <w:lang w:val="en-US"/>
          <w14:textFill>
            <w14:solidFill>
              <w14:schemeClr w14:val="tx1"/>
            </w14:solidFill>
          </w14:textFill>
        </w:rPr>
        <w:t>（一）总体目标：</w:t>
      </w:r>
      <w:r>
        <w:rPr>
          <w:rFonts w:hint="eastAsia" w:hAnsi="宋体" w:cs="宋体"/>
          <w:bCs/>
          <w:color w:val="000000" w:themeColor="text1"/>
          <w:highlight w:val="none"/>
          <w:u w:val="none"/>
          <w:lang w:val="en-US"/>
          <w14:textFill>
            <w14:solidFill>
              <w14:schemeClr w14:val="tx1"/>
            </w14:solidFill>
          </w14:textFill>
        </w:rPr>
        <w:t>通过对大梅林共同富裕示范带进行全域、全要素的总体谋划，探索共同富裕示范带的产业提升、联动发展的实施路径。以大梅林一期区块（</w:t>
      </w:r>
      <w:r>
        <w:rPr>
          <w:rFonts w:hint="eastAsia" w:hAnsi="宋体" w:cs="宋体"/>
          <w:color w:val="000000" w:themeColor="text1"/>
          <w:highlight w:val="none"/>
          <w14:textFill>
            <w14:solidFill>
              <w14:schemeClr w14:val="tx1"/>
            </w14:solidFill>
          </w14:textFill>
        </w:rPr>
        <w:t>梅林村美好生活中心、八里桥农事体验馆、产业优化示范区农村土地制度改革示范点）为核心区块，构建空间功能优化、产业集聚与提升、人才引育和管理服务等多个功能，形成具有大梅林特色的共同富裕示范带的管理服务与共富体系。依托大梅林的特色与本地资源，</w:t>
      </w:r>
      <w:r>
        <w:rPr>
          <w:rFonts w:hint="eastAsia" w:hAnsi="宋体" w:cs="宋体"/>
          <w:color w:val="000000" w:themeColor="text1"/>
          <w:highlight w:val="none"/>
          <w:lang w:val="en-US"/>
          <w14:textFill>
            <w14:solidFill>
              <w14:schemeClr w14:val="tx1"/>
            </w14:solidFill>
          </w14:textFill>
        </w:rPr>
        <w:t>旨在通过设计采购提升后通过科学管理和高效运营打造大梅林区域品牌，打造共同富裕示范窗口，树立区域联动创建于共富样板。</w:t>
      </w:r>
    </w:p>
    <w:p>
      <w:pPr>
        <w:pStyle w:val="25"/>
        <w:autoSpaceDE/>
        <w:autoSpaceDN/>
        <w:ind w:firstLine="480" w:firstLineChars="200"/>
        <w:rPr>
          <w:rFonts w:hAnsi="宋体" w:cs="宋体"/>
          <w:bCs/>
          <w:color w:val="000000" w:themeColor="text1"/>
          <w:highlight w:val="none"/>
          <w:lang w:val="en-US"/>
          <w14:textFill>
            <w14:solidFill>
              <w14:schemeClr w14:val="tx1"/>
            </w14:solidFill>
          </w14:textFill>
        </w:rPr>
      </w:pPr>
      <w:r>
        <w:rPr>
          <w:rFonts w:hint="eastAsia" w:hAnsi="宋体" w:cs="宋体"/>
          <w:bCs/>
          <w:color w:val="000000" w:themeColor="text1"/>
          <w:highlight w:val="none"/>
          <w:lang w:val="en-US"/>
          <w14:textFill>
            <w14:solidFill>
              <w14:schemeClr w14:val="tx1"/>
            </w14:solidFill>
          </w14:textFill>
        </w:rPr>
        <w:t>（二）服务内容：为大梅林范围内的农村土地制度改革探索、本地农文旅产业优化等一系列为实现共同富裕的落地实践所需的提供“总体概念性方案的策划及设计”、“采购提升”、“运营管理”服务，具体如下：</w:t>
      </w:r>
    </w:p>
    <w:p>
      <w:pPr>
        <w:pStyle w:val="25"/>
        <w:autoSpaceDE/>
        <w:autoSpaceDN/>
        <w:ind w:firstLine="482" w:firstLineChars="200"/>
        <w:rPr>
          <w:rFonts w:hAnsi="宋体" w:cs="宋体"/>
          <w:b/>
          <w:color w:val="000000" w:themeColor="text1"/>
          <w:highlight w:val="none"/>
          <w:lang w:val="en-US"/>
          <w14:textFill>
            <w14:solidFill>
              <w14:schemeClr w14:val="tx1"/>
            </w14:solidFill>
          </w14:textFill>
        </w:rPr>
      </w:pPr>
      <w:r>
        <w:rPr>
          <w:rFonts w:hint="eastAsia" w:hAnsi="宋体" w:cs="宋体"/>
          <w:b/>
          <w:color w:val="000000" w:themeColor="text1"/>
          <w:highlight w:val="none"/>
          <w:lang w:val="en-US"/>
          <w14:textFill>
            <w14:solidFill>
              <w14:schemeClr w14:val="tx1"/>
            </w14:solidFill>
          </w14:textFill>
        </w:rPr>
        <w:t>1、总体概念性方案的策划及设计内容</w:t>
      </w:r>
    </w:p>
    <w:p>
      <w:pPr>
        <w:pStyle w:val="26"/>
        <w:spacing w:line="360" w:lineRule="auto"/>
        <w:ind w:left="0" w:leftChars="0"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1.1策划、设计范围：大梅林共同富裕示范带总体概念性策划方案（含农村土地制度改革实施路径探索方案）；一期区块</w:t>
      </w: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详见附件1--图纸</w:t>
      </w: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为产业提升的策划、设计方案与具体的实施图件等、农村土地制度改革探索与乡村新型产业发展农业科创示范及运营展陈设计；农特产、文创衍生产品应用设计；一期区块视觉系统设计。</w:t>
      </w:r>
    </w:p>
    <w:p>
      <w:pPr>
        <w:spacing w:line="360" w:lineRule="auto"/>
        <w:ind w:firstLine="482"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1.2大梅林共同富裕示范带总体概念性策划方案（含农村土地制度改革实施路径探索方案）设计内容：</w:t>
      </w:r>
      <w:r>
        <w:rPr>
          <w:rFonts w:hint="eastAsia" w:ascii="宋体" w:hAnsi="宋体" w:cs="宋体"/>
          <w:bCs/>
          <w:color w:val="000000" w:themeColor="text1"/>
          <w:sz w:val="24"/>
          <w:highlight w:val="none"/>
          <w14:textFill>
            <w14:solidFill>
              <w14:schemeClr w14:val="tx1"/>
            </w14:solidFill>
          </w14:textFill>
        </w:rPr>
        <w:t>项目总体实施定位、产业优化方向、农村土地制度改革探索路径与形式、总平图、项目清单、实施计划安排、项目概算等。</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1.2.1具体要求：</w:t>
      </w:r>
    </w:p>
    <w:p>
      <w:pPr>
        <w:numPr>
          <w:ilvl w:val="0"/>
          <w:numId w:val="2"/>
        </w:num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基于大梅林1+4及前期的建设成果，充分挖掘本地的自然资源、文化资源、产业资源，从顶层战略出发，依托共富模式，进行整体项目的总体概念性方案落地策划。在资源匹配、人财物条件下统筹产业孵化及培育、产业空间设计、运营系统搭建、招商运营、营销宣传等综合性农文旅工作内容，融入大梅林共富模式规划。因地制宜优化培育共富产业、设计相应的产业空间、搭建共富体系、探索改革实践、创新构建运营机制，围绕上述内容和需求在五村针对现状进行全局综合性规划，提出合理的、可实施的全产业链发展运营一体化方案，需要紧密协调产业、人居、文化、旅游等社会资源，确保方案的有效实施，打造一条萧山未来乡村振兴共富示范带，使之成为浙江的共富示范带典型。共富带的规划考虑近中远各期的呈现效果，从产业培育、品牌打造、场景设计、招商运营、营销推广、培训辅导于一体，确保项目立意高、落地快、产业能、品牌响、人气旺、运营好。</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在规划中根据产业的情况和发展需求，合理地设置产业所需的必备空间，避免脱离产业需求进行大拆大建大改。项目的谋划需要考虑乡村未来5-10年的发展需求，可根据村庄需求探索农村土地制度改革探索路径与形式，规划中远期产业业态发展空间、基础环境提升等内容。</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（3）概念性规划中需要充分考虑大梅林全域乡村示范带的人文资源，依托文化资源进行有效挖掘打造，实现活化文化、延续文化，使村庄在发展的过程中有文化根脉和传续。</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4</w:t>
      </w: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有效地调研项目地的村民、村集体、企业的利益需求，给出共富模式的构建机制建议和实施方案，包含共富机制的组建形式、项目分工模式。</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5</w:t>
      </w: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具备充分论证后，提出共富带总体项目平面总图，分期实施的项目清单、实施计划安排、项目概算、产业投资回报、共富成果预测等实质性内容。</w:t>
      </w:r>
    </w:p>
    <w:p>
      <w:pPr>
        <w:spacing w:line="360" w:lineRule="auto"/>
        <w:ind w:firstLine="482"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1.3一期区块为产业提升的策划、设计方案与具体的</w:t>
      </w:r>
      <w:r>
        <w:rPr>
          <w:rFonts w:hint="eastAsia" w:ascii="宋体" w:hAnsi="宋体" w:cs="宋体"/>
          <w:b/>
          <w:color w:val="000000" w:themeColor="text1"/>
          <w:sz w:val="24"/>
          <w:highlight w:val="none"/>
          <w:lang w:val="en-US" w:eastAsia="zh-CN"/>
          <w14:textFill>
            <w14:solidFill>
              <w14:schemeClr w14:val="tx1"/>
            </w14:solidFill>
          </w14:textFill>
        </w:rPr>
        <w:t>施工图</w:t>
      </w:r>
      <w:r>
        <w:rPr>
          <w:rFonts w:hint="eastAsia" w:ascii="宋体" w:hAnsi="宋体" w:cs="宋体"/>
          <w:b/>
          <w:color w:val="000000" w:themeColor="text1"/>
          <w:sz w:val="24"/>
          <w:highlight w:val="none"/>
          <w14:textFill>
            <w14:solidFill>
              <w14:schemeClr w14:val="tx1"/>
            </w14:solidFill>
          </w14:textFill>
        </w:rPr>
        <w:t>等、农村土地制度改革探索与乡村新型产业发展运营展陈设计</w:t>
      </w:r>
      <w:r>
        <w:rPr>
          <w:rFonts w:hint="eastAsia" w:ascii="宋体" w:hAnsi="宋体" w:cs="宋体"/>
          <w:bCs/>
          <w:color w:val="000000" w:themeColor="text1"/>
          <w:sz w:val="24"/>
          <w:highlight w:val="none"/>
          <w14:textFill>
            <w14:solidFill>
              <w14:schemeClr w14:val="tx1"/>
            </w14:solidFill>
          </w14:textFill>
        </w:rPr>
        <w:t>：美好生活中心东区建筑、建筑间空间、户外活动空间等具体的空间设计与提升实施方案；农村土地制度改革示范点设计方案与实施图件；八里桥农事体验馆、产业优化示范区农村土地制度改革示范点内设置农业产业衍生内容表达、互动体验场景打造；</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1.3.1具体要求：</w:t>
      </w:r>
    </w:p>
    <w:p>
      <w:pPr>
        <w:spacing w:line="360" w:lineRule="auto"/>
        <w:ind w:firstLine="42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（1）在各区块现状基础上，</w:t>
      </w:r>
      <w:r>
        <w:rPr>
          <w:rFonts w:hint="eastAsia" w:ascii="宋体" w:hAnsi="宋体" w:cs="宋体"/>
          <w:bCs/>
          <w:color w:val="000000" w:themeColor="text1"/>
          <w:sz w:val="24"/>
          <w:highlight w:val="none"/>
          <w:lang w:val="en-US" w:eastAsia="zh-CN"/>
          <w14:textFill>
            <w14:solidFill>
              <w14:schemeClr w14:val="tx1"/>
            </w14:solidFill>
          </w14:textFill>
        </w:rPr>
        <w:t>保留现有客房部分不做功能变更，剩余闲置空间</w:t>
      </w:r>
      <w:r>
        <w:rPr>
          <w:rFonts w:hint="eastAsia" w:ascii="宋体" w:hAnsi="宋体" w:cs="宋体"/>
          <w:bCs/>
          <w:color w:val="000000" w:themeColor="text1"/>
          <w:sz w:val="24"/>
          <w:highlight w:val="none"/>
          <w14:textFill>
            <w14:solidFill>
              <w14:schemeClr w14:val="tx1"/>
            </w14:solidFill>
          </w14:textFill>
        </w:rPr>
        <w:t>赋予与共同富裕的产业发展相符合的新功能业态，完善配套服务，但外墙装饰整改不得破坏原有设计。标识标牌等制作要尽量适合景区要求，其中梅林村已经是3A级景区村庄。</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（2）利用梅林村美好生活中心的乡创中心、附楼、楼间小道、户外平台、草坪等场所与梅林村地块，八里桥农事体验馆、产业优化示范区农村土地制度改革示范点等室内外空间，形成实际可使用的产业空间。</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（3）提出整体提升风格设计（包含设计理念、设计风格、设计元素）。布置乡村新型产业展示馆，开展农文旅学融合的空间与设施。</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（4）增加公众服务的功能，引入基本的商业设施，提供活力商业、景观节点、配套服务设施、规划要适应乡村街区商业的需求，提供可灵活分割的商业空间载体。</w:t>
      </w:r>
    </w:p>
    <w:p>
      <w:pPr>
        <w:spacing w:line="360" w:lineRule="auto"/>
        <w:ind w:firstLine="480"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（5）规划能激发地块活力，打造独具特色的网红街区。建筑总体体量不大，设计应具有独特性，具有大梅林的文化符号，与周边的主题红色教育（千万工程、未来乡村等）文化产业联动。</w:t>
      </w:r>
    </w:p>
    <w:p>
      <w:pPr>
        <w:spacing w:line="360" w:lineRule="auto"/>
        <w:ind w:firstLine="480" w:firstLineChars="200"/>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（6）形成丰富的乡村新型服务业态，推进产业融合，在强村公司的主导下推动大梅林五村集体经济提升，带动周边农民增收推进，共同富裕。</w:t>
      </w:r>
    </w:p>
    <w:p>
      <w:pPr>
        <w:spacing w:line="360" w:lineRule="auto"/>
        <w:ind w:firstLine="480" w:firstLineChars="200"/>
        <w:rPr>
          <w:rFonts w:hint="default" w:ascii="宋体" w:hAnsi="宋体" w:cs="宋体"/>
          <w:bCs/>
          <w:color w:val="000000" w:themeColor="text1"/>
          <w:sz w:val="24"/>
          <w:highlight w:val="none"/>
          <w:lang w:val="en-US" w:eastAsia="zh-CN"/>
          <w14:textFill>
            <w14:solidFill>
              <w14:schemeClr w14:val="tx1"/>
            </w14:solidFill>
          </w14:textFill>
        </w:rPr>
      </w:pP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highlight w:val="none"/>
          <w:lang w:val="en-US" w:eastAsia="zh-CN"/>
          <w14:textFill>
            <w14:solidFill>
              <w14:schemeClr w14:val="tx1"/>
            </w14:solidFill>
          </w14:textFill>
        </w:rPr>
        <w:t>7</w:t>
      </w:r>
      <w:r>
        <w:rPr>
          <w:rFonts w:hint="eastAsia" w:ascii="宋体" w:hAnsi="宋体" w:cs="宋体"/>
          <w:bCs/>
          <w:color w:val="000000" w:themeColor="text1"/>
          <w:sz w:val="24"/>
          <w:highlight w:val="none"/>
          <w:lang w:eastAsia="zh-CN"/>
          <w14:textFill>
            <w14:solidFill>
              <w14:schemeClr w14:val="tx1"/>
            </w14:solidFill>
          </w14:textFill>
        </w:rPr>
        <w:t>）</w:t>
      </w:r>
    </w:p>
    <w:p>
      <w:pPr>
        <w:spacing w:line="360" w:lineRule="auto"/>
        <w:ind w:firstLine="279" w:firstLineChars="116"/>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1.4农特产、文创衍生产品设计：大梅林伴手礼产品、手绘地图、导览图类型与组合设计。</w:t>
      </w:r>
    </w:p>
    <w:p>
      <w:pPr>
        <w:spacing w:line="360" w:lineRule="auto"/>
        <w:ind w:firstLine="279" w:firstLineChars="11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1.4.1具体要求：</w:t>
      </w:r>
    </w:p>
    <w:p>
      <w:pPr>
        <w:numPr>
          <w:ilvl w:val="0"/>
          <w:numId w:val="3"/>
        </w:num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在对大梅林全域原有产业调研的基础上，对农特产、文创衍生品、组合伴手礼、</w:t>
      </w:r>
      <w:r>
        <w:rPr>
          <w:rFonts w:hint="eastAsia" w:ascii="宋体" w:hAnsi="宋体" w:cs="宋体"/>
          <w:b/>
          <w:color w:val="000000" w:themeColor="text1"/>
          <w:sz w:val="24"/>
          <w:highlight w:val="none"/>
          <w14:textFill>
            <w14:solidFill>
              <w14:schemeClr w14:val="tx1"/>
            </w14:solidFill>
          </w14:textFill>
        </w:rPr>
        <w:t>手绘地图、导览图</w:t>
      </w:r>
      <w:r>
        <w:rPr>
          <w:rFonts w:hint="eastAsia" w:ascii="宋体" w:hAnsi="宋体" w:cs="宋体"/>
          <w:bCs/>
          <w:color w:val="000000" w:themeColor="text1"/>
          <w:sz w:val="24"/>
          <w:highlight w:val="none"/>
          <w14:textFill>
            <w14:solidFill>
              <w14:schemeClr w14:val="tx1"/>
            </w14:solidFill>
          </w14:textFill>
        </w:rPr>
        <w:t>等产品进行市场研究分析，对产业态势及竞争对手调查分析，消费者研究。明确相应目标消费群体、做出适应大梅林的产品定位及概念设计、创意IP形象、产品卖点提炼方案。</w:t>
      </w:r>
    </w:p>
    <w:p>
      <w:pPr>
        <w:numPr>
          <w:ilvl w:val="0"/>
          <w:numId w:val="3"/>
        </w:num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对规划的系列农产品进行品牌命名、系列农产品标志策略与设计、系列农产品主题游线形象创意，提出系列农产品品牌VIS系统：基本要素规范（标志及标志释义、标志黑白稿、标志反白效果图、标志使用尺寸规范、标志预留空间与最小比例限定、品牌标准色（印刷色）、品牌辅助色等）、基本应用规范（名片、信纸、信封、PPT模版、档案袋、工作证、广告纸杯、抽纸盒、邀请函、手提袋等）。</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（3）文创衍生产品、大梅林伴手礼产品类型与组合设计包装设计需提供包装文案创意、系列农产品包装设计（简装、精装、礼盒装）。</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1.5一期区块视觉系统设计。</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1.5.1具体要求：</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依据确定后的规划方案与提升实施方案，对大梅林共富带一期实施区域进行视觉系统的设计。需要综合考虑用户需求、界面设计、交互设计、响应式设计、无障碍设计和可维护性设计等方面，以确保系统具有良好的用户体验和可维护性。</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视觉系统的界面设计应该直观、易于理解和使用，兼顾梅林等五村的特性。界面布局、颜色搭配、字体大小和样式、图标和标志等方面的设计。在设计视觉系统时需要考虑到用户的多样性，包括不同年龄、性别、文化背景、语言能力和身体能力。需要确保系统具有无障碍设计，以确保所有用户都能够方便地使用系统。视觉系统需要具有良好的可维护性，包括可读性、易于修改和更新、可重用性等方面的设计。沿路品牌形象景观创意、沿途到达感氛围布置、主入口景观形象、网红打卡景观创意设计。与夜景、照明设计协调，考虑视觉系统的夜光设计。</w:t>
      </w:r>
    </w:p>
    <w:p>
      <w:pPr>
        <w:spacing w:line="360" w:lineRule="auto"/>
        <w:ind w:firstLine="480" w:firstLineChars="200"/>
        <w:rPr>
          <w:color w:val="000000" w:themeColor="text1"/>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（3）相应视觉系统设计需设计尺寸材质等说明图，方便移交定制单位进行加工图绘制，指导加工定制并协助项目落地安装等。</w:t>
      </w:r>
    </w:p>
    <w:p>
      <w:pPr>
        <w:pStyle w:val="26"/>
        <w:numPr>
          <w:ilvl w:val="0"/>
          <w:numId w:val="4"/>
        </w:numPr>
        <w:spacing w:line="360" w:lineRule="auto"/>
        <w:ind w:leftChars="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采购提升内容</w:t>
      </w:r>
    </w:p>
    <w:p>
      <w:pPr>
        <w:pStyle w:val="26"/>
        <w:spacing w:line="360" w:lineRule="auto"/>
        <w:ind w:left="0" w:leftChars="0" w:firstLine="241"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2.1采购提升范围：</w:t>
      </w:r>
      <w:r>
        <w:rPr>
          <w:rFonts w:hint="eastAsia" w:ascii="宋体" w:hAnsi="宋体" w:cs="宋体"/>
          <w:color w:val="000000" w:themeColor="text1"/>
          <w:sz w:val="24"/>
          <w:highlight w:val="none"/>
          <w14:textFill>
            <w14:solidFill>
              <w14:schemeClr w14:val="tx1"/>
            </w14:solidFill>
          </w14:textFill>
        </w:rPr>
        <w:t>一期区块（梅林村美好生活中心、</w:t>
      </w:r>
    </w:p>
    <w:p>
      <w:pPr>
        <w:pStyle w:val="26"/>
        <w:spacing w:line="360" w:lineRule="auto"/>
        <w:ind w:left="0" w:leftChars="0" w:firstLine="240"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八里桥农事体验馆、产业优化示范区农村土地制度改革示范点）的空间功能优化、产业设施设备、室内陈设采购、户外装置采购、植物树种添置、</w:t>
      </w:r>
      <w:r>
        <w:rPr>
          <w:rFonts w:hint="eastAsia" w:ascii="宋体" w:hAnsi="宋体" w:cs="宋体"/>
          <w:bCs/>
          <w:color w:val="000000" w:themeColor="text1"/>
          <w:sz w:val="24"/>
          <w:highlight w:val="none"/>
          <w14:textFill>
            <w14:solidFill>
              <w14:schemeClr w14:val="tx1"/>
            </w14:solidFill>
          </w14:textFill>
        </w:rPr>
        <w:t>沿路</w:t>
      </w:r>
      <w:r>
        <w:rPr>
          <w:rFonts w:hint="eastAsia" w:ascii="宋体" w:hAnsi="宋体" w:cs="宋体"/>
          <w:color w:val="000000" w:themeColor="text1"/>
          <w:sz w:val="24"/>
          <w:highlight w:val="none"/>
          <w14:textFill>
            <w14:solidFill>
              <w14:schemeClr w14:val="tx1"/>
            </w14:solidFill>
          </w14:textFill>
        </w:rPr>
        <w:t>的总体氛围提升（含一体化的标识标牌、绿化小品、导视牌）等</w:t>
      </w:r>
      <w:r>
        <w:rPr>
          <w:rFonts w:hint="eastAsia" w:ascii="宋体" w:hAnsi="宋体" w:cs="宋体"/>
          <w:bCs/>
          <w:color w:val="000000" w:themeColor="text1"/>
          <w:sz w:val="24"/>
          <w:highlight w:val="none"/>
          <w14:textFill>
            <w14:solidFill>
              <w14:schemeClr w14:val="tx1"/>
            </w14:solidFill>
          </w14:textFill>
        </w:rPr>
        <w:t>。</w:t>
      </w:r>
    </w:p>
    <w:p>
      <w:pPr>
        <w:spacing w:line="360" w:lineRule="auto"/>
        <w:ind w:firstLine="241" w:firstLineChars="100"/>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2.2技术标准和规范</w:t>
      </w:r>
    </w:p>
    <w:p>
      <w:pPr>
        <w:adjustRightInd/>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（1）采购设施设备应按照国家相关标准及规范进行设计和制造。</w:t>
      </w:r>
    </w:p>
    <w:p>
      <w:pPr>
        <w:adjustRightInd/>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（2）严格按规范要求执行，但规范并未对一切细节作出规定，也未充分引述有关标准和规范条文。因此除本条件之外，供应商提供的采购设备均应符合要约邀请时已颁布的中国国家标准和国际标准的有关条款。</w:t>
      </w:r>
    </w:p>
    <w:p>
      <w:pPr>
        <w:pStyle w:val="133"/>
        <w:adjustRightInd/>
        <w:spacing w:before="0"/>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（3）供应商采用其他标准和规范时，应在投标书中注明是采用何种标准（须提供所采用的国际和国家标准、规范以及所采用版本的有关资料），并应保证设备达到或优于本条件的要求。</w:t>
      </w:r>
    </w:p>
    <w:p>
      <w:pPr>
        <w:pStyle w:val="133"/>
        <w:adjustRightInd/>
        <w:spacing w:before="0"/>
        <w:ind w:firstLine="48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（4）涉及户外植物树种添置及基础设施提升的应按现行国家有关工程施工验收规范和标准的合格要求。</w:t>
      </w:r>
    </w:p>
    <w:p>
      <w:pPr>
        <w:pStyle w:val="26"/>
        <w:spacing w:line="360" w:lineRule="auto"/>
        <w:ind w:left="0" w:leftChars="0"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2.2采购提升具体要求：</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2.2.</w:t>
      </w:r>
      <w:r>
        <w:rPr>
          <w:rFonts w:hint="eastAsia" w:ascii="宋体" w:hAnsi="宋体" w:cs="宋体"/>
          <w:bCs/>
          <w:color w:val="000000" w:themeColor="text1"/>
          <w:sz w:val="24"/>
          <w:highlight w:val="none"/>
          <w:lang w:val="en-US" w:eastAsia="zh-CN"/>
          <w14:textFill>
            <w14:solidFill>
              <w14:schemeClr w14:val="tx1"/>
            </w14:solidFill>
          </w14:textFill>
        </w:rPr>
        <w:t>1总体要求：</w:t>
      </w:r>
      <w:r>
        <w:rPr>
          <w:rFonts w:hint="eastAsia" w:ascii="宋体" w:hAnsi="宋体" w:cs="宋体"/>
          <w:bCs/>
          <w:color w:val="000000" w:themeColor="text1"/>
          <w:sz w:val="24"/>
          <w:highlight w:val="none"/>
          <w14:textFill>
            <w14:solidFill>
              <w14:schemeClr w14:val="tx1"/>
            </w14:solidFill>
          </w14:textFill>
        </w:rPr>
        <w:t>总体提升后的建筑外立面以体现大梅林乡村未来社区文化内涵、提高乡村社区活力为目的。为产业经营提升的建筑风格与文化内涵相协调，风格统一的前提下，对建筑立面进行“微改造”，同时为增加街面的生机和活力，可增设灯箱、构筑等，实施前均需出效果图由采购人确认。</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2.2.</w:t>
      </w:r>
      <w:r>
        <w:rPr>
          <w:rFonts w:hint="eastAsia" w:ascii="宋体" w:hAnsi="宋体" w:cs="宋体"/>
          <w:bCs/>
          <w:color w:val="000000" w:themeColor="text1"/>
          <w:sz w:val="24"/>
          <w:highlight w:val="none"/>
          <w:lang w:val="en-US" w:eastAsia="zh-CN"/>
          <w14:textFill>
            <w14:solidFill>
              <w14:schemeClr w14:val="tx1"/>
            </w14:solidFill>
          </w14:textFill>
        </w:rPr>
        <w:t>2</w:t>
      </w:r>
      <w:r>
        <w:rPr>
          <w:rFonts w:hint="eastAsia" w:ascii="宋体" w:hAnsi="宋体" w:cs="宋体"/>
          <w:bCs/>
          <w:color w:val="000000" w:themeColor="text1"/>
          <w:sz w:val="24"/>
          <w:highlight w:val="none"/>
          <w14:textFill>
            <w14:solidFill>
              <w14:schemeClr w14:val="tx1"/>
            </w14:solidFill>
          </w14:textFill>
        </w:rPr>
        <w:t>户外、宅间空间景观设计保护自然生态本底，加强邻里、产业共享空间平台建设，塑造“村田相融、村园共生”的乡村社区大美形态，打造一个富有特色、逻辑通顺的文旅产业文化片区。整体风貌强调宜人与休闲，强调自然景观、乡村社区街巷景观的生态与绿色的景观感受。行道植被以观叶、观花品种为主，池塘沿岸增加适合当地生长、体现江南特质的水生植物，丰富驳岸景观。种植设计，树种选择适合当地的品种进行设计，选择符合场地使用人群的需求，因地制宜，注重植物与环境之间的关系，在适合的场地种植适合的品种。亲水界面严格选择植物品种，如耐湿、野趣、好养护的植物，以适应环境变化。</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2.2.</w:t>
      </w:r>
      <w:r>
        <w:rPr>
          <w:rFonts w:hint="eastAsia" w:ascii="宋体" w:hAnsi="宋体" w:cs="宋体"/>
          <w:bCs/>
          <w:color w:val="000000" w:themeColor="text1"/>
          <w:sz w:val="24"/>
          <w:highlight w:val="none"/>
          <w:lang w:val="en-US" w:eastAsia="zh-CN"/>
          <w14:textFill>
            <w14:solidFill>
              <w14:schemeClr w14:val="tx1"/>
            </w14:solidFill>
          </w14:textFill>
        </w:rPr>
        <w:t>3</w:t>
      </w:r>
      <w:r>
        <w:rPr>
          <w:rFonts w:hint="eastAsia" w:ascii="宋体" w:hAnsi="宋体" w:cs="宋体"/>
          <w:bCs/>
          <w:color w:val="000000" w:themeColor="text1"/>
          <w:sz w:val="24"/>
          <w:highlight w:val="none"/>
          <w14:textFill>
            <w14:solidFill>
              <w14:schemeClr w14:val="tx1"/>
            </w14:solidFill>
          </w14:textFill>
        </w:rPr>
        <w:t>在一期项目全域，完善夜间照明设计，并在重要节点进行创意体验夜景设计、夜游体验创意、夜游线路分析建议等。</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2.2.</w:t>
      </w:r>
      <w:r>
        <w:rPr>
          <w:rFonts w:hint="eastAsia" w:ascii="宋体" w:hAnsi="宋体" w:cs="宋体"/>
          <w:bCs/>
          <w:color w:val="000000" w:themeColor="text1"/>
          <w:sz w:val="24"/>
          <w:highlight w:val="none"/>
          <w:lang w:val="en-US" w:eastAsia="zh-CN"/>
          <w14:textFill>
            <w14:solidFill>
              <w14:schemeClr w14:val="tx1"/>
            </w14:solidFill>
          </w14:textFill>
        </w:rPr>
        <w:t>4</w:t>
      </w:r>
      <w:r>
        <w:rPr>
          <w:rFonts w:hint="eastAsia" w:ascii="宋体" w:hAnsi="宋体" w:cs="宋体"/>
          <w:bCs/>
          <w:color w:val="000000" w:themeColor="text1"/>
          <w:sz w:val="24"/>
          <w:highlight w:val="none"/>
          <w14:textFill>
            <w14:solidFill>
              <w14:schemeClr w14:val="tx1"/>
            </w14:solidFill>
          </w14:textFill>
        </w:rPr>
        <w:t>沿路的总体氛围提升要求：沿路的道路小品及设施、标识标牌、文化展示、城市家具的提升，要求和周边环境相融。</w:t>
      </w:r>
    </w:p>
    <w:p>
      <w:pPr>
        <w:spacing w:line="360" w:lineRule="auto"/>
        <w:ind w:firstLine="480" w:firstLineChars="200"/>
        <w:rPr>
          <w:rFonts w:ascii="宋体" w:hAnsi="宋体" w:cs="宋体"/>
          <w:bCs/>
          <w:color w:val="000000" w:themeColor="text1"/>
          <w:sz w:val="24"/>
          <w:highlight w:val="none"/>
          <w:u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2.2.</w:t>
      </w:r>
      <w:r>
        <w:rPr>
          <w:rFonts w:hint="eastAsia" w:ascii="宋体" w:hAnsi="宋体" w:cs="宋体"/>
          <w:bCs/>
          <w:color w:val="000000" w:themeColor="text1"/>
          <w:sz w:val="24"/>
          <w:highlight w:val="none"/>
          <w:lang w:val="en-US" w:eastAsia="zh-CN"/>
          <w14:textFill>
            <w14:solidFill>
              <w14:schemeClr w14:val="tx1"/>
            </w14:solidFill>
          </w14:textFill>
        </w:rPr>
        <w:t>5</w:t>
      </w:r>
      <w:r>
        <w:rPr>
          <w:rFonts w:ascii="宋体" w:hAnsi="宋体" w:cs="宋体"/>
          <w:bCs/>
          <w:color w:val="000000" w:themeColor="text1"/>
          <w:sz w:val="24"/>
          <w:highlight w:val="none"/>
          <w14:textFill>
            <w14:solidFill>
              <w14:schemeClr w14:val="tx1"/>
            </w14:solidFill>
          </w14:textFill>
        </w:rPr>
        <w:t>在产业优化示范区内设计整体农业产业（农科创、数字农业、双碳农业等）提升方案，提出分期分布实施的步骤，设置具有代表性的示范点，在示范点内落地具体对提升整体产业所需的</w:t>
      </w:r>
      <w:r>
        <w:rPr>
          <w:rFonts w:ascii="宋体" w:hAnsi="宋体" w:cs="宋体"/>
          <w:bCs/>
          <w:color w:val="000000" w:themeColor="text1"/>
          <w:sz w:val="24"/>
          <w:highlight w:val="none"/>
          <w:u w:val="none"/>
          <w14:textFill>
            <w14:solidFill>
              <w14:schemeClr w14:val="tx1"/>
            </w14:solidFill>
          </w14:textFill>
        </w:rPr>
        <w:t>农科创与现代农业示范单元。</w:t>
      </w:r>
    </w:p>
    <w:p>
      <w:pPr>
        <w:numPr>
          <w:ilvl w:val="255"/>
          <w:numId w:val="0"/>
        </w:numPr>
        <w:spacing w:line="360" w:lineRule="auto"/>
        <w:ind w:firstLine="480" w:firstLineChars="200"/>
        <w:rPr>
          <w:rFonts w:ascii="宋体" w:hAnsi="宋体" w:cs="宋体"/>
          <w:bCs/>
          <w:color w:val="000000" w:themeColor="text1"/>
          <w:sz w:val="24"/>
          <w:highlight w:val="none"/>
          <w:u w:val="none"/>
          <w14:textFill>
            <w14:solidFill>
              <w14:schemeClr w14:val="tx1"/>
            </w14:solidFill>
          </w14:textFill>
        </w:rPr>
      </w:pPr>
      <w:r>
        <w:rPr>
          <w:rFonts w:hint="eastAsia" w:ascii="宋体" w:hAnsi="宋体" w:cs="宋体"/>
          <w:bCs/>
          <w:color w:val="000000" w:themeColor="text1"/>
          <w:sz w:val="24"/>
          <w:highlight w:val="none"/>
          <w:u w:val="none"/>
          <w14:textFill>
            <w14:solidFill>
              <w14:schemeClr w14:val="tx1"/>
            </w14:solidFill>
          </w14:textFill>
        </w:rPr>
        <w:t>2.2.</w:t>
      </w:r>
      <w:r>
        <w:rPr>
          <w:rFonts w:hint="eastAsia" w:ascii="宋体" w:hAnsi="宋体" w:cs="宋体"/>
          <w:bCs/>
          <w:color w:val="000000" w:themeColor="text1"/>
          <w:sz w:val="24"/>
          <w:highlight w:val="none"/>
          <w:u w:val="none"/>
          <w:lang w:val="en-US" w:eastAsia="zh-CN"/>
          <w14:textFill>
            <w14:solidFill>
              <w14:schemeClr w14:val="tx1"/>
            </w14:solidFill>
          </w14:textFill>
        </w:rPr>
        <w:t>6</w:t>
      </w:r>
      <w:r>
        <w:rPr>
          <w:rFonts w:hint="eastAsia" w:ascii="宋体" w:hAnsi="宋体" w:cs="宋体"/>
          <w:bCs/>
          <w:color w:val="000000" w:themeColor="text1"/>
          <w:sz w:val="24"/>
          <w:highlight w:val="none"/>
          <w:u w:val="none"/>
          <w14:textFill>
            <w14:solidFill>
              <w14:schemeClr w14:val="tx1"/>
            </w14:solidFill>
          </w14:textFill>
        </w:rPr>
        <w:t>产业设施设备外观、功能符合相应的设计方案要求，满足正常经营、生产需求。采购的</w:t>
      </w:r>
      <w:r>
        <w:rPr>
          <w:rFonts w:hint="eastAsia" w:ascii="宋体" w:hAnsi="宋体" w:cs="宋体"/>
          <w:bCs/>
          <w:color w:val="000000" w:themeColor="text1"/>
          <w:sz w:val="24"/>
          <w:szCs w:val="24"/>
          <w:highlight w:val="none"/>
          <w:u w:val="none"/>
          <w:shd w:val="clear" w:color="auto" w:fill="auto"/>
          <w14:textFill>
            <w14:solidFill>
              <w14:schemeClr w14:val="tx1"/>
            </w14:solidFill>
          </w14:textFill>
        </w:rPr>
        <w:t>设备</w:t>
      </w:r>
      <w:r>
        <w:rPr>
          <w:rFonts w:hint="eastAsia" w:ascii="宋体" w:hAnsi="宋体" w:cs="宋体"/>
          <w:bCs/>
          <w:color w:val="000000" w:themeColor="text1"/>
          <w:sz w:val="24"/>
          <w:highlight w:val="none"/>
          <w:u w:val="none"/>
          <w14:textFill>
            <w14:solidFill>
              <w14:schemeClr w14:val="tx1"/>
            </w14:solidFill>
          </w14:textFill>
        </w:rPr>
        <w:t>符合</w:t>
      </w:r>
      <w:r>
        <w:rPr>
          <w:rFonts w:hint="eastAsia" w:ascii="宋体" w:hAnsi="宋体" w:cs="宋体"/>
          <w:bCs/>
          <w:color w:val="000000" w:themeColor="text1"/>
          <w:sz w:val="24"/>
          <w:szCs w:val="24"/>
          <w:highlight w:val="none"/>
          <w:u w:val="none"/>
          <w:shd w:val="clear" w:color="auto" w:fill="auto"/>
          <w14:textFill>
            <w14:solidFill>
              <w14:schemeClr w14:val="tx1"/>
            </w14:solidFill>
          </w14:textFill>
        </w:rPr>
        <w:t>国家标准、行业标准、地方标准和规范</w:t>
      </w:r>
      <w:r>
        <w:rPr>
          <w:rFonts w:hint="eastAsia" w:ascii="宋体" w:hAnsi="宋体" w:cs="宋体"/>
          <w:bCs/>
          <w:color w:val="000000" w:themeColor="text1"/>
          <w:sz w:val="24"/>
          <w:highlight w:val="none"/>
          <w:u w:val="none"/>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360" w:lineRule="auto"/>
        <w:ind w:firstLine="480" w:firstLineChars="200"/>
        <w:textAlignment w:val="auto"/>
        <w:rPr>
          <w:rFonts w:ascii="宋体" w:hAnsi="宋体" w:cs="宋体"/>
          <w:bCs/>
          <w:color w:val="000000" w:themeColor="text1"/>
          <w:sz w:val="24"/>
          <w:highlight w:val="none"/>
          <w:u w:val="none"/>
          <w14:textFill>
            <w14:solidFill>
              <w14:schemeClr w14:val="tx1"/>
            </w14:solidFill>
          </w14:textFill>
        </w:rPr>
      </w:pPr>
      <w:r>
        <w:rPr>
          <w:rFonts w:hint="eastAsia" w:ascii="宋体" w:hAnsi="宋体" w:cs="宋体"/>
          <w:bCs/>
          <w:color w:val="000000" w:themeColor="text1"/>
          <w:sz w:val="24"/>
          <w:highlight w:val="none"/>
          <w:u w:val="none"/>
          <w14:textFill>
            <w14:solidFill>
              <w14:schemeClr w14:val="tx1"/>
            </w14:solidFill>
          </w14:textFill>
        </w:rPr>
        <w:t>2.2.</w:t>
      </w:r>
      <w:r>
        <w:rPr>
          <w:rFonts w:hint="eastAsia" w:ascii="宋体" w:hAnsi="宋体" w:cs="宋体"/>
          <w:bCs/>
          <w:color w:val="000000" w:themeColor="text1"/>
          <w:sz w:val="24"/>
          <w:highlight w:val="none"/>
          <w:u w:val="none"/>
          <w:lang w:val="en-US" w:eastAsia="zh-CN"/>
          <w14:textFill>
            <w14:solidFill>
              <w14:schemeClr w14:val="tx1"/>
            </w14:solidFill>
          </w14:textFill>
        </w:rPr>
        <w:t>7</w:t>
      </w:r>
      <w:r>
        <w:rPr>
          <w:rFonts w:hint="eastAsia" w:ascii="宋体" w:hAnsi="宋体" w:cs="宋体"/>
          <w:bCs/>
          <w:color w:val="000000" w:themeColor="text1"/>
          <w:sz w:val="24"/>
          <w:highlight w:val="none"/>
          <w:u w:val="none"/>
          <w14:textFill>
            <w14:solidFill>
              <w14:schemeClr w14:val="tx1"/>
            </w14:solidFill>
          </w14:textFill>
        </w:rPr>
        <w:t>室内陈设采购外观、色彩、功能符合相应的设计方案要求，满足正常经营、生产需求。采购的室内陈设符合环保标准，符合该类产品的</w:t>
      </w:r>
      <w:r>
        <w:rPr>
          <w:rFonts w:ascii="宋体" w:hAnsi="宋体" w:cs="宋体"/>
          <w:bCs/>
          <w:color w:val="000000" w:themeColor="text1"/>
          <w:sz w:val="24"/>
          <w:highlight w:val="none"/>
          <w:u w:val="none"/>
          <w14:textFill>
            <w14:solidFill>
              <w14:schemeClr w14:val="tx1"/>
            </w14:solidFill>
          </w14:textFill>
        </w:rPr>
        <w:t>国家标准、行业标准、地方标准和规范</w:t>
      </w:r>
      <w:r>
        <w:rPr>
          <w:rFonts w:hint="eastAsia" w:ascii="宋体" w:hAnsi="宋体" w:cs="宋体"/>
          <w:bCs/>
          <w:color w:val="000000" w:themeColor="text1"/>
          <w:sz w:val="24"/>
          <w:highlight w:val="none"/>
          <w:u w:val="none"/>
          <w14:textFill>
            <w14:solidFill>
              <w14:schemeClr w14:val="tx1"/>
            </w14:solidFill>
          </w14:textFill>
        </w:rPr>
        <w:t>；</w:t>
      </w:r>
    </w:p>
    <w:p>
      <w:pPr>
        <w:pStyle w:val="5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cs="宋体"/>
          <w:bCs/>
          <w:color w:val="000000" w:themeColor="text1"/>
          <w:highlight w:val="none"/>
          <w:u w:val="none"/>
          <w14:textFill>
            <w14:solidFill>
              <w14:schemeClr w14:val="tx1"/>
            </w14:solidFill>
          </w14:textFill>
        </w:rPr>
      </w:pPr>
      <w:r>
        <w:rPr>
          <w:rFonts w:hint="eastAsia" w:cs="宋体"/>
          <w:bCs/>
          <w:color w:val="000000" w:themeColor="text1"/>
          <w:highlight w:val="none"/>
          <w:u w:val="none"/>
          <w14:textFill>
            <w14:solidFill>
              <w14:schemeClr w14:val="tx1"/>
            </w14:solidFill>
          </w14:textFill>
        </w:rPr>
        <w:t>2.2.</w:t>
      </w:r>
      <w:r>
        <w:rPr>
          <w:rFonts w:hint="eastAsia" w:cs="宋体"/>
          <w:bCs/>
          <w:color w:val="000000" w:themeColor="text1"/>
          <w:highlight w:val="none"/>
          <w:u w:val="none"/>
          <w:lang w:val="en-US" w:eastAsia="zh-CN"/>
          <w14:textFill>
            <w14:solidFill>
              <w14:schemeClr w14:val="tx1"/>
            </w14:solidFill>
          </w14:textFill>
        </w:rPr>
        <w:t>8</w:t>
      </w:r>
      <w:r>
        <w:rPr>
          <w:rFonts w:hint="eastAsia" w:cs="宋体"/>
          <w:bCs/>
          <w:color w:val="000000" w:themeColor="text1"/>
          <w:highlight w:val="none"/>
          <w:u w:val="none"/>
          <w14:textFill>
            <w14:solidFill>
              <w14:schemeClr w14:val="tx1"/>
            </w14:solidFill>
          </w14:textFill>
        </w:rPr>
        <w:t>户外装置采购外观、色彩、功能符合相应的设计方案要求，满足正常经营、生产需求。采购的各项装置产品需符合设施安全规范，符合该类产品的</w:t>
      </w:r>
      <w:r>
        <w:rPr>
          <w:rFonts w:cs="宋体"/>
          <w:bCs/>
          <w:color w:val="000000" w:themeColor="text1"/>
          <w:highlight w:val="none"/>
          <w:u w:val="none"/>
          <w14:textFill>
            <w14:solidFill>
              <w14:schemeClr w14:val="tx1"/>
            </w14:solidFill>
          </w14:textFill>
        </w:rPr>
        <w:t>国家标准、行业标准、地方标准和规范</w:t>
      </w:r>
      <w:r>
        <w:rPr>
          <w:rFonts w:hint="eastAsia" w:cs="宋体"/>
          <w:bCs/>
          <w:color w:val="000000" w:themeColor="text1"/>
          <w:highlight w:val="none"/>
          <w:u w:val="none"/>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sz w:val="24"/>
          <w:szCs w:val="24"/>
          <w:highlight w:val="none"/>
          <w:u w:val="none"/>
          <w:shd w:val="clear" w:color="auto" w:fill="auto"/>
          <w14:textFill>
            <w14:solidFill>
              <w14:schemeClr w14:val="tx1"/>
            </w14:solidFill>
          </w14:textFill>
        </w:rPr>
      </w:pPr>
      <w:r>
        <w:rPr>
          <w:rFonts w:hint="eastAsia" w:ascii="宋体" w:hAnsi="宋体" w:cs="宋体"/>
          <w:bCs/>
          <w:color w:val="000000" w:themeColor="text1"/>
          <w:sz w:val="24"/>
          <w:highlight w:val="none"/>
          <w:u w:val="none"/>
          <w14:textFill>
            <w14:solidFill>
              <w14:schemeClr w14:val="tx1"/>
            </w14:solidFill>
          </w14:textFill>
        </w:rPr>
        <w:t>2.2.</w:t>
      </w:r>
      <w:r>
        <w:rPr>
          <w:rFonts w:hint="eastAsia" w:ascii="宋体" w:hAnsi="宋体" w:cs="宋体"/>
          <w:bCs/>
          <w:color w:val="000000" w:themeColor="text1"/>
          <w:sz w:val="24"/>
          <w:highlight w:val="none"/>
          <w:u w:val="none"/>
          <w:lang w:val="en-US" w:eastAsia="zh-CN"/>
          <w14:textFill>
            <w14:solidFill>
              <w14:schemeClr w14:val="tx1"/>
            </w14:solidFill>
          </w14:textFill>
        </w:rPr>
        <w:t>9</w:t>
      </w:r>
      <w:r>
        <w:rPr>
          <w:rFonts w:hint="eastAsia" w:ascii="宋体" w:hAnsi="宋体" w:cs="宋体"/>
          <w:bCs/>
          <w:color w:val="000000" w:themeColor="text1"/>
          <w:sz w:val="24"/>
          <w:highlight w:val="none"/>
          <w:u w:val="none"/>
          <w14:textFill>
            <w14:solidFill>
              <w14:schemeClr w14:val="tx1"/>
            </w14:solidFill>
          </w14:textFill>
        </w:rPr>
        <w:t>植物树种添置 树种、品种、树径、高度等均应符合相应的设计方案要求，</w:t>
      </w:r>
      <w:r>
        <w:rPr>
          <w:rFonts w:hint="eastAsia" w:ascii="宋体" w:hAnsi="宋体" w:eastAsia="宋体" w:cs="宋体"/>
          <w:bCs/>
          <w:color w:val="000000" w:themeColor="text1"/>
          <w:sz w:val="24"/>
          <w:szCs w:val="24"/>
          <w:highlight w:val="none"/>
          <w:u w:val="none"/>
          <w:shd w:val="clear" w:color="auto" w:fill="auto"/>
          <w14:textFill>
            <w14:solidFill>
              <w14:schemeClr w14:val="tx1"/>
            </w14:solidFill>
          </w14:textFill>
        </w:rPr>
        <w:t>孤赏树、超大规格苗木尽量选择在周边采购以保障成活率。同时符合该类产品的国家标准、行业标准、地方标准和规范。</w:t>
      </w:r>
    </w:p>
    <w:p>
      <w:pPr>
        <w:keepNext w:val="0"/>
        <w:keepLines w:val="0"/>
        <w:pageBreakBefore w:val="0"/>
        <w:widowControl w:val="0"/>
        <w:numPr>
          <w:ilvl w:val="255"/>
          <w:numId w:val="0"/>
        </w:numPr>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2.2.10基础设施及室内外空间提升改造内容具体要求如下：</w:t>
      </w:r>
    </w:p>
    <w:p>
      <w:pPr>
        <w:keepNext w:val="0"/>
        <w:keepLines w:val="0"/>
        <w:pageBreakBefore w:val="0"/>
        <w:widowControl w:val="0"/>
        <w:numPr>
          <w:ilvl w:val="0"/>
          <w:numId w:val="0"/>
        </w:numPr>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（1）提升改造范围及规模：“</w:t>
      </w:r>
      <w:r>
        <w:rPr>
          <w:rFonts w:hint="eastAsia" w:ascii="宋体" w:hAnsi="宋体" w:eastAsia="宋体" w:cs="宋体"/>
          <w:bCs/>
          <w:color w:val="000000" w:themeColor="text1"/>
          <w:sz w:val="24"/>
          <w:szCs w:val="24"/>
          <w:highlight w:val="none"/>
          <w:u w:val="none"/>
          <w:shd w:val="clear" w:color="auto" w:fill="auto"/>
          <w14:textFill>
            <w14:solidFill>
              <w14:schemeClr w14:val="tx1"/>
            </w14:solidFill>
          </w14:textFill>
        </w:rPr>
        <w:t>梅林村美好生活中心</w:t>
      </w: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w:t>
      </w:r>
      <w:r>
        <w:rPr>
          <w:rFonts w:hint="eastAsia" w:ascii="宋体" w:hAnsi="宋体" w:eastAsia="宋体" w:cs="宋体"/>
          <w:bCs/>
          <w:color w:val="000000" w:themeColor="text1"/>
          <w:sz w:val="24"/>
          <w:szCs w:val="24"/>
          <w:highlight w:val="none"/>
          <w:u w:val="none"/>
          <w:shd w:val="clear" w:color="auto" w:fill="auto"/>
          <w:lang w:eastAsia="zh-CN"/>
          <w14:textFill>
            <w14:solidFill>
              <w14:schemeClr w14:val="tx1"/>
            </w14:solidFill>
          </w14:textFill>
        </w:rPr>
        <w:t>的</w:t>
      </w: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室内外空间、提升改造规模总面积7084㎡ （其中东区7#、8#楼建筑面积3706㎡，户外及楼台面积1128㎡；9#楼建筑面积488㎡；楼间空地等户外空间1762㎡）；“</w:t>
      </w:r>
      <w:r>
        <w:rPr>
          <w:rFonts w:hint="eastAsia" w:ascii="宋体" w:hAnsi="宋体" w:eastAsia="宋体" w:cs="宋体"/>
          <w:bCs/>
          <w:color w:val="000000" w:themeColor="text1"/>
          <w:sz w:val="24"/>
          <w:szCs w:val="24"/>
          <w:highlight w:val="none"/>
          <w:u w:val="none"/>
          <w:shd w:val="clear" w:color="auto" w:fill="auto"/>
          <w14:textFill>
            <w14:solidFill>
              <w14:schemeClr w14:val="tx1"/>
            </w14:solidFill>
          </w14:textFill>
        </w:rPr>
        <w:t>八里桥农事体验馆</w:t>
      </w: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w:t>
      </w:r>
      <w:r>
        <w:rPr>
          <w:rFonts w:hint="eastAsia" w:ascii="宋体" w:hAnsi="宋体" w:eastAsia="宋体" w:cs="宋体"/>
          <w:bCs/>
          <w:color w:val="000000" w:themeColor="text1"/>
          <w:sz w:val="24"/>
          <w:szCs w:val="24"/>
          <w:highlight w:val="none"/>
          <w:u w:val="none"/>
          <w:shd w:val="clear" w:color="auto" w:fill="auto"/>
          <w:lang w:eastAsia="zh-CN"/>
          <w14:textFill>
            <w14:solidFill>
              <w14:schemeClr w14:val="tx1"/>
            </w14:solidFill>
          </w14:textFill>
        </w:rPr>
        <w:t>的</w:t>
      </w: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室内外空间、提升改造规模总面积947平方米（其中室内400㎡；户外及楼台547㎡）；“产业优化示范区农村土地制度改革示范点”包含基本农田800亩、园地3亩，现状建设用地约0.6亩。</w:t>
      </w:r>
    </w:p>
    <w:p>
      <w:pPr>
        <w:pStyle w:val="24"/>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bidi w:val="0"/>
        <w:adjustRightInd/>
        <w:snapToGrid/>
        <w:spacing w:line="360" w:lineRule="auto"/>
        <w:ind w:left="0" w:firstLine="480" w:firstLineChars="200"/>
        <w:jc w:val="left"/>
        <w:textAlignment w:val="auto"/>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（2）供应商的施工企业资质要求：①</w:t>
      </w:r>
      <w:r>
        <w:rPr>
          <w:rFonts w:hint="eastAsia" w:ascii="宋体" w:hAnsi="宋体" w:eastAsia="宋体" w:cs="宋体"/>
          <w:color w:val="000000" w:themeColor="text1"/>
          <w:highlight w:val="none"/>
          <w14:textFill>
            <w14:solidFill>
              <w14:schemeClr w14:val="tx1"/>
            </w14:solidFill>
          </w14:textFill>
        </w:rPr>
        <w:t>具备</w:t>
      </w:r>
      <w:r>
        <w:rPr>
          <w:rFonts w:hint="eastAsia" w:ascii="宋体" w:hAnsi="宋体" w:eastAsia="宋体" w:cs="宋体"/>
          <w:color w:val="000000" w:themeColor="text1"/>
          <w:highlight w:val="none"/>
          <w:u w:val="none"/>
          <w14:textFill>
            <w14:solidFill>
              <w14:schemeClr w14:val="tx1"/>
            </w14:solidFill>
          </w14:textFill>
        </w:rPr>
        <w:t>施工总承包企业建筑工程(新)三级</w:t>
      </w:r>
      <w:r>
        <w:rPr>
          <w:rFonts w:hint="eastAsia" w:ascii="宋体" w:hAnsi="宋体" w:eastAsia="宋体" w:cs="宋体"/>
          <w:color w:val="000000" w:themeColor="text1"/>
          <w:highlight w:val="none"/>
          <w:u w:val="none"/>
          <w:lang w:val="en-US" w:eastAsia="zh-CN"/>
          <w14:textFill>
            <w14:solidFill>
              <w14:schemeClr w14:val="tx1"/>
            </w14:solidFill>
          </w14:textFill>
        </w:rPr>
        <w:t>及以上</w:t>
      </w:r>
      <w:r>
        <w:rPr>
          <w:rFonts w:hint="eastAsia" w:ascii="宋体" w:hAnsi="宋体" w:eastAsia="宋体" w:cs="宋体"/>
          <w:color w:val="000000" w:themeColor="text1"/>
          <w:highlight w:val="none"/>
          <w:u w:val="none"/>
          <w14:textFill>
            <w14:solidFill>
              <w14:schemeClr w14:val="tx1"/>
            </w14:solidFill>
          </w14:textFill>
        </w:rPr>
        <w:t>资质；</w:t>
      </w:r>
      <w:r>
        <w:rPr>
          <w:rFonts w:hint="eastAsia" w:ascii="宋体" w:hAnsi="宋体" w:eastAsia="宋体" w:cs="宋体"/>
          <w:color w:val="000000" w:themeColor="text1"/>
          <w:highlight w:val="none"/>
          <w:u w:val="none"/>
          <w:lang w:val="en-US" w:eastAsia="zh-CN"/>
          <w14:textFill>
            <w14:solidFill>
              <w14:schemeClr w14:val="tx1"/>
            </w14:solidFill>
          </w14:textFill>
        </w:rPr>
        <w:t>②</w:t>
      </w:r>
      <w:r>
        <w:rPr>
          <w:rFonts w:hint="eastAsia" w:ascii="宋体" w:hAnsi="宋体" w:eastAsia="宋体" w:cs="宋体"/>
          <w:color w:val="000000" w:themeColor="text1"/>
          <w:highlight w:val="none"/>
          <w:u w:val="none"/>
          <w14:textFill>
            <w14:solidFill>
              <w14:schemeClr w14:val="tx1"/>
            </w14:solidFill>
          </w14:textFill>
        </w:rPr>
        <w:t>具备有效的企业安全生产许可证；</w:t>
      </w:r>
    </w:p>
    <w:p>
      <w:pPr>
        <w:pStyle w:val="839"/>
        <w:keepNext w:val="0"/>
        <w:keepLines w:val="0"/>
        <w:pageBreakBefore w:val="0"/>
        <w:widowControl w:val="0"/>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（3）人员要求：①本项目施工需有土建工程施工负责人1人，具有注册在供应商单位的建筑工程专业二级注册建造师资格且具有“三类人员”B 类证书；②专职安全生产管理人员1人，具有 “三类人员”C 类证书。</w:t>
      </w:r>
    </w:p>
    <w:p>
      <w:pPr>
        <w:pStyle w:val="839"/>
        <w:keepNext w:val="0"/>
        <w:keepLines w:val="0"/>
        <w:pageBreakBefore w:val="0"/>
        <w:widowControl w:val="0"/>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（4）施工要求：根据采购人确认的设计方案出具的施工图施工。①施工质量标准符合现行国家有关工程施工验收规范和标准的合格要求。②供应商承担施工安全保卫工作及夜间施工照明的责任和要求： 应办理施工临时手续，施工现场的夜间照明线路必须单独敷设。供应商必须按合同及总承包实施计划进行施工组织，项目部管理人员在所辖工程或分项工程施工期间(包括准备和收尾阶段)，均须专职在岗， 不得兼任其他项目任何职务。供应商应加强安全生产管理，制定安全操作规程，保证工程施工的安全， 供应商应教育其职工进行文明施工， 配备必要的安全生产设施和劳动保护用具。供应商应对其管辖范围内的人员和设备(包括采购人的人员和设备) 以及工程的安全负责，应负责做好其所辖人员的工作场所和居住区的日常治安管理和安全保护工作， 设置必要的消防水源和消防设备。供应商必须对施工现场的用电安全负责。施工现场用电必须遵照杭州市建委颁布的施工现场用电管理条例执行。在工地现场做好警戒告示牌和围护， 提醒进入施工现场人员的注意，所发生的费用由供应商承担。③供应商办理的有关环卫和施工噪音管理等手续：按有关规定办理质安监、排污、夜间施工等手续，费用自理。若因供应商原因导致的罚款和处罚由供应商承担， 由此引起的进度延误不予顺延。</w:t>
      </w:r>
    </w:p>
    <w:p>
      <w:pPr>
        <w:pStyle w:val="839"/>
        <w:keepNext w:val="0"/>
        <w:keepLines w:val="0"/>
        <w:pageBreakBefore w:val="0"/>
        <w:widowControl w:val="0"/>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 xml:space="preserve">④完工工程成品保护的特殊要求及费用承担：工程未正式办理交付手续前，成品保护由供应商完全负责(包括所需费用)，如果保护期间发生损坏，供应商须自费予以修复，直至采购人满意为止。交付手续办清后，非质量原因引起的损坏由采购人负责。  </w:t>
      </w:r>
    </w:p>
    <w:p>
      <w:pPr>
        <w:pStyle w:val="839"/>
        <w:keepNext w:val="0"/>
        <w:keepLines w:val="0"/>
        <w:pageBreakBefore w:val="0"/>
        <w:widowControl w:val="0"/>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⑤施工现场清洁卫生的要求：按《杭州市建筑工程施工场地文明管理规定》的要求执行，并承担公共部位的清洁和因施工被损坏的绿化恢复费用。工程交接完成后， 供应商应在7 天内应清除掉现场内所有不再需要的临时工程、设施、供应商 的设备和多余材料、生活垃圾和废物， 达到采购人满意的状态（所发生的各项费用均已包括在合同总价内）。</w:t>
      </w:r>
    </w:p>
    <w:p>
      <w:pPr>
        <w:pStyle w:val="839"/>
        <w:keepNext w:val="0"/>
        <w:keepLines w:val="0"/>
        <w:pageBreakBefore w:val="0"/>
        <w:widowControl w:val="0"/>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⑥合同履约期间供应商应遵守国家及当地政府发布的法令、法规，包括交通、治安、绿化、噪音、渣土管理、污水排放、外来民工登记等规定。因供应商原因引起的行政处罚等费用，由供应商承担。供应商须教育职工和民工遵纪守法，严禁打架、斗殴、赌博等违 法行为发生， 由此产生的后果由供应商负责。</w:t>
      </w:r>
    </w:p>
    <w:p>
      <w:pPr>
        <w:pStyle w:val="839"/>
        <w:keepNext w:val="0"/>
        <w:keepLines w:val="0"/>
        <w:pageBreakBefore w:val="0"/>
        <w:widowControl w:val="0"/>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 xml:space="preserve">⑦供应商应处理好与周边单位与居民的关系，保证不影响周边单位与居民的日常生活与办公活动。若施工需要停水、停电、停气等可能影响到施工现场周围地区单位和居民的工作、 生活时，供应商应当依法报请有关行政主管部门批准，并按照规定事先通告可能受影响的单位和居民。因施工导致突发性停水、停电、停气的，供应商应当立即向相关行政管理部门报告，同时采取补救措施。 如因供应商原因造成纠纷或第三方索赔的，供应商应全权负责赔偿与善后事宜，由此引起的一切后果与采购人无关。 </w:t>
      </w:r>
    </w:p>
    <w:p>
      <w:pPr>
        <w:numPr>
          <w:ilvl w:val="0"/>
          <w:numId w:val="4"/>
        </w:num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运营管理内容（运营期限：3年）</w:t>
      </w:r>
    </w:p>
    <w:p>
      <w:pPr>
        <w:pStyle w:val="26"/>
        <w:spacing w:line="360" w:lineRule="auto"/>
        <w:ind w:left="0" w:leftChars="0" w:firstLine="241" w:firstLineChars="100"/>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3.1运营范围：</w:t>
      </w:r>
      <w:r>
        <w:rPr>
          <w:rFonts w:hint="eastAsia" w:ascii="宋体" w:hAnsi="宋体" w:cs="宋体"/>
          <w:bCs/>
          <w:color w:val="000000" w:themeColor="text1"/>
          <w:sz w:val="24"/>
          <w:highlight w:val="none"/>
          <w14:textFill>
            <w14:solidFill>
              <w14:schemeClr w14:val="tx1"/>
            </w14:solidFill>
          </w14:textFill>
        </w:rPr>
        <w:t>大梅林共同富裕示范带（一期）产业招商、资源统筹对接、业态管理、日常经营性活动管理与运营、人员基础技能培训、大梅林组成村庄的村庄发展咨询、</w:t>
      </w:r>
      <w:r>
        <w:rPr>
          <w:rFonts w:hint="eastAsia" w:ascii="宋体" w:hAnsi="宋体" w:cs="宋体"/>
          <w:bCs/>
          <w:color w:val="000000" w:themeColor="text1"/>
          <w:sz w:val="24"/>
          <w:highlight w:val="none"/>
          <w:lang w:val="en-US" w:eastAsia="zh-CN"/>
          <w14:textFill>
            <w14:solidFill>
              <w14:schemeClr w14:val="tx1"/>
            </w14:solidFill>
          </w14:textFill>
        </w:rPr>
        <w:t>清卫保洁、安保</w:t>
      </w:r>
      <w:r>
        <w:rPr>
          <w:rFonts w:hint="eastAsia" w:ascii="宋体" w:hAnsi="宋体" w:cs="宋体"/>
          <w:bCs/>
          <w:color w:val="000000" w:themeColor="text1"/>
          <w:sz w:val="24"/>
          <w:highlight w:val="none"/>
          <w14:textFill>
            <w14:solidFill>
              <w14:schemeClr w14:val="tx1"/>
            </w14:solidFill>
          </w14:textFill>
        </w:rPr>
        <w:t>服务（包含安保维护、保洁服务、水电维护）等。</w:t>
      </w:r>
    </w:p>
    <w:p>
      <w:pPr>
        <w:pStyle w:val="26"/>
        <w:spacing w:line="360" w:lineRule="auto"/>
        <w:ind w:left="0" w:leftChars="0"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3.2运营具体要求</w:t>
      </w:r>
    </w:p>
    <w:p>
      <w:pPr>
        <w:pStyle w:val="27"/>
        <w:adjustRightInd/>
        <w:spacing w:line="360" w:lineRule="auto"/>
        <w:rPr>
          <w:rFonts w:cs="宋体"/>
          <w:bCs/>
          <w:color w:val="000000" w:themeColor="text1"/>
          <w:szCs w:val="21"/>
          <w:highlight w:val="none"/>
          <w14:textFill>
            <w14:solidFill>
              <w14:schemeClr w14:val="tx1"/>
            </w14:solidFill>
          </w14:textFill>
        </w:rPr>
      </w:pPr>
      <w:r>
        <w:rPr>
          <w:rFonts w:hint="eastAsia" w:cs="宋体"/>
          <w:bCs/>
          <w:color w:val="000000" w:themeColor="text1"/>
          <w:szCs w:val="21"/>
          <w:highlight w:val="none"/>
          <w14:textFill>
            <w14:solidFill>
              <w14:schemeClr w14:val="tx1"/>
            </w14:solidFill>
          </w14:textFill>
        </w:rPr>
        <w:t>3.2.1大梅林共同富裕示范带（一期）产业招商：根据项目进度，在项目产业等相关业态布局初步完善后，进行品牌招商服务，根据不同的场地性质和项目策划需求，完成对应的招商内容，引进不少于4家本土品牌及符合本项目招商定位的商业项目，目的在于带动当地百姓创业信心，提升本地商业氛围。</w:t>
      </w:r>
    </w:p>
    <w:p>
      <w:pPr>
        <w:adjustRightInd/>
        <w:spacing w:line="360" w:lineRule="auto"/>
        <w:ind w:firstLine="480" w:firstLineChars="200"/>
        <w:jc w:val="left"/>
        <w:rPr>
          <w:rFonts w:ascii="宋体" w:hAnsi="宋体" w:cs="宋体"/>
          <w:bCs/>
          <w:color w:val="000000" w:themeColor="text1"/>
          <w:sz w:val="24"/>
          <w:szCs w:val="21"/>
          <w:highlight w:val="none"/>
          <w:u w:val="none"/>
          <w14:textFill>
            <w14:solidFill>
              <w14:schemeClr w14:val="tx1"/>
            </w14:solidFill>
          </w14:textFill>
        </w:rPr>
      </w:pPr>
      <w:r>
        <w:rPr>
          <w:rFonts w:hint="eastAsia" w:ascii="宋体" w:hAnsi="宋体" w:cs="宋体"/>
          <w:bCs/>
          <w:color w:val="000000" w:themeColor="text1"/>
          <w:sz w:val="24"/>
          <w:szCs w:val="21"/>
          <w:highlight w:val="none"/>
          <w14:textFill>
            <w14:solidFill>
              <w14:schemeClr w14:val="tx1"/>
            </w14:solidFill>
          </w14:textFill>
        </w:rPr>
        <w:t>3.2.2</w:t>
      </w:r>
      <w:r>
        <w:rPr>
          <w:rFonts w:ascii="宋体" w:hAnsi="宋体" w:cs="宋体"/>
          <w:bCs/>
          <w:color w:val="000000" w:themeColor="text1"/>
          <w:sz w:val="24"/>
          <w:szCs w:val="21"/>
          <w:highlight w:val="none"/>
          <w14:textFill>
            <w14:solidFill>
              <w14:schemeClr w14:val="tx1"/>
            </w14:solidFill>
          </w14:textFill>
        </w:rPr>
        <w:t>资源统筹对接</w:t>
      </w:r>
      <w:r>
        <w:rPr>
          <w:rFonts w:hint="eastAsia" w:ascii="宋体" w:hAnsi="宋体" w:cs="宋体"/>
          <w:bCs/>
          <w:color w:val="000000" w:themeColor="text1"/>
          <w:sz w:val="24"/>
          <w:szCs w:val="21"/>
          <w:highlight w:val="none"/>
          <w14:textFill>
            <w14:solidFill>
              <w14:schemeClr w14:val="tx1"/>
            </w14:solidFill>
          </w14:textFill>
        </w:rPr>
        <w:t>：</w:t>
      </w:r>
      <w:r>
        <w:rPr>
          <w:rFonts w:hint="eastAsia" w:ascii="宋体" w:hAnsi="宋体" w:cs="宋体"/>
          <w:bCs/>
          <w:color w:val="000000" w:themeColor="text1"/>
          <w:sz w:val="24"/>
          <w:szCs w:val="21"/>
          <w:highlight w:val="none"/>
          <w:u w:val="none"/>
          <w14:textFill>
            <w14:solidFill>
              <w14:schemeClr w14:val="tx1"/>
            </w14:solidFill>
          </w14:textFill>
        </w:rPr>
        <w:t>整体运营定位方案：在地文化挖掘、空间定位、场景落位、业态定位等，形成系统性指导方案及阶段性目标；</w:t>
      </w:r>
    </w:p>
    <w:p>
      <w:pPr>
        <w:adjustRightInd/>
        <w:spacing w:line="360" w:lineRule="auto"/>
        <w:ind w:firstLine="480" w:firstLineChars="200"/>
        <w:jc w:val="left"/>
        <w:rPr>
          <w:rFonts w:ascii="宋体" w:hAnsi="宋体" w:cs="宋体"/>
          <w:bCs/>
          <w:color w:val="000000" w:themeColor="text1"/>
          <w:sz w:val="24"/>
          <w:szCs w:val="21"/>
          <w:highlight w:val="none"/>
          <w:u w:val="none"/>
          <w14:textFill>
            <w14:solidFill>
              <w14:schemeClr w14:val="tx1"/>
            </w14:solidFill>
          </w14:textFill>
        </w:rPr>
      </w:pPr>
      <w:r>
        <w:rPr>
          <w:rFonts w:hint="eastAsia" w:ascii="宋体" w:hAnsi="宋体" w:cs="宋体"/>
          <w:bCs/>
          <w:color w:val="000000" w:themeColor="text1"/>
          <w:sz w:val="24"/>
          <w:szCs w:val="21"/>
          <w:highlight w:val="none"/>
          <w:u w:val="none"/>
          <w14:textFill>
            <w14:solidFill>
              <w14:schemeClr w14:val="tx1"/>
            </w14:solidFill>
          </w14:textFill>
        </w:rPr>
        <w:t>3.2.3公共空间及商业业态运营：公共空间内容策划（含年度活动策划、阶段性活动策划）、商业业态定位（目前商业街的调研、运营提升方案）、招商（品牌业态入驻，先行运营；</w:t>
      </w:r>
    </w:p>
    <w:p>
      <w:pPr>
        <w:adjustRightInd/>
        <w:spacing w:line="360" w:lineRule="auto"/>
        <w:ind w:firstLine="480" w:firstLineChars="200"/>
        <w:jc w:val="left"/>
        <w:rPr>
          <w:rFonts w:ascii="宋体" w:hAnsi="宋体" w:cs="宋体"/>
          <w:bCs/>
          <w:color w:val="000000" w:themeColor="text1"/>
          <w:sz w:val="24"/>
          <w:szCs w:val="21"/>
          <w:highlight w:val="none"/>
          <w14:textFill>
            <w14:solidFill>
              <w14:schemeClr w14:val="tx1"/>
            </w14:solidFill>
          </w14:textFill>
        </w:rPr>
      </w:pPr>
      <w:r>
        <w:rPr>
          <w:rFonts w:hint="eastAsia" w:ascii="宋体" w:hAnsi="宋体" w:cs="宋体"/>
          <w:bCs/>
          <w:color w:val="000000" w:themeColor="text1"/>
          <w:sz w:val="24"/>
          <w:szCs w:val="21"/>
          <w:highlight w:val="none"/>
          <w:u w:val="none"/>
          <w14:textFill>
            <w14:solidFill>
              <w14:schemeClr w14:val="tx1"/>
            </w14:solidFill>
          </w14:textFill>
        </w:rPr>
        <w:t>3.2.4新媒体传播：公众号</w:t>
      </w:r>
      <w:r>
        <w:rPr>
          <w:rFonts w:hint="eastAsia" w:ascii="宋体" w:hAnsi="宋体" w:cs="宋体"/>
          <w:bCs/>
          <w:color w:val="000000" w:themeColor="text1"/>
          <w:sz w:val="24"/>
          <w:szCs w:val="21"/>
          <w:highlight w:val="none"/>
          <w14:textFill>
            <w14:solidFill>
              <w14:schemeClr w14:val="tx1"/>
            </w14:solidFill>
          </w14:textFill>
        </w:rPr>
        <w:t>搭建、公共关系维护，专班年轻化；</w:t>
      </w:r>
    </w:p>
    <w:p>
      <w:pPr>
        <w:adjustRightInd/>
        <w:spacing w:line="360" w:lineRule="auto"/>
        <w:ind w:firstLine="480" w:firstLineChars="200"/>
        <w:jc w:val="left"/>
        <w:rPr>
          <w:rFonts w:ascii="宋体" w:hAnsi="宋体" w:cs="宋体"/>
          <w:bCs/>
          <w:color w:val="000000" w:themeColor="text1"/>
          <w:sz w:val="24"/>
          <w:szCs w:val="21"/>
          <w:highlight w:val="none"/>
          <w14:textFill>
            <w14:solidFill>
              <w14:schemeClr w14:val="tx1"/>
            </w14:solidFill>
          </w14:textFill>
        </w:rPr>
      </w:pPr>
      <w:r>
        <w:rPr>
          <w:rFonts w:hint="eastAsia" w:ascii="宋体" w:hAnsi="宋体" w:cs="宋体"/>
          <w:bCs/>
          <w:color w:val="000000" w:themeColor="text1"/>
          <w:sz w:val="24"/>
          <w:szCs w:val="21"/>
          <w:highlight w:val="none"/>
          <w14:textFill>
            <w14:solidFill>
              <w14:schemeClr w14:val="tx1"/>
            </w14:solidFill>
          </w14:textFill>
        </w:rPr>
        <w:t>3.2.5建立业态品牌库：含品牌餐饮、文化休闲、零售、娱乐等区块，使社区更具人文生活气息</w:t>
      </w:r>
    </w:p>
    <w:p>
      <w:pPr>
        <w:pStyle w:val="26"/>
        <w:adjustRightInd/>
        <w:spacing w:line="360" w:lineRule="auto"/>
        <w:ind w:left="0" w:leftChars="0" w:firstLine="480" w:firstLineChars="200"/>
        <w:rPr>
          <w:rFonts w:ascii="宋体" w:hAnsi="宋体" w:cs="宋体"/>
          <w:bCs/>
          <w:color w:val="000000" w:themeColor="text1"/>
          <w:sz w:val="24"/>
          <w:szCs w:val="21"/>
          <w:highlight w:val="none"/>
          <w14:textFill>
            <w14:solidFill>
              <w14:schemeClr w14:val="tx1"/>
            </w14:solidFill>
          </w14:textFill>
        </w:rPr>
      </w:pPr>
      <w:r>
        <w:rPr>
          <w:rFonts w:hint="eastAsia" w:ascii="宋体" w:hAnsi="宋体" w:cs="宋体"/>
          <w:bCs/>
          <w:color w:val="000000" w:themeColor="text1"/>
          <w:sz w:val="24"/>
          <w:szCs w:val="21"/>
          <w:highlight w:val="none"/>
          <w14:textFill>
            <w14:solidFill>
              <w14:schemeClr w14:val="tx1"/>
            </w14:solidFill>
          </w14:textFill>
        </w:rPr>
        <w:t>3.2.6日常经营性活动管理与运营：</w:t>
      </w:r>
    </w:p>
    <w:p>
      <w:pPr>
        <w:adjustRightInd/>
        <w:spacing w:line="360" w:lineRule="auto"/>
        <w:ind w:firstLine="420" w:firstLineChars="17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（1）对各类应急事件进行处置；负责牵头组织日常参观接待；阶段性向采购人汇报工作情况，并按要求进行优化调整。</w:t>
      </w:r>
    </w:p>
    <w:p>
      <w:pPr>
        <w:adjustRightInd/>
        <w:spacing w:line="360" w:lineRule="auto"/>
        <w:ind w:firstLine="420" w:firstLineChars="17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（2）参与政府组织的各类政策性学习或工作布置会议；协助完成政府部门的工作对接及政策落地执行；协助参与关键性事件的处置指导。</w:t>
      </w:r>
    </w:p>
    <w:p>
      <w:pPr>
        <w:adjustRightInd/>
        <w:spacing w:line="360" w:lineRule="auto"/>
        <w:ind w:firstLine="420" w:firstLineChars="17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提高知名度的活动、年度大型活动、日常活动、商业活动、公益活动（含配合政府部门）、节日活动的总体计划编制；各类型活动的文案策划、执行指导；活动外采的资源统筹；商业活动需求调研、活动策划、资源统筹。</w:t>
      </w:r>
    </w:p>
    <w:p>
      <w:pPr>
        <w:adjustRightInd/>
        <w:spacing w:line="360" w:lineRule="auto"/>
        <w:ind w:firstLine="420" w:firstLineChars="17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协助完成政府部门、社会组织的社区参观、学习、调研、接待工作；负责向上级政府部门阶段性提交汇报材料；匹配政府部门的相关工作职能或阶段性计划，提供材料或协助执行；负责经验的对外宣传、推广；政府公关的其他协调工作。</w:t>
      </w:r>
    </w:p>
    <w:p>
      <w:pPr>
        <w:adjustRightInd/>
        <w:spacing w:line="360" w:lineRule="auto"/>
        <w:ind w:firstLine="480" w:firstLineChars="200"/>
        <w:rPr>
          <w:rFonts w:ascii="宋体" w:hAnsi="宋体" w:cs="宋体"/>
          <w:bCs/>
          <w:color w:val="000000" w:themeColor="text1"/>
          <w:sz w:val="24"/>
          <w:szCs w:val="21"/>
          <w:highlight w:val="none"/>
          <w14:textFill>
            <w14:solidFill>
              <w14:schemeClr w14:val="tx1"/>
            </w14:solidFill>
          </w14:textFill>
        </w:rPr>
      </w:pPr>
      <w:r>
        <w:rPr>
          <w:rFonts w:hint="eastAsia" w:ascii="宋体" w:hAnsi="宋体" w:cs="宋体"/>
          <w:bCs/>
          <w:color w:val="000000" w:themeColor="text1"/>
          <w:sz w:val="24"/>
          <w:szCs w:val="21"/>
          <w:highlight w:val="none"/>
          <w14:textFill>
            <w14:solidFill>
              <w14:schemeClr w14:val="tx1"/>
            </w14:solidFill>
          </w14:textFill>
        </w:rPr>
        <w:t>3.2.7人员基础技能培训：</w:t>
      </w:r>
    </w:p>
    <w:p>
      <w:pPr>
        <w:pStyle w:val="25"/>
        <w:autoSpaceDE/>
        <w:autoSpaceDN/>
        <w:adjustRightInd/>
        <w:ind w:firstLine="513" w:firstLineChars="214"/>
        <w:rPr>
          <w:rFonts w:hAnsi="宋体" w:cs="宋体"/>
          <w:bCs/>
          <w:color w:val="000000" w:themeColor="text1"/>
          <w:szCs w:val="21"/>
          <w:highlight w:val="none"/>
          <w:u w:val="none"/>
          <w:lang w:val="en-US"/>
          <w14:textFill>
            <w14:solidFill>
              <w14:schemeClr w14:val="tx1"/>
            </w14:solidFill>
          </w14:textFill>
        </w:rPr>
      </w:pPr>
      <w:r>
        <w:rPr>
          <w:rFonts w:hint="eastAsia" w:hAnsi="宋体" w:cs="宋体"/>
          <w:bCs/>
          <w:color w:val="000000" w:themeColor="text1"/>
          <w:szCs w:val="21"/>
          <w:highlight w:val="none"/>
          <w:lang w:val="en-US"/>
          <w14:textFill>
            <w14:solidFill>
              <w14:schemeClr w14:val="tx1"/>
            </w14:solidFill>
          </w14:textFill>
        </w:rPr>
        <w:t>3.2.8大梅林组成村庄的村庄发展咨</w:t>
      </w:r>
      <w:r>
        <w:rPr>
          <w:rFonts w:hint="eastAsia" w:hAnsi="宋体" w:cs="宋体"/>
          <w:bCs/>
          <w:color w:val="000000" w:themeColor="text1"/>
          <w:szCs w:val="21"/>
          <w:highlight w:val="none"/>
          <w:u w:val="none"/>
          <w:lang w:val="en-US"/>
          <w14:textFill>
            <w14:solidFill>
              <w14:schemeClr w14:val="tx1"/>
            </w14:solidFill>
          </w14:textFill>
        </w:rPr>
        <w:t>询：一村一品设计、农业需树立品牌，可持续发展；中期设想，产业孵化，强村公司（5个村）帮带并三年运营公司总产值2000万元、带动区域产值增收1000万元（带动统计方式为：招商入驻企业的应收，协助当地村集体、村民、企业获得的营收）。</w:t>
      </w:r>
    </w:p>
    <w:p>
      <w:pPr>
        <w:pStyle w:val="26"/>
        <w:spacing w:line="360" w:lineRule="auto"/>
        <w:ind w:left="0" w:leftChars="0"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szCs w:val="21"/>
          <w:highlight w:val="none"/>
          <w14:textFill>
            <w14:solidFill>
              <w14:schemeClr w14:val="tx1"/>
            </w14:solidFill>
          </w14:textFill>
        </w:rPr>
        <w:t>3.2.</w:t>
      </w:r>
      <w:r>
        <w:rPr>
          <w:rFonts w:hint="eastAsia" w:ascii="宋体" w:hAnsi="宋体" w:cs="宋体"/>
          <w:bCs/>
          <w:color w:val="000000" w:themeColor="text1"/>
          <w:sz w:val="24"/>
          <w:highlight w:val="none"/>
          <w14:textFill>
            <w14:solidFill>
              <w14:schemeClr w14:val="tx1"/>
            </w14:solidFill>
          </w14:textFill>
        </w:rPr>
        <w:t>9梅林村党群服务驿站、新时代文明实践站、妇儿驿站等均已植入美好生活中心，后期美好生活中心运营也要配合上级条线要求，供应商配合做好各条线荣誉申报、场景打造等工作；</w:t>
      </w:r>
    </w:p>
    <w:p>
      <w:pPr>
        <w:pStyle w:val="26"/>
        <w:spacing w:line="360" w:lineRule="auto"/>
        <w:ind w:left="0" w:leftChars="0"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szCs w:val="21"/>
          <w:highlight w:val="none"/>
          <w14:textFill>
            <w14:solidFill>
              <w14:schemeClr w14:val="tx1"/>
            </w14:solidFill>
          </w14:textFill>
        </w:rPr>
        <w:t>3.2.</w:t>
      </w:r>
      <w:r>
        <w:rPr>
          <w:rFonts w:hint="eastAsia" w:ascii="宋体" w:hAnsi="宋体" w:cs="宋体"/>
          <w:bCs/>
          <w:color w:val="000000" w:themeColor="text1"/>
          <w:sz w:val="24"/>
          <w:highlight w:val="none"/>
          <w14:textFill>
            <w14:solidFill>
              <w14:schemeClr w14:val="tx1"/>
            </w14:solidFill>
          </w14:textFill>
        </w:rPr>
        <w:t>10现有活动场地，如影厅、广场等公共活动空间使用，在场地冲突的情况下，梅林村需有优先权。</w:t>
      </w:r>
    </w:p>
    <w:p>
      <w:pPr>
        <w:pStyle w:val="26"/>
        <w:spacing w:line="360" w:lineRule="auto"/>
        <w:ind w:left="0" w:leftChars="0"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3.3</w:t>
      </w:r>
      <w:r>
        <w:rPr>
          <w:rFonts w:hint="eastAsia" w:ascii="宋体" w:hAnsi="宋体" w:cs="宋体"/>
          <w:bCs/>
          <w:color w:val="000000" w:themeColor="text1"/>
          <w:sz w:val="24"/>
          <w:highlight w:val="none"/>
          <w:lang w:val="en-US" w:eastAsia="zh-CN"/>
          <w14:textFill>
            <w14:solidFill>
              <w14:schemeClr w14:val="tx1"/>
            </w14:solidFill>
          </w14:textFill>
        </w:rPr>
        <w:t>清卫保洁、安保</w:t>
      </w:r>
      <w:r>
        <w:rPr>
          <w:rFonts w:hint="eastAsia" w:ascii="宋体" w:hAnsi="宋体" w:cs="宋体"/>
          <w:bCs/>
          <w:color w:val="000000" w:themeColor="text1"/>
          <w:sz w:val="24"/>
          <w:highlight w:val="none"/>
          <w14:textFill>
            <w14:solidFill>
              <w14:schemeClr w14:val="tx1"/>
            </w14:solidFill>
          </w14:textFill>
        </w:rPr>
        <w:t>服务</w:t>
      </w:r>
    </w:p>
    <w:p>
      <w:pPr>
        <w:pStyle w:val="133"/>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3.3.1运营服务期间核心点位“美好生活中心、八里桥农事体验馆、产业优化示范区农村土地制度改革示范点”</w:t>
      </w:r>
      <w:r>
        <w:rPr>
          <w:rFonts w:hint="eastAsia" w:ascii="宋体" w:hAnsi="宋体" w:cs="宋体"/>
          <w:bCs/>
          <w:color w:val="000000" w:themeColor="text1"/>
          <w:sz w:val="24"/>
          <w:highlight w:val="none"/>
          <w:lang w:val="en-US" w:eastAsia="zh-CN"/>
          <w14:textFill>
            <w14:solidFill>
              <w14:schemeClr w14:val="tx1"/>
            </w14:solidFill>
          </w14:textFill>
        </w:rPr>
        <w:t>清卫保洁、安保</w:t>
      </w:r>
      <w:r>
        <w:rPr>
          <w:rFonts w:hint="eastAsia" w:ascii="宋体" w:hAnsi="宋体" w:cs="宋体"/>
          <w:bCs/>
          <w:color w:val="000000" w:themeColor="text1"/>
          <w:highlight w:val="none"/>
          <w14:textFill>
            <w14:solidFill>
              <w14:schemeClr w14:val="tx1"/>
            </w14:solidFill>
          </w14:textFill>
        </w:rPr>
        <w:t>服务，包含安保维护、保洁服务、水电维护及绿化养护服务。</w:t>
      </w:r>
    </w:p>
    <w:p>
      <w:pPr>
        <w:pStyle w:val="133"/>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3.3.2人员数量：（1）要求核心点位日常用工12人。其中人员聘用要求：符合各岗位服务需求，上岗人员需身体健康、形象佳、工作责任心主动意识强、服从工作安排，具有较强的服务和主人翁意识，具有岗位专业操作经验者优先。</w:t>
      </w:r>
    </w:p>
    <w:p>
      <w:pPr>
        <w:pStyle w:val="26"/>
        <w:spacing w:line="360" w:lineRule="auto"/>
        <w:ind w:left="0" w:leftChars="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突击用工：根据采购人需要，协助完成政府部门、社会组织的社区参观、学习、调研、接待工作等临时需要的突击用工，该突击用工费用综合考虑至投标总价中，不另外支付费用。根据采购人的通知人员数量要求，按采购人的人员数量和时间的要求及时派遣临时突击用工。如未能按采购人要求及时派遣突击用工，采购人可以自行委托第三方服务单位提供突击用工，费用全部由供应商承担。</w:t>
      </w:r>
    </w:p>
    <w:p>
      <w:pPr>
        <w:pStyle w:val="133"/>
        <w:spacing w:before="0"/>
        <w:ind w:firstLine="480"/>
        <w:jc w:val="left"/>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3.3.3具体要求</w:t>
      </w:r>
    </w:p>
    <w:p>
      <w:pPr>
        <w:pStyle w:val="133"/>
        <w:spacing w:before="0"/>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（1）</w:t>
      </w:r>
      <w:r>
        <w:rPr>
          <w:rFonts w:hint="eastAsia" w:ascii="宋体" w:hAnsi="宋体" w:cs="宋体"/>
          <w:color w:val="000000" w:themeColor="text1"/>
          <w:kern w:val="0"/>
          <w:szCs w:val="24"/>
          <w:highlight w:val="none"/>
          <w14:textFill>
            <w14:solidFill>
              <w14:schemeClr w14:val="tx1"/>
            </w14:solidFill>
          </w14:textFill>
        </w:rPr>
        <w:t>对“美好生活中心、八里桥农事体验馆、产业优化示范区农村土地制度改革示范点”的营运管理</w:t>
      </w:r>
      <w:r>
        <w:rPr>
          <w:rFonts w:hint="eastAsia" w:ascii="宋体" w:hAnsi="宋体"/>
          <w:color w:val="000000" w:themeColor="text1"/>
          <w:kern w:val="0"/>
          <w:highlight w:val="none"/>
          <w14:textFill>
            <w14:solidFill>
              <w14:schemeClr w14:val="tx1"/>
            </w14:solidFill>
          </w14:textFill>
        </w:rPr>
        <w:t>区域范围内所有</w:t>
      </w:r>
      <w:r>
        <w:rPr>
          <w:rFonts w:hint="eastAsia" w:ascii="宋体" w:hAnsi="宋体" w:cs="宋体"/>
          <w:color w:val="000000" w:themeColor="text1"/>
          <w:kern w:val="0"/>
          <w:szCs w:val="24"/>
          <w:highlight w:val="none"/>
          <w14:textFill>
            <w14:solidFill>
              <w14:schemeClr w14:val="tx1"/>
            </w14:solidFill>
          </w14:textFill>
        </w:rPr>
        <w:t>场所日常卫生保洁工作（含洗手间）。</w:t>
      </w:r>
      <w:r>
        <w:rPr>
          <w:rFonts w:hint="eastAsia" w:ascii="宋体" w:hAnsi="宋体" w:cs="宋体"/>
          <w:color w:val="000000" w:themeColor="text1"/>
          <w:szCs w:val="24"/>
          <w:highlight w:val="none"/>
          <w14:textFill>
            <w14:solidFill>
              <w14:schemeClr w14:val="tx1"/>
            </w14:solidFill>
          </w14:textFill>
        </w:rPr>
        <w:t>保洁和垃圾清除要及时到位。</w:t>
      </w:r>
    </w:p>
    <w:p>
      <w:pPr>
        <w:pStyle w:val="133"/>
        <w:spacing w:before="0"/>
        <w:ind w:firstLine="480"/>
        <w:jc w:val="left"/>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（2）</w:t>
      </w:r>
      <w:r>
        <w:rPr>
          <w:rFonts w:hint="eastAsia" w:ascii="宋体" w:hAnsi="宋体"/>
          <w:color w:val="000000" w:themeColor="text1"/>
          <w:kern w:val="0"/>
          <w:highlight w:val="none"/>
          <w14:textFill>
            <w14:solidFill>
              <w14:schemeClr w14:val="tx1"/>
            </w14:solidFill>
          </w14:textFill>
        </w:rPr>
        <w:t>需做好</w:t>
      </w:r>
      <w:r>
        <w:rPr>
          <w:rFonts w:hint="eastAsia" w:ascii="宋体" w:hAnsi="宋体" w:cs="宋体"/>
          <w:color w:val="000000" w:themeColor="text1"/>
          <w:kern w:val="0"/>
          <w:szCs w:val="24"/>
          <w:highlight w:val="none"/>
          <w14:textFill>
            <w14:solidFill>
              <w14:schemeClr w14:val="tx1"/>
            </w14:solidFill>
          </w14:textFill>
        </w:rPr>
        <w:t>营运管理</w:t>
      </w:r>
      <w:r>
        <w:rPr>
          <w:rFonts w:hint="eastAsia" w:ascii="宋体" w:hAnsi="宋体"/>
          <w:color w:val="000000" w:themeColor="text1"/>
          <w:kern w:val="0"/>
          <w:highlight w:val="none"/>
          <w14:textFill>
            <w14:solidFill>
              <w14:schemeClr w14:val="tx1"/>
            </w14:solidFill>
          </w14:textFill>
        </w:rPr>
        <w:t>区域范围内所有绿地养护工作，禁止绿化破坏等现象，确保所有绿化的完整性。且3年营运管理服务期限内，涉及区域范围内有部分新增移交的绿地也必须接受养护工作，直至服务期限结束。</w:t>
      </w:r>
    </w:p>
    <w:p>
      <w:pPr>
        <w:adjustRightInd/>
        <w:spacing w:line="360" w:lineRule="auto"/>
        <w:ind w:firstLine="482"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3.4运营服务考核办法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3.4.1考核评分细则</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（1）运营服务内容完成情况由“运营服务内容完成情况满意度考核”和“产值绩效考核”两部分，其中“运营服务内容完成情况满意度考核”每隔半年考核一次，“产值绩效考核”3年服务期限结束后考核一次。</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运营服务内容考核评分细则以和美共富·全民共享——大梅林新时代梅林乡村共富富裕示范带创建要求和服务需求内容为准（满分100分，指标性任务完成得满分，每少完成一项相应扣分，扣完为止），考核评分细则详见下表所示：</w:t>
      </w:r>
    </w:p>
    <w:p>
      <w:pPr>
        <w:spacing w:line="360" w:lineRule="auto"/>
        <w:jc w:val="center"/>
        <w:outlineLvl w:val="3"/>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表1  “运营服务内容完成情况满意度考核”评分细则</w:t>
      </w:r>
    </w:p>
    <w:tbl>
      <w:tblPr>
        <w:tblStyle w:val="63"/>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890"/>
        <w:gridCol w:w="492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序号</w:t>
            </w:r>
          </w:p>
        </w:tc>
        <w:tc>
          <w:tcPr>
            <w:tcW w:w="6810" w:type="dxa"/>
            <w:gridSpan w:val="2"/>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评分内容（满分100分）</w:t>
            </w:r>
          </w:p>
        </w:tc>
        <w:tc>
          <w:tcPr>
            <w:tcW w:w="1497" w:type="dxa"/>
          </w:tcPr>
          <w:p>
            <w:pPr>
              <w:pStyle w:val="967"/>
              <w:widowControl w:val="0"/>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满意度</w:t>
            </w:r>
          </w:p>
          <w:p>
            <w:pPr>
              <w:pStyle w:val="967"/>
              <w:widowControl w:val="0"/>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1</w:t>
            </w:r>
          </w:p>
        </w:tc>
        <w:tc>
          <w:tcPr>
            <w:tcW w:w="6810" w:type="dxa"/>
            <w:gridSpan w:val="2"/>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对</w:t>
            </w:r>
            <w:r>
              <w:rPr>
                <w:rFonts w:hint="eastAsia" w:cs="宋体"/>
                <w:color w:val="000000" w:themeColor="text1"/>
                <w:szCs w:val="24"/>
                <w:highlight w:val="none"/>
                <w14:textFill>
                  <w14:solidFill>
                    <w14:schemeClr w14:val="tx1"/>
                  </w14:solidFill>
                </w14:textFill>
              </w:rPr>
              <w:t>组织机构、人员、设备的履约情况</w:t>
            </w:r>
            <w:r>
              <w:rPr>
                <w:rFonts w:hint="eastAsia" w:cs="宋体"/>
                <w:color w:val="000000" w:themeColor="text1"/>
                <w:szCs w:val="24"/>
                <w:highlight w:val="none"/>
                <w:lang w:val="en-US"/>
                <w14:textFill>
                  <w14:solidFill>
                    <w14:schemeClr w14:val="tx1"/>
                  </w14:solidFill>
                </w14:textFill>
              </w:rPr>
              <w:t>评分（0-10分）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2</w:t>
            </w:r>
          </w:p>
        </w:tc>
        <w:tc>
          <w:tcPr>
            <w:tcW w:w="6810" w:type="dxa"/>
            <w:gridSpan w:val="2"/>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对“运营服务”工作制度、流程规范性评分（0-10分）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3</w:t>
            </w:r>
          </w:p>
        </w:tc>
        <w:tc>
          <w:tcPr>
            <w:tcW w:w="6810" w:type="dxa"/>
            <w:gridSpan w:val="2"/>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对“运营服务”服务态度评分（0-10分）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4</w:t>
            </w:r>
          </w:p>
        </w:tc>
        <w:tc>
          <w:tcPr>
            <w:tcW w:w="6810" w:type="dxa"/>
            <w:gridSpan w:val="2"/>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对“运营服务”的专业水平评分（0-10分）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0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5</w:t>
            </w:r>
          </w:p>
        </w:tc>
        <w:tc>
          <w:tcPr>
            <w:tcW w:w="6810" w:type="dxa"/>
            <w:gridSpan w:val="2"/>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对“运营服务”日常服务时效性评分（0-10分）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vMerge w:val="restart"/>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6</w:t>
            </w:r>
          </w:p>
        </w:tc>
        <w:tc>
          <w:tcPr>
            <w:tcW w:w="1890" w:type="dxa"/>
            <w:vMerge w:val="restart"/>
            <w:vAlign w:val="center"/>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“运营服务”针对大梅林共同富裕示范带（一期）产业发展的</w:t>
            </w:r>
            <w:r>
              <w:rPr>
                <w:rFonts w:hint="eastAsia" w:cs="宋体"/>
                <w:bCs/>
                <w:color w:val="000000" w:themeColor="text1"/>
                <w:highlight w:val="none"/>
                <w:lang w:val="en-US"/>
                <w14:textFill>
                  <w14:solidFill>
                    <w14:schemeClr w14:val="tx1"/>
                  </w14:solidFill>
                </w14:textFill>
              </w:rPr>
              <w:t>综合评价，酌情给分（0-</w:t>
            </w:r>
            <w:r>
              <w:rPr>
                <w:rFonts w:hint="eastAsia" w:cs="宋体"/>
                <w:color w:val="000000" w:themeColor="text1"/>
                <w:szCs w:val="24"/>
                <w:highlight w:val="none"/>
                <w:lang w:val="en-US"/>
                <w14:textFill>
                  <w14:solidFill>
                    <w14:schemeClr w14:val="tx1"/>
                  </w14:solidFill>
                </w14:textFill>
              </w:rPr>
              <w:t>50分）</w:t>
            </w:r>
          </w:p>
        </w:tc>
        <w:tc>
          <w:tcPr>
            <w:tcW w:w="4920" w:type="dxa"/>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①</w:t>
            </w:r>
            <w:r>
              <w:rPr>
                <w:rFonts w:hint="eastAsia" w:cs="宋体"/>
                <w:bCs/>
                <w:color w:val="000000" w:themeColor="text1"/>
                <w:highlight w:val="none"/>
                <w:lang w:val="en-US"/>
                <w14:textFill>
                  <w14:solidFill>
                    <w14:schemeClr w14:val="tx1"/>
                  </w14:solidFill>
                </w14:textFill>
              </w:rPr>
              <w:t>产业招商</w:t>
            </w:r>
            <w:r>
              <w:rPr>
                <w:rFonts w:hint="eastAsia" w:cs="宋体"/>
                <w:color w:val="000000" w:themeColor="text1"/>
                <w:szCs w:val="24"/>
                <w:highlight w:val="none"/>
                <w:lang w:val="en-US"/>
                <w14:textFill>
                  <w14:solidFill>
                    <w14:schemeClr w14:val="tx1"/>
                  </w14:solidFill>
                </w14:textFill>
              </w:rPr>
              <w:t>（0-12分）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vMerge w:val="continue"/>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c>
          <w:tcPr>
            <w:tcW w:w="1890" w:type="dxa"/>
            <w:vMerge w:val="continue"/>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p>
        </w:tc>
        <w:tc>
          <w:tcPr>
            <w:tcW w:w="4920" w:type="dxa"/>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bCs/>
                <w:color w:val="000000" w:themeColor="text1"/>
                <w:highlight w:val="none"/>
                <w:lang w:val="en-US"/>
                <w14:textFill>
                  <w14:solidFill>
                    <w14:schemeClr w14:val="tx1"/>
                  </w14:solidFill>
                </w14:textFill>
              </w:rPr>
              <w:t>②资源统筹对接</w:t>
            </w:r>
            <w:r>
              <w:rPr>
                <w:rFonts w:hint="eastAsia" w:cs="宋体"/>
                <w:color w:val="000000" w:themeColor="text1"/>
                <w:szCs w:val="24"/>
                <w:highlight w:val="none"/>
                <w:lang w:val="en-US"/>
                <w14:textFill>
                  <w14:solidFill>
                    <w14:schemeClr w14:val="tx1"/>
                  </w14:solidFill>
                </w14:textFill>
              </w:rPr>
              <w:t>（0-10分）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vMerge w:val="continue"/>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c>
          <w:tcPr>
            <w:tcW w:w="1890" w:type="dxa"/>
            <w:vMerge w:val="continue"/>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p>
        </w:tc>
        <w:tc>
          <w:tcPr>
            <w:tcW w:w="4920" w:type="dxa"/>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bCs/>
                <w:color w:val="000000" w:themeColor="text1"/>
                <w:highlight w:val="none"/>
                <w:lang w:val="en-US"/>
                <w14:textFill>
                  <w14:solidFill>
                    <w14:schemeClr w14:val="tx1"/>
                  </w14:solidFill>
                </w14:textFill>
              </w:rPr>
              <w:t>③业态管理</w:t>
            </w:r>
            <w:r>
              <w:rPr>
                <w:rFonts w:hint="eastAsia" w:cs="宋体"/>
                <w:color w:val="000000" w:themeColor="text1"/>
                <w:szCs w:val="24"/>
                <w:highlight w:val="none"/>
                <w:lang w:val="en-US"/>
                <w14:textFill>
                  <w14:solidFill>
                    <w14:schemeClr w14:val="tx1"/>
                  </w14:solidFill>
                </w14:textFill>
              </w:rPr>
              <w:t>（0-10分）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vMerge w:val="continue"/>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c>
          <w:tcPr>
            <w:tcW w:w="1890" w:type="dxa"/>
            <w:vMerge w:val="continue"/>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p>
        </w:tc>
        <w:tc>
          <w:tcPr>
            <w:tcW w:w="4920" w:type="dxa"/>
          </w:tcPr>
          <w:p>
            <w:pPr>
              <w:pStyle w:val="967"/>
              <w:widowControl w:val="0"/>
              <w:spacing w:line="360" w:lineRule="auto"/>
              <w:jc w:val="both"/>
              <w:rPr>
                <w:rFonts w:cs="宋体"/>
                <w:bCs/>
                <w:color w:val="000000" w:themeColor="text1"/>
                <w:highlight w:val="none"/>
                <w:lang w:val="en-US"/>
                <w14:textFill>
                  <w14:solidFill>
                    <w14:schemeClr w14:val="tx1"/>
                  </w14:solidFill>
                </w14:textFill>
              </w:rPr>
            </w:pPr>
            <w:r>
              <w:rPr>
                <w:rFonts w:hint="eastAsia" w:cs="宋体"/>
                <w:bCs/>
                <w:color w:val="000000" w:themeColor="text1"/>
                <w:highlight w:val="none"/>
                <w:lang w:val="en-US"/>
                <w14:textFill>
                  <w14:solidFill>
                    <w14:schemeClr w14:val="tx1"/>
                  </w14:solidFill>
                </w14:textFill>
              </w:rPr>
              <w:t>④日常经营性活动管理与运营</w:t>
            </w:r>
            <w:r>
              <w:rPr>
                <w:rFonts w:hint="eastAsia" w:cs="宋体"/>
                <w:color w:val="000000" w:themeColor="text1"/>
                <w:szCs w:val="24"/>
                <w:highlight w:val="none"/>
                <w:lang w:val="en-US"/>
                <w14:textFill>
                  <w14:solidFill>
                    <w14:schemeClr w14:val="tx1"/>
                  </w14:solidFill>
                </w14:textFill>
              </w:rPr>
              <w:t>（0-5分）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vMerge w:val="continue"/>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c>
          <w:tcPr>
            <w:tcW w:w="1890" w:type="dxa"/>
            <w:vMerge w:val="continue"/>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p>
        </w:tc>
        <w:tc>
          <w:tcPr>
            <w:tcW w:w="4920" w:type="dxa"/>
          </w:tcPr>
          <w:p>
            <w:pPr>
              <w:pStyle w:val="967"/>
              <w:widowControl w:val="0"/>
              <w:spacing w:line="360" w:lineRule="auto"/>
              <w:jc w:val="both"/>
              <w:rPr>
                <w:rFonts w:cs="宋体"/>
                <w:bCs/>
                <w:color w:val="000000" w:themeColor="text1"/>
                <w:highlight w:val="none"/>
                <w:lang w:val="en-US"/>
                <w14:textFill>
                  <w14:solidFill>
                    <w14:schemeClr w14:val="tx1"/>
                  </w14:solidFill>
                </w14:textFill>
              </w:rPr>
            </w:pPr>
            <w:r>
              <w:rPr>
                <w:rFonts w:hint="eastAsia" w:cs="宋体"/>
                <w:bCs/>
                <w:color w:val="000000" w:themeColor="text1"/>
                <w:highlight w:val="none"/>
                <w:lang w:val="en-US"/>
                <w14:textFill>
                  <w14:solidFill>
                    <w14:schemeClr w14:val="tx1"/>
                  </w14:solidFill>
                </w14:textFill>
              </w:rPr>
              <w:t>⑤人员基础技能培训</w:t>
            </w:r>
            <w:r>
              <w:rPr>
                <w:rFonts w:hint="eastAsia" w:cs="宋体"/>
                <w:color w:val="000000" w:themeColor="text1"/>
                <w:szCs w:val="24"/>
                <w:highlight w:val="none"/>
                <w:lang w:val="en-US"/>
                <w14:textFill>
                  <w14:solidFill>
                    <w14:schemeClr w14:val="tx1"/>
                  </w14:solidFill>
                </w14:textFill>
              </w:rPr>
              <w:t>（0-2分）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vMerge w:val="continue"/>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c>
          <w:tcPr>
            <w:tcW w:w="1890" w:type="dxa"/>
            <w:vMerge w:val="continue"/>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p>
        </w:tc>
        <w:tc>
          <w:tcPr>
            <w:tcW w:w="4920" w:type="dxa"/>
          </w:tcPr>
          <w:p>
            <w:pPr>
              <w:pStyle w:val="967"/>
              <w:widowControl w:val="0"/>
              <w:spacing w:line="360" w:lineRule="auto"/>
              <w:jc w:val="both"/>
              <w:rPr>
                <w:rFonts w:cs="宋体"/>
                <w:bCs/>
                <w:color w:val="000000" w:themeColor="text1"/>
                <w:highlight w:val="none"/>
                <w:lang w:val="en-US"/>
                <w14:textFill>
                  <w14:solidFill>
                    <w14:schemeClr w14:val="tx1"/>
                  </w14:solidFill>
                </w14:textFill>
              </w:rPr>
            </w:pPr>
            <w:r>
              <w:rPr>
                <w:rFonts w:hint="eastAsia" w:cs="宋体"/>
                <w:bCs/>
                <w:color w:val="000000" w:themeColor="text1"/>
                <w:highlight w:val="none"/>
                <w:lang w:val="en-US"/>
                <w14:textFill>
                  <w14:solidFill>
                    <w14:schemeClr w14:val="tx1"/>
                  </w14:solidFill>
                </w14:textFill>
              </w:rPr>
              <w:t>⑥大梅林组成村庄的村庄发展咨询</w:t>
            </w:r>
            <w:r>
              <w:rPr>
                <w:rFonts w:hint="eastAsia" w:cs="宋体"/>
                <w:color w:val="000000" w:themeColor="text1"/>
                <w:szCs w:val="24"/>
                <w:highlight w:val="none"/>
                <w:lang w:val="en-US"/>
                <w14:textFill>
                  <w14:solidFill>
                    <w14:schemeClr w14:val="tx1"/>
                  </w14:solidFill>
                </w14:textFill>
              </w:rPr>
              <w:t>（0-8分）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vMerge w:val="continue"/>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c>
          <w:tcPr>
            <w:tcW w:w="1890" w:type="dxa"/>
            <w:vMerge w:val="continue"/>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p>
        </w:tc>
        <w:tc>
          <w:tcPr>
            <w:tcW w:w="4920" w:type="dxa"/>
          </w:tcPr>
          <w:p>
            <w:pPr>
              <w:pStyle w:val="967"/>
              <w:widowControl w:val="0"/>
              <w:spacing w:line="360" w:lineRule="auto"/>
              <w:jc w:val="both"/>
              <w:rPr>
                <w:rFonts w:cs="宋体"/>
                <w:bCs/>
                <w:color w:val="000000" w:themeColor="text1"/>
                <w:highlight w:val="none"/>
                <w:lang w:val="en-US"/>
                <w14:textFill>
                  <w14:solidFill>
                    <w14:schemeClr w14:val="tx1"/>
                  </w14:solidFill>
                </w14:textFill>
              </w:rPr>
            </w:pPr>
            <w:r>
              <w:rPr>
                <w:rFonts w:hint="eastAsia" w:cs="宋体"/>
                <w:bCs/>
                <w:color w:val="000000" w:themeColor="text1"/>
                <w:highlight w:val="none"/>
                <w:lang w:val="en-US"/>
                <w14:textFill>
                  <w14:solidFill>
                    <w14:schemeClr w14:val="tx1"/>
                  </w14:solidFill>
                </w14:textFill>
              </w:rPr>
              <w:t>⑦</w:t>
            </w:r>
            <w:r>
              <w:rPr>
                <w:rFonts w:hint="eastAsia" w:cs="宋体"/>
                <w:bCs/>
                <w:color w:val="000000" w:themeColor="text1"/>
                <w:highlight w:val="none"/>
                <w:lang w:val="en-US" w:eastAsia="zh-CN"/>
                <w14:textFill>
                  <w14:solidFill>
                    <w14:schemeClr w14:val="tx1"/>
                  </w14:solidFill>
                </w14:textFill>
              </w:rPr>
              <w:t>清卫保洁、安保</w:t>
            </w:r>
            <w:r>
              <w:rPr>
                <w:rFonts w:hint="eastAsia" w:cs="宋体"/>
                <w:bCs/>
                <w:color w:val="000000" w:themeColor="text1"/>
                <w:highlight w:val="none"/>
                <w:lang w:val="en-US"/>
                <w14:textFill>
                  <w14:solidFill>
                    <w14:schemeClr w14:val="tx1"/>
                  </w14:solidFill>
                </w14:textFill>
              </w:rPr>
              <w:t>服务等</w:t>
            </w:r>
            <w:r>
              <w:rPr>
                <w:rFonts w:hint="eastAsia" w:cs="宋体"/>
                <w:color w:val="000000" w:themeColor="text1"/>
                <w:szCs w:val="24"/>
                <w:highlight w:val="none"/>
                <w:lang w:val="en-US"/>
                <w14:textFill>
                  <w14:solidFill>
                    <w14:schemeClr w14:val="tx1"/>
                  </w14:solidFill>
                </w14:textFill>
              </w:rPr>
              <w:t>（0-3分）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0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7</w:t>
            </w:r>
          </w:p>
        </w:tc>
        <w:tc>
          <w:tcPr>
            <w:tcW w:w="6810" w:type="dxa"/>
            <w:gridSpan w:val="2"/>
          </w:tcPr>
          <w:p>
            <w:pPr>
              <w:pStyle w:val="967"/>
              <w:widowControl w:val="0"/>
              <w:spacing w:line="360" w:lineRule="auto"/>
              <w:jc w:val="center"/>
              <w:rPr>
                <w:rFonts w:cs="宋体"/>
                <w:bCs/>
                <w:color w:val="000000" w:themeColor="text1"/>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合计得分</w:t>
            </w:r>
          </w:p>
        </w:tc>
        <w:tc>
          <w:tcPr>
            <w:tcW w:w="149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313" w:type="dxa"/>
            <w:gridSpan w:val="4"/>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满意度综合得分=采购人满意度得分*50%+村民代表满意度得分*50%，由采购人落实考核。得分精确到小数点后二位，采用直线插入法。</w:t>
            </w:r>
          </w:p>
        </w:tc>
      </w:tr>
    </w:tbl>
    <w:p>
      <w:pPr>
        <w:spacing w:line="360" w:lineRule="auto"/>
        <w:jc w:val="center"/>
        <w:outlineLvl w:val="3"/>
        <w:rPr>
          <w:rFonts w:ascii="宋体" w:hAnsi="宋体" w:cs="宋体"/>
          <w:b/>
          <w:color w:val="000000" w:themeColor="text1"/>
          <w:sz w:val="24"/>
          <w:highlight w:val="none"/>
          <w14:textFill>
            <w14:solidFill>
              <w14:schemeClr w14:val="tx1"/>
            </w14:solidFill>
          </w14:textFill>
        </w:rPr>
      </w:pPr>
    </w:p>
    <w:p>
      <w:pPr>
        <w:spacing w:line="360" w:lineRule="auto"/>
        <w:jc w:val="center"/>
        <w:outlineLvl w:val="3"/>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表2 “产值绩效考核”考核评分细则</w:t>
      </w:r>
    </w:p>
    <w:tbl>
      <w:tblPr>
        <w:tblStyle w:val="63"/>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6420"/>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8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序号</w:t>
            </w:r>
          </w:p>
        </w:tc>
        <w:tc>
          <w:tcPr>
            <w:tcW w:w="6420"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评分内容（满分100分）</w:t>
            </w:r>
          </w:p>
        </w:tc>
        <w:tc>
          <w:tcPr>
            <w:tcW w:w="200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得分（客观分）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1</w:t>
            </w:r>
          </w:p>
        </w:tc>
        <w:tc>
          <w:tcPr>
            <w:tcW w:w="6420" w:type="dxa"/>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三年运营公司总产值符合采购需求规定的</w:t>
            </w:r>
            <w:r>
              <w:rPr>
                <w:rFonts w:hint="eastAsia" w:cs="宋体"/>
                <w:color w:val="000000" w:themeColor="text1"/>
                <w:szCs w:val="24"/>
                <w:highlight w:val="none"/>
                <w:u w:val="single"/>
                <w:lang w:val="en-US"/>
                <w14:textFill>
                  <w14:solidFill>
                    <w14:schemeClr w14:val="tx1"/>
                  </w14:solidFill>
                </w14:textFill>
              </w:rPr>
              <w:t>2000.00</w:t>
            </w:r>
            <w:r>
              <w:rPr>
                <w:rFonts w:hint="eastAsia" w:cs="宋体"/>
                <w:color w:val="000000" w:themeColor="text1"/>
                <w:szCs w:val="24"/>
                <w:highlight w:val="none"/>
                <w:lang w:val="en-US"/>
                <w14:textFill>
                  <w14:solidFill>
                    <w14:schemeClr w14:val="tx1"/>
                  </w14:solidFill>
                </w14:textFill>
              </w:rPr>
              <w:t>万元（含）得满分60分；三年</w:t>
            </w:r>
            <w:r>
              <w:rPr>
                <w:rFonts w:hint="eastAsia" w:cs="宋体"/>
                <w:color w:val="000000" w:themeColor="text1"/>
                <w:szCs w:val="24"/>
                <w:highlight w:val="none"/>
                <w:u w:val="single"/>
                <w:lang w:val="en-US"/>
                <w14:textFill>
                  <w14:solidFill>
                    <w14:schemeClr w14:val="tx1"/>
                  </w14:solidFill>
                </w14:textFill>
              </w:rPr>
              <w:t>达到产值2000.00万元的60%及以上的得同比例的分值（计算公式：得分=实际产值数量</w:t>
            </w:r>
            <w:r>
              <w:rPr>
                <w:rFonts w:ascii="Arial" w:hAnsi="Arial" w:cs="Arial"/>
                <w:color w:val="000000" w:themeColor="text1"/>
                <w:szCs w:val="24"/>
                <w:highlight w:val="none"/>
                <w:u w:val="single"/>
                <w:lang w:val="en-US"/>
                <w14:textFill>
                  <w14:solidFill>
                    <w14:schemeClr w14:val="tx1"/>
                  </w14:solidFill>
                </w14:textFill>
              </w:rPr>
              <w:t>÷</w:t>
            </w:r>
            <w:r>
              <w:rPr>
                <w:rFonts w:hint="eastAsia" w:cs="宋体"/>
                <w:color w:val="000000" w:themeColor="text1"/>
                <w:szCs w:val="24"/>
                <w:highlight w:val="none"/>
                <w:u w:val="single"/>
                <w:lang w:val="en-US"/>
                <w14:textFill>
                  <w14:solidFill>
                    <w14:schemeClr w14:val="tx1"/>
                  </w14:solidFill>
                </w14:textFill>
              </w:rPr>
              <w:t>采购需求规定产值数量*满分60）；不足60%（不含）得0分。</w:t>
            </w:r>
            <w:r>
              <w:rPr>
                <w:rFonts w:hint="eastAsia" w:cs="宋体"/>
                <w:color w:val="000000" w:themeColor="text1"/>
                <w:szCs w:val="24"/>
                <w:highlight w:val="none"/>
                <w:lang w:val="en-US"/>
                <w14:textFill>
                  <w14:solidFill>
                    <w14:schemeClr w14:val="tx1"/>
                  </w14:solidFill>
                </w14:textFill>
              </w:rPr>
              <w:t>（0-60分）</w:t>
            </w:r>
          </w:p>
        </w:tc>
        <w:tc>
          <w:tcPr>
            <w:tcW w:w="200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2</w:t>
            </w:r>
          </w:p>
        </w:tc>
        <w:tc>
          <w:tcPr>
            <w:tcW w:w="6420" w:type="dxa"/>
          </w:tcPr>
          <w:p>
            <w:pPr>
              <w:pStyle w:val="967"/>
              <w:widowControl w:val="0"/>
              <w:spacing w:line="360" w:lineRule="auto"/>
              <w:jc w:val="both"/>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带动区域产值增收符合采购需求规定的</w:t>
            </w:r>
            <w:r>
              <w:rPr>
                <w:rFonts w:hint="eastAsia" w:cs="宋体"/>
                <w:color w:val="000000" w:themeColor="text1"/>
                <w:szCs w:val="24"/>
                <w:highlight w:val="none"/>
                <w:u w:val="single"/>
                <w:lang w:val="en-US"/>
                <w14:textFill>
                  <w14:solidFill>
                    <w14:schemeClr w14:val="tx1"/>
                  </w14:solidFill>
                </w14:textFill>
              </w:rPr>
              <w:t>1000.00</w:t>
            </w:r>
            <w:r>
              <w:rPr>
                <w:rFonts w:hint="eastAsia" w:cs="宋体"/>
                <w:color w:val="000000" w:themeColor="text1"/>
                <w:szCs w:val="24"/>
                <w:highlight w:val="none"/>
                <w:lang w:val="en-US"/>
                <w14:textFill>
                  <w14:solidFill>
                    <w14:schemeClr w14:val="tx1"/>
                  </w14:solidFill>
                </w14:textFill>
              </w:rPr>
              <w:t>万元（含）得满分40分；三年</w:t>
            </w:r>
            <w:r>
              <w:rPr>
                <w:rFonts w:hint="eastAsia" w:cs="宋体"/>
                <w:color w:val="000000" w:themeColor="text1"/>
                <w:szCs w:val="24"/>
                <w:highlight w:val="none"/>
                <w:u w:val="single"/>
                <w:lang w:val="en-US"/>
                <w14:textFill>
                  <w14:solidFill>
                    <w14:schemeClr w14:val="tx1"/>
                  </w14:solidFill>
                </w14:textFill>
              </w:rPr>
              <w:t>达到产值1000.00万元的60%及以上的得同比例的分值（计算公式：得分=实际产值数量</w:t>
            </w:r>
            <w:r>
              <w:rPr>
                <w:rFonts w:ascii="Arial" w:hAnsi="Arial" w:cs="Arial"/>
                <w:color w:val="000000" w:themeColor="text1"/>
                <w:szCs w:val="24"/>
                <w:highlight w:val="none"/>
                <w:u w:val="single"/>
                <w:lang w:val="en-US"/>
                <w14:textFill>
                  <w14:solidFill>
                    <w14:schemeClr w14:val="tx1"/>
                  </w14:solidFill>
                </w14:textFill>
              </w:rPr>
              <w:t>÷</w:t>
            </w:r>
            <w:r>
              <w:rPr>
                <w:rFonts w:hint="eastAsia" w:cs="宋体"/>
                <w:color w:val="000000" w:themeColor="text1"/>
                <w:szCs w:val="24"/>
                <w:highlight w:val="none"/>
                <w:u w:val="single"/>
                <w:lang w:val="en-US"/>
                <w14:textFill>
                  <w14:solidFill>
                    <w14:schemeClr w14:val="tx1"/>
                  </w14:solidFill>
                </w14:textFill>
              </w:rPr>
              <w:t>采购需求规定产值数量*满分40）；不足60%（不含）得0分。</w:t>
            </w:r>
            <w:r>
              <w:rPr>
                <w:rFonts w:hint="eastAsia" w:cs="宋体"/>
                <w:color w:val="000000" w:themeColor="text1"/>
                <w:szCs w:val="24"/>
                <w:highlight w:val="none"/>
                <w:lang w:val="en-US"/>
                <w14:textFill>
                  <w14:solidFill>
                    <w14:schemeClr w14:val="tx1"/>
                  </w14:solidFill>
                </w14:textFill>
              </w:rPr>
              <w:t>（0-40分）</w:t>
            </w:r>
          </w:p>
        </w:tc>
        <w:tc>
          <w:tcPr>
            <w:tcW w:w="200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6"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3</w:t>
            </w:r>
          </w:p>
        </w:tc>
        <w:tc>
          <w:tcPr>
            <w:tcW w:w="6420"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r>
              <w:rPr>
                <w:rFonts w:hint="eastAsia" w:cs="宋体"/>
                <w:color w:val="000000" w:themeColor="text1"/>
                <w:szCs w:val="24"/>
                <w:highlight w:val="none"/>
                <w:lang w:val="en-US"/>
                <w14:textFill>
                  <w14:solidFill>
                    <w14:schemeClr w14:val="tx1"/>
                  </w14:solidFill>
                </w14:textFill>
              </w:rPr>
              <w:t>合计得分</w:t>
            </w:r>
          </w:p>
        </w:tc>
        <w:tc>
          <w:tcPr>
            <w:tcW w:w="2007" w:type="dxa"/>
          </w:tcPr>
          <w:p>
            <w:pPr>
              <w:pStyle w:val="967"/>
              <w:widowControl w:val="0"/>
              <w:spacing w:line="360" w:lineRule="auto"/>
              <w:jc w:val="center"/>
              <w:rPr>
                <w:rFonts w:cs="宋体"/>
                <w:color w:val="000000" w:themeColor="text1"/>
                <w:szCs w:val="24"/>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313" w:type="dxa"/>
            <w:gridSpan w:val="3"/>
          </w:tcPr>
          <w:p>
            <w:pPr>
              <w:spacing w:line="360" w:lineRule="auto"/>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得分=3年的采购需求中产值金额，对应评分标准得出客观分，由采购人落实考核。</w:t>
            </w:r>
          </w:p>
          <w:p>
            <w:pPr>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得分精确到小数点后二位，采用直线插入法。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313" w:type="dxa"/>
            <w:gridSpan w:val="3"/>
          </w:tcPr>
          <w:p>
            <w:pPr>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注：带动区域产值增收统计方式为：招商入驻企业的应收，协助当地村集体、村民、企业获得的营收。</w:t>
            </w:r>
          </w:p>
        </w:tc>
      </w:tr>
    </w:tbl>
    <w:p>
      <w:pPr>
        <w:pStyle w:val="36"/>
        <w:adjustRightInd/>
        <w:spacing w:line="360" w:lineRule="auto"/>
        <w:ind w:firstLine="480" w:firstLineChars="200"/>
        <w:jc w:val="left"/>
        <w:rPr>
          <w:rFonts w:hAnsi="宋体" w:cs="宋体"/>
          <w:color w:val="000000" w:themeColor="text1"/>
          <w:sz w:val="24"/>
          <w:szCs w:val="24"/>
          <w:highlight w:val="none"/>
          <w14:textFill>
            <w14:solidFill>
              <w14:schemeClr w14:val="tx1"/>
            </w14:solidFill>
          </w14:textFill>
        </w:rPr>
      </w:pPr>
    </w:p>
    <w:p>
      <w:pPr>
        <w:pStyle w:val="36"/>
        <w:adjustRightInd/>
        <w:spacing w:line="360" w:lineRule="auto"/>
        <w:ind w:firstLine="480" w:firstLineChars="20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3.4.2</w:t>
      </w:r>
      <w:r>
        <w:rPr>
          <w:rFonts w:hint="eastAsia" w:hAnsi="宋体" w:cs="宋体"/>
          <w:color w:val="000000" w:themeColor="text1"/>
          <w:sz w:val="24"/>
          <w:szCs w:val="24"/>
          <w:highlight w:val="none"/>
          <w14:textFill>
            <w14:solidFill>
              <w14:schemeClr w14:val="tx1"/>
            </w14:solidFill>
          </w14:textFill>
        </w:rPr>
        <w:t>营运管理考核办法：管理考核采取日常巡查管理和检查考核相结合。“美好生活中心、八里桥农事体验馆、产业优化示范区农村土地制度改革示范点”的业主及相关部门负责日常巡查监管和考核。</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w:t>
      </w:r>
      <w:r>
        <w:rPr>
          <w:rFonts w:hint="eastAsia" w:hAnsi="宋体" w:cs="宋体"/>
          <w:color w:val="000000" w:themeColor="text1"/>
          <w:sz w:val="24"/>
          <w:szCs w:val="24"/>
          <w:highlight w:val="none"/>
          <w14:textFill>
            <w14:solidFill>
              <w14:schemeClr w14:val="tx1"/>
            </w14:solidFill>
          </w14:textFill>
        </w:rPr>
        <w:t>上级有关部门发出整改通知书且不整改或整改不力的，一次扣1000元，累计达到三次的，予以解除合同，履约保证金不予归还。</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协助完成政府部门、社会组织的社区参观、学习、调研、接待工作，如发现供应商在接到通知后，没有作出积极反应的，每次扣500元，在接到采购人通知后，未在规定时间内到达现场的，每次扣1000元，未在规定时间内完成任务的，每次扣1000元。</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3.4.</w:t>
      </w:r>
      <w:r>
        <w:rPr>
          <w:rFonts w:hint="eastAsia" w:hAnsi="宋体" w:cs="宋体"/>
          <w:color w:val="000000" w:themeColor="text1"/>
          <w:sz w:val="24"/>
          <w:szCs w:val="24"/>
          <w:highlight w:val="none"/>
          <w14:textFill>
            <w14:solidFill>
              <w14:schemeClr w14:val="tx1"/>
            </w14:solidFill>
          </w14:textFill>
        </w:rPr>
        <w:t>3</w:t>
      </w:r>
      <w:r>
        <w:rPr>
          <w:rFonts w:hint="eastAsia" w:hAnsi="宋体" w:cs="宋体"/>
          <w:b/>
          <w:bCs/>
          <w:color w:val="000000" w:themeColor="text1"/>
          <w:sz w:val="24"/>
          <w:szCs w:val="24"/>
          <w:highlight w:val="none"/>
          <w14:textFill>
            <w14:solidFill>
              <w14:schemeClr w14:val="tx1"/>
            </w14:solidFill>
          </w14:textFill>
        </w:rPr>
        <w:t>警告，</w:t>
      </w:r>
      <w:r>
        <w:rPr>
          <w:rFonts w:hint="eastAsia" w:hAnsi="宋体" w:cs="宋体"/>
          <w:color w:val="000000" w:themeColor="text1"/>
          <w:sz w:val="24"/>
          <w:szCs w:val="24"/>
          <w:highlight w:val="none"/>
          <w14:textFill>
            <w14:solidFill>
              <w14:schemeClr w14:val="tx1"/>
            </w14:solidFill>
          </w14:textFill>
        </w:rPr>
        <w:t>退出办法</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在“美好生活中心、八里桥农事体验馆、产业优化示范区农村土地制度改革示范点”营运服务期限作业合同化管理中，有下列情景之一的给予一次警告：</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（1）区、镇相关检查中发出整改通知书，未限期整改到位的。</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（2）管理混乱，发生服务人员集体上访的。</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（3）遇有重大活动或突发事件时，未按要求落实相关人员或未在规定的时间内到达现场，保障不力而造成不良影响的。</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3.4.</w:t>
      </w:r>
      <w:r>
        <w:rPr>
          <w:rFonts w:hint="eastAsia" w:hAnsi="宋体" w:cs="宋体"/>
          <w:color w:val="000000" w:themeColor="text1"/>
          <w:sz w:val="24"/>
          <w:szCs w:val="24"/>
          <w:highlight w:val="none"/>
          <w14:textFill>
            <w14:solidFill>
              <w14:schemeClr w14:val="tx1"/>
            </w14:solidFill>
          </w14:textFill>
        </w:rPr>
        <w:t>4</w:t>
      </w:r>
      <w:r>
        <w:rPr>
          <w:rFonts w:hint="eastAsia" w:hAnsi="宋体" w:cs="宋体"/>
          <w:b/>
          <w:bCs/>
          <w:color w:val="000000" w:themeColor="text1"/>
          <w:sz w:val="24"/>
          <w:szCs w:val="24"/>
          <w:highlight w:val="none"/>
          <w14:textFill>
            <w14:solidFill>
              <w14:schemeClr w14:val="tx1"/>
            </w14:solidFill>
          </w14:textFill>
        </w:rPr>
        <w:t>退出。</w:t>
      </w:r>
      <w:r>
        <w:rPr>
          <w:rFonts w:hint="eastAsia" w:hAnsi="宋体" w:cs="宋体"/>
          <w:color w:val="000000" w:themeColor="text1"/>
          <w:sz w:val="24"/>
          <w:szCs w:val="24"/>
          <w:highlight w:val="none"/>
          <w14:textFill>
            <w14:solidFill>
              <w14:schemeClr w14:val="tx1"/>
            </w14:solidFill>
          </w14:textFill>
        </w:rPr>
        <w:t>在服务合同期中，符合以下之一的予以退出，提前终止本项目一体化服务合同：</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（1）组织管理机构、人员素质及数量与投标承诺不符，无法完成合同任务的。</w:t>
      </w:r>
    </w:p>
    <w:p>
      <w:pPr>
        <w:pStyle w:val="36"/>
        <w:adjustRightInd/>
        <w:spacing w:line="360" w:lineRule="auto"/>
        <w:ind w:firstLine="540"/>
        <w:jc w:val="left"/>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（2）同一合同在合同期一年内累计被警告3次的。</w:t>
      </w:r>
    </w:p>
    <w:p>
      <w:pPr>
        <w:pStyle w:val="133"/>
        <w:spacing w:before="0"/>
        <w:ind w:firstLine="480" w:firstLineChars="0"/>
        <w:jc w:val="left"/>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（三）质量标准</w:t>
      </w:r>
    </w:p>
    <w:p>
      <w:pPr>
        <w:pStyle w:val="133"/>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4.1总体概念性方案的策划、设计：符合现行国家有关工程设计质量评定标准的合格要求。</w:t>
      </w:r>
    </w:p>
    <w:p>
      <w:pPr>
        <w:pStyle w:val="133"/>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4.2采购提升：</w:t>
      </w:r>
    </w:p>
    <w:p>
      <w:pPr>
        <w:pStyle w:val="133"/>
        <w:ind w:firstLine="480"/>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4.2.1其中涉及设施设备或相关装置采购类</w:t>
      </w:r>
      <w:r>
        <w:rPr>
          <w:rFonts w:hint="eastAsia" w:ascii="宋体" w:hAnsi="宋体" w:cs="宋体"/>
          <w:color w:val="000000" w:themeColor="text1"/>
          <w:szCs w:val="24"/>
          <w:highlight w:val="none"/>
          <w14:textFill>
            <w14:solidFill>
              <w14:schemeClr w14:val="tx1"/>
            </w14:solidFill>
          </w14:textFill>
        </w:rPr>
        <w:t>质量标准如下：（1）投标产品必须是符合国家技术规范和质量标准的合格产品，满足采购人的使用需求，并具有可靠的售后服务体系，质量可靠、使用安全；（2）供应商保证提供的产品是全新的、从未使用过的、采用优质材质制造；（3）供应商保证提供的产品符合国家相关标准；（4）供应商保证提供的产品符合采购人提供的本合同的产品技术规格要求；（5）供应商保证其提供的产品中所有预装和为本项目安装的软件均为具有合法版权或使用权的正版软件且无质量瑕疵；（6）在质保期内，如遇产品（含软件）升级、改版，应免费提供更新、升级服务；（7）供应商必须对本项目的完整性负责，根据项目的实际需求，如有实现完善需求方案的配置，而在采购文件中未体现的请补充；（8）作为完整的配置方案，必须不遗漏、不重复，包括所有必须的软件、配件、接口；（9）经终验验收合格，正式交付使用，同时要求在整个履约过程中对供货、安装进度和实施质量落实有效管理，形成档案</w:t>
      </w:r>
      <w:r>
        <w:rPr>
          <w:rFonts w:hint="eastAsia" w:ascii="宋体" w:hAnsi="宋体" w:cs="宋体"/>
          <w:color w:val="000000" w:themeColor="text1"/>
          <w:szCs w:val="24"/>
          <w:highlight w:val="none"/>
          <w:lang w:eastAsia="zh-CN"/>
          <w14:textFill>
            <w14:solidFill>
              <w14:schemeClr w14:val="tx1"/>
            </w14:solidFill>
          </w14:textFill>
        </w:rPr>
        <w:t>；</w:t>
      </w:r>
    </w:p>
    <w:p>
      <w:pPr>
        <w:pStyle w:val="133"/>
        <w:ind w:firstLine="480"/>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4.2.2</w:t>
      </w:r>
      <w:r>
        <w:rPr>
          <w:rFonts w:hint="eastAsia" w:ascii="宋体" w:hAnsi="宋体" w:eastAsia="宋体" w:cs="宋体"/>
          <w:bCs/>
          <w:color w:val="000000" w:themeColor="text1"/>
          <w:sz w:val="24"/>
          <w:szCs w:val="24"/>
          <w:highlight w:val="none"/>
          <w:u w:val="none"/>
          <w:shd w:val="clear" w:color="auto" w:fill="auto"/>
          <w:lang w:val="en-US" w:eastAsia="zh-CN"/>
          <w14:textFill>
            <w14:solidFill>
              <w14:schemeClr w14:val="tx1"/>
            </w14:solidFill>
          </w14:textFill>
        </w:rPr>
        <w:t>基础设施及室内外空间</w:t>
      </w:r>
      <w:r>
        <w:rPr>
          <w:rFonts w:hint="eastAsia" w:ascii="宋体" w:hAnsi="宋体" w:cs="宋体"/>
          <w:bCs/>
          <w:color w:val="000000" w:themeColor="text1"/>
          <w:sz w:val="24"/>
          <w:szCs w:val="24"/>
          <w:highlight w:val="none"/>
          <w:u w:val="none"/>
          <w:shd w:val="clear" w:color="auto" w:fill="auto"/>
          <w:lang w:val="en-US" w:eastAsia="zh-CN"/>
          <w14:textFill>
            <w14:solidFill>
              <w14:schemeClr w14:val="tx1"/>
            </w14:solidFill>
          </w14:textFill>
        </w:rPr>
        <w:t>改造内容：施工</w:t>
      </w:r>
      <w:r>
        <w:rPr>
          <w:rFonts w:hint="eastAsia" w:ascii="宋体" w:hAnsi="宋体" w:eastAsia="宋体" w:cs="宋体"/>
          <w:bCs/>
          <w:color w:val="000000" w:themeColor="text1"/>
          <w:sz w:val="24"/>
          <w:szCs w:val="24"/>
          <w:highlight w:val="none"/>
          <w14:textFill>
            <w14:solidFill>
              <w14:schemeClr w14:val="tx1"/>
            </w14:solidFill>
          </w14:textFill>
        </w:rPr>
        <w:t>符合《建筑工程施工质量验收统一标准》（GB-50300-2013）“合格”标准</w:t>
      </w:r>
      <w:r>
        <w:rPr>
          <w:rFonts w:hint="eastAsia" w:ascii="宋体" w:hAnsi="宋体" w:eastAsia="宋体" w:cs="宋体"/>
          <w:bCs/>
          <w:color w:val="000000" w:themeColor="text1"/>
          <w:sz w:val="24"/>
          <w:szCs w:val="24"/>
          <w:highlight w:val="none"/>
          <w:lang w:eastAsia="zh-CN"/>
          <w14:textFill>
            <w14:solidFill>
              <w14:schemeClr w14:val="tx1"/>
            </w14:solidFill>
          </w14:textFill>
        </w:rPr>
        <w:t>；</w:t>
      </w:r>
    </w:p>
    <w:p>
      <w:pPr>
        <w:pStyle w:val="133"/>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4.3运营管理：达到</w:t>
      </w:r>
      <w:r>
        <w:rPr>
          <w:rFonts w:hint="eastAsia" w:ascii="宋体" w:hAnsi="宋体" w:cs="宋体"/>
          <w:bCs/>
          <w:color w:val="000000" w:themeColor="text1"/>
          <w:highlight w:val="none"/>
          <w:lang w:val="en-US" w:eastAsia="zh-CN"/>
          <w14:textFill>
            <w14:solidFill>
              <w14:schemeClr w14:val="tx1"/>
            </w14:solidFill>
          </w14:textFill>
        </w:rPr>
        <w:t>采购文件的要求</w:t>
      </w:r>
      <w:r>
        <w:rPr>
          <w:rFonts w:hint="eastAsia" w:ascii="宋体" w:hAnsi="宋体" w:cs="宋体"/>
          <w:color w:val="000000" w:themeColor="text1"/>
          <w:szCs w:val="24"/>
          <w:highlight w:val="none"/>
          <w14:textFill>
            <w14:solidFill>
              <w14:schemeClr w14:val="tx1"/>
            </w14:solidFill>
          </w14:textFill>
        </w:rPr>
        <w:t>。</w:t>
      </w:r>
    </w:p>
    <w:p>
      <w:pPr>
        <w:shd w:val="clear" w:color="auto" w:fill="FFFFFF"/>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三、商务要求</w:t>
      </w:r>
    </w:p>
    <w:p>
      <w:pPr>
        <w:pStyle w:val="83"/>
        <w:ind w:left="280" w:firstLine="241" w:firstLine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本项目预算金额由设计费用、提升采购费用和运营管理费用组成。其中：</w:t>
      </w:r>
      <w:r>
        <w:rPr>
          <w:rFonts w:hint="eastAsia" w:ascii="宋体" w:hAnsi="宋体" w:eastAsia="宋体" w:cs="宋体"/>
          <w:color w:val="000000" w:themeColor="text1"/>
          <w:highlight w:val="none"/>
          <w14:textFill>
            <w14:solidFill>
              <w14:schemeClr w14:val="tx1"/>
            </w14:solidFill>
          </w14:textFill>
        </w:rPr>
        <w:tab/>
      </w:r>
    </w:p>
    <w:p>
      <w:pPr>
        <w:pStyle w:val="83"/>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1.1设计费用最高限价为150万元（含概念性方案、农村土地制度改革探索方案、一期提升设计方案、展陈设计方案、衍生产品应用设计方案、视觉系统设计等）。</w:t>
      </w:r>
    </w:p>
    <w:p>
      <w:pPr>
        <w:pStyle w:val="83"/>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1.2采购提升费用最高限价为1350万元。其中：</w:t>
      </w:r>
    </w:p>
    <w:tbl>
      <w:tblPr>
        <w:tblStyle w:val="64"/>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8"/>
        <w:gridCol w:w="2634"/>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818" w:type="dxa"/>
            <w:vAlign w:val="center"/>
          </w:tcPr>
          <w:p>
            <w:pPr>
              <w:jc w:val="center"/>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采购提升费用类别</w:t>
            </w:r>
          </w:p>
        </w:tc>
        <w:tc>
          <w:tcPr>
            <w:tcW w:w="2634" w:type="dxa"/>
            <w:vAlign w:val="center"/>
          </w:tcPr>
          <w:p>
            <w:pPr>
              <w:jc w:val="center"/>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预算金额（万元）</w:t>
            </w:r>
          </w:p>
        </w:tc>
        <w:tc>
          <w:tcPr>
            <w:tcW w:w="1300" w:type="dxa"/>
            <w:vAlign w:val="center"/>
          </w:tcPr>
          <w:p>
            <w:pPr>
              <w:jc w:val="center"/>
              <w:rPr>
                <w:rFonts w:hint="eastAsia"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cs="宋体"/>
                <w:color w:val="000000" w:themeColor="text1"/>
                <w:sz w:val="24"/>
                <w:szCs w:val="32"/>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818" w:type="dxa"/>
            <w:vAlign w:val="center"/>
          </w:tcPr>
          <w:p>
            <w:pPr>
              <w:jc w:val="center"/>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提升改造工程</w:t>
            </w:r>
          </w:p>
        </w:tc>
        <w:tc>
          <w:tcPr>
            <w:tcW w:w="2634" w:type="dxa"/>
            <w:vAlign w:val="center"/>
          </w:tcPr>
          <w:p>
            <w:pPr>
              <w:jc w:val="center"/>
              <w:rPr>
                <w:rFonts w:hint="default"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cs="宋体"/>
                <w:color w:val="000000" w:themeColor="text1"/>
                <w:sz w:val="24"/>
                <w:szCs w:val="32"/>
                <w:highlight w:val="none"/>
                <w:lang w:val="en-US" w:eastAsia="zh-CN"/>
                <w14:textFill>
                  <w14:solidFill>
                    <w14:schemeClr w14:val="tx1"/>
                  </w14:solidFill>
                </w14:textFill>
              </w:rPr>
              <w:t>337.00</w:t>
            </w:r>
          </w:p>
        </w:tc>
        <w:tc>
          <w:tcPr>
            <w:tcW w:w="1300" w:type="dxa"/>
            <w:vAlign w:val="center"/>
          </w:tcPr>
          <w:p>
            <w:pPr>
              <w:jc w:val="center"/>
              <w:rPr>
                <w:rFonts w:hint="default" w:ascii="宋体" w:hAnsi="宋体" w:eastAsia="宋体" w:cs="宋体"/>
                <w:color w:val="000000" w:themeColor="text1"/>
                <w:sz w:val="24"/>
                <w:szCs w:val="32"/>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4818" w:type="dxa"/>
            <w:vAlign w:val="center"/>
          </w:tcPr>
          <w:p>
            <w:pPr>
              <w:jc w:val="center"/>
              <w:rPr>
                <w:rFonts w:ascii="宋体" w:hAnsi="宋体" w:cs="宋体"/>
                <w:color w:val="000000" w:themeColor="text1"/>
                <w:sz w:val="24"/>
                <w:szCs w:val="32"/>
                <w:highlight w:val="none"/>
                <w14:textFill>
                  <w14:solidFill>
                    <w14:schemeClr w14:val="tx1"/>
                  </w14:solidFill>
                </w14:textFill>
              </w:rPr>
            </w:pPr>
            <w:r>
              <w:rPr>
                <w:rFonts w:hint="eastAsia" w:ascii="宋体" w:hAnsi="宋体" w:cs="宋体"/>
                <w:color w:val="000000" w:themeColor="text1"/>
                <w:sz w:val="24"/>
                <w:szCs w:val="32"/>
                <w:highlight w:val="none"/>
                <w14:textFill>
                  <w14:solidFill>
                    <w14:schemeClr w14:val="tx1"/>
                  </w14:solidFill>
                </w14:textFill>
              </w:rPr>
              <w:t>设施设备、陈设、</w:t>
            </w:r>
            <w:r>
              <w:rPr>
                <w:rFonts w:hint="eastAsia" w:ascii="宋体" w:hAnsi="宋体" w:cs="宋体"/>
                <w:color w:val="000000" w:themeColor="text1"/>
                <w:sz w:val="24"/>
                <w:szCs w:val="32"/>
                <w:highlight w:val="none"/>
                <w:lang w:eastAsia="zh-CN"/>
                <w14:textFill>
                  <w14:solidFill>
                    <w14:schemeClr w14:val="tx1"/>
                  </w14:solidFill>
                </w14:textFill>
              </w:rPr>
              <w:t>景观装饰</w:t>
            </w:r>
            <w:r>
              <w:rPr>
                <w:rFonts w:hint="eastAsia" w:ascii="宋体" w:hAnsi="宋体" w:cs="宋体"/>
                <w:color w:val="000000" w:themeColor="text1"/>
                <w:sz w:val="24"/>
                <w:szCs w:val="32"/>
                <w:highlight w:val="none"/>
                <w14:textFill>
                  <w14:solidFill>
                    <w14:schemeClr w14:val="tx1"/>
                  </w14:solidFill>
                </w14:textFill>
              </w:rPr>
              <w:t>、农特产、文创及衍生品等采购</w:t>
            </w:r>
          </w:p>
        </w:tc>
        <w:tc>
          <w:tcPr>
            <w:tcW w:w="2634" w:type="dxa"/>
            <w:vAlign w:val="center"/>
          </w:tcPr>
          <w:p>
            <w:pPr>
              <w:jc w:val="center"/>
              <w:rPr>
                <w:rFonts w:hint="default"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cs="宋体"/>
                <w:color w:val="000000" w:themeColor="text1"/>
                <w:sz w:val="24"/>
                <w:szCs w:val="32"/>
                <w:highlight w:val="none"/>
                <w:lang w:val="en-US" w:eastAsia="zh-CN"/>
                <w14:textFill>
                  <w14:solidFill>
                    <w14:schemeClr w14:val="tx1"/>
                  </w14:solidFill>
                </w14:textFill>
              </w:rPr>
              <w:t>1013.00</w:t>
            </w:r>
          </w:p>
        </w:tc>
        <w:tc>
          <w:tcPr>
            <w:tcW w:w="1300" w:type="dxa"/>
            <w:vAlign w:val="center"/>
          </w:tcPr>
          <w:p>
            <w:pPr>
              <w:jc w:val="center"/>
              <w:rPr>
                <w:rFonts w:ascii="宋体" w:hAnsi="宋体" w:cs="宋体"/>
                <w:color w:val="000000" w:themeColor="text1"/>
                <w:sz w:val="24"/>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818" w:type="dxa"/>
            <w:vAlign w:val="center"/>
          </w:tcPr>
          <w:p>
            <w:pPr>
              <w:jc w:val="center"/>
              <w:rPr>
                <w:rFonts w:hint="eastAsia" w:ascii="宋体" w:hAnsi="宋体" w:eastAsia="宋体" w:cs="宋体"/>
                <w:color w:val="000000" w:themeColor="text1"/>
                <w:sz w:val="24"/>
                <w:szCs w:val="32"/>
                <w:highlight w:val="none"/>
                <w:lang w:val="en-US" w:eastAsia="zh-CN"/>
                <w14:textFill>
                  <w14:solidFill>
                    <w14:schemeClr w14:val="tx1"/>
                  </w14:solidFill>
                </w14:textFill>
              </w:rPr>
            </w:pPr>
            <w:r>
              <w:rPr>
                <w:rFonts w:hint="eastAsia" w:ascii="宋体" w:hAnsi="宋体" w:cs="宋体"/>
                <w:color w:val="000000" w:themeColor="text1"/>
                <w:sz w:val="24"/>
                <w:szCs w:val="32"/>
                <w:highlight w:val="none"/>
                <w:lang w:val="en-US" w:eastAsia="zh-CN"/>
                <w14:textFill>
                  <w14:solidFill>
                    <w14:schemeClr w14:val="tx1"/>
                  </w14:solidFill>
                </w14:textFill>
              </w:rPr>
              <w:t>合计</w:t>
            </w:r>
          </w:p>
        </w:tc>
        <w:tc>
          <w:tcPr>
            <w:tcW w:w="2634" w:type="dxa"/>
            <w:vAlign w:val="center"/>
          </w:tcPr>
          <w:p>
            <w:pPr>
              <w:jc w:val="center"/>
              <w:rPr>
                <w:rFonts w:hint="default" w:ascii="宋体" w:hAnsi="宋体" w:cs="宋体"/>
                <w:color w:val="000000" w:themeColor="text1"/>
                <w:sz w:val="24"/>
                <w:szCs w:val="32"/>
                <w:highlight w:val="none"/>
                <w:lang w:val="en-US" w:eastAsia="zh-CN"/>
                <w14:textFill>
                  <w14:solidFill>
                    <w14:schemeClr w14:val="tx1"/>
                  </w14:solidFill>
                </w14:textFill>
              </w:rPr>
            </w:pPr>
            <w:r>
              <w:rPr>
                <w:rFonts w:hint="eastAsia" w:ascii="宋体" w:hAnsi="宋体" w:cs="宋体"/>
                <w:color w:val="000000" w:themeColor="text1"/>
                <w:sz w:val="24"/>
                <w:szCs w:val="32"/>
                <w:highlight w:val="none"/>
                <w:lang w:val="en-US" w:eastAsia="zh-CN"/>
                <w14:textFill>
                  <w14:solidFill>
                    <w14:schemeClr w14:val="tx1"/>
                  </w14:solidFill>
                </w14:textFill>
              </w:rPr>
              <w:t>1350.00</w:t>
            </w:r>
          </w:p>
        </w:tc>
        <w:tc>
          <w:tcPr>
            <w:tcW w:w="1300" w:type="dxa"/>
            <w:vAlign w:val="center"/>
          </w:tcPr>
          <w:p>
            <w:pPr>
              <w:jc w:val="center"/>
              <w:rPr>
                <w:rFonts w:ascii="宋体" w:hAnsi="宋体" w:cs="宋体"/>
                <w:color w:val="000000" w:themeColor="text1"/>
                <w:sz w:val="24"/>
                <w:szCs w:val="32"/>
                <w:highlight w:val="none"/>
                <w14:textFill>
                  <w14:solidFill>
                    <w14:schemeClr w14:val="tx1"/>
                  </w14:solidFill>
                </w14:textFill>
              </w:rPr>
            </w:pPr>
          </w:p>
        </w:tc>
      </w:tr>
    </w:tbl>
    <w:p>
      <w:pPr>
        <w:rPr>
          <w:rFonts w:ascii="宋体" w:hAnsi="宋体" w:cs="宋体"/>
          <w:color w:val="000000" w:themeColor="text1"/>
          <w:highlight w:val="none"/>
          <w14:textFill>
            <w14:solidFill>
              <w14:schemeClr w14:val="tx1"/>
            </w14:solidFill>
          </w14:textFill>
        </w:rPr>
      </w:pPr>
    </w:p>
    <w:p>
      <w:pPr>
        <w:pStyle w:val="83"/>
        <w:ind w:left="280" w:firstLine="240" w:firstLineChars="1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1.3运营管理费用最高限价为500万元（运营期限3年）。</w:t>
      </w:r>
    </w:p>
    <w:p>
      <w:pPr>
        <w:spacing w:line="360" w:lineRule="auto"/>
        <w:ind w:firstLine="241" w:firstLineChars="100"/>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2、投标报价要求</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2.1本项目采用投标总价报价，</w:t>
      </w:r>
      <w:r>
        <w:rPr>
          <w:rFonts w:hint="eastAsia" w:ascii="宋体" w:hAnsi="宋体"/>
          <w:color w:val="000000" w:themeColor="text1"/>
          <w:kern w:val="0"/>
          <w:sz w:val="24"/>
          <w:highlight w:val="none"/>
          <w14:textFill>
            <w14:solidFill>
              <w14:schemeClr w14:val="tx1"/>
            </w14:solidFill>
          </w14:textFill>
        </w:rPr>
        <w:t>应包括技术服务费、策划方案编制费、调研考察费、专家咨询费、人工费、材料费、食宿费、交通费、配套设施设备费、策划方案评审费、验收费、税费、不可预见风险等完成本项目所需要的一切税金和费用</w:t>
      </w:r>
      <w:r>
        <w:rPr>
          <w:rFonts w:hint="eastAsia" w:hAnsi="宋体"/>
          <w:color w:val="000000" w:themeColor="text1"/>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2.2供应商的报价（设计费用、采购提升费用、运营管理费用）超过最高限价作无效标处理。</w:t>
      </w:r>
    </w:p>
    <w:p>
      <w:pPr>
        <w:pStyle w:val="839"/>
        <w:rPr>
          <w:color w:val="000000" w:themeColor="text1"/>
          <w:highlight w:val="none"/>
          <w14:textFill>
            <w14:solidFill>
              <w14:schemeClr w14:val="tx1"/>
            </w14:solidFill>
          </w14:textFill>
        </w:rPr>
      </w:pPr>
      <w:r>
        <w:rPr>
          <w:rFonts w:hint="eastAsia" w:ascii="宋体" w:hAnsi="宋体" w:eastAsia="宋体" w:cs="宋体"/>
          <w:color w:val="000000" w:themeColor="text1"/>
          <w:kern w:val="2"/>
          <w:highlight w:val="none"/>
          <w14:textFill>
            <w14:solidFill>
              <w14:schemeClr w14:val="tx1"/>
            </w14:solidFill>
          </w14:textFill>
        </w:rPr>
        <w:t>2.3供应商应根据递交的设计方案自行综合考虑所有的成本列出具体明细报价，含不可预见费等所有费用。</w:t>
      </w:r>
    </w:p>
    <w:p>
      <w:pPr>
        <w:spacing w:line="360" w:lineRule="auto"/>
        <w:ind w:firstLine="241" w:firstLineChars="100"/>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3、款进度安排和付款条件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3.1付款进度安排</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（1）预付款：合同签订后的五个工作日内，采购人支付合同设计费和采购提升费和“年度运营管理费”的40%预付款；</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预付款扣回：采购人将分半年在采购人应支付给供应商的费用中抵扣；</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（2）设计费支付：①整体设计方案经采购人审核通过支付至“设计费总额”的70%；②采购提升项目完工后，支付至设计费总额的90%；③运营服务期满1年后，支付至设计费总额的100%；</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（3）采购提升费支付：①完成采购提升并经甲方验收合格后15个工作日内支付至“采购提升费用”的80%；②运营服务期满1年后，支付至采购提升费总额的100%；</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运营费支付：①根据考核结果扣除相应款项后按半年支付1次实际运营费的90%（其中80%全额支付，10%根据“运营服务内容完成情况满意度考核”结果得分（详见考核结果支付标准）扣除处罚金后，支付剩余款项）②3年营运费总价的10%，根据“产值绩效考核”结果得分（详见考核结果支付标准），扣除处罚金且项目验收后一次性支付。</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3.2考核结果支付标准:★“运营服务内容完成情况满意度考核”由采购人及梅林村、八里桥村、张潭村、山北村、车路湾村居民代表对供应商进行每半年1次的运营服务考核评价，其中：</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（1）考核得分90分及以上的一次性付清剩余运营费用的10%；</w:t>
      </w:r>
    </w:p>
    <w:p>
      <w:pPr>
        <w:adjustRightInd/>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（2）考核得分80分及以上的，扣除2%运营费用作为考核处罚金，一次性付清剩余运营费用的8%；</w:t>
      </w:r>
    </w:p>
    <w:p>
      <w:pPr>
        <w:adjustRightInd/>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（3）考核得分60分及以上的，扣除4%运营费用作为考核处罚金，一次性付清剩余运营费用的6%；</w:t>
      </w:r>
    </w:p>
    <w:p>
      <w:pPr>
        <w:adjustRightInd/>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（4）考核得分60分（不含）以下的，扣除5%运营费用作为考核处罚金；扣除5%运营费用作为考核处罚金，一次性付清剩余运营费用的5%；</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★“产值绩效考核”，3年营运服务期满，由采购人对供应商进行1次考核评价，其中（1）考核得分60分（不含）以下的，10%的运营费用全部扣除作为考核处罚金；</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考核得分60分（含）及以上的得分，根据得分同比例扣除考核处罚金（如“考核得分为60分，即扣除4%，支付剩余6%”；如“得分为65分，即扣除3.5%，支付剩余6.5%”；以此类推），处罚金及支付剩余营运费用比例，具体计算公式如下：</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①扣除处罚金（%）=1-（得分*10%）</w:t>
      </w:r>
    </w:p>
    <w:p>
      <w:pPr>
        <w:ind w:firstLine="480" w:firstLineChars="20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②支付剩余营运费（%）=得分*10%</w:t>
      </w:r>
    </w:p>
    <w:p>
      <w:pPr>
        <w:pStyle w:val="2"/>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3.3付款条件：</w:t>
      </w:r>
    </w:p>
    <w:p>
      <w:pPr>
        <w:tabs>
          <w:tab w:val="left" w:pos="0"/>
        </w:tabs>
        <w:adjustRightInd/>
        <w:snapToGrid w:val="0"/>
        <w:spacing w:line="360" w:lineRule="auto"/>
        <w:ind w:firstLine="482"/>
        <w:outlineLvl w:val="1"/>
        <w:rPr>
          <w:rFonts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（1）采购人在收到供应商开具的符合法律法规规定发票后，以转账支付的方式，支付给供应商服务费。供应商逾期开具发票或开具的发票不符合采购人要求的，采购人有权延迟付款时间，且该行为不视为违约</w:t>
      </w:r>
      <w:r>
        <w:rPr>
          <w:rFonts w:hint="eastAsia" w:ascii="宋体" w:hAnsi="宋体" w:cs="宋体"/>
          <w:bCs/>
          <w:color w:val="000000" w:themeColor="text1"/>
          <w:sz w:val="24"/>
          <w:highlight w:val="none"/>
          <w14:textFill>
            <w14:solidFill>
              <w14:schemeClr w14:val="tx1"/>
            </w14:solidFill>
          </w14:textFill>
        </w:rPr>
        <w:t>。</w:t>
      </w:r>
    </w:p>
    <w:p>
      <w:pPr>
        <w:pStyle w:val="2"/>
        <w:spacing w:line="360" w:lineRule="auto"/>
        <w:ind w:firstLine="420"/>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（2）在签订合同时，供应商明确表示无需预付款或者主动要求降低预付款比例的，采购单位可不适用上述3.1第（1）项预付款的规定。</w:t>
      </w:r>
    </w:p>
    <w:p>
      <w:pPr>
        <w:pStyle w:val="2"/>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四、服务质量保证期</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1、供应商须对合同中规定的主要设备提供</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年质保期（以履约验收确认合格后之日起，如厂家出厂质保期超过优于</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年的，以厂家质保期为准）。中标后提供厂商授权或者售后服务承诺的免费质保期。</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免费质保期起算节点为项目验收确认合格后之日起，质保期内承诺均提供上门维护服务；供应商针对本项目具有完善的售后服务方案，有较强的本地化服务能力。对于各类故障必须提供7*24小时立即响应服务，在2小时内提出解决方案并做出明确安排，若远程不能解决问题，须在4小时内派人到现场上门服务，排除故障，并分析故障原因，提出书面故障分析报告及防范措施，不间断服务直至故障解除。不能修复的，必须采取无偿提供备品、备件或备机等措施，以保证采购人的正常使用。质保期内配件更换费用包含在投标报价中。</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3、在质保期内，供应商有责任解决所提供的投标设备和软件系统的任何问题，在质保期满后，当需要时，供应商仍须对因投标设备本身的固有缺陷和瑕疵承担相应责任。</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4、在质保期内的工作应包括对所有设备常规检查和维护，每个月不少于2次的常规检查和维护，具体的操作程序和内容须在投标时说明。</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5、质保期内，为更好地做好项目的服务工作，供应商提供专门的负责人负责项目的设备维护，具体人员由采购人在中标人项目实施人员中指定。</w:t>
      </w:r>
    </w:p>
    <w:p>
      <w:pPr>
        <w:pStyle w:val="2"/>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五、验收</w:t>
      </w:r>
    </w:p>
    <w:p>
      <w:pPr>
        <w:snapToGrid w:val="0"/>
        <w:spacing w:line="360" w:lineRule="auto"/>
        <w:ind w:firstLine="480" w:firstLineChars="200"/>
        <w:jc w:val="left"/>
        <w:rPr>
          <w:rFonts w:ascii="宋体" w:hAnsi="宋体" w:cs="仿宋"/>
          <w:color w:val="000000" w:themeColor="text1"/>
          <w:sz w:val="24"/>
          <w:highlight w:val="none"/>
          <w:lang w:val="zh-CN"/>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1、</w:t>
      </w:r>
      <w:r>
        <w:rPr>
          <w:rFonts w:hint="eastAsia" w:ascii="宋体" w:hAnsi="宋体" w:cs="仿宋"/>
          <w:color w:val="000000" w:themeColor="text1"/>
          <w:sz w:val="24"/>
          <w:highlight w:val="none"/>
          <w:lang w:val="zh-CN"/>
          <w14:textFill>
            <w14:solidFill>
              <w14:schemeClr w14:val="tx1"/>
            </w14:solidFill>
          </w14:textFill>
        </w:rPr>
        <w:t>采购人组织对供应商履约的验收。验收方成员应当在验收书上签字，并承担相应的法律责任。如果发现与合同中要求不符，供应商须承担由此发生的一切损失和费用，并接受相应的处理，验收按国家有关的规定、规范进行。</w:t>
      </w:r>
    </w:p>
    <w:p>
      <w:pPr>
        <w:snapToGrid w:val="0"/>
        <w:spacing w:line="360" w:lineRule="auto"/>
        <w:ind w:firstLine="480" w:firstLineChars="200"/>
        <w:jc w:val="left"/>
        <w:rPr>
          <w:rFonts w:ascii="宋体" w:hAnsi="宋体" w:cs="仿宋"/>
          <w:color w:val="000000" w:themeColor="text1"/>
          <w:sz w:val="24"/>
          <w:highlight w:val="none"/>
          <w:lang w:val="zh-CN"/>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2、</w:t>
      </w:r>
      <w:r>
        <w:rPr>
          <w:rFonts w:hint="eastAsia" w:ascii="宋体" w:hAnsi="宋体" w:cs="仿宋"/>
          <w:color w:val="000000" w:themeColor="text1"/>
          <w:sz w:val="24"/>
          <w:highlight w:val="none"/>
          <w:lang w:val="zh-CN"/>
          <w14:textFill>
            <w14:solidFill>
              <w14:schemeClr w14:val="tx1"/>
            </w14:solidFill>
          </w14:textFill>
        </w:rPr>
        <w:t>采购人可以邀请参加本项目的其他供应商或者第三方机构参与验收。参与验收的供应商或者第三方机构的意见作为验收书的参考资料一并存档。</w:t>
      </w:r>
    </w:p>
    <w:p>
      <w:pPr>
        <w:snapToGrid w:val="0"/>
        <w:spacing w:line="360" w:lineRule="auto"/>
        <w:ind w:firstLine="480" w:firstLineChars="200"/>
        <w:jc w:val="left"/>
        <w:rPr>
          <w:rFonts w:ascii="宋体" w:hAnsi="宋体" w:cs="仿宋"/>
          <w:color w:val="000000" w:themeColor="text1"/>
          <w:sz w:val="24"/>
          <w:highlight w:val="none"/>
          <w:lang w:val="zh-CN"/>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3、</w:t>
      </w:r>
      <w:r>
        <w:rPr>
          <w:rFonts w:hint="eastAsia" w:ascii="宋体" w:hAnsi="宋体" w:cs="仿宋"/>
          <w:color w:val="000000" w:themeColor="text1"/>
          <w:sz w:val="24"/>
          <w:highlight w:val="none"/>
          <w:lang w:val="zh-CN"/>
          <w14:textFill>
            <w14:solidFill>
              <w14:schemeClr w14:val="tx1"/>
            </w14:solidFill>
          </w14:textFill>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ind w:firstLine="480" w:firstLineChars="200"/>
        <w:jc w:val="left"/>
        <w:rPr>
          <w:color w:val="000000" w:themeColor="text1"/>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4、</w:t>
      </w:r>
      <w:r>
        <w:rPr>
          <w:rFonts w:hint="eastAsia" w:ascii="宋体" w:hAnsi="宋体" w:cs="仿宋"/>
          <w:color w:val="000000" w:themeColor="text1"/>
          <w:sz w:val="24"/>
          <w:highlight w:val="none"/>
          <w:lang w:val="zh-CN"/>
          <w14:textFill>
            <w14:solidFill>
              <w14:schemeClr w14:val="tx1"/>
            </w14:solidFill>
          </w14:textFill>
        </w:rPr>
        <w:t>验收合格的项目，采购人将根据采购合同的约定及时向供应商支付采购资金、退还履约保证金。验收不合格的项目，采购人将依法及时处理。采购合同的履行、违约责任和解决争议的方式等适用《中华人民共和国</w:t>
      </w:r>
      <w:r>
        <w:rPr>
          <w:rFonts w:hint="eastAsia" w:ascii="宋体" w:hAnsi="宋体" w:cs="仿宋"/>
          <w:color w:val="000000" w:themeColor="text1"/>
          <w:sz w:val="24"/>
          <w:highlight w:val="none"/>
          <w14:textFill>
            <w14:solidFill>
              <w14:schemeClr w14:val="tx1"/>
            </w14:solidFill>
          </w14:textFill>
        </w:rPr>
        <w:t>民法典</w:t>
      </w:r>
      <w:r>
        <w:rPr>
          <w:rFonts w:hint="eastAsia" w:ascii="宋体" w:hAnsi="宋体" w:cs="仿宋"/>
          <w:color w:val="000000" w:themeColor="text1"/>
          <w:sz w:val="24"/>
          <w:highlight w:val="none"/>
          <w:lang w:val="zh-CN"/>
          <w14:textFill>
            <w14:solidFill>
              <w14:schemeClr w14:val="tx1"/>
            </w14:solidFill>
          </w14:textFill>
        </w:rPr>
        <w:t>》。供应商在履约过程中有政府采购法律法规规定的违法违规情形的，采购人应当及时报告本级财政部门。</w:t>
      </w:r>
    </w:p>
    <w:p>
      <w:pPr>
        <w:pStyle w:val="2"/>
        <w:spacing w:line="36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六、履行合同的时间、地点、违约责任、解决争议的方式</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1、合同履行期限：总服务期85日历天（其中合同签订后20日历天内完成提升设计方案；方案完成后65日历天内完成设备材料的采购安装与现场施工）；运营期限3年。</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2、项目实施地点：萧山区瓜沥镇。</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3、违约责任：</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3.1采购人无正当理由拒收接受服务的，采购人向中标供应商偿付合同款项百分之五作为违约金。</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3.2采购人无故逾期验收和办理款项支付手续的,采购人应按逾期付款总额每日万分之五向中标供应商支付违约金。</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中标供应商未能如期提供服务的，每日向采购人支付合同款项的千分之六作为违约金。中标供应商超过约定日期10个工作日仍不能提供服务的，采购人有权单方解除本合同。中标供应商因未能如期提供服务或因其他违约行为导致采购人解除合同的，中标供应商应向采购人支付合同总值的百分之五作为违约金；如造成采购人损失超过违约金的，超出部分由中标供应商继续承担赔偿责任。</w:t>
      </w:r>
    </w:p>
    <w:p>
      <w:pPr>
        <w:pStyle w:val="2"/>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3.4供应商在服务期内，执行本项目过程中必须接受采购人和有关部门的检查和监督。采购人发现供应商有违反合同约定的，有权单方终止合同。</w:t>
      </w:r>
    </w:p>
    <w:p>
      <w:pPr>
        <w:pStyle w:val="2"/>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4、争议解决</w:t>
      </w:r>
    </w:p>
    <w:p>
      <w:pPr>
        <w:pStyle w:val="2"/>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因履行本合同发生争议的，应双方友好协调解决。无法协商解决的，任何一方均可向合同履行地人民法院提起诉讼。</w:t>
      </w:r>
    </w:p>
    <w:p>
      <w:pPr>
        <w:widowControl/>
        <w:ind w:firstLine="720" w:firstLineChars="300"/>
        <w:jc w:val="left"/>
        <w:rPr>
          <w:rFonts w:ascii="宋体" w:hAnsi="宋体" w:cs="宋体"/>
          <w:bCs/>
          <w:color w:val="000000" w:themeColor="text1"/>
          <w:sz w:val="24"/>
          <w:highlight w:val="none"/>
          <w14:textFill>
            <w14:solidFill>
              <w14:schemeClr w14:val="tx1"/>
            </w14:solidFill>
          </w14:textFill>
        </w:rPr>
      </w:pPr>
    </w:p>
    <w:p>
      <w:pPr>
        <w:rPr>
          <w:rFonts w:ascii="宋体" w:hAnsi="宋体" w:cs="宋体"/>
          <w:snapToGrid w:val="0"/>
          <w:color w:val="000000" w:themeColor="text1"/>
          <w:kern w:val="0"/>
          <w:sz w:val="24"/>
          <w:highlight w:val="none"/>
          <w14:textFill>
            <w14:solidFill>
              <w14:schemeClr w14:val="tx1"/>
            </w14:solidFill>
          </w14:textFill>
        </w:rPr>
      </w:pPr>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br w:type="page"/>
      </w:r>
      <w:r>
        <w:rPr>
          <w:rFonts w:hint="eastAsia" w:ascii="宋体" w:hAnsi="宋体" w:cs="宋体"/>
          <w:b/>
          <w:color w:val="000000" w:themeColor="text1"/>
          <w:sz w:val="36"/>
          <w:szCs w:val="36"/>
          <w:highlight w:val="none"/>
          <w14:textFill>
            <w14:solidFill>
              <w14:schemeClr w14:val="tx1"/>
            </w14:solidFill>
          </w14:textFill>
        </w:rPr>
        <w:t xml:space="preserve">第四部分   </w:t>
      </w:r>
      <w:bookmarkStart w:id="28" w:name="_Toc184308049"/>
      <w:bookmarkEnd w:id="28"/>
      <w:bookmarkStart w:id="29" w:name="_Toc184310278"/>
      <w:bookmarkEnd w:id="29"/>
      <w:bookmarkStart w:id="30" w:name="_Toc184314418"/>
      <w:bookmarkEnd w:id="30"/>
      <w:bookmarkStart w:id="31" w:name="_Toc184310306"/>
      <w:bookmarkEnd w:id="31"/>
      <w:bookmarkStart w:id="32" w:name="_Toc184314426"/>
      <w:bookmarkEnd w:id="32"/>
      <w:bookmarkStart w:id="33" w:name="_Toc184313278"/>
      <w:bookmarkEnd w:id="33"/>
      <w:bookmarkStart w:id="34" w:name="_Toc184310331"/>
      <w:bookmarkEnd w:id="34"/>
      <w:bookmarkStart w:id="35" w:name="_Toc184308038"/>
      <w:bookmarkEnd w:id="35"/>
      <w:bookmarkStart w:id="36" w:name="_Toc184308036"/>
      <w:bookmarkEnd w:id="36"/>
      <w:bookmarkStart w:id="37" w:name="_Toc184308066"/>
      <w:bookmarkEnd w:id="37"/>
      <w:bookmarkStart w:id="38" w:name="_Toc184308097"/>
      <w:bookmarkEnd w:id="38"/>
      <w:bookmarkStart w:id="39" w:name="_Toc184310324"/>
      <w:bookmarkEnd w:id="39"/>
      <w:bookmarkStart w:id="40" w:name="_Toc184312134"/>
      <w:bookmarkEnd w:id="40"/>
      <w:bookmarkStart w:id="41" w:name="_Toc184310295"/>
      <w:bookmarkEnd w:id="41"/>
      <w:bookmarkStart w:id="42" w:name="_Toc184308053"/>
      <w:bookmarkEnd w:id="42"/>
      <w:bookmarkStart w:id="43" w:name="_Toc184313252"/>
      <w:bookmarkEnd w:id="43"/>
      <w:bookmarkStart w:id="44" w:name="_Toc184310327"/>
      <w:bookmarkEnd w:id="44"/>
      <w:bookmarkStart w:id="45" w:name="_Toc184314416"/>
      <w:bookmarkEnd w:id="45"/>
      <w:bookmarkStart w:id="46" w:name="_Toc184308050"/>
      <w:bookmarkEnd w:id="46"/>
      <w:bookmarkStart w:id="47" w:name="_Toc184308087"/>
      <w:bookmarkEnd w:id="47"/>
      <w:bookmarkStart w:id="48" w:name="_Toc184314468"/>
      <w:bookmarkEnd w:id="48"/>
      <w:bookmarkStart w:id="49" w:name="_Toc184308082"/>
      <w:bookmarkEnd w:id="49"/>
      <w:bookmarkStart w:id="50" w:name="_Toc184310310"/>
      <w:bookmarkEnd w:id="50"/>
      <w:bookmarkStart w:id="51" w:name="_Toc184313309"/>
      <w:bookmarkEnd w:id="51"/>
      <w:bookmarkStart w:id="52" w:name="_Toc184308071"/>
      <w:bookmarkEnd w:id="52"/>
      <w:bookmarkStart w:id="53" w:name="_Toc184314452"/>
      <w:bookmarkEnd w:id="53"/>
      <w:bookmarkStart w:id="54" w:name="_Toc184314429"/>
      <w:bookmarkEnd w:id="54"/>
      <w:bookmarkStart w:id="55" w:name="_Toc184313240"/>
      <w:bookmarkEnd w:id="55"/>
      <w:bookmarkStart w:id="56" w:name="_Toc184313293"/>
      <w:bookmarkEnd w:id="56"/>
      <w:bookmarkStart w:id="57" w:name="_Toc184314455"/>
      <w:bookmarkEnd w:id="57"/>
      <w:bookmarkStart w:id="58" w:name="_Toc184313289"/>
      <w:bookmarkEnd w:id="58"/>
      <w:bookmarkStart w:id="59" w:name="_Toc184310305"/>
      <w:bookmarkEnd w:id="59"/>
      <w:bookmarkStart w:id="60" w:name="_Toc184313297"/>
      <w:bookmarkEnd w:id="60"/>
      <w:bookmarkStart w:id="61" w:name="_Toc184313268"/>
      <w:bookmarkEnd w:id="61"/>
      <w:bookmarkStart w:id="62" w:name="_Toc184308051"/>
      <w:bookmarkEnd w:id="62"/>
      <w:bookmarkStart w:id="63" w:name="_Toc184314479"/>
      <w:bookmarkEnd w:id="63"/>
      <w:bookmarkStart w:id="64" w:name="_Toc184314467"/>
      <w:bookmarkEnd w:id="64"/>
      <w:bookmarkStart w:id="65" w:name="_Toc184310313"/>
      <w:bookmarkEnd w:id="65"/>
      <w:bookmarkStart w:id="66" w:name="_Toc184308068"/>
      <w:bookmarkEnd w:id="66"/>
      <w:bookmarkStart w:id="67" w:name="_Toc184308093"/>
      <w:bookmarkEnd w:id="67"/>
      <w:bookmarkStart w:id="68" w:name="_Toc184313276"/>
      <w:bookmarkEnd w:id="68"/>
      <w:bookmarkStart w:id="69" w:name="_Toc184308052"/>
      <w:bookmarkEnd w:id="69"/>
      <w:bookmarkStart w:id="70" w:name="_Toc184312117"/>
      <w:bookmarkEnd w:id="70"/>
      <w:bookmarkStart w:id="71" w:name="_Toc184313310"/>
      <w:bookmarkEnd w:id="71"/>
      <w:bookmarkStart w:id="72" w:name="_Toc184310320"/>
      <w:bookmarkEnd w:id="72"/>
      <w:bookmarkStart w:id="73" w:name="_Toc184308047"/>
      <w:bookmarkEnd w:id="73"/>
      <w:bookmarkStart w:id="74" w:name="_Toc184308080"/>
      <w:bookmarkEnd w:id="74"/>
      <w:bookmarkStart w:id="75" w:name="_Toc184312088"/>
      <w:bookmarkEnd w:id="75"/>
      <w:bookmarkStart w:id="76" w:name="_Toc184308055"/>
      <w:bookmarkEnd w:id="76"/>
      <w:bookmarkStart w:id="77" w:name="_Toc184314410"/>
      <w:bookmarkEnd w:id="77"/>
      <w:bookmarkStart w:id="78" w:name="_Toc184314413"/>
      <w:bookmarkEnd w:id="78"/>
      <w:bookmarkStart w:id="79" w:name="_Toc184310340"/>
      <w:bookmarkEnd w:id="79"/>
      <w:bookmarkStart w:id="80" w:name="_Toc184312101"/>
      <w:bookmarkEnd w:id="80"/>
      <w:bookmarkStart w:id="81" w:name="_Toc184314451"/>
      <w:bookmarkEnd w:id="81"/>
      <w:bookmarkStart w:id="82" w:name="_Toc184308098"/>
      <w:bookmarkEnd w:id="82"/>
      <w:bookmarkStart w:id="83" w:name="_Toc184314430"/>
      <w:bookmarkEnd w:id="83"/>
      <w:bookmarkStart w:id="84" w:name="_Toc184313291"/>
      <w:bookmarkEnd w:id="84"/>
      <w:bookmarkStart w:id="85" w:name="_Toc184308108"/>
      <w:bookmarkEnd w:id="85"/>
      <w:bookmarkStart w:id="86" w:name="_Toc184310281"/>
      <w:bookmarkEnd w:id="86"/>
      <w:bookmarkStart w:id="87" w:name="_Toc184314460"/>
      <w:bookmarkEnd w:id="87"/>
      <w:bookmarkStart w:id="88" w:name="_Toc184314471"/>
      <w:bookmarkEnd w:id="88"/>
      <w:bookmarkStart w:id="89" w:name="_Toc184310343"/>
      <w:bookmarkEnd w:id="89"/>
      <w:bookmarkStart w:id="90" w:name="_Toc184312135"/>
      <w:bookmarkEnd w:id="90"/>
      <w:bookmarkStart w:id="91" w:name="_Toc184313255"/>
      <w:bookmarkEnd w:id="91"/>
      <w:bookmarkStart w:id="92" w:name="_Toc184313284"/>
      <w:bookmarkEnd w:id="92"/>
      <w:bookmarkStart w:id="93" w:name="_Toc184313271"/>
      <w:bookmarkEnd w:id="93"/>
      <w:bookmarkStart w:id="94" w:name="_Toc184312136"/>
      <w:bookmarkEnd w:id="94"/>
      <w:bookmarkStart w:id="95" w:name="_Toc184312104"/>
      <w:bookmarkEnd w:id="95"/>
      <w:bookmarkStart w:id="96" w:name="_Toc184313280"/>
      <w:bookmarkEnd w:id="96"/>
      <w:bookmarkStart w:id="97" w:name="_Toc184312090"/>
      <w:bookmarkEnd w:id="97"/>
      <w:bookmarkStart w:id="98" w:name="_Toc184312099"/>
      <w:bookmarkEnd w:id="98"/>
      <w:bookmarkStart w:id="99" w:name="_Toc184313295"/>
      <w:bookmarkEnd w:id="99"/>
      <w:bookmarkStart w:id="100" w:name="_Toc184313307"/>
      <w:bookmarkEnd w:id="100"/>
      <w:bookmarkStart w:id="101" w:name="_Toc184312129"/>
      <w:bookmarkEnd w:id="101"/>
      <w:bookmarkStart w:id="102" w:name="_Toc184312086"/>
      <w:bookmarkEnd w:id="102"/>
      <w:bookmarkStart w:id="103" w:name="_Toc184308078"/>
      <w:bookmarkEnd w:id="103"/>
      <w:bookmarkStart w:id="104" w:name="_Toc184313263"/>
      <w:bookmarkEnd w:id="104"/>
      <w:bookmarkStart w:id="105" w:name="_Toc184310272"/>
      <w:bookmarkEnd w:id="105"/>
      <w:bookmarkStart w:id="106" w:name="_Toc184310338"/>
      <w:bookmarkEnd w:id="106"/>
      <w:bookmarkStart w:id="107" w:name="_Toc184313281"/>
      <w:bookmarkEnd w:id="107"/>
      <w:bookmarkStart w:id="108" w:name="_Toc184310280"/>
      <w:bookmarkEnd w:id="108"/>
      <w:bookmarkStart w:id="109" w:name="_Toc184314456"/>
      <w:bookmarkEnd w:id="109"/>
      <w:bookmarkStart w:id="110" w:name="_Toc184312070"/>
      <w:bookmarkEnd w:id="110"/>
      <w:bookmarkStart w:id="111" w:name="_Toc184312083"/>
      <w:bookmarkEnd w:id="111"/>
      <w:bookmarkStart w:id="112" w:name="_Toc184313296"/>
      <w:bookmarkEnd w:id="112"/>
      <w:bookmarkStart w:id="113" w:name="_Toc184308099"/>
      <w:bookmarkEnd w:id="113"/>
      <w:bookmarkStart w:id="114" w:name="_Toc184314446"/>
      <w:bookmarkEnd w:id="114"/>
      <w:bookmarkStart w:id="115" w:name="_Toc184314411"/>
      <w:bookmarkEnd w:id="115"/>
      <w:bookmarkStart w:id="116" w:name="_Toc184314450"/>
      <w:bookmarkEnd w:id="116"/>
      <w:bookmarkStart w:id="117" w:name="_Toc184312131"/>
      <w:bookmarkEnd w:id="117"/>
      <w:bookmarkStart w:id="118" w:name="_Toc184310336"/>
      <w:bookmarkEnd w:id="118"/>
      <w:bookmarkStart w:id="119" w:name="_Toc184308107"/>
      <w:bookmarkEnd w:id="119"/>
      <w:bookmarkStart w:id="120" w:name="_Toc184314435"/>
      <w:bookmarkEnd w:id="120"/>
      <w:bookmarkStart w:id="121" w:name="_Toc184314469"/>
      <w:bookmarkEnd w:id="121"/>
      <w:bookmarkStart w:id="122" w:name="_Toc184313286"/>
      <w:bookmarkEnd w:id="122"/>
      <w:bookmarkStart w:id="123" w:name="_Toc184313306"/>
      <w:bookmarkEnd w:id="123"/>
      <w:bookmarkStart w:id="124" w:name="_Toc184308073"/>
      <w:bookmarkEnd w:id="124"/>
      <w:bookmarkStart w:id="125" w:name="_Toc184310304"/>
      <w:bookmarkEnd w:id="125"/>
      <w:bookmarkStart w:id="126" w:name="_Toc184314440"/>
      <w:bookmarkEnd w:id="126"/>
      <w:bookmarkStart w:id="127" w:name="_Toc184308060"/>
      <w:bookmarkEnd w:id="127"/>
      <w:bookmarkStart w:id="128" w:name="_Toc184310312"/>
      <w:bookmarkEnd w:id="128"/>
      <w:bookmarkStart w:id="129" w:name="_Toc184310307"/>
      <w:bookmarkEnd w:id="129"/>
      <w:bookmarkStart w:id="130" w:name="_Toc184314481"/>
      <w:bookmarkEnd w:id="130"/>
      <w:bookmarkStart w:id="131" w:name="_Toc184312128"/>
      <w:bookmarkEnd w:id="131"/>
      <w:bookmarkStart w:id="132" w:name="_Toc184310323"/>
      <w:bookmarkEnd w:id="132"/>
      <w:bookmarkStart w:id="133" w:name="_Toc184314445"/>
      <w:bookmarkEnd w:id="133"/>
      <w:bookmarkStart w:id="134" w:name="_Toc184312111"/>
      <w:bookmarkEnd w:id="134"/>
      <w:bookmarkStart w:id="135" w:name="_Toc184314476"/>
      <w:bookmarkEnd w:id="135"/>
      <w:bookmarkStart w:id="136" w:name="_Toc184314420"/>
      <w:bookmarkEnd w:id="136"/>
      <w:bookmarkStart w:id="137" w:name="_Toc184312132"/>
      <w:bookmarkEnd w:id="137"/>
      <w:bookmarkStart w:id="138" w:name="_Toc184312098"/>
      <w:bookmarkEnd w:id="138"/>
      <w:bookmarkStart w:id="139" w:name="_Toc184310273"/>
      <w:bookmarkEnd w:id="139"/>
      <w:bookmarkStart w:id="140" w:name="_Toc184313246"/>
      <w:bookmarkEnd w:id="140"/>
      <w:bookmarkStart w:id="141" w:name="_Toc184312073"/>
      <w:bookmarkEnd w:id="141"/>
      <w:bookmarkStart w:id="142" w:name="_Toc184312078"/>
      <w:bookmarkEnd w:id="142"/>
      <w:bookmarkStart w:id="143" w:name="_Toc184314436"/>
      <w:bookmarkEnd w:id="143"/>
      <w:bookmarkStart w:id="144" w:name="_Toc184312094"/>
      <w:bookmarkEnd w:id="144"/>
      <w:bookmarkStart w:id="145" w:name="_Toc184312123"/>
      <w:bookmarkEnd w:id="145"/>
      <w:bookmarkStart w:id="146" w:name="_Toc184312130"/>
      <w:bookmarkEnd w:id="146"/>
      <w:bookmarkStart w:id="147" w:name="_Toc184314419"/>
      <w:bookmarkEnd w:id="147"/>
      <w:bookmarkStart w:id="148" w:name="_Toc184313250"/>
      <w:bookmarkEnd w:id="148"/>
      <w:bookmarkStart w:id="149" w:name="_Toc184308101"/>
      <w:bookmarkEnd w:id="149"/>
      <w:bookmarkStart w:id="150" w:name="_Toc184314427"/>
      <w:bookmarkEnd w:id="150"/>
      <w:bookmarkStart w:id="151" w:name="_Toc184312075"/>
      <w:bookmarkEnd w:id="151"/>
      <w:bookmarkStart w:id="152" w:name="_Toc184314424"/>
      <w:bookmarkEnd w:id="152"/>
      <w:bookmarkStart w:id="153" w:name="_Toc184310296"/>
      <w:bookmarkEnd w:id="153"/>
      <w:bookmarkStart w:id="154" w:name="_Toc184310326"/>
      <w:bookmarkEnd w:id="154"/>
      <w:bookmarkStart w:id="155" w:name="_Toc184308085"/>
      <w:bookmarkEnd w:id="155"/>
      <w:bookmarkStart w:id="156" w:name="_Toc184312139"/>
      <w:bookmarkEnd w:id="156"/>
      <w:bookmarkStart w:id="157" w:name="_Toc184312095"/>
      <w:bookmarkEnd w:id="157"/>
      <w:bookmarkStart w:id="158" w:name="_Toc184314466"/>
      <w:bookmarkEnd w:id="158"/>
      <w:bookmarkStart w:id="159" w:name="_Toc184314441"/>
      <w:bookmarkEnd w:id="159"/>
      <w:bookmarkStart w:id="160" w:name="_Toc184310309"/>
      <w:bookmarkEnd w:id="160"/>
      <w:bookmarkStart w:id="161" w:name="_Toc184308037"/>
      <w:bookmarkEnd w:id="161"/>
      <w:bookmarkStart w:id="162" w:name="_Toc184313245"/>
      <w:bookmarkEnd w:id="162"/>
      <w:bookmarkStart w:id="163" w:name="_Toc184312079"/>
      <w:bookmarkEnd w:id="163"/>
      <w:bookmarkStart w:id="164" w:name="_Toc184308072"/>
      <w:bookmarkEnd w:id="164"/>
      <w:bookmarkStart w:id="165" w:name="_Toc184308069"/>
      <w:bookmarkEnd w:id="165"/>
      <w:bookmarkStart w:id="166" w:name="_Toc184308092"/>
      <w:bookmarkEnd w:id="166"/>
      <w:bookmarkStart w:id="167" w:name="_Toc184310334"/>
      <w:bookmarkEnd w:id="167"/>
      <w:bookmarkStart w:id="168" w:name="_Toc184313270"/>
      <w:bookmarkEnd w:id="168"/>
      <w:bookmarkStart w:id="169" w:name="_Toc184313275"/>
      <w:bookmarkEnd w:id="169"/>
      <w:bookmarkStart w:id="170" w:name="_Toc184310287"/>
      <w:bookmarkEnd w:id="170"/>
      <w:bookmarkStart w:id="171" w:name="_Toc184312106"/>
      <w:bookmarkEnd w:id="171"/>
      <w:bookmarkStart w:id="172" w:name="_Toc184310283"/>
      <w:bookmarkEnd w:id="172"/>
      <w:bookmarkStart w:id="173" w:name="_Toc184310319"/>
      <w:bookmarkEnd w:id="173"/>
      <w:bookmarkStart w:id="174" w:name="_Toc184314422"/>
      <w:bookmarkEnd w:id="174"/>
      <w:bookmarkStart w:id="175" w:name="_Toc184313277"/>
      <w:bookmarkEnd w:id="175"/>
      <w:bookmarkStart w:id="176" w:name="_Toc184308095"/>
      <w:bookmarkEnd w:id="176"/>
      <w:bookmarkStart w:id="177" w:name="_Toc184313243"/>
      <w:bookmarkEnd w:id="177"/>
      <w:bookmarkStart w:id="178" w:name="_Toc184308048"/>
      <w:bookmarkEnd w:id="178"/>
      <w:bookmarkStart w:id="179" w:name="_Toc184312071"/>
      <w:bookmarkEnd w:id="179"/>
      <w:bookmarkStart w:id="180" w:name="_Toc184313301"/>
      <w:bookmarkEnd w:id="180"/>
      <w:bookmarkStart w:id="181" w:name="_Toc184314421"/>
      <w:bookmarkEnd w:id="181"/>
      <w:bookmarkStart w:id="182" w:name="_Toc184312122"/>
      <w:bookmarkEnd w:id="182"/>
      <w:bookmarkStart w:id="183" w:name="_Toc184314415"/>
      <w:bookmarkEnd w:id="183"/>
      <w:bookmarkStart w:id="184" w:name="_Toc184312112"/>
      <w:bookmarkEnd w:id="184"/>
      <w:bookmarkStart w:id="185" w:name="_Toc184312126"/>
      <w:bookmarkEnd w:id="185"/>
      <w:bookmarkStart w:id="186" w:name="_Toc184312091"/>
      <w:bookmarkEnd w:id="186"/>
      <w:bookmarkStart w:id="187" w:name="_Toc184314478"/>
      <w:bookmarkEnd w:id="187"/>
      <w:bookmarkStart w:id="188" w:name="_Toc184312096"/>
      <w:bookmarkEnd w:id="188"/>
      <w:bookmarkStart w:id="189" w:name="_Toc184312113"/>
      <w:bookmarkEnd w:id="189"/>
      <w:bookmarkStart w:id="190" w:name="_Toc184313285"/>
      <w:bookmarkEnd w:id="190"/>
      <w:bookmarkStart w:id="191" w:name="_Toc184313273"/>
      <w:bookmarkEnd w:id="191"/>
      <w:bookmarkStart w:id="192" w:name="_Toc184313265"/>
      <w:bookmarkEnd w:id="192"/>
      <w:bookmarkStart w:id="193" w:name="_Toc184310315"/>
      <w:bookmarkEnd w:id="193"/>
      <w:bookmarkStart w:id="194" w:name="_Toc184314454"/>
      <w:bookmarkEnd w:id="194"/>
      <w:bookmarkStart w:id="195" w:name="_Toc184308079"/>
      <w:bookmarkEnd w:id="195"/>
      <w:bookmarkStart w:id="196" w:name="_Toc184314464"/>
      <w:bookmarkEnd w:id="196"/>
      <w:bookmarkStart w:id="197" w:name="_Toc184308074"/>
      <w:bookmarkEnd w:id="197"/>
      <w:bookmarkStart w:id="198" w:name="_Toc184313261"/>
      <w:bookmarkEnd w:id="198"/>
      <w:bookmarkStart w:id="199" w:name="_Toc184313279"/>
      <w:bookmarkEnd w:id="199"/>
      <w:bookmarkStart w:id="200" w:name="_Toc184308100"/>
      <w:bookmarkEnd w:id="200"/>
      <w:bookmarkStart w:id="201" w:name="_Toc184314428"/>
      <w:bookmarkEnd w:id="201"/>
      <w:bookmarkStart w:id="202" w:name="_Toc184312087"/>
      <w:bookmarkEnd w:id="202"/>
      <w:bookmarkStart w:id="203" w:name="_Toc184308046"/>
      <w:bookmarkEnd w:id="203"/>
      <w:bookmarkStart w:id="204" w:name="_Toc184310332"/>
      <w:bookmarkEnd w:id="204"/>
      <w:bookmarkStart w:id="205" w:name="_Toc184310276"/>
      <w:bookmarkEnd w:id="205"/>
      <w:bookmarkStart w:id="206" w:name="_Toc184314437"/>
      <w:bookmarkEnd w:id="206"/>
      <w:bookmarkStart w:id="207" w:name="_Toc184310284"/>
      <w:bookmarkEnd w:id="207"/>
      <w:bookmarkStart w:id="208" w:name="_Toc184310294"/>
      <w:bookmarkEnd w:id="208"/>
      <w:bookmarkStart w:id="209" w:name="_Toc184313262"/>
      <w:bookmarkEnd w:id="209"/>
      <w:bookmarkStart w:id="210" w:name="_Toc184310279"/>
      <w:bookmarkEnd w:id="210"/>
      <w:bookmarkStart w:id="211" w:name="_Toc184308063"/>
      <w:bookmarkEnd w:id="211"/>
      <w:bookmarkStart w:id="212" w:name="_Toc184313244"/>
      <w:bookmarkEnd w:id="212"/>
      <w:bookmarkStart w:id="213" w:name="_Toc184314474"/>
      <w:bookmarkEnd w:id="213"/>
      <w:bookmarkStart w:id="214" w:name="_Toc184308059"/>
      <w:bookmarkEnd w:id="214"/>
      <w:bookmarkStart w:id="215" w:name="_Toc184312109"/>
      <w:bookmarkEnd w:id="215"/>
      <w:bookmarkStart w:id="216" w:name="_Toc184310328"/>
      <w:bookmarkEnd w:id="216"/>
      <w:bookmarkStart w:id="217" w:name="_Toc184308103"/>
      <w:bookmarkEnd w:id="217"/>
      <w:bookmarkStart w:id="218" w:name="_Toc184313269"/>
      <w:bookmarkEnd w:id="218"/>
      <w:bookmarkStart w:id="219" w:name="_Toc184314448"/>
      <w:bookmarkEnd w:id="219"/>
      <w:bookmarkStart w:id="220" w:name="_Toc184314459"/>
      <w:bookmarkEnd w:id="220"/>
      <w:bookmarkStart w:id="221" w:name="_Toc184308096"/>
      <w:bookmarkEnd w:id="221"/>
      <w:bookmarkStart w:id="222" w:name="_Toc184313299"/>
      <w:bookmarkEnd w:id="222"/>
      <w:bookmarkStart w:id="223" w:name="_Toc184313249"/>
      <w:bookmarkEnd w:id="223"/>
      <w:bookmarkStart w:id="224" w:name="_Toc184314442"/>
      <w:bookmarkEnd w:id="224"/>
      <w:bookmarkStart w:id="225" w:name="_Toc184308091"/>
      <w:bookmarkEnd w:id="225"/>
      <w:bookmarkStart w:id="226" w:name="_Toc184313248"/>
      <w:bookmarkEnd w:id="226"/>
      <w:bookmarkStart w:id="227" w:name="_Toc184308041"/>
      <w:bookmarkEnd w:id="227"/>
      <w:bookmarkStart w:id="228" w:name="_Toc184308090"/>
      <w:bookmarkEnd w:id="228"/>
      <w:bookmarkStart w:id="229" w:name="_Toc184313304"/>
      <w:bookmarkEnd w:id="229"/>
      <w:bookmarkStart w:id="230" w:name="_Toc184312082"/>
      <w:bookmarkEnd w:id="230"/>
      <w:bookmarkStart w:id="231" w:name="_Toc184308102"/>
      <w:bookmarkEnd w:id="231"/>
      <w:bookmarkStart w:id="232" w:name="_Toc184310285"/>
      <w:bookmarkEnd w:id="232"/>
      <w:bookmarkStart w:id="233" w:name="_Toc184312138"/>
      <w:bookmarkEnd w:id="233"/>
      <w:bookmarkStart w:id="234" w:name="_Toc184310337"/>
      <w:bookmarkEnd w:id="234"/>
      <w:bookmarkStart w:id="235" w:name="_Toc184308043"/>
      <w:bookmarkEnd w:id="235"/>
      <w:bookmarkStart w:id="236" w:name="_Toc184312077"/>
      <w:bookmarkEnd w:id="236"/>
      <w:bookmarkStart w:id="237" w:name="_Toc184314473"/>
      <w:bookmarkEnd w:id="237"/>
      <w:bookmarkStart w:id="238" w:name="_Toc184314443"/>
      <w:bookmarkEnd w:id="238"/>
      <w:bookmarkStart w:id="239" w:name="_Toc184314477"/>
      <w:bookmarkEnd w:id="239"/>
      <w:bookmarkStart w:id="240" w:name="_Toc184313254"/>
      <w:bookmarkEnd w:id="240"/>
      <w:bookmarkStart w:id="241" w:name="_Toc184314433"/>
      <w:bookmarkEnd w:id="241"/>
      <w:bookmarkStart w:id="242" w:name="_Toc184308070"/>
      <w:bookmarkEnd w:id="242"/>
      <w:bookmarkStart w:id="243" w:name="_Toc184314414"/>
      <w:bookmarkEnd w:id="243"/>
      <w:bookmarkStart w:id="244" w:name="_Toc184314438"/>
      <w:bookmarkEnd w:id="244"/>
      <w:bookmarkStart w:id="245" w:name="_Toc184310318"/>
      <w:bookmarkEnd w:id="245"/>
      <w:bookmarkStart w:id="246" w:name="_Toc184310289"/>
      <w:bookmarkEnd w:id="246"/>
      <w:bookmarkStart w:id="247" w:name="_Toc184312133"/>
      <w:bookmarkEnd w:id="247"/>
      <w:bookmarkStart w:id="248" w:name="_Toc184312121"/>
      <w:bookmarkEnd w:id="248"/>
      <w:bookmarkStart w:id="249" w:name="_Toc184310321"/>
      <w:bookmarkEnd w:id="249"/>
      <w:bookmarkStart w:id="250" w:name="_Toc184308105"/>
      <w:bookmarkEnd w:id="250"/>
      <w:bookmarkStart w:id="251" w:name="_Toc184313247"/>
      <w:bookmarkEnd w:id="251"/>
      <w:bookmarkStart w:id="252" w:name="_Toc184314462"/>
      <w:bookmarkEnd w:id="252"/>
      <w:bookmarkStart w:id="253" w:name="_Toc184308081"/>
      <w:bookmarkEnd w:id="253"/>
      <w:bookmarkStart w:id="254" w:name="_Toc184310344"/>
      <w:bookmarkEnd w:id="254"/>
      <w:bookmarkStart w:id="255" w:name="_Toc184312125"/>
      <w:bookmarkEnd w:id="255"/>
      <w:bookmarkStart w:id="256" w:name="_Toc184313308"/>
      <w:bookmarkEnd w:id="256"/>
      <w:bookmarkStart w:id="257" w:name="_Toc184313266"/>
      <w:bookmarkEnd w:id="257"/>
      <w:bookmarkStart w:id="258" w:name="_Toc184310290"/>
      <w:bookmarkEnd w:id="258"/>
      <w:bookmarkStart w:id="259" w:name="_Toc184313267"/>
      <w:bookmarkEnd w:id="259"/>
      <w:bookmarkStart w:id="260" w:name="_Toc184308065"/>
      <w:bookmarkEnd w:id="260"/>
      <w:bookmarkStart w:id="261" w:name="_Toc184308075"/>
      <w:bookmarkEnd w:id="261"/>
      <w:bookmarkStart w:id="262" w:name="_Toc184312084"/>
      <w:bookmarkEnd w:id="262"/>
      <w:bookmarkStart w:id="263" w:name="_Toc184313294"/>
      <w:bookmarkEnd w:id="263"/>
      <w:bookmarkStart w:id="264" w:name="_Toc184313241"/>
      <w:bookmarkEnd w:id="264"/>
      <w:bookmarkStart w:id="265" w:name="_Toc184313282"/>
      <w:bookmarkEnd w:id="265"/>
      <w:bookmarkStart w:id="266" w:name="_Toc184308058"/>
      <w:bookmarkEnd w:id="266"/>
      <w:bookmarkStart w:id="267" w:name="_Toc184308084"/>
      <w:bookmarkEnd w:id="267"/>
      <w:bookmarkStart w:id="268" w:name="_Toc184312092"/>
      <w:bookmarkEnd w:id="268"/>
      <w:bookmarkStart w:id="269" w:name="_Toc184314453"/>
      <w:bookmarkEnd w:id="269"/>
      <w:bookmarkStart w:id="270" w:name="_Toc184310302"/>
      <w:bookmarkEnd w:id="270"/>
      <w:bookmarkStart w:id="271" w:name="_Toc184308056"/>
      <w:bookmarkEnd w:id="271"/>
      <w:bookmarkStart w:id="272" w:name="_Toc184308104"/>
      <w:bookmarkEnd w:id="272"/>
      <w:bookmarkStart w:id="273" w:name="_Toc184313257"/>
      <w:bookmarkEnd w:id="273"/>
      <w:bookmarkStart w:id="274" w:name="_Toc184310277"/>
      <w:bookmarkEnd w:id="274"/>
      <w:bookmarkStart w:id="275" w:name="_Toc184310303"/>
      <w:bookmarkEnd w:id="275"/>
      <w:bookmarkStart w:id="276" w:name="_Toc184308089"/>
      <w:bookmarkEnd w:id="276"/>
      <w:bookmarkStart w:id="277" w:name="_Toc184312069"/>
      <w:bookmarkEnd w:id="277"/>
      <w:bookmarkStart w:id="278" w:name="_Toc184310314"/>
      <w:bookmarkEnd w:id="278"/>
      <w:bookmarkStart w:id="279" w:name="_Toc184314434"/>
      <w:bookmarkEnd w:id="279"/>
      <w:bookmarkStart w:id="280" w:name="_Toc184313298"/>
      <w:bookmarkEnd w:id="280"/>
      <w:bookmarkStart w:id="281" w:name="_Toc184313251"/>
      <w:bookmarkEnd w:id="281"/>
      <w:bookmarkStart w:id="282" w:name="_Toc184310325"/>
      <w:bookmarkEnd w:id="282"/>
      <w:bookmarkStart w:id="283" w:name="_Toc184310330"/>
      <w:bookmarkEnd w:id="283"/>
      <w:bookmarkStart w:id="284" w:name="_Toc184312100"/>
      <w:bookmarkEnd w:id="284"/>
      <w:bookmarkStart w:id="285" w:name="_Toc184313272"/>
      <w:bookmarkEnd w:id="285"/>
      <w:bookmarkStart w:id="286" w:name="_Toc184308086"/>
      <w:bookmarkEnd w:id="286"/>
      <w:bookmarkStart w:id="287" w:name="_Toc184312067"/>
      <w:bookmarkEnd w:id="287"/>
      <w:bookmarkStart w:id="288" w:name="_Toc184308042"/>
      <w:bookmarkEnd w:id="288"/>
      <w:bookmarkStart w:id="289" w:name="_Toc184313239"/>
      <w:bookmarkEnd w:id="289"/>
      <w:bookmarkStart w:id="290" w:name="_Toc184310317"/>
      <w:bookmarkEnd w:id="290"/>
      <w:bookmarkStart w:id="291" w:name="_Toc184313264"/>
      <w:bookmarkEnd w:id="291"/>
      <w:bookmarkStart w:id="292" w:name="_Toc184314458"/>
      <w:bookmarkEnd w:id="292"/>
      <w:bookmarkStart w:id="293" w:name="_Toc184312116"/>
      <w:bookmarkEnd w:id="293"/>
      <w:bookmarkStart w:id="294" w:name="_Toc184314463"/>
      <w:bookmarkEnd w:id="294"/>
      <w:bookmarkStart w:id="295" w:name="_Toc184312089"/>
      <w:bookmarkEnd w:id="295"/>
      <w:bookmarkStart w:id="296" w:name="_Toc184313303"/>
      <w:bookmarkEnd w:id="296"/>
      <w:bookmarkStart w:id="297" w:name="_Toc184310291"/>
      <w:bookmarkEnd w:id="297"/>
      <w:bookmarkStart w:id="298" w:name="_Toc184314470"/>
      <w:bookmarkEnd w:id="298"/>
      <w:bookmarkStart w:id="299" w:name="_Toc184313300"/>
      <w:bookmarkEnd w:id="299"/>
      <w:bookmarkStart w:id="300" w:name="_Toc184312127"/>
      <w:bookmarkEnd w:id="300"/>
      <w:bookmarkStart w:id="301" w:name="_Toc184314447"/>
      <w:bookmarkEnd w:id="301"/>
      <w:bookmarkStart w:id="302" w:name="_Toc184312137"/>
      <w:bookmarkEnd w:id="302"/>
      <w:bookmarkStart w:id="303" w:name="_Toc184313238"/>
      <w:bookmarkEnd w:id="303"/>
      <w:bookmarkStart w:id="304" w:name="_Toc184308094"/>
      <w:bookmarkEnd w:id="304"/>
      <w:bookmarkStart w:id="305" w:name="_Toc184308061"/>
      <w:bookmarkEnd w:id="305"/>
      <w:bookmarkStart w:id="306" w:name="_Toc184308054"/>
      <w:bookmarkEnd w:id="306"/>
      <w:bookmarkStart w:id="307" w:name="_Toc184314417"/>
      <w:bookmarkEnd w:id="307"/>
      <w:bookmarkStart w:id="308" w:name="_Toc184308077"/>
      <w:bookmarkEnd w:id="308"/>
      <w:bookmarkStart w:id="309" w:name="_Toc184308106"/>
      <w:bookmarkEnd w:id="309"/>
      <w:bookmarkStart w:id="310" w:name="_Toc184314482"/>
      <w:bookmarkEnd w:id="310"/>
      <w:bookmarkStart w:id="311" w:name="_Toc184312118"/>
      <w:bookmarkEnd w:id="311"/>
      <w:bookmarkStart w:id="312" w:name="_Toc184313253"/>
      <w:bookmarkEnd w:id="312"/>
      <w:bookmarkStart w:id="313" w:name="_Toc184308064"/>
      <w:bookmarkEnd w:id="313"/>
      <w:bookmarkStart w:id="314" w:name="_Toc184313260"/>
      <w:bookmarkEnd w:id="314"/>
      <w:bookmarkStart w:id="315" w:name="_Toc184308045"/>
      <w:bookmarkEnd w:id="315"/>
      <w:bookmarkStart w:id="316" w:name="_Toc184312097"/>
      <w:bookmarkEnd w:id="316"/>
      <w:bookmarkStart w:id="317" w:name="_Toc184310275"/>
      <w:bookmarkEnd w:id="317"/>
      <w:bookmarkStart w:id="318" w:name="_Toc184313290"/>
      <w:bookmarkEnd w:id="318"/>
      <w:bookmarkStart w:id="319" w:name="_Toc184310333"/>
      <w:bookmarkEnd w:id="319"/>
      <w:bookmarkStart w:id="320" w:name="_Toc184308040"/>
      <w:bookmarkEnd w:id="320"/>
      <w:bookmarkStart w:id="321" w:name="_Toc184314461"/>
      <w:bookmarkEnd w:id="321"/>
      <w:bookmarkStart w:id="322" w:name="_Toc184314412"/>
      <w:bookmarkEnd w:id="322"/>
      <w:bookmarkStart w:id="323" w:name="_Toc184313287"/>
      <w:bookmarkEnd w:id="323"/>
      <w:bookmarkStart w:id="324" w:name="_Toc184313259"/>
      <w:bookmarkEnd w:id="324"/>
      <w:bookmarkStart w:id="325" w:name="_Toc184312114"/>
      <w:bookmarkEnd w:id="325"/>
      <w:bookmarkStart w:id="326" w:name="_Toc184310301"/>
      <w:bookmarkEnd w:id="326"/>
      <w:bookmarkStart w:id="327" w:name="_Toc184310297"/>
      <w:bookmarkEnd w:id="327"/>
      <w:bookmarkStart w:id="328" w:name="_Toc184308088"/>
      <w:bookmarkEnd w:id="328"/>
      <w:bookmarkStart w:id="329" w:name="_Toc184313242"/>
      <w:bookmarkEnd w:id="329"/>
      <w:bookmarkStart w:id="330" w:name="_Toc184314439"/>
      <w:bookmarkEnd w:id="330"/>
      <w:bookmarkStart w:id="331" w:name="_Toc184314465"/>
      <w:bookmarkEnd w:id="331"/>
      <w:bookmarkStart w:id="332" w:name="_Toc184314449"/>
      <w:bookmarkEnd w:id="332"/>
      <w:bookmarkStart w:id="333" w:name="_Toc184313305"/>
      <w:bookmarkEnd w:id="333"/>
      <w:bookmarkStart w:id="334" w:name="_Toc184312080"/>
      <w:bookmarkEnd w:id="334"/>
      <w:bookmarkStart w:id="335" w:name="_Toc184310311"/>
      <w:bookmarkEnd w:id="335"/>
      <w:bookmarkStart w:id="336" w:name="_Toc184312068"/>
      <w:bookmarkEnd w:id="336"/>
      <w:bookmarkStart w:id="337" w:name="_Toc184310335"/>
      <w:bookmarkEnd w:id="337"/>
      <w:bookmarkStart w:id="338" w:name="_Toc184312108"/>
      <w:bookmarkEnd w:id="338"/>
      <w:bookmarkStart w:id="339" w:name="_Toc184312110"/>
      <w:bookmarkEnd w:id="339"/>
      <w:bookmarkStart w:id="340" w:name="_Toc184312107"/>
      <w:bookmarkEnd w:id="340"/>
      <w:bookmarkStart w:id="341" w:name="_Toc184314431"/>
      <w:bookmarkEnd w:id="341"/>
      <w:bookmarkStart w:id="342" w:name="_Toc184310342"/>
      <w:bookmarkEnd w:id="342"/>
      <w:bookmarkStart w:id="343" w:name="_Toc184312115"/>
      <w:bookmarkEnd w:id="343"/>
      <w:bookmarkStart w:id="344" w:name="_Toc184313288"/>
      <w:bookmarkEnd w:id="344"/>
      <w:bookmarkStart w:id="345" w:name="_Toc184310322"/>
      <w:bookmarkEnd w:id="345"/>
      <w:bookmarkStart w:id="346" w:name="_Toc184314423"/>
      <w:bookmarkEnd w:id="346"/>
      <w:bookmarkStart w:id="347" w:name="_Toc184312120"/>
      <w:bookmarkEnd w:id="347"/>
      <w:bookmarkStart w:id="348" w:name="_Toc184312081"/>
      <w:bookmarkEnd w:id="348"/>
      <w:bookmarkStart w:id="349" w:name="_Toc184310316"/>
      <w:bookmarkEnd w:id="349"/>
      <w:bookmarkStart w:id="350" w:name="_Toc184310286"/>
      <w:bookmarkEnd w:id="350"/>
      <w:bookmarkStart w:id="351" w:name="_Toc184312124"/>
      <w:bookmarkEnd w:id="351"/>
      <w:bookmarkStart w:id="352" w:name="_Toc184313256"/>
      <w:bookmarkEnd w:id="352"/>
      <w:bookmarkStart w:id="353" w:name="_Toc184310288"/>
      <w:bookmarkEnd w:id="353"/>
      <w:bookmarkStart w:id="354" w:name="_Toc184313302"/>
      <w:bookmarkEnd w:id="354"/>
      <w:bookmarkStart w:id="355" w:name="_Toc184308044"/>
      <w:bookmarkEnd w:id="355"/>
      <w:bookmarkStart w:id="356" w:name="_Toc184314457"/>
      <w:bookmarkEnd w:id="356"/>
      <w:bookmarkStart w:id="357" w:name="_Toc184312105"/>
      <w:bookmarkEnd w:id="357"/>
      <w:bookmarkStart w:id="358" w:name="_Toc184310300"/>
      <w:bookmarkEnd w:id="358"/>
      <w:bookmarkStart w:id="359" w:name="_Toc184308039"/>
      <w:bookmarkEnd w:id="359"/>
      <w:bookmarkStart w:id="360" w:name="_Toc184312119"/>
      <w:bookmarkEnd w:id="360"/>
      <w:bookmarkStart w:id="361" w:name="_Toc184310298"/>
      <w:bookmarkEnd w:id="361"/>
      <w:bookmarkStart w:id="362" w:name="_Toc184308076"/>
      <w:bookmarkEnd w:id="362"/>
      <w:bookmarkStart w:id="363" w:name="_Toc184310299"/>
      <w:bookmarkEnd w:id="363"/>
      <w:bookmarkStart w:id="364" w:name="_Toc184313258"/>
      <w:bookmarkEnd w:id="364"/>
      <w:bookmarkStart w:id="365" w:name="_Toc184312103"/>
      <w:bookmarkEnd w:id="365"/>
      <w:bookmarkStart w:id="366" w:name="_Toc184310341"/>
      <w:bookmarkEnd w:id="366"/>
      <w:bookmarkStart w:id="367" w:name="_Toc184314444"/>
      <w:bookmarkEnd w:id="367"/>
      <w:bookmarkStart w:id="368" w:name="_Toc184313274"/>
      <w:bookmarkEnd w:id="368"/>
      <w:bookmarkStart w:id="369" w:name="_Toc184310282"/>
      <w:bookmarkEnd w:id="369"/>
      <w:bookmarkStart w:id="370" w:name="_Toc184310329"/>
      <w:bookmarkEnd w:id="370"/>
      <w:bookmarkStart w:id="371" w:name="_Toc184312072"/>
      <w:bookmarkEnd w:id="371"/>
      <w:bookmarkStart w:id="372" w:name="_Toc184312074"/>
      <w:bookmarkEnd w:id="372"/>
      <w:bookmarkStart w:id="373" w:name="_Toc184310292"/>
      <w:bookmarkEnd w:id="373"/>
      <w:bookmarkStart w:id="374" w:name="_Toc184314425"/>
      <w:bookmarkEnd w:id="374"/>
      <w:bookmarkStart w:id="375" w:name="_Toc184308062"/>
      <w:bookmarkEnd w:id="375"/>
      <w:bookmarkStart w:id="376" w:name="_Toc184310293"/>
      <w:bookmarkEnd w:id="376"/>
      <w:bookmarkStart w:id="377" w:name="_Toc184312102"/>
      <w:bookmarkEnd w:id="377"/>
      <w:bookmarkStart w:id="378" w:name="_Toc184310274"/>
      <w:bookmarkEnd w:id="378"/>
      <w:bookmarkStart w:id="379" w:name="_Toc184308057"/>
      <w:bookmarkEnd w:id="379"/>
      <w:bookmarkStart w:id="380" w:name="_Toc184314475"/>
      <w:bookmarkEnd w:id="380"/>
      <w:bookmarkStart w:id="381" w:name="_Toc184313292"/>
      <w:bookmarkEnd w:id="381"/>
      <w:bookmarkStart w:id="382" w:name="_Toc184310339"/>
      <w:bookmarkEnd w:id="382"/>
      <w:bookmarkStart w:id="383" w:name="_Toc184308083"/>
      <w:bookmarkEnd w:id="383"/>
      <w:bookmarkStart w:id="384" w:name="_Toc184314480"/>
      <w:bookmarkEnd w:id="384"/>
      <w:bookmarkStart w:id="385" w:name="_Toc184312093"/>
      <w:bookmarkEnd w:id="385"/>
      <w:bookmarkStart w:id="386" w:name="_Toc184314432"/>
      <w:bookmarkEnd w:id="386"/>
      <w:bookmarkStart w:id="387" w:name="_Toc184312085"/>
      <w:bookmarkEnd w:id="387"/>
      <w:bookmarkStart w:id="388" w:name="_Toc184308067"/>
      <w:bookmarkEnd w:id="388"/>
      <w:bookmarkStart w:id="389" w:name="_Toc184312076"/>
      <w:bookmarkEnd w:id="389"/>
      <w:bookmarkStart w:id="390" w:name="_Toc184310308"/>
      <w:bookmarkEnd w:id="390"/>
      <w:bookmarkStart w:id="391" w:name="_Toc184314472"/>
      <w:bookmarkEnd w:id="391"/>
      <w:bookmarkStart w:id="392" w:name="_Toc184313283"/>
      <w:bookmarkEnd w:id="392"/>
      <w:r>
        <w:rPr>
          <w:rFonts w:hint="eastAsia" w:ascii="宋体" w:hAnsi="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评标办法前附表</w:t>
      </w:r>
    </w:p>
    <w:tbl>
      <w:tblPr>
        <w:tblStyle w:val="63"/>
        <w:tblW w:w="9750" w:type="dxa"/>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958"/>
        <w:gridCol w:w="1362"/>
        <w:gridCol w:w="4730"/>
        <w:gridCol w:w="90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50" w:type="dxa"/>
            <w:noWrap w:val="0"/>
            <w:vAlign w:val="center"/>
          </w:tcPr>
          <w:p>
            <w:pPr>
              <w:pStyle w:val="482"/>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一</w:t>
            </w:r>
          </w:p>
        </w:tc>
        <w:tc>
          <w:tcPr>
            <w:tcW w:w="8900" w:type="dxa"/>
            <w:gridSpan w:val="5"/>
            <w:noWrap w:val="0"/>
            <w:vAlign w:val="center"/>
          </w:tcPr>
          <w:p>
            <w:pPr>
              <w:snapToGrid w:val="0"/>
              <w:spacing w:line="240" w:lineRule="auto"/>
              <w:jc w:val="center"/>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i w:val="0"/>
                <w:iCs w:val="0"/>
                <w:color w:val="000000" w:themeColor="text1"/>
                <w:sz w:val="24"/>
                <w:szCs w:val="24"/>
                <w:highlight w:val="none"/>
                <w:u w:val="none"/>
                <w14:textFill>
                  <w14:solidFill>
                    <w14:schemeClr w14:val="tx1"/>
                  </w14:solidFill>
                </w14:textFill>
              </w:rPr>
              <w:t>商务资信</w:t>
            </w:r>
            <w:r>
              <w:rPr>
                <w:rFonts w:hint="eastAsia" w:ascii="宋体" w:hAnsi="宋体" w:eastAsia="宋体" w:cs="宋体"/>
                <w:b/>
                <w:bCs/>
                <w:i w:val="0"/>
                <w:iCs w:val="0"/>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b/>
                <w:bCs/>
                <w:i w:val="0"/>
                <w:iCs w:val="0"/>
                <w:color w:val="000000" w:themeColor="text1"/>
                <w:sz w:val="24"/>
                <w:szCs w:val="24"/>
                <w:highlight w:val="none"/>
                <w:u w:val="none"/>
                <w:lang w:val="en-US" w:eastAsia="zh-CN"/>
                <w14:textFill>
                  <w14:solidFill>
                    <w14:schemeClr w14:val="tx1"/>
                  </w14:solidFill>
                </w14:textFill>
              </w:rPr>
              <w:t>4分</w:t>
            </w:r>
            <w:r>
              <w:rPr>
                <w:rFonts w:hint="eastAsia" w:ascii="宋体" w:hAnsi="宋体" w:eastAsia="宋体" w:cs="宋体"/>
                <w:b/>
                <w:bCs/>
                <w:i w:val="0"/>
                <w:iCs w:val="0"/>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b/>
                <w:bCs/>
                <w:i w:val="0"/>
                <w:iCs w:val="0"/>
                <w:color w:val="000000" w:themeColor="text1"/>
                <w:sz w:val="24"/>
                <w:szCs w:val="24"/>
                <w:highlight w:val="none"/>
                <w:u w:val="none"/>
                <w14:textFill>
                  <w14:solidFill>
                    <w14:schemeClr w14:val="tx1"/>
                  </w14:solidFill>
                </w14:textFill>
              </w:rPr>
              <w:t>技术分</w:t>
            </w:r>
            <w:r>
              <w:rPr>
                <w:rFonts w:hint="eastAsia" w:ascii="宋体" w:hAnsi="宋体" w:eastAsia="宋体" w:cs="宋体"/>
                <w:b/>
                <w:bCs/>
                <w:i w:val="0"/>
                <w:iCs w:val="0"/>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b/>
                <w:bCs/>
                <w:i w:val="0"/>
                <w:iCs w:val="0"/>
                <w:color w:val="000000" w:themeColor="text1"/>
                <w:sz w:val="24"/>
                <w:szCs w:val="24"/>
                <w:highlight w:val="none"/>
                <w:u w:val="none"/>
                <w:lang w:val="en-US" w:eastAsia="zh-CN"/>
                <w14:textFill>
                  <w14:solidFill>
                    <w14:schemeClr w14:val="tx1"/>
                  </w14:solidFill>
                </w14:textFill>
              </w:rPr>
              <w:t>86分</w:t>
            </w:r>
            <w:r>
              <w:rPr>
                <w:rFonts w:hint="eastAsia" w:ascii="宋体" w:hAnsi="宋体" w:eastAsia="宋体" w:cs="宋体"/>
                <w:b/>
                <w:bCs/>
                <w:i w:val="0"/>
                <w:iCs w:val="0"/>
                <w:color w:val="000000" w:themeColor="text1"/>
                <w:sz w:val="24"/>
                <w:szCs w:val="24"/>
                <w:highlight w:val="none"/>
                <w:u w:val="none"/>
                <w:lang w:eastAsia="zh-CN"/>
                <w14:textFill>
                  <w14:solidFill>
                    <w14:schemeClr w14:val="tx1"/>
                  </w14:solidFill>
                </w14:textFill>
              </w:rPr>
              <w:t>），计算公式 =</w:t>
            </w:r>
            <w:r>
              <w:rPr>
                <w:rFonts w:hint="eastAsia" w:ascii="宋体" w:hAnsi="宋体" w:eastAsia="宋体" w:cs="宋体"/>
                <w:b/>
                <w:bCs/>
                <w:i w:val="0"/>
                <w:iCs w:val="0"/>
                <w:color w:val="000000" w:themeColor="text1"/>
                <w:sz w:val="24"/>
                <w:szCs w:val="24"/>
                <w:highlight w:val="none"/>
                <w:u w:val="none"/>
                <w:lang w:val="en-US" w:eastAsia="zh-CN"/>
                <w14:textFill>
                  <w14:solidFill>
                    <w14:schemeClr w14:val="tx1"/>
                  </w14:solidFill>
                </w14:textFill>
              </w:rPr>
              <w:t>各专家打分总分平均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50" w:type="dxa"/>
            <w:noWrap w:val="0"/>
            <w:vAlign w:val="center"/>
          </w:tcPr>
          <w:p>
            <w:pPr>
              <w:snapToGrid w:val="0"/>
              <w:spacing w:line="36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序号</w:t>
            </w:r>
          </w:p>
        </w:tc>
        <w:tc>
          <w:tcPr>
            <w:tcW w:w="958" w:type="dxa"/>
            <w:noWrap w:val="0"/>
            <w:vAlign w:val="center"/>
          </w:tcPr>
          <w:p>
            <w:pPr>
              <w:snapToGrid w:val="0"/>
              <w:spacing w:line="36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类别</w:t>
            </w:r>
          </w:p>
        </w:tc>
        <w:tc>
          <w:tcPr>
            <w:tcW w:w="6092" w:type="dxa"/>
            <w:gridSpan w:val="2"/>
            <w:noWrap w:val="0"/>
            <w:vAlign w:val="center"/>
          </w:tcPr>
          <w:p>
            <w:pPr>
              <w:snapToGrid w:val="0"/>
              <w:spacing w:line="36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评标标准</w:t>
            </w:r>
          </w:p>
        </w:tc>
        <w:tc>
          <w:tcPr>
            <w:tcW w:w="900" w:type="dxa"/>
            <w:noWrap w:val="0"/>
            <w:vAlign w:val="center"/>
          </w:tcPr>
          <w:p>
            <w:pPr>
              <w:snapToGrid w:val="0"/>
              <w:spacing w:line="24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权重</w:t>
            </w:r>
          </w:p>
          <w:p>
            <w:pPr>
              <w:snapToGrid w:val="0"/>
              <w:spacing w:line="240" w:lineRule="auto"/>
              <w:jc w:val="center"/>
              <w:rPr>
                <w:rFonts w:hint="eastAsia" w:eastAsia="宋体"/>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p>
        </w:tc>
        <w:tc>
          <w:tcPr>
            <w:tcW w:w="950" w:type="dxa"/>
            <w:noWrap w:val="0"/>
            <w:vAlign w:val="center"/>
          </w:tcPr>
          <w:p>
            <w:pPr>
              <w:snapToGrid w:val="0"/>
              <w:spacing w:line="240" w:lineRule="auto"/>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958"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商务资信分</w:t>
            </w:r>
          </w:p>
        </w:tc>
        <w:tc>
          <w:tcPr>
            <w:tcW w:w="6092" w:type="dxa"/>
            <w:gridSpan w:val="2"/>
            <w:noWrap w:val="0"/>
            <w:vAlign w:val="top"/>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自2020年1月1日（含）以来承担过类似</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一体化采购及运营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服务业绩的，有1个得0.</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分，最多得1分。</w:t>
            </w:r>
            <w:r>
              <w:rPr>
                <w:rFonts w:hint="eastAsia" w:ascii="宋体" w:hAnsi="宋体" w:eastAsia="宋体" w:cs="宋体"/>
                <w:color w:val="000000" w:themeColor="text1"/>
                <w:sz w:val="24"/>
                <w:szCs w:val="24"/>
                <w:highlight w:val="none"/>
                <w:lang w:val="en-US" w:eastAsia="zh-CN"/>
                <w14:textFill>
                  <w14:solidFill>
                    <w14:schemeClr w14:val="tx1"/>
                  </w14:solidFill>
                </w14:textFill>
              </w:rPr>
              <w:t>证明材料：提供</w:t>
            </w:r>
            <w:r>
              <w:rPr>
                <w:rFonts w:hint="eastAsia" w:ascii="宋体" w:hAnsi="宋体" w:eastAsia="宋体" w:cs="宋体"/>
                <w:color w:val="000000" w:themeColor="text1"/>
                <w:sz w:val="24"/>
                <w:szCs w:val="24"/>
                <w:highlight w:val="none"/>
                <w14:textFill>
                  <w14:solidFill>
                    <w14:schemeClr w14:val="tx1"/>
                  </w14:solidFill>
                </w14:textFill>
              </w:rPr>
              <w:t>合同复印</w:t>
            </w:r>
            <w:r>
              <w:rPr>
                <w:rFonts w:hint="eastAsia" w:ascii="宋体" w:hAnsi="宋体" w:eastAsia="宋体" w:cs="宋体"/>
                <w:color w:val="000000" w:themeColor="text1"/>
                <w:sz w:val="24"/>
                <w:szCs w:val="24"/>
                <w:highlight w:val="none"/>
                <w:lang w:val="en-US" w:eastAsia="zh-CN"/>
                <w14:textFill>
                  <w14:solidFill>
                    <w14:schemeClr w14:val="tx1"/>
                  </w14:solidFill>
                </w14:textFill>
              </w:rPr>
              <w:t>并加盖公章。</w:t>
            </w:r>
            <w:r>
              <w:rPr>
                <w:rFonts w:hint="eastAsia" w:ascii="宋体" w:hAnsi="宋体" w:eastAsia="宋体" w:cs="宋体"/>
                <w:color w:val="000000" w:themeColor="text1"/>
                <w:sz w:val="24"/>
                <w:szCs w:val="24"/>
                <w:highlight w:val="none"/>
                <w14:textFill>
                  <w14:solidFill>
                    <w14:schemeClr w14:val="tx1"/>
                  </w14:solidFill>
                </w14:textFill>
              </w:rPr>
              <w:t>【原件备查，采购机构在项目评审直至合同签订、履约期间，有权要求</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出具投标文件中的合同和用户验收报告，予以确认其的真实性和有效性，如出现与事实不符等情况，将根据有关规定以“涉嫌提供虚假材料谋取中标（成交）”予以处理】，是否有良好的工作业绩和履约记录等情况；以分包方式履行政府采购合同的，还需提供该项目采购方同意分包的证明材料;如</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提供的合同复印件等实施项目证明材料与投标主体无关或违规转包分包的，评标委员会将进行扣分直至认定投标无效。</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1</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58"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p>
        </w:tc>
        <w:tc>
          <w:tcPr>
            <w:tcW w:w="6092" w:type="dxa"/>
            <w:gridSpan w:val="2"/>
            <w:noWrap w:val="0"/>
            <w:vAlign w:val="top"/>
          </w:tcPr>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项目负责人：项目负责人具有工程类高级及以上职称且在有效期内的得3分。</w:t>
            </w:r>
            <w:r>
              <w:rPr>
                <w:rFonts w:hint="eastAsia" w:ascii="宋体" w:hAnsi="宋体" w:eastAsia="宋体" w:cs="宋体"/>
                <w:color w:val="000000" w:themeColor="text1"/>
                <w:sz w:val="24"/>
                <w:szCs w:val="24"/>
                <w:highlight w:val="none"/>
                <w:lang w:val="en-US" w:eastAsia="zh-CN"/>
                <w14:textFill>
                  <w14:solidFill>
                    <w14:schemeClr w14:val="tx1"/>
                  </w14:solidFill>
                </w14:textFill>
              </w:rPr>
              <w:t>证明材料：拟派项目负责人的职称证书扫描件。</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3</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958" w:type="dxa"/>
            <w:vMerge w:val="restart"/>
            <w:noWrap w:val="0"/>
            <w:vAlign w:val="center"/>
          </w:tcPr>
          <w:p>
            <w:pPr>
              <w:snapToGrid w:val="0"/>
              <w:spacing w:line="360" w:lineRule="auto"/>
              <w:jc w:val="center"/>
              <w:rPr>
                <w:rFonts w:hint="eastAsia" w:eastAsia="仿宋_GB2312"/>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技术分</w:t>
            </w:r>
          </w:p>
        </w:tc>
        <w:tc>
          <w:tcPr>
            <w:tcW w:w="1362" w:type="dxa"/>
            <w:vMerge w:val="restart"/>
            <w:noWrap w:val="0"/>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大梅林共同富裕示范带总体概念性策划方案（含深化农村土地制度改革实施路径探索方案）；</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0-10分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6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numPr>
                <w:ilvl w:val="0"/>
                <w:numId w:val="0"/>
              </w:num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根据大梅林五村的特点及资源，实地调研后提出现状及存在问题分析，是否详实、合理、有针对性等方面进行评审；</w:t>
            </w:r>
          </w:p>
          <w:p>
            <w:pPr>
              <w:numPr>
                <w:ilvl w:val="0"/>
                <w:numId w:val="0"/>
              </w:num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调研及分析详实且合理具有正对性的得2分；调研及分析详实且合理的得1分；调研及分析详实部分合理的得0.5分；不符合的不得分。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0-2</w:t>
            </w:r>
          </w:p>
        </w:tc>
        <w:tc>
          <w:tcPr>
            <w:tcW w:w="950" w:type="dxa"/>
            <w:noWrap w:val="0"/>
            <w:vAlign w:val="center"/>
          </w:tcPr>
          <w:p>
            <w:pPr>
              <w:snapToGrid w:val="0"/>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主观分</w:t>
            </w:r>
          </w:p>
          <w:p>
            <w:pPr>
              <w:pStyle w:val="4"/>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pStyle w:val="6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提出项目总体实施定位、产业优化方向、深化农村土地制度改革探索路径与形式，绘出总平图</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评审；总体实施方案合理可行，符合且优于采购需求的得4分；总体实施方案合理可行，符合采购需求的得2.5分；总体实施方案部分符合采购需求的得1分；不符合的不得分。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snapToGrid w:val="0"/>
              <w:spacing w:line="360" w:lineRule="auto"/>
              <w:jc w:val="center"/>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color w:val="000000" w:themeColor="text1"/>
                <w:highlight w:val="none"/>
                <w14:textFill>
                  <w14:solidFill>
                    <w14:schemeClr w14:val="tx1"/>
                  </w14:solidFill>
                </w14:textFill>
              </w:rPr>
            </w:pPr>
          </w:p>
          <w:p>
            <w:pPr>
              <w:snapToGrid w:val="0"/>
              <w:spacing w:line="360" w:lineRule="auto"/>
              <w:jc w:val="center"/>
              <w:rPr>
                <w:rFonts w:hint="eastAsia"/>
                <w:color w:val="000000" w:themeColor="text1"/>
                <w:highlight w:val="none"/>
                <w14:textFill>
                  <w14:solidFill>
                    <w14:schemeClr w14:val="tx1"/>
                  </w14:solidFill>
                </w14:textFill>
              </w:rPr>
            </w:pPr>
          </w:p>
          <w:p>
            <w:pPr>
              <w:snapToGrid w:val="0"/>
              <w:spacing w:line="360" w:lineRule="auto"/>
              <w:jc w:val="center"/>
              <w:rPr>
                <w:rFonts w:hint="eastAsia"/>
                <w:color w:val="000000" w:themeColor="text1"/>
                <w:highlight w:val="none"/>
                <w14:textFill>
                  <w14:solidFill>
                    <w14:schemeClr w14:val="tx1"/>
                  </w14:solidFill>
                </w14:textFill>
              </w:rPr>
            </w:pPr>
          </w:p>
          <w:p>
            <w:pPr>
              <w:snapToGrid w:val="0"/>
              <w:spacing w:line="360" w:lineRule="auto"/>
              <w:jc w:val="center"/>
              <w:rPr>
                <w:rFonts w:hint="eastAsia"/>
                <w:color w:val="000000" w:themeColor="text1"/>
                <w:highlight w:val="none"/>
                <w14:textFill>
                  <w14:solidFill>
                    <w14:schemeClr w14:val="tx1"/>
                  </w14:solidFill>
                </w14:textFill>
              </w:rPr>
            </w:pPr>
          </w:p>
          <w:p>
            <w:pPr>
              <w:snapToGrid w:val="0"/>
              <w:spacing w:line="360" w:lineRule="auto"/>
              <w:jc w:val="center"/>
              <w:rPr>
                <w:rFonts w:hint="eastAsia"/>
                <w:color w:val="000000" w:themeColor="text1"/>
                <w:highlight w:val="none"/>
                <w14:textFill>
                  <w14:solidFill>
                    <w14:schemeClr w14:val="tx1"/>
                  </w14:solidFill>
                </w14:textFill>
              </w:rPr>
            </w:pPr>
          </w:p>
          <w:p>
            <w:pPr>
              <w:snapToGrid w:val="0"/>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pStyle w:val="6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提出项目清单、实施计划安排、项目概算</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评审；总体实施计划及概算合理可行，符合且优于采购需求的得4分；总体实施计划及概算合理可行，符合采购需求的得2.5分；总体实施计划及概算部分符合采购需求的得1分；不符合的不得分。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958"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技术分</w:t>
            </w:r>
          </w:p>
        </w:tc>
        <w:tc>
          <w:tcPr>
            <w:tcW w:w="1362" w:type="dxa"/>
            <w:vMerge w:val="restart"/>
            <w:noWrap w:val="0"/>
            <w:vAlign w:val="center"/>
          </w:tcPr>
          <w:p>
            <w:pPr>
              <w:pStyle w:val="60"/>
              <w:jc w:val="center"/>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b w:val="0"/>
                <w:color w:val="000000" w:themeColor="text1"/>
                <w:kern w:val="2"/>
                <w:sz w:val="24"/>
                <w:szCs w:val="24"/>
                <w:highlight w:val="none"/>
                <w:lang w:val="en-US" w:eastAsia="zh-CN" w:bidi="ar-SA"/>
                <w14:textFill>
                  <w14:solidFill>
                    <w14:schemeClr w14:val="tx1"/>
                  </w14:solidFill>
                </w14:textFill>
              </w:rPr>
              <w:t>一期区块为产业提升的策划、设计方案（0-32分）</w:t>
            </w:r>
          </w:p>
        </w:tc>
        <w:tc>
          <w:tcPr>
            <w:tcW w:w="4730" w:type="dxa"/>
            <w:noWrap w:val="0"/>
            <w:vAlign w:val="center"/>
          </w:tcPr>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美好生活中心东区建筑群依据产业发展需求的设计与提升实施方案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评审；实施方案合理可行，符合且优于采购需求的得4分；实施方案合理可行，符合采购需求的得2.5分；实施方案部分符合采购需求的得1分；不符合的不得分。</w:t>
            </w:r>
          </w:p>
        </w:tc>
        <w:tc>
          <w:tcPr>
            <w:tcW w:w="90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美好生活中心东区建筑群依据产业发展需求的采购明细方案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方案合理可行，符合且优于采购需求的得4分；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方案合理可行，符合采购需求的得2.5分；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方案部分符合采购需求的得1分；不符合的不得分。</w:t>
            </w:r>
          </w:p>
        </w:tc>
        <w:tc>
          <w:tcPr>
            <w:tcW w:w="90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八里桥农事体验馆</w:t>
            </w:r>
            <w:r>
              <w:rPr>
                <w:rFonts w:hint="eastAsia" w:ascii="宋体" w:hAnsi="宋体" w:eastAsia="宋体" w:cs="宋体"/>
                <w:color w:val="000000" w:themeColor="text1"/>
                <w:sz w:val="24"/>
                <w:szCs w:val="24"/>
                <w:highlight w:val="none"/>
                <w14:textFill>
                  <w14:solidFill>
                    <w14:schemeClr w14:val="tx1"/>
                  </w14:solidFill>
                </w14:textFill>
              </w:rPr>
              <w:t>的依据产业发展需求的空间设计与提升实施方案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评审；实施方案合理可行，符合且优于采购需求的得4分；实施方案合理可行，符合采购需求的得2.5分；实施方案部分符合采购需求的得1分；不符合的不得分。</w:t>
            </w:r>
          </w:p>
        </w:tc>
        <w:tc>
          <w:tcPr>
            <w:tcW w:w="90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color w:val="000000" w:themeColor="text1"/>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八里桥农事体验馆</w:t>
            </w:r>
            <w:r>
              <w:rPr>
                <w:rFonts w:hint="eastAsia" w:ascii="宋体" w:hAnsi="宋体" w:eastAsia="宋体" w:cs="宋体"/>
                <w:color w:val="000000" w:themeColor="text1"/>
                <w:sz w:val="24"/>
                <w:szCs w:val="24"/>
                <w:highlight w:val="none"/>
                <w14:textFill>
                  <w14:solidFill>
                    <w14:schemeClr w14:val="tx1"/>
                  </w14:solidFill>
                </w14:textFill>
              </w:rPr>
              <w:t>的依据产业发展需求的采购明细方案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方案合理可行，符合且优于采购需求的得4分；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方案合理可行，符合采购需求的得2.5分；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方案部分符合采购需求的得1分；不符合的不得分。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产业优化示范区深化农村土地制度改革示范点依据近中远期产业发展需求的空间设计与提升实施方案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评审；实施方案合理可行，符合且优于采购需求的得4分；实施方案合理可行，符合采购需求的得2.5分；实施方案部分符合采购需求的得1分；不符合的不得分。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产业优化示范区深化农村土地制度改革示范点依据近中远期产业发展需求的采购明细方案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方案合理可行，符合且优于采购需求的得4分；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方案合理可行，符合采购需求的得2.5分；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方案部分符合采购需求的得1分；不符合的不得分。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958" w:type="dxa"/>
            <w:vMerge w:val="continue"/>
            <w:noWrap w:val="0"/>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pStyle w:val="6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产业优化示范区内农业产业提升相关的农业科创与现代农业示范点提升实施方案的评审；实施方案合理可行，符合且优于采购需求的得4分；实施方案合理可行，符合采购需求的得2.5分；实施方案部分符合采购需求的得1分；不符合的不得分。</w:t>
            </w:r>
          </w:p>
        </w:tc>
        <w:tc>
          <w:tcPr>
            <w:tcW w:w="90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产业优化示范区内农业产业提升相关的农业科创与现代农业示范点提升方案的采购明细方案的评审；采购明细方案合理可行，符合且优于采购需求的得4分；采购明细方案合理可行，符合采购需求的得2.5分；采购明细方案部分符合采购需求的得1分；不符合的不得分。</w:t>
            </w:r>
          </w:p>
        </w:tc>
        <w:tc>
          <w:tcPr>
            <w:tcW w:w="90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958"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技术分</w:t>
            </w:r>
          </w:p>
        </w:tc>
        <w:tc>
          <w:tcPr>
            <w:tcW w:w="1362" w:type="dxa"/>
            <w:vMerge w:val="restart"/>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大梅林农特产、文创衍生产品</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设计方案</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0-8分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473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大梅林农特产、文创衍生产品设计方案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评审；方案合理可行，符合且优于采购需求的得4分；方案合理可行，符合采购需求的得2.5分；方案部分符合采购需求的得1分；不符合的不得分。</w:t>
            </w:r>
          </w:p>
        </w:tc>
        <w:tc>
          <w:tcPr>
            <w:tcW w:w="90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pacing w:line="360" w:lineRule="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大梅林农特产、文创衍生产品的采购明细方案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方案合理可行，符合且优于采购需求的得4分；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方案合理可行，符合采购需求的得2.5分；</w:t>
            </w:r>
            <w:r>
              <w:rPr>
                <w:rFonts w:hint="eastAsia" w:ascii="宋体" w:hAnsi="宋体" w:eastAsia="宋体" w:cs="宋体"/>
                <w:color w:val="000000" w:themeColor="text1"/>
                <w:sz w:val="24"/>
                <w:szCs w:val="24"/>
                <w:highlight w:val="none"/>
                <w14:textFill>
                  <w14:solidFill>
                    <w14:schemeClr w14:val="tx1"/>
                  </w14:solidFill>
                </w14:textFill>
              </w:rPr>
              <w:t>采购明细</w:t>
            </w:r>
            <w:r>
              <w:rPr>
                <w:rFonts w:hint="eastAsia" w:ascii="宋体" w:hAnsi="宋体" w:eastAsia="宋体" w:cs="宋体"/>
                <w:color w:val="000000" w:themeColor="text1"/>
                <w:sz w:val="24"/>
                <w:szCs w:val="24"/>
                <w:highlight w:val="none"/>
                <w:lang w:val="en-US" w:eastAsia="zh-CN"/>
                <w14:textFill>
                  <w14:solidFill>
                    <w14:schemeClr w14:val="tx1"/>
                  </w14:solidFill>
                </w14:textFill>
              </w:rPr>
              <w:t>方案部分符合采购需求的得1分；不符合的不得分。</w:t>
            </w:r>
          </w:p>
        </w:tc>
        <w:tc>
          <w:tcPr>
            <w:tcW w:w="90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pacing w:line="360" w:lineRule="auto"/>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center"/>
          </w:tcPr>
          <w:p>
            <w:pPr>
              <w:snapToGrid w:val="0"/>
              <w:spacing w:line="360" w:lineRule="auto"/>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w:t>
            </w:r>
          </w:p>
        </w:tc>
        <w:tc>
          <w:tcPr>
            <w:tcW w:w="958"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技术分</w:t>
            </w:r>
          </w:p>
        </w:tc>
        <w:tc>
          <w:tcPr>
            <w:tcW w:w="1362" w:type="dxa"/>
            <w:vMerge w:val="restart"/>
            <w:noWrap w:val="0"/>
            <w:vAlign w:val="center"/>
          </w:tcPr>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大梅林一期区块视觉系统</w:t>
            </w:r>
            <w:r>
              <w:rPr>
                <w:rFonts w:hint="eastAsia" w:ascii="宋体" w:hAnsi="宋体" w:eastAsia="宋体" w:cs="宋体"/>
                <w:color w:val="000000" w:themeColor="text1"/>
                <w:sz w:val="24"/>
                <w:szCs w:val="24"/>
                <w:highlight w:val="none"/>
                <w:lang w:val="en-US" w:eastAsia="zh-CN"/>
                <w14:textFill>
                  <w14:solidFill>
                    <w14:schemeClr w14:val="tx1"/>
                  </w14:solidFill>
                </w14:textFill>
              </w:rPr>
              <w:t>设计方案</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0-8分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473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对大梅林一期区块视觉系统设计方案</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评审；方案合理可行，符合且优于采购需求的得4分；方案合理可行，符合采购需求的得2.5分；方案部分符合采购需求的得1分；不符合的不得分。</w:t>
            </w:r>
          </w:p>
        </w:tc>
        <w:tc>
          <w:tcPr>
            <w:tcW w:w="90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pacing w:line="360" w:lineRule="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对大梅林一期区块视觉系统设计的采购明细方案的评审；采购明细方案合理可行，符合且优于采购需求的得4分；采购明细方案合理可行，符合采购需求的得2.5分；采购明细方案部分符合采购需求的得1分；不符合的不得分。</w:t>
            </w:r>
          </w:p>
        </w:tc>
        <w:tc>
          <w:tcPr>
            <w:tcW w:w="900"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pacing w:line="360" w:lineRule="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958"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技术分</w:t>
            </w:r>
          </w:p>
        </w:tc>
        <w:tc>
          <w:tcPr>
            <w:tcW w:w="1362" w:type="dxa"/>
            <w:vMerge w:val="restart"/>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整体</w:t>
            </w:r>
            <w:r>
              <w:rPr>
                <w:rFonts w:hint="eastAsia" w:ascii="宋体" w:hAnsi="宋体" w:eastAsia="宋体" w:cs="宋体"/>
                <w:color w:val="000000" w:themeColor="text1"/>
                <w:sz w:val="24"/>
                <w:szCs w:val="24"/>
                <w:highlight w:val="none"/>
                <w14:textFill>
                  <w14:solidFill>
                    <w14:schemeClr w14:val="tx1"/>
                  </w14:solidFill>
                </w14:textFill>
              </w:rPr>
              <w:t>运营方案（0-</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473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大梅林项目的整体运营方案是否</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全面、合理</w:t>
            </w:r>
            <w:r>
              <w:rPr>
                <w:rFonts w:hint="eastAsia" w:ascii="宋体" w:hAnsi="宋体" w:eastAsia="宋体" w:cs="宋体"/>
                <w:color w:val="000000" w:themeColor="text1"/>
                <w:sz w:val="24"/>
                <w:szCs w:val="24"/>
                <w:highlight w:val="none"/>
                <w:lang w:val="en-US" w:eastAsia="zh-CN"/>
                <w14:textFill>
                  <w14:solidFill>
                    <w14:schemeClr w14:val="tx1"/>
                  </w14:solidFill>
                </w14:textFill>
              </w:rPr>
              <w:t>的评审；整体方案全面、合理可行，符合且优于采购需求的得4分；整体运营方案较详细完善且全面的得2.5分；整体运营方案部分完善合理的得1分；不符合的不得分。</w:t>
            </w:r>
          </w:p>
        </w:tc>
        <w:tc>
          <w:tcPr>
            <w:tcW w:w="90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362"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4730" w:type="dxa"/>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大梅林项目的整体运营方案是否有针对性的评审；整体方案针对性强，符合且优于采购需求的得4分；整体运营方案针对性强符合采购需求的得2.5分；整体运营方案部分具有针对性的得1分；不符合的不得分。</w:t>
            </w:r>
          </w:p>
        </w:tc>
        <w:tc>
          <w:tcPr>
            <w:tcW w:w="90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958" w:type="dxa"/>
            <w:noWrap w:val="0"/>
            <w:vAlign w:val="center"/>
          </w:tcPr>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技术分</w:t>
            </w:r>
          </w:p>
        </w:tc>
        <w:tc>
          <w:tcPr>
            <w:tcW w:w="6092" w:type="dxa"/>
            <w:gridSpan w:val="2"/>
            <w:noWrap w:val="0"/>
            <w:vAlign w:val="center"/>
          </w:tcPr>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对项目的整体安排、进度要点分析是否合理、有针对性等方面进行分析评审；方案详细完善</w:t>
            </w:r>
            <w:r>
              <w:rPr>
                <w:rFonts w:hint="eastAsia" w:ascii="宋体" w:hAnsi="宋体" w:eastAsia="宋体" w:cs="宋体"/>
                <w:color w:val="000000" w:themeColor="text1"/>
                <w:sz w:val="24"/>
                <w:szCs w:val="24"/>
                <w:highlight w:val="none"/>
                <w:lang w:val="en-US" w:eastAsia="zh-CN"/>
                <w14:textFill>
                  <w14:solidFill>
                    <w14:schemeClr w14:val="tx1"/>
                  </w14:solidFill>
                </w14:textFill>
              </w:rPr>
              <w:t>符合采购需求且优于</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方案详细完善</w:t>
            </w:r>
            <w:r>
              <w:rPr>
                <w:rFonts w:hint="eastAsia" w:ascii="宋体" w:hAnsi="宋体" w:eastAsia="宋体" w:cs="宋体"/>
                <w:color w:val="000000" w:themeColor="text1"/>
                <w:sz w:val="24"/>
                <w:szCs w:val="24"/>
                <w:highlight w:val="none"/>
                <w:lang w:val="en-US" w:eastAsia="zh-CN"/>
                <w14:textFill>
                  <w14:solidFill>
                    <w14:schemeClr w14:val="tx1"/>
                  </w14:solidFill>
                </w14:textFill>
              </w:rPr>
              <w:t>符合采购需求</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分，方案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部分完善</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不符合的不得分。</w:t>
            </w:r>
          </w:p>
        </w:tc>
        <w:tc>
          <w:tcPr>
            <w:tcW w:w="90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958" w:type="dxa"/>
            <w:noWrap w:val="0"/>
            <w:vAlign w:val="center"/>
          </w:tcPr>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技术分</w:t>
            </w:r>
          </w:p>
        </w:tc>
        <w:tc>
          <w:tcPr>
            <w:tcW w:w="6092" w:type="dxa"/>
            <w:gridSpan w:val="2"/>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拟采用的保障措施方案</w:t>
            </w:r>
            <w:r>
              <w:rPr>
                <w:rFonts w:hint="eastAsia" w:ascii="宋体" w:hAnsi="宋体" w:eastAsia="宋体" w:cs="宋体"/>
                <w:color w:val="000000" w:themeColor="text1"/>
                <w:sz w:val="24"/>
                <w:szCs w:val="24"/>
                <w:highlight w:val="none"/>
                <w14:textFill>
                  <w14:solidFill>
                    <w14:schemeClr w14:val="tx1"/>
                  </w14:solidFill>
                </w14:textFill>
              </w:rPr>
              <w:t>是否合理</w:t>
            </w:r>
            <w:r>
              <w:rPr>
                <w:rFonts w:hint="eastAsia" w:ascii="宋体" w:hAnsi="宋体" w:eastAsia="宋体" w:cs="宋体"/>
                <w:color w:val="000000" w:themeColor="text1"/>
                <w:sz w:val="24"/>
                <w:szCs w:val="24"/>
                <w:highlight w:val="none"/>
                <w:lang w:val="en-US" w:eastAsia="zh-CN"/>
                <w14:textFill>
                  <w14:solidFill>
                    <w14:schemeClr w14:val="tx1"/>
                  </w14:solidFill>
                </w14:textFill>
              </w:rPr>
              <w:t>可行</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评审；方案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合理可行的</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部分符合，合理可行</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0-2</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center"/>
          </w:tcPr>
          <w:p>
            <w:pPr>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p>
        </w:tc>
        <w:tc>
          <w:tcPr>
            <w:tcW w:w="958" w:type="dxa"/>
            <w:vMerge w:val="restart"/>
            <w:noWrap w:val="0"/>
            <w:vAlign w:val="center"/>
          </w:tcPr>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技术分</w:t>
            </w:r>
          </w:p>
        </w:tc>
        <w:tc>
          <w:tcPr>
            <w:tcW w:w="6092" w:type="dxa"/>
            <w:gridSpan w:val="2"/>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对</w:t>
            </w:r>
            <w:r>
              <w:rPr>
                <w:rFonts w:hint="eastAsia" w:ascii="宋体" w:hAnsi="宋体" w:eastAsia="宋体" w:cs="宋体"/>
                <w:color w:val="000000" w:themeColor="text1"/>
                <w:sz w:val="24"/>
                <w:szCs w:val="24"/>
                <w:highlight w:val="none"/>
                <w:lang w:val="en-US" w:eastAsia="zh-CN"/>
                <w14:textFill>
                  <w14:solidFill>
                    <w14:schemeClr w14:val="tx1"/>
                  </w14:solidFill>
                </w14:textFill>
              </w:rPr>
              <w:t>本</w:t>
            </w:r>
            <w:r>
              <w:rPr>
                <w:rFonts w:hint="eastAsia" w:ascii="宋体" w:hAnsi="宋体" w:eastAsia="宋体" w:cs="宋体"/>
                <w:color w:val="000000" w:themeColor="text1"/>
                <w:sz w:val="24"/>
                <w:szCs w:val="24"/>
                <w:highlight w:val="none"/>
                <w14:textFill>
                  <w14:solidFill>
                    <w14:schemeClr w14:val="tx1"/>
                  </w14:solidFill>
                </w14:textFill>
              </w:rPr>
              <w:t>项目运营模式是否合理等方面进行分析评审；</w:t>
            </w:r>
            <w:r>
              <w:rPr>
                <w:rFonts w:hint="eastAsia" w:ascii="宋体" w:hAnsi="宋体" w:eastAsia="宋体" w:cs="宋体"/>
                <w:color w:val="000000" w:themeColor="text1"/>
                <w:sz w:val="24"/>
                <w:szCs w:val="24"/>
                <w:highlight w:val="none"/>
                <w:lang w:val="en-US" w:eastAsia="zh-CN"/>
                <w14:textFill>
                  <w14:solidFill>
                    <w14:schemeClr w14:val="tx1"/>
                  </w14:solidFill>
                </w14:textFill>
              </w:rPr>
              <w:t>分析</w:t>
            </w:r>
            <w:r>
              <w:rPr>
                <w:rFonts w:hint="eastAsia" w:ascii="宋体" w:hAnsi="宋体" w:eastAsia="宋体" w:cs="宋体"/>
                <w:color w:val="000000" w:themeColor="text1"/>
                <w:sz w:val="24"/>
                <w:szCs w:val="24"/>
                <w:highlight w:val="none"/>
                <w14:textFill>
                  <w14:solidFill>
                    <w14:schemeClr w14:val="tx1"/>
                  </w14:solidFill>
                </w14:textFill>
              </w:rPr>
              <w:t>详细完善的得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分析部分</w:t>
            </w:r>
            <w:r>
              <w:rPr>
                <w:rFonts w:hint="eastAsia" w:ascii="宋体" w:hAnsi="宋体" w:eastAsia="宋体" w:cs="宋体"/>
                <w:color w:val="000000" w:themeColor="text1"/>
                <w:sz w:val="24"/>
                <w:szCs w:val="24"/>
                <w:highlight w:val="none"/>
                <w14:textFill>
                  <w14:solidFill>
                    <w14:schemeClr w14:val="tx1"/>
                  </w14:solidFill>
                </w14:textFill>
              </w:rPr>
              <w:t>详细的得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不符合的不得分</w:t>
            </w:r>
            <w:r>
              <w:rPr>
                <w:rFonts w:hint="eastAsia" w:ascii="宋体" w:hAnsi="宋体" w:eastAsia="宋体" w:cs="宋体"/>
                <w:color w:val="000000" w:themeColor="text1"/>
                <w:sz w:val="24"/>
                <w:szCs w:val="24"/>
                <w:highlight w:val="none"/>
                <w14:textFill>
                  <w14:solidFill>
                    <w14:schemeClr w14:val="tx1"/>
                  </w14:solidFill>
                </w14:textFill>
              </w:rPr>
              <w:t>。</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58" w:type="dxa"/>
            <w:vMerge w:val="continue"/>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6092" w:type="dxa"/>
            <w:gridSpan w:val="2"/>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对</w:t>
            </w:r>
            <w:r>
              <w:rPr>
                <w:rFonts w:hint="eastAsia" w:ascii="宋体" w:hAnsi="宋体" w:eastAsia="宋体" w:cs="宋体"/>
                <w:color w:val="000000" w:themeColor="text1"/>
                <w:sz w:val="24"/>
                <w:szCs w:val="24"/>
                <w:highlight w:val="none"/>
                <w:lang w:val="en-US" w:eastAsia="zh-CN"/>
                <w14:textFill>
                  <w14:solidFill>
                    <w14:schemeClr w14:val="tx1"/>
                  </w14:solidFill>
                </w14:textFill>
              </w:rPr>
              <w:t>本</w:t>
            </w:r>
            <w:r>
              <w:rPr>
                <w:rFonts w:hint="eastAsia" w:ascii="宋体" w:hAnsi="宋体" w:eastAsia="宋体" w:cs="宋体"/>
                <w:color w:val="000000" w:themeColor="text1"/>
                <w:sz w:val="24"/>
                <w:szCs w:val="24"/>
                <w:highlight w:val="none"/>
                <w14:textFill>
                  <w14:solidFill>
                    <w14:schemeClr w14:val="tx1"/>
                  </w14:solidFill>
                </w14:textFill>
              </w:rPr>
              <w:t>项目采购及安装时序是否合理等方面进行分析评审；</w:t>
            </w:r>
            <w:r>
              <w:rPr>
                <w:rFonts w:hint="eastAsia" w:ascii="宋体" w:hAnsi="宋体" w:eastAsia="宋体" w:cs="宋体"/>
                <w:color w:val="000000" w:themeColor="text1"/>
                <w:sz w:val="24"/>
                <w:szCs w:val="24"/>
                <w:highlight w:val="none"/>
                <w:lang w:val="en-US" w:eastAsia="zh-CN"/>
                <w14:textFill>
                  <w14:solidFill>
                    <w14:schemeClr w14:val="tx1"/>
                  </w14:solidFill>
                </w14:textFill>
              </w:rPr>
              <w:t>分析</w:t>
            </w:r>
            <w:r>
              <w:rPr>
                <w:rFonts w:hint="eastAsia" w:ascii="宋体" w:hAnsi="宋体" w:eastAsia="宋体" w:cs="宋体"/>
                <w:color w:val="000000" w:themeColor="text1"/>
                <w:sz w:val="24"/>
                <w:szCs w:val="24"/>
                <w:highlight w:val="none"/>
                <w14:textFill>
                  <w14:solidFill>
                    <w14:schemeClr w14:val="tx1"/>
                  </w14:solidFill>
                </w14:textFill>
              </w:rPr>
              <w:t>详细完善的得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分析部分</w:t>
            </w:r>
            <w:r>
              <w:rPr>
                <w:rFonts w:hint="eastAsia" w:ascii="宋体" w:hAnsi="宋体" w:eastAsia="宋体" w:cs="宋体"/>
                <w:color w:val="000000" w:themeColor="text1"/>
                <w:sz w:val="24"/>
                <w:szCs w:val="24"/>
                <w:highlight w:val="none"/>
                <w14:textFill>
                  <w14:solidFill>
                    <w14:schemeClr w14:val="tx1"/>
                  </w14:solidFill>
                </w14:textFill>
              </w:rPr>
              <w:t>详细的得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不符合的不得分</w:t>
            </w:r>
            <w:r>
              <w:rPr>
                <w:rFonts w:hint="eastAsia" w:ascii="宋体" w:hAnsi="宋体" w:eastAsia="宋体" w:cs="宋体"/>
                <w:color w:val="000000" w:themeColor="text1"/>
                <w:sz w:val="24"/>
                <w:szCs w:val="24"/>
                <w:highlight w:val="none"/>
                <w14:textFill>
                  <w14:solidFill>
                    <w14:schemeClr w14:val="tx1"/>
                  </w14:solidFill>
                </w14:textFill>
              </w:rPr>
              <w:t>。</w:t>
            </w:r>
          </w:p>
        </w:tc>
        <w:tc>
          <w:tcPr>
            <w:tcW w:w="90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0-4</w:t>
            </w:r>
          </w:p>
        </w:tc>
        <w:tc>
          <w:tcPr>
            <w:tcW w:w="9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tc>
        <w:tc>
          <w:tcPr>
            <w:tcW w:w="958"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技术分</w:t>
            </w:r>
          </w:p>
        </w:tc>
        <w:tc>
          <w:tcPr>
            <w:tcW w:w="6092" w:type="dxa"/>
            <w:gridSpan w:val="2"/>
            <w:noWrap w:val="0"/>
            <w:vAlign w:val="center"/>
          </w:tcPr>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en-US" w:eastAsia="zh-CN"/>
                <w14:textFill>
                  <w14:solidFill>
                    <w14:schemeClr w14:val="tx1"/>
                  </w14:solidFill>
                </w14:textFill>
              </w:rPr>
              <w:t>拟投入本</w:t>
            </w:r>
            <w:r>
              <w:rPr>
                <w:rFonts w:hint="eastAsia" w:ascii="宋体" w:hAnsi="宋体" w:eastAsia="宋体" w:cs="宋体"/>
                <w:color w:val="000000" w:themeColor="text1"/>
                <w:sz w:val="24"/>
                <w:szCs w:val="24"/>
                <w:highlight w:val="none"/>
                <w14:textFill>
                  <w14:solidFill>
                    <w14:schemeClr w14:val="tx1"/>
                  </w14:solidFill>
                </w14:textFill>
              </w:rPr>
              <w:t>项目管理机构人员配备及</w:t>
            </w:r>
            <w:r>
              <w:rPr>
                <w:rFonts w:hint="eastAsia" w:ascii="宋体" w:hAnsi="宋体" w:eastAsia="宋体" w:cs="宋体"/>
                <w:color w:val="000000" w:themeColor="text1"/>
                <w:sz w:val="24"/>
                <w:szCs w:val="24"/>
                <w:highlight w:val="none"/>
                <w:lang w:val="en-US" w:eastAsia="zh-CN"/>
                <w14:textFill>
                  <w14:solidFill>
                    <w14:schemeClr w14:val="tx1"/>
                  </w14:solidFill>
                </w14:textFill>
              </w:rPr>
              <w:t>技术力量安排</w:t>
            </w:r>
            <w:r>
              <w:rPr>
                <w:rFonts w:hint="eastAsia" w:ascii="宋体" w:hAnsi="宋体" w:eastAsia="宋体" w:cs="宋体"/>
                <w:color w:val="000000" w:themeColor="text1"/>
                <w:sz w:val="24"/>
                <w:szCs w:val="24"/>
                <w:highlight w:val="none"/>
                <w14:textFill>
                  <w14:solidFill>
                    <w14:schemeClr w14:val="tx1"/>
                  </w14:solidFill>
                </w14:textFill>
              </w:rPr>
              <w:t>等进行评审；</w:t>
            </w:r>
            <w:r>
              <w:rPr>
                <w:rFonts w:hint="eastAsia" w:ascii="宋体" w:hAnsi="宋体" w:eastAsia="宋体" w:cs="宋体"/>
                <w:color w:val="000000" w:themeColor="text1"/>
                <w:sz w:val="24"/>
                <w:szCs w:val="24"/>
                <w:highlight w:val="none"/>
                <w:lang w:val="en-US" w:eastAsia="zh-CN"/>
                <w14:textFill>
                  <w14:solidFill>
                    <w14:schemeClr w14:val="tx1"/>
                  </w14:solidFill>
                </w14:textFill>
              </w:rPr>
              <w:t>人员配备且技术力量符合采购需求且优于</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人员配备且技术力量符合采购需求</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人员配备且技术力量部分符合</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0-3</w:t>
            </w:r>
          </w:p>
        </w:tc>
        <w:tc>
          <w:tcPr>
            <w:tcW w:w="950" w:type="dxa"/>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napToGrid w:val="0"/>
              <w:spacing w:line="360" w:lineRule="auto"/>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p>
        </w:tc>
        <w:tc>
          <w:tcPr>
            <w:tcW w:w="958" w:type="dxa"/>
            <w:noWrap w:val="0"/>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技术分</w:t>
            </w:r>
          </w:p>
        </w:tc>
        <w:tc>
          <w:tcPr>
            <w:tcW w:w="6092" w:type="dxa"/>
            <w:gridSpan w:val="2"/>
            <w:noWrap w:val="0"/>
            <w:vAlign w:val="center"/>
          </w:tcPr>
          <w:p>
            <w:pP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en-US" w:eastAsia="zh-CN"/>
                <w14:textFill>
                  <w14:solidFill>
                    <w14:schemeClr w14:val="tx1"/>
                  </w14:solidFill>
                </w14:textFill>
              </w:rPr>
              <w:t>针对本</w:t>
            </w:r>
            <w:r>
              <w:rPr>
                <w:rFonts w:hint="eastAsia" w:ascii="宋体" w:hAnsi="宋体" w:eastAsia="宋体" w:cs="宋体"/>
                <w:color w:val="000000" w:themeColor="text1"/>
                <w:sz w:val="24"/>
                <w:szCs w:val="24"/>
                <w:highlight w:val="none"/>
                <w14:textFill>
                  <w14:solidFill>
                    <w14:schemeClr w14:val="tx1"/>
                  </w14:solidFill>
                </w14:textFill>
              </w:rPr>
              <w:t>项目</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服务承诺</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评审；</w:t>
            </w:r>
            <w:r>
              <w:rPr>
                <w:rFonts w:hint="eastAsia" w:ascii="宋体" w:hAnsi="宋体" w:eastAsia="宋体" w:cs="宋体"/>
                <w:color w:val="000000" w:themeColor="text1"/>
                <w:sz w:val="24"/>
                <w:szCs w:val="24"/>
                <w:highlight w:val="none"/>
                <w:lang w:val="en-US" w:eastAsia="zh-CN"/>
                <w14:textFill>
                  <w14:solidFill>
                    <w14:schemeClr w14:val="tx1"/>
                  </w14:solidFill>
                </w14:textFill>
              </w:rPr>
              <w:t>服务承诺符合采购需求且优于</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服务承诺符合采购需求</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服务承诺部分符合</w:t>
            </w:r>
            <w:r>
              <w:rPr>
                <w:rFonts w:hint="eastAsia" w:ascii="宋体" w:hAnsi="宋体" w:eastAsia="宋体" w:cs="宋体"/>
                <w:color w:val="000000" w:themeColor="text1"/>
                <w:sz w:val="24"/>
                <w:szCs w:val="24"/>
                <w:highlight w:val="none"/>
                <w14:textFill>
                  <w14:solidFill>
                    <w14:schemeClr w14:val="tx1"/>
                  </w14:solidFill>
                </w14:textFill>
              </w:rPr>
              <w:t>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不符合的不得分。</w:t>
            </w:r>
          </w:p>
        </w:tc>
        <w:tc>
          <w:tcPr>
            <w:tcW w:w="900" w:type="dxa"/>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0-3</w:t>
            </w:r>
          </w:p>
        </w:tc>
        <w:tc>
          <w:tcPr>
            <w:tcW w:w="950" w:type="dxa"/>
            <w:noWrap w:val="0"/>
            <w:vAlign w:val="center"/>
          </w:tcPr>
          <w:p>
            <w:pP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pStyle w:val="482"/>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w:t>
            </w:r>
          </w:p>
        </w:tc>
        <w:tc>
          <w:tcPr>
            <w:tcW w:w="8900" w:type="dxa"/>
            <w:gridSpan w:val="5"/>
            <w:noWrap w:val="0"/>
            <w:vAlign w:val="center"/>
          </w:tcPr>
          <w:p>
            <w:pPr>
              <w:snapToGrid w:val="0"/>
              <w:spacing w:line="360" w:lineRule="auto"/>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价格分（满分10分）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napToGrid w:val="0"/>
              <w:spacing w:line="360" w:lineRule="auto"/>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89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outlineLvl w:val="9"/>
              <w:rPr>
                <w:rFonts w:hint="eastAsia"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b/>
                <w:bCs/>
                <w:color w:val="000000" w:themeColor="text1"/>
                <w:sz w:val="24"/>
                <w:szCs w:val="24"/>
                <w:highlight w:val="none"/>
                <w:lang w:val="zh-CN"/>
                <w14:textFill>
                  <w14:solidFill>
                    <w14:schemeClr w14:val="tx1"/>
                  </w14:solidFill>
                </w14:textFill>
              </w:rPr>
              <w:t>投标价格的合理性</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和有效性评价</w:t>
            </w:r>
          </w:p>
          <w:p>
            <w:pPr>
              <w:pStyle w:val="482"/>
              <w:keepNext w:val="0"/>
              <w:keepLines w:val="0"/>
              <w:pageBreakBefore w:val="0"/>
              <w:widowControl w:val="0"/>
              <w:kinsoku/>
              <w:wordWrap/>
              <w:overflowPunct/>
              <w:topLinePunct w:val="0"/>
              <w:autoSpaceDE/>
              <w:autoSpaceDN/>
              <w:bidi w:val="0"/>
              <w:adjustRightInd/>
              <w:spacing w:line="288" w:lineRule="auto"/>
              <w:jc w:val="left"/>
              <w:textAlignment w:val="auto"/>
              <w:outlineLvl w:val="9"/>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分析总报价及各个分项报价是否合理，报价范围是否完整，有否重大错漏项，</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评审小组</w:t>
            </w:r>
            <w:r>
              <w:rPr>
                <w:rFonts w:hint="eastAsia" w:ascii="宋体" w:hAnsi="宋体" w:eastAsia="宋体" w:cs="宋体"/>
                <w:color w:val="000000" w:themeColor="text1"/>
                <w:sz w:val="24"/>
                <w:szCs w:val="24"/>
                <w:highlight w:val="none"/>
                <w:lang w:val="zh-CN"/>
                <w14:textFill>
                  <w14:solidFill>
                    <w14:schemeClr w14:val="tx1"/>
                  </w14:solidFill>
                </w14:textFill>
              </w:rPr>
              <w:t>认为投标报价出现异常时，有权要求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zh-CN"/>
                <w14:textFill>
                  <w14:solidFill>
                    <w14:schemeClr w14:val="tx1"/>
                  </w14:solidFill>
                </w14:textFill>
              </w:rPr>
              <w:t>在</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lang w:val="zh-CN"/>
                <w14:textFill>
                  <w14:solidFill>
                    <w14:schemeClr w14:val="tx1"/>
                  </w14:solidFill>
                </w14:textFill>
              </w:rPr>
              <w:t>期间对投标报价的详细组成作出解释和澄清，并确认其投标报价是否有效。</w:t>
            </w:r>
          </w:p>
          <w:p>
            <w:pPr>
              <w:pStyle w:val="482"/>
              <w:keepNext w:val="0"/>
              <w:keepLines w:val="0"/>
              <w:pageBreakBefore w:val="0"/>
              <w:widowControl w:val="0"/>
              <w:kinsoku/>
              <w:wordWrap/>
              <w:overflowPunct/>
              <w:topLinePunct w:val="0"/>
              <w:autoSpaceDE/>
              <w:autoSpaceDN/>
              <w:bidi w:val="0"/>
              <w:adjustRightInd/>
              <w:spacing w:line="288" w:lineRule="auto"/>
              <w:jc w:val="left"/>
              <w:textAlignment w:val="auto"/>
              <w:outlineLvl w:val="9"/>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2.报价评审</w:t>
            </w:r>
          </w:p>
          <w:p>
            <w:pPr>
              <w:pStyle w:val="482"/>
              <w:keepNext w:val="0"/>
              <w:keepLines w:val="0"/>
              <w:pageBreakBefore w:val="0"/>
              <w:widowControl w:val="0"/>
              <w:kinsoku/>
              <w:wordWrap/>
              <w:overflowPunct/>
              <w:topLinePunct w:val="0"/>
              <w:autoSpaceDE/>
              <w:autoSpaceDN/>
              <w:bidi w:val="0"/>
              <w:adjustRightInd/>
              <w:spacing w:line="288" w:lineRule="auto"/>
              <w:jc w:val="left"/>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各</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zh-CN"/>
                <w14:textFill>
                  <w14:solidFill>
                    <w14:schemeClr w14:val="tx1"/>
                  </w14:solidFill>
                </w14:textFill>
              </w:rPr>
              <w:t>的报价分统一采用低价优先法计算，即满足</w:t>
            </w:r>
            <w:r>
              <w:rPr>
                <w:rFonts w:hint="eastAsia" w:ascii="宋体" w:hAnsi="宋体" w:eastAsia="宋体" w:cs="宋体"/>
                <w:color w:val="000000" w:themeColor="text1"/>
                <w:sz w:val="24"/>
                <w:szCs w:val="24"/>
                <w:highlight w:val="none"/>
                <w:lang w:val="en-US" w:eastAsia="zh-CN"/>
                <w14:textFill>
                  <w14:solidFill>
                    <w14:schemeClr w14:val="tx1"/>
                  </w14:solidFill>
                </w14:textFill>
              </w:rPr>
              <w:t>招标文件</w:t>
            </w:r>
            <w:r>
              <w:rPr>
                <w:rFonts w:hint="eastAsia" w:ascii="宋体" w:hAnsi="宋体" w:eastAsia="宋体" w:cs="宋体"/>
                <w:color w:val="000000" w:themeColor="text1"/>
                <w:sz w:val="24"/>
                <w:szCs w:val="24"/>
                <w:highlight w:val="none"/>
                <w:lang w:val="zh-CN"/>
                <w14:textFill>
                  <w14:solidFill>
                    <w14:schemeClr w14:val="tx1"/>
                  </w14:solidFill>
                </w14:textFill>
              </w:rPr>
              <w:t>要求且</w:t>
            </w:r>
            <w:r>
              <w:rPr>
                <w:rFonts w:hint="eastAsia" w:ascii="宋体" w:hAnsi="宋体" w:eastAsia="宋体" w:cs="宋体"/>
                <w:color w:val="000000" w:themeColor="text1"/>
                <w:sz w:val="24"/>
                <w:szCs w:val="24"/>
                <w:highlight w:val="none"/>
                <w:lang w:val="en-US" w:eastAsia="zh-CN"/>
                <w14:textFill>
                  <w14:solidFill>
                    <w14:schemeClr w14:val="tx1"/>
                  </w14:solidFill>
                </w14:textFill>
              </w:rPr>
              <w:t>最终报价</w:t>
            </w:r>
            <w:r>
              <w:rPr>
                <w:rFonts w:hint="eastAsia" w:ascii="宋体" w:hAnsi="宋体" w:eastAsia="宋体" w:cs="宋体"/>
                <w:color w:val="000000" w:themeColor="text1"/>
                <w:sz w:val="24"/>
                <w:szCs w:val="24"/>
                <w:highlight w:val="none"/>
                <w:lang w:val="zh-CN"/>
                <w14:textFill>
                  <w14:solidFill>
                    <w14:schemeClr w14:val="tx1"/>
                  </w14:solidFill>
                </w14:textFill>
              </w:rPr>
              <w:t>最低的投标报价为评标基准价，其价格分为满分</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u w:val="single"/>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val="zh-CN"/>
                <w14:textFill>
                  <w14:solidFill>
                    <w14:schemeClr w14:val="tx1"/>
                  </w14:solidFill>
                </w14:textFill>
              </w:rPr>
              <w:t>。其他</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zh-CN"/>
                <w14:textFill>
                  <w14:solidFill>
                    <w14:schemeClr w14:val="tx1"/>
                  </w14:solidFill>
                </w14:textFill>
              </w:rPr>
              <w:t>的报价分统一按照下列公式计算：报价分=（评标基准价/</w:t>
            </w:r>
            <w:r>
              <w:rPr>
                <w:rFonts w:hint="eastAsia" w:ascii="宋体" w:hAnsi="宋体" w:eastAsia="宋体" w:cs="宋体"/>
                <w:color w:val="000000" w:themeColor="text1"/>
                <w:sz w:val="24"/>
                <w:szCs w:val="24"/>
                <w:highlight w:val="none"/>
                <w:lang w:val="en-US" w:eastAsia="zh-CN"/>
                <w14:textFill>
                  <w14:solidFill>
                    <w14:schemeClr w14:val="tx1"/>
                  </w14:solidFill>
                </w14:textFill>
              </w:rPr>
              <w:t>各供应商有效的最终</w:t>
            </w:r>
            <w:r>
              <w:rPr>
                <w:rFonts w:hint="eastAsia" w:ascii="宋体" w:hAnsi="宋体" w:eastAsia="宋体" w:cs="宋体"/>
                <w:color w:val="000000" w:themeColor="text1"/>
                <w:sz w:val="24"/>
                <w:szCs w:val="24"/>
                <w:highlight w:val="none"/>
                <w:lang w:val="zh-CN"/>
                <w14:textFill>
                  <w14:solidFill>
                    <w14:schemeClr w14:val="tx1"/>
                  </w14:solidFill>
                </w14:textFill>
              </w:rPr>
              <w:t>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p>
            <w:pPr>
              <w:snapToGrid w:val="0"/>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针对本项目的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价格政策</w:t>
            </w:r>
            <w:r>
              <w:rPr>
                <w:rFonts w:hint="eastAsia" w:ascii="宋体" w:hAnsi="宋体" w:eastAsia="宋体" w:cs="宋体"/>
                <w:b/>
                <w:bCs/>
                <w:color w:val="000000" w:themeColor="text1"/>
                <w:sz w:val="24"/>
                <w:szCs w:val="24"/>
                <w:highlight w:val="none"/>
                <w14:textFill>
                  <w14:solidFill>
                    <w14:schemeClr w14:val="tx1"/>
                  </w14:solidFill>
                </w14:textFill>
              </w:rPr>
              <w:t>规定</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本项目</w:t>
            </w:r>
            <w:r>
              <w:rPr>
                <w:rFonts w:hint="eastAsia" w:ascii="宋体" w:hAnsi="宋体" w:eastAsia="宋体" w:cs="宋体"/>
                <w:color w:val="000000" w:themeColor="text1"/>
                <w:sz w:val="24"/>
                <w:szCs w:val="24"/>
                <w:highlight w:val="none"/>
                <w14:textFill>
                  <w14:solidFill>
                    <w14:schemeClr w14:val="tx1"/>
                  </w14:solidFill>
                </w14:textFill>
              </w:rPr>
              <w:t>执行价格评审优惠的扶持政策。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tc>
      </w:tr>
    </w:tbl>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spacing w:line="360" w:lineRule="auto"/>
        <w:rPr>
          <w:rFonts w:cs="仿宋_GB2312"/>
          <w:color w:val="000000" w:themeColor="text1"/>
          <w:highlight w:val="none"/>
          <w14:textFill>
            <w14:solidFill>
              <w14:schemeClr w14:val="tx1"/>
            </w14:solidFill>
          </w14:textFill>
        </w:rPr>
      </w:pPr>
      <w:r>
        <w:rPr>
          <w:rFonts w:hint="eastAsia" w:ascii="宋体" w:hAnsi="宋体" w:cs="宋体"/>
          <w:color w:val="000000" w:themeColor="text1"/>
          <w:sz w:val="20"/>
          <w:szCs w:val="20"/>
          <w:highlight w:val="none"/>
          <w:shd w:val="clear" w:color="auto" w:fill="FFFFFF"/>
          <w14:textFill>
            <w14:solidFill>
              <w14:schemeClr w14:val="tx1"/>
            </w14:solidFill>
          </w14:textFill>
        </w:rPr>
        <w:t> *</w:t>
      </w:r>
      <w:r>
        <w:rPr>
          <w:rFonts w:hint="eastAsia" w:ascii="宋体" w:hAnsi="宋体" w:cs="宋体"/>
          <w:b/>
          <w:color w:val="000000" w:themeColor="text1"/>
          <w:sz w:val="24"/>
          <w:highlight w:val="none"/>
          <w14:textFill>
            <w14:solidFill>
              <w14:schemeClr w14:val="tx1"/>
            </w14:solidFill>
          </w14:textFill>
        </w:rPr>
        <w:t>备注：</w:t>
      </w:r>
      <w:r>
        <w:rPr>
          <w:rFonts w:hint="eastAsia" w:cs="仿宋_GB2312"/>
          <w:color w:val="000000" w:themeColor="text1"/>
          <w:highlight w:val="none"/>
          <w:lang w:eastAsia="zh-CN"/>
          <w14:textFill>
            <w14:solidFill>
              <w14:schemeClr w14:val="tx1"/>
            </w14:solidFill>
          </w14:textFill>
        </w:rPr>
        <w:t>供应商</w:t>
      </w:r>
      <w:r>
        <w:rPr>
          <w:rFonts w:hint="eastAsia" w:cs="仿宋_GB2312"/>
          <w:color w:val="000000" w:themeColor="text1"/>
          <w:highlight w:val="none"/>
          <w14:textFill>
            <w14:solidFill>
              <w14:schemeClr w14:val="tx1"/>
            </w14:solidFill>
          </w14:textFill>
        </w:rPr>
        <w:t>编制投标文件（商务技术文件部分）时，建议按此目录（序号和内容）提供评标标准相应的商务技术资料。</w:t>
      </w:r>
      <w:r>
        <w:rPr>
          <w:rFonts w:cs="仿宋_GB2312"/>
          <w:color w:val="000000" w:themeColor="text1"/>
          <w:highlight w:val="none"/>
          <w14:textFill>
            <w14:solidFill>
              <w14:schemeClr w14:val="tx1"/>
            </w14:solidFill>
          </w14:textFill>
        </w:rPr>
        <w:t> </w:t>
      </w:r>
    </w:p>
    <w:p>
      <w:pPr>
        <w:snapToGrid w:val="0"/>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1.本项目采用综合评分法。</w:t>
      </w:r>
      <w:r>
        <w:rPr>
          <w:rFonts w:hint="eastAsia" w:ascii="宋体" w:hAnsi="宋体" w:cs="宋体"/>
          <w:color w:val="000000" w:themeColor="text1"/>
          <w:kern w:val="0"/>
          <w:sz w:val="24"/>
          <w:highlight w:val="none"/>
          <w14:textFill>
            <w14:solidFill>
              <w14:schemeClr w14:val="tx1"/>
            </w14:solidFill>
          </w14:textFill>
        </w:rPr>
        <w:t>综合评分法，是指投标文件满足</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全部实质性要求，且按照评审因素的量化指标评审得分最高的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为中标候选人的评标方法。</w:t>
      </w:r>
    </w:p>
    <w:p>
      <w:pPr>
        <w:adjustRightInd/>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评标标准：</w:t>
      </w:r>
      <w:r>
        <w:rPr>
          <w:rFonts w:hint="eastAsia" w:ascii="宋体" w:hAnsi="宋体" w:cs="宋体"/>
          <w:color w:val="000000" w:themeColor="text1"/>
          <w:kern w:val="0"/>
          <w:sz w:val="24"/>
          <w:highlight w:val="none"/>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14:textFill>
            <w14:solidFill>
              <w14:schemeClr w14:val="tx1"/>
            </w14:solidFill>
          </w14:textFill>
        </w:rPr>
        <w:t>评标委员会应当对符合资格的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的投标文件进行符合性审查，以确定其是否满足</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的实质性要求。不满足</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的实质性要求的，投标无效。</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3.2 比较与评价。</w:t>
      </w:r>
      <w:r>
        <w:rPr>
          <w:rFonts w:hint="eastAsia" w:ascii="宋体" w:hAnsi="宋体" w:cs="宋体"/>
          <w:color w:val="000000" w:themeColor="text1"/>
          <w:kern w:val="0"/>
          <w:sz w:val="24"/>
          <w:highlight w:val="none"/>
          <w14:textFill>
            <w14:solidFill>
              <w14:schemeClr w14:val="tx1"/>
            </w14:solidFill>
          </w14:textFill>
        </w:rPr>
        <w:t>评标委员会应当按照</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3.3汇总商务技术得分。</w:t>
      </w:r>
      <w:r>
        <w:rPr>
          <w:rFonts w:hint="eastAsia" w:ascii="宋体" w:hAnsi="宋体" w:cs="宋体"/>
          <w:color w:val="000000" w:themeColor="text1"/>
          <w:kern w:val="0"/>
          <w:sz w:val="24"/>
          <w:highlight w:val="none"/>
          <w14:textFill>
            <w14:solidFill>
              <w14:schemeClr w14:val="tx1"/>
            </w14:solidFill>
          </w14:textFill>
        </w:rPr>
        <w:t>评标委员会各成员应当独立对每个</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的商务和技术文件进行评价，并汇总商务技术得分情况。</w:t>
      </w:r>
    </w:p>
    <w:p>
      <w:pPr>
        <w:spacing w:line="360" w:lineRule="auto"/>
        <w:ind w:firstLine="472" w:firstLineChars="196"/>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3.4报价评审。</w:t>
      </w:r>
    </w:p>
    <w:p>
      <w:pPr>
        <w:pStyle w:val="133"/>
        <w:spacing w:before="0"/>
        <w:ind w:firstLine="508" w:firstLineChars="212"/>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3.4.1投标文件报价出现前后不一致的，按照下列规定修正：</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3.4.1.2大写金额和小写金额不一致的，以大写金额为准;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确认后产生约束力。</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3.4.3投标报价超过</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中规定的预算金额或者最高限价的，投标无效。</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3.4.4评标委员会认为</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的报价明显低于其他通过符合性审查</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的报价，有可能影响产品质量或者不能诚信履约的，应当要求其在合理的时间内提供书面说明，必要时提交相关证明材料;</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不能证明其报价合理性的，评标委员会应当将其作为无效投标处理。</w:t>
      </w:r>
    </w:p>
    <w:p>
      <w:pPr>
        <w:pStyle w:val="133"/>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3.4.5对于未预留份额专门面向中小企业的政府采购服务项目，以及预留份额政府采购服务项目中的非预留部分标项，对小型和微型企业的投标报价给予10%-</w:t>
      </w:r>
      <w:r>
        <w:rPr>
          <w:rFonts w:ascii="宋体" w:hAnsi="宋体" w:cs="宋体"/>
          <w:color w:val="000000" w:themeColor="text1"/>
          <w:kern w:val="0"/>
          <w:szCs w:val="24"/>
          <w:highlight w:val="none"/>
          <w14:textFill>
            <w14:solidFill>
              <w14:schemeClr w14:val="tx1"/>
            </w14:solidFill>
          </w14:textFill>
        </w:rPr>
        <w:t>20</w:t>
      </w:r>
      <w:r>
        <w:rPr>
          <w:rFonts w:hint="eastAsia" w:ascii="宋体" w:hAnsi="宋体" w:cs="宋体"/>
          <w:color w:val="000000" w:themeColor="text1"/>
          <w:kern w:val="0"/>
          <w:szCs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000000" w:themeColor="text1"/>
          <w:kern w:val="0"/>
          <w:szCs w:val="24"/>
          <w:highlight w:val="none"/>
          <w14:textFill>
            <w14:solidFill>
              <w14:schemeClr w14:val="tx1"/>
            </w14:solidFill>
          </w14:textFill>
        </w:rPr>
        <w:t>6</w:t>
      </w:r>
      <w:r>
        <w:rPr>
          <w:rFonts w:hint="eastAsia" w:ascii="宋体" w:hAnsi="宋体" w:cs="宋体"/>
          <w:color w:val="000000" w:themeColor="text1"/>
          <w:kern w:val="0"/>
          <w:szCs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3.5排序与推荐。</w:t>
      </w:r>
      <w:r>
        <w:rPr>
          <w:rFonts w:hint="eastAsia" w:ascii="宋体" w:hAnsi="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全部实质性要求，且按照评审因素的量化指标评审得分最高的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为排名第一的中标候选人。</w:t>
      </w:r>
    </w:p>
    <w:p>
      <w:pPr>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多家</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提供相同品牌产品（单一产品采购项目中的该产品或者非单一产品采购项目的核心产品）且通过资格审查、符合性审查的不同</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参加同一合同项下投标的，按一家</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计算，评审后得分最高的同品牌</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获得中标人推荐资格；评审得分相同的，采取随机抽取方式确定，其他同品牌</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不作为中标候选人。</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3.6编写评标报告。</w:t>
      </w:r>
      <w:r>
        <w:rPr>
          <w:rFonts w:hint="eastAsia" w:ascii="宋体" w:hAnsi="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四、评标中的其他事项</w:t>
      </w:r>
    </w:p>
    <w:p>
      <w:pPr>
        <w:pStyle w:val="133"/>
        <w:spacing w:before="0"/>
        <w:ind w:firstLine="472" w:firstLineChars="1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w:t>
      </w:r>
      <w:r>
        <w:rPr>
          <w:rFonts w:hint="eastAsia" w:ascii="宋体" w:hAnsi="宋体" w:cs="宋体"/>
          <w:b/>
          <w:color w:val="000000" w:themeColor="text1"/>
          <w:kern w:val="0"/>
          <w:szCs w:val="24"/>
          <w:highlight w:val="none"/>
          <w:lang w:eastAsia="zh-CN"/>
          <w14:textFill>
            <w14:solidFill>
              <w14:schemeClr w14:val="tx1"/>
            </w14:solidFill>
          </w14:textFill>
        </w:rPr>
        <w:t>供应商</w:t>
      </w:r>
      <w:r>
        <w:rPr>
          <w:rFonts w:hint="eastAsia" w:ascii="宋体" w:hAnsi="宋体" w:cs="宋体"/>
          <w:b/>
          <w:color w:val="000000" w:themeColor="text1"/>
          <w:kern w:val="0"/>
          <w:szCs w:val="24"/>
          <w:highlight w:val="none"/>
          <w14:textFill>
            <w14:solidFill>
              <w14:schemeClr w14:val="tx1"/>
            </w14:solidFill>
          </w14:textFill>
        </w:rPr>
        <w:t>澄清、说明或者补正。</w:t>
      </w:r>
      <w:r>
        <w:rPr>
          <w:rFonts w:hint="eastAsia" w:ascii="宋体" w:hAnsi="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作出必要的澄清、说明或者补正的，评标委员会和</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通过电子交易平台交换数据电文，</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提交使用电子签名的相关数据电文或通过平台上传加盖公章的扫描件。给予</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提交澄清、说明或补正的时间不得少于半小时，</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已经明确表示澄清说明或补正完毕的除外。</w:t>
      </w:r>
      <w:r>
        <w:rPr>
          <w:rFonts w:hint="eastAsia" w:ascii="宋体" w:hAnsi="宋体" w:cs="宋体"/>
          <w:color w:val="000000" w:themeColor="text1"/>
          <w:kern w:val="0"/>
          <w:szCs w:val="24"/>
          <w:highlight w:val="none"/>
          <w:lang w:eastAsia="zh-CN"/>
          <w14:textFill>
            <w14:solidFill>
              <w14:schemeClr w14:val="tx1"/>
            </w14:solidFill>
          </w14:textFill>
        </w:rPr>
        <w:t>供应商</w:t>
      </w:r>
      <w:r>
        <w:rPr>
          <w:rFonts w:hint="eastAsia" w:ascii="宋体" w:hAnsi="宋体" w:cs="宋体"/>
          <w:color w:val="000000" w:themeColor="text1"/>
          <w:kern w:val="0"/>
          <w:szCs w:val="24"/>
          <w:highlight w:val="none"/>
          <w14:textFill>
            <w14:solidFill>
              <w14:schemeClr w14:val="tx1"/>
            </w14:solidFill>
          </w14:textFill>
        </w:rPr>
        <w:t>的澄清、说明或者补正不得超出投标文件的范围或者改变投标文件的实质性内容。</w:t>
      </w:r>
    </w:p>
    <w:p>
      <w:pPr>
        <w:pStyle w:val="27"/>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4.2投标无效。</w:t>
      </w:r>
      <w:r>
        <w:rPr>
          <w:rFonts w:hint="eastAsia"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不具备</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中规定的资格要求的（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未提供有效的资格文件的，视为</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不具备</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中规定的资格要求）；</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4.2.2投标文件未按照</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要求签署、盖章的；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4.2.3采购人拟采购的产品属于政府强制采购的节能产品品目清单范围的，</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4.2.5投标文件中承诺的投标有效期少于</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中载明的投标有效期的；</w:t>
      </w:r>
    </w:p>
    <w:p>
      <w:pPr>
        <w:snapToGrid w:val="0"/>
        <w:spacing w:line="360" w:lineRule="auto"/>
        <w:ind w:firstLine="120" w:firstLineChars="5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4.2.7投标报价超过</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中规定的预算金额或者最高限价的;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4.2.8报价明显低于其他通过符合性审查</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4.2.9</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对根据修正原则修正后的报价不确认的；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4.2.10</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提供虚假材料投标的；</w:t>
      </w:r>
    </w:p>
    <w:p>
      <w:pPr>
        <w:spacing w:line="360" w:lineRule="auto"/>
        <w:ind w:firstLine="240" w:firstLineChars="1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4.2.11</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有恶意串通、妨碍其他</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的竞争行为、损害采购人或者其他</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的合法权益情形的；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4.2.12</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仅提交备份投标文件，未在电子交易平台传输递交投标文件的，投标无效；</w:t>
      </w:r>
    </w:p>
    <w:p>
      <w:pPr>
        <w:spacing w:line="360" w:lineRule="auto"/>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4.2.13</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未提供样品或提供的样品不满足采购需求实质性条件的，投标无效；</w:t>
      </w:r>
    </w:p>
    <w:p>
      <w:pPr>
        <w:pStyle w:val="4"/>
        <w:ind w:left="862" w:leftChars="205"/>
        <w:rPr>
          <w:color w:val="000000" w:themeColor="text1"/>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4.2.14 投标文件不满足</w:t>
      </w:r>
      <w: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t>采购文件</w:t>
      </w: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的实质性要求的；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w:t>
      </w:r>
      <w:r>
        <w:rPr>
          <w:rFonts w:hint="eastAsia" w:ascii="宋体" w:hAnsi="宋体" w:cs="宋体"/>
          <w:color w:val="000000" w:themeColor="text1"/>
          <w:kern w:val="0"/>
          <w:sz w:val="24"/>
          <w:highlight w:val="none"/>
          <w:lang w:val="en-US" w:eastAsia="zh-CN"/>
          <w14:textFill>
            <w14:solidFill>
              <w14:schemeClr w14:val="tx1"/>
            </w14:solidFill>
          </w14:textFill>
        </w:rPr>
        <w:t>5</w:t>
      </w:r>
      <w:r>
        <w:rPr>
          <w:rFonts w:hint="eastAsia" w:ascii="宋体" w:hAnsi="宋体" w:cs="宋体"/>
          <w:color w:val="000000" w:themeColor="text1"/>
          <w:kern w:val="0"/>
          <w:sz w:val="24"/>
          <w:highlight w:val="none"/>
          <w14:textFill>
            <w14:solidFill>
              <w14:schemeClr w14:val="tx1"/>
            </w14:solidFill>
          </w14:textFill>
        </w:rPr>
        <w:t>法律、法规、规章（适用本市的）及省级以上规范性文件（适用本市的）规定的其他无效情形。</w:t>
      </w:r>
    </w:p>
    <w:p>
      <w:pPr>
        <w:pStyle w:val="27"/>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5.废标。</w:t>
      </w:r>
      <w:r>
        <w:rPr>
          <w:rFonts w:hint="eastAsia"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5.1符合专业条件的供应商或者对</w:t>
      </w:r>
      <w:r>
        <w:rPr>
          <w:rFonts w:hint="eastAsia" w:cs="宋体"/>
          <w:color w:val="000000" w:themeColor="text1"/>
          <w:highlight w:val="none"/>
          <w:lang w:eastAsia="zh-CN"/>
          <w14:textFill>
            <w14:solidFill>
              <w14:schemeClr w14:val="tx1"/>
            </w14:solidFill>
          </w14:textFill>
        </w:rPr>
        <w:t>采购文件</w:t>
      </w:r>
      <w:r>
        <w:rPr>
          <w:rFonts w:hint="eastAsia" w:cs="宋体"/>
          <w:color w:val="000000" w:themeColor="text1"/>
          <w:highlight w:val="none"/>
          <w14:textFill>
            <w14:solidFill>
              <w14:schemeClr w14:val="tx1"/>
            </w14:solidFill>
          </w14:textFill>
        </w:rPr>
        <w:t>作实质响应的供应商不足3家的；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5.2出现影响采购公正的违法、违规行为的；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w:t>
      </w:r>
      <w:r>
        <w:rPr>
          <w:rFonts w:hint="eastAsia" w:cs="宋体"/>
          <w:color w:val="000000" w:themeColor="text1"/>
          <w:highlight w:val="none"/>
          <w:lang w:eastAsia="zh-CN"/>
          <w14:textFill>
            <w14:solidFill>
              <w14:schemeClr w14:val="tx1"/>
            </w14:solidFill>
          </w14:textFill>
        </w:rPr>
        <w:t>供应商</w:t>
      </w:r>
      <w:r>
        <w:rPr>
          <w:rFonts w:hint="eastAsia" w:cs="宋体"/>
          <w:color w:val="000000" w:themeColor="text1"/>
          <w:highlight w:val="none"/>
          <w14:textFill>
            <w14:solidFill>
              <w14:schemeClr w14:val="tx1"/>
            </w14:solidFill>
          </w14:textFill>
        </w:rPr>
        <w:t>的报价均超过了采购预算，采购人不能支付的；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5.4因重大变故，采购任务取消的。</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废标后，</w:t>
      </w:r>
      <w:r>
        <w:rPr>
          <w:rFonts w:hint="eastAsia" w:cs="宋体"/>
          <w:color w:val="000000" w:themeColor="text1"/>
          <w:highlight w:val="none"/>
          <w:lang w:eastAsia="zh-CN"/>
          <w14:textFill>
            <w14:solidFill>
              <w14:schemeClr w14:val="tx1"/>
            </w14:solidFill>
          </w14:textFill>
        </w:rPr>
        <w:t>采购代理机构</w:t>
      </w:r>
      <w:r>
        <w:rPr>
          <w:rFonts w:hint="eastAsia" w:cs="宋体"/>
          <w:color w:val="000000" w:themeColor="text1"/>
          <w:highlight w:val="none"/>
          <w14:textFill>
            <w14:solidFill>
              <w14:schemeClr w14:val="tx1"/>
            </w14:solidFill>
          </w14:textFill>
        </w:rPr>
        <w:t>应当将废标理由通知所有</w:t>
      </w:r>
      <w:r>
        <w:rPr>
          <w:rFonts w:hint="eastAsia" w:cs="宋体"/>
          <w:color w:val="000000" w:themeColor="text1"/>
          <w:highlight w:val="none"/>
          <w:lang w:eastAsia="zh-CN"/>
          <w14:textFill>
            <w14:solidFill>
              <w14:schemeClr w14:val="tx1"/>
            </w14:solidFill>
          </w14:textFill>
        </w:rPr>
        <w:t>供应商</w:t>
      </w:r>
      <w:r>
        <w:rPr>
          <w:rFonts w:hint="eastAsia" w:cs="宋体"/>
          <w:color w:val="000000" w:themeColor="text1"/>
          <w:highlight w:val="none"/>
          <w14:textFill>
            <w14:solidFill>
              <w14:schemeClr w14:val="tx1"/>
            </w14:solidFill>
          </w14:textFill>
        </w:rPr>
        <w:t>。</w:t>
      </w:r>
    </w:p>
    <w:p>
      <w:pPr>
        <w:pStyle w:val="27"/>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6.修改</w:t>
      </w:r>
      <w:r>
        <w:rPr>
          <w:rFonts w:hint="eastAsia" w:cs="宋体"/>
          <w:b/>
          <w:color w:val="000000" w:themeColor="text1"/>
          <w:highlight w:val="none"/>
          <w:lang w:eastAsia="zh-CN"/>
          <w14:textFill>
            <w14:solidFill>
              <w14:schemeClr w14:val="tx1"/>
            </w14:solidFill>
          </w14:textFill>
        </w:rPr>
        <w:t>采购文件</w:t>
      </w:r>
      <w:r>
        <w:rPr>
          <w:rFonts w:hint="eastAsia" w:cs="宋体"/>
          <w:b/>
          <w:color w:val="000000" w:themeColor="text1"/>
          <w:highlight w:val="none"/>
          <w14:textFill>
            <w14:solidFill>
              <w14:schemeClr w14:val="tx1"/>
            </w14:solidFill>
          </w14:textFill>
        </w:rPr>
        <w:t>，重新组织采购活动。</w:t>
      </w:r>
      <w:r>
        <w:rPr>
          <w:rFonts w:hint="eastAsia" w:cs="宋体"/>
          <w:color w:val="000000" w:themeColor="text1"/>
          <w:highlight w:val="none"/>
          <w14:textFill>
            <w14:solidFill>
              <w14:schemeClr w14:val="tx1"/>
            </w14:solidFill>
          </w14:textFill>
        </w:rPr>
        <w:t>评标委员会发现</w:t>
      </w:r>
      <w:r>
        <w:rPr>
          <w:rFonts w:hint="eastAsia" w:cs="宋体"/>
          <w:color w:val="000000" w:themeColor="text1"/>
          <w:highlight w:val="none"/>
          <w:lang w:eastAsia="zh-CN"/>
          <w14:textFill>
            <w14:solidFill>
              <w14:schemeClr w14:val="tx1"/>
            </w14:solidFill>
          </w14:textFill>
        </w:rPr>
        <w:t>采购文件</w:t>
      </w:r>
      <w:r>
        <w:rPr>
          <w:rFonts w:hint="eastAsia" w:cs="宋体"/>
          <w:color w:val="000000" w:themeColor="text1"/>
          <w:highlight w:val="none"/>
          <w14:textFill>
            <w14:solidFill>
              <w14:schemeClr w14:val="tx1"/>
            </w14:solidFill>
          </w14:textFill>
        </w:rPr>
        <w:t>存在歧义、重大缺陷导致评标工作无法进行，或者</w:t>
      </w:r>
      <w:r>
        <w:rPr>
          <w:rFonts w:hint="eastAsia" w:cs="宋体"/>
          <w:color w:val="000000" w:themeColor="text1"/>
          <w:highlight w:val="none"/>
          <w:lang w:eastAsia="zh-CN"/>
          <w14:textFill>
            <w14:solidFill>
              <w14:schemeClr w14:val="tx1"/>
            </w14:solidFill>
          </w14:textFill>
        </w:rPr>
        <w:t>采购文件</w:t>
      </w:r>
      <w:r>
        <w:rPr>
          <w:rFonts w:hint="eastAsia" w:cs="宋体"/>
          <w:color w:val="000000" w:themeColor="text1"/>
          <w:highlight w:val="none"/>
          <w14:textFill>
            <w14:solidFill>
              <w14:schemeClr w14:val="tx1"/>
            </w14:solidFill>
          </w14:textFill>
        </w:rPr>
        <w:t>内容违反国家有关强制性规定的，将停止评标工作，并与采购人、</w:t>
      </w:r>
      <w:r>
        <w:rPr>
          <w:rFonts w:hint="eastAsia" w:cs="宋体"/>
          <w:color w:val="000000" w:themeColor="text1"/>
          <w:highlight w:val="none"/>
          <w:lang w:eastAsia="zh-CN"/>
          <w14:textFill>
            <w14:solidFill>
              <w14:schemeClr w14:val="tx1"/>
            </w14:solidFill>
          </w14:textFill>
        </w:rPr>
        <w:t>采购代理机构</w:t>
      </w:r>
      <w:r>
        <w:rPr>
          <w:rFonts w:hint="eastAsia" w:cs="宋体"/>
          <w:color w:val="000000" w:themeColor="text1"/>
          <w:highlight w:val="none"/>
          <w14:textFill>
            <w14:solidFill>
              <w14:schemeClr w14:val="tx1"/>
            </w14:solidFill>
          </w14:textFill>
        </w:rPr>
        <w:t>沟通并作书面记录。采购人、</w:t>
      </w:r>
      <w:r>
        <w:rPr>
          <w:rFonts w:hint="eastAsia" w:cs="宋体"/>
          <w:color w:val="000000" w:themeColor="text1"/>
          <w:highlight w:val="none"/>
          <w:lang w:eastAsia="zh-CN"/>
          <w14:textFill>
            <w14:solidFill>
              <w14:schemeClr w14:val="tx1"/>
            </w14:solidFill>
          </w14:textFill>
        </w:rPr>
        <w:t>采购代理机构</w:t>
      </w:r>
      <w:r>
        <w:rPr>
          <w:rFonts w:hint="eastAsia" w:cs="宋体"/>
          <w:color w:val="000000" w:themeColor="text1"/>
          <w:highlight w:val="none"/>
          <w14:textFill>
            <w14:solidFill>
              <w14:schemeClr w14:val="tx1"/>
            </w14:solidFill>
          </w14:textFill>
        </w:rPr>
        <w:t>确认后，将修改</w:t>
      </w:r>
      <w:r>
        <w:rPr>
          <w:rFonts w:hint="eastAsia" w:cs="宋体"/>
          <w:color w:val="000000" w:themeColor="text1"/>
          <w:highlight w:val="none"/>
          <w:lang w:eastAsia="zh-CN"/>
          <w14:textFill>
            <w14:solidFill>
              <w14:schemeClr w14:val="tx1"/>
            </w14:solidFill>
          </w14:textFill>
        </w:rPr>
        <w:t>采购文件</w:t>
      </w:r>
      <w:r>
        <w:rPr>
          <w:rFonts w:hint="eastAsia" w:cs="宋体"/>
          <w:color w:val="000000" w:themeColor="text1"/>
          <w:highlight w:val="none"/>
          <w14:textFill>
            <w14:solidFill>
              <w14:schemeClr w14:val="tx1"/>
            </w14:solidFill>
          </w14:textFill>
        </w:rPr>
        <w:t>，重新组织采购活动。</w:t>
      </w:r>
    </w:p>
    <w:p>
      <w:pPr>
        <w:pStyle w:val="27"/>
        <w:snapToGrid w:val="0"/>
        <w:spacing w:line="360" w:lineRule="auto"/>
        <w:ind w:firstLine="482"/>
        <w:rPr>
          <w:rFonts w:cs="宋体"/>
          <w:color w:val="000000" w:themeColor="text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7.重新开展采购。</w:t>
      </w:r>
      <w:r>
        <w:rPr>
          <w:rFonts w:hint="eastAsia"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7.1未确定中标供应商的，终止本次政府采购活动，重新开展政府采购活动。</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7.4政府采购合同已经履行，给采购人、供应商造成损失的，由责任人承担赔偿责任。</w:t>
      </w:r>
    </w:p>
    <w:p>
      <w:pPr>
        <w:pStyle w:val="27"/>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bookmarkStart w:id="393" w:name="第五部分"/>
      <w:bookmarkStart w:id="394" w:name="_Toc86217003"/>
    </w:p>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   第五部分 拟签订的合同文本</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合同编号：</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（服务类）</w:t>
      </w:r>
    </w:p>
    <w:p>
      <w:pPr>
        <w:pStyle w:val="701"/>
        <w:ind w:firstLine="2843" w:firstLineChars="118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第一部分 合同书</w:t>
      </w:r>
    </w:p>
    <w:p>
      <w:pPr>
        <w:spacing w:before="120" w:line="22" w:lineRule="atLeast"/>
        <w:rPr>
          <w:rFonts w:ascii="宋体" w:hAnsi="宋体" w:cs="宋体"/>
          <w:color w:val="000000" w:themeColor="text1"/>
          <w:sz w:val="24"/>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spacing w:before="120" w:line="22" w:lineRule="atLeast"/>
        <w:ind w:left="96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大梅林共同富裕示范带设计采购提升运营一体化服务项目</w:t>
      </w:r>
    </w:p>
    <w:p>
      <w:pPr>
        <w:pStyle w:val="598"/>
        <w:spacing w:before="120" w:line="22" w:lineRule="atLeast"/>
        <w:rPr>
          <w:rFonts w:ascii="宋体" w:hAnsi="宋体" w:eastAsia="宋体" w:cs="宋体"/>
          <w:color w:val="000000" w:themeColor="text1"/>
          <w:szCs w:val="24"/>
          <w:highlight w:val="none"/>
          <w14:textFill>
            <w14:solidFill>
              <w14:schemeClr w14:val="tx1"/>
            </w14:solidFill>
          </w14:textFill>
        </w:rPr>
      </w:pPr>
    </w:p>
    <w:p>
      <w:pPr>
        <w:pStyle w:val="598"/>
        <w:spacing w:before="120" w:line="22" w:lineRule="atLeast"/>
        <w:rPr>
          <w:rFonts w:ascii="宋体" w:hAnsi="宋体" w:eastAsia="宋体" w:cs="宋体"/>
          <w:color w:val="000000" w:themeColor="text1"/>
          <w:szCs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杭州市萧山区瓜沥镇人民政府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widowControl/>
        <w:jc w:val="left"/>
        <w:rPr>
          <w:rFonts w:ascii="宋体" w:hAnsi="宋体" w:cs="宋体"/>
          <w:color w:val="000000" w:themeColor="text1"/>
          <w:kern w:val="0"/>
          <w:sz w:val="24"/>
          <w:highlight w:val="none"/>
          <w14:textFill>
            <w14:solidFill>
              <w14:schemeClr w14:val="tx1"/>
            </w14:solidFill>
          </w14:textFill>
        </w:rPr>
        <w:sectPr>
          <w:pgSz w:w="11907" w:h="16840"/>
          <w:pgMar w:top="1417" w:right="1474" w:bottom="1417" w:left="1474" w:header="851" w:footer="851" w:gutter="0"/>
          <w:cols w:space="720" w:num="1"/>
        </w:sectPr>
      </w:pPr>
    </w:p>
    <w:p>
      <w:pPr>
        <w:rPr>
          <w:rFonts w:ascii="宋体" w:hAnsi="宋体" w:cs="宋体"/>
          <w:b/>
          <w:color w:val="000000" w:themeColor="text1"/>
          <w:sz w:val="24"/>
          <w:highlight w:val="none"/>
          <w14:textFill>
            <w14:solidFill>
              <w14:schemeClr w14:val="tx1"/>
            </w14:solidFill>
          </w14:textFill>
        </w:rPr>
      </w:pP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年</w:t>
      </w: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月</w:t>
      </w: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日</w:t>
      </w:r>
      <w:r>
        <w:rPr>
          <w:rFonts w:hint="eastAsia" w:ascii="宋体" w:hAnsi="宋体"/>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u w:val="single"/>
          <w:lang w:eastAsia="zh-CN"/>
          <w14:textFill>
            <w14:solidFill>
              <w14:schemeClr w14:val="tx1"/>
            </w14:solidFill>
          </w14:textFill>
        </w:rPr>
        <w:t>杭州市萧山区瓜沥镇人民政府</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以</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b/>
          <w:bCs/>
          <w:color w:val="000000" w:themeColor="text1"/>
          <w:sz w:val="24"/>
          <w:highlight w:val="none"/>
          <w:u w:val="single"/>
          <w:lang w:val="en-US" w:eastAsia="zh-CN"/>
          <w14:textFill>
            <w14:solidFill>
              <w14:schemeClr w14:val="tx1"/>
            </w14:solidFill>
          </w14:textFill>
        </w:rPr>
        <w:t>公开招标方式</w:t>
      </w:r>
      <w:r>
        <w:rPr>
          <w:rFonts w:hint="eastAsia" w:ascii="宋体" w:hAnsi="宋体"/>
          <w:color w:val="000000" w:themeColor="text1"/>
          <w:sz w:val="24"/>
          <w:highlight w:val="none"/>
          <w:u w:val="singl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对</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s="宋体"/>
          <w:b/>
          <w:bCs/>
          <w:color w:val="000000" w:themeColor="text1"/>
          <w:sz w:val="24"/>
          <w:highlight w:val="none"/>
          <w:u w:val="single"/>
          <w:lang w:eastAsia="zh-CN"/>
          <w14:textFill>
            <w14:solidFill>
              <w14:schemeClr w14:val="tx1"/>
            </w14:solidFill>
          </w14:textFill>
        </w:rPr>
        <w:t>大梅林共同富裕示范带设计采购提升运营一体化服务项目</w:t>
      </w:r>
      <w:r>
        <w:rPr>
          <w:rFonts w:hint="eastAsia" w:ascii="宋体" w:hAnsi="宋体"/>
          <w:color w:val="000000" w:themeColor="text1"/>
          <w:sz w:val="24"/>
          <w:highlight w:val="none"/>
          <w14:textFill>
            <w14:solidFill>
              <w14:schemeClr w14:val="tx1"/>
            </w14:solidFill>
          </w14:textFill>
        </w:rPr>
        <w:t>进行了采购。经</w:t>
      </w:r>
      <w:r>
        <w:rPr>
          <w:rFonts w:hint="eastAsia" w:ascii="宋体" w:hAnsi="宋体"/>
          <w:color w:val="000000" w:themeColor="text1"/>
          <w:sz w:val="24"/>
          <w:highlight w:val="none"/>
          <w:u w:val="single"/>
          <w:lang w:val="en-US" w:eastAsia="zh-CN"/>
          <w14:textFill>
            <w14:solidFill>
              <w14:schemeClr w14:val="tx1"/>
            </w14:solidFill>
          </w14:textFill>
        </w:rPr>
        <w:t xml:space="preserve">评委员会标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评定，</w:t>
      </w:r>
      <w:r>
        <w:rPr>
          <w:rFonts w:ascii="宋体" w:hAnsi="宋体"/>
          <w:color w:val="000000" w:themeColor="text1"/>
          <w:sz w:val="24"/>
          <w:highlight w:val="none"/>
          <w:u w:val="single"/>
          <w14:textFill>
            <w14:solidFill>
              <w14:schemeClr w14:val="tx1"/>
            </w14:solidFill>
          </w14:textFill>
        </w:rPr>
        <w:t xml:space="preserve">   （中标供应商名称） </w:t>
      </w:r>
      <w:r>
        <w:rPr>
          <w:rFonts w:hint="eastAsia" w:ascii="宋体" w:hAnsi="宋体"/>
          <w:color w:val="000000" w:themeColor="text1"/>
          <w:sz w:val="24"/>
          <w:highlight w:val="none"/>
          <w14:textFill>
            <w14:solidFill>
              <w14:schemeClr w14:val="tx1"/>
            </w14:solidFill>
          </w14:textFill>
        </w:rPr>
        <w:t>为该项目</w:t>
      </w:r>
      <w:r>
        <w:rPr>
          <w:rFonts w:hint="eastAsia" w:ascii="宋体" w:hAnsi="宋体" w:cs="宋体"/>
          <w:color w:val="000000" w:themeColor="text1"/>
          <w:sz w:val="24"/>
          <w:highlight w:val="none"/>
          <w14:textFill>
            <w14:solidFill>
              <w14:schemeClr w14:val="tx1"/>
            </w14:solidFill>
          </w14:textFill>
        </w:rPr>
        <w:t>中标供应商</w:t>
      </w:r>
      <w:r>
        <w:rPr>
          <w:rFonts w:hint="eastAsia" w:ascii="宋体" w:hAnsi="宋体"/>
          <w:color w:val="000000" w:themeColor="text1"/>
          <w:sz w:val="24"/>
          <w:highlight w:val="none"/>
          <w14:textFill>
            <w14:solidFill>
              <w14:schemeClr w14:val="tx1"/>
            </w14:solidFill>
          </w14:textFill>
        </w:rPr>
        <w:t>。现于</w:t>
      </w:r>
      <w:r>
        <w:rPr>
          <w:rFonts w:hint="eastAsia" w:ascii="宋体" w:hAnsi="宋体" w:cs="宋体"/>
          <w:color w:val="000000" w:themeColor="text1"/>
          <w:sz w:val="24"/>
          <w:highlight w:val="none"/>
          <w14:textFill>
            <w14:solidFill>
              <w14:schemeClr w14:val="tx1"/>
            </w14:solidFill>
          </w14:textFill>
        </w:rPr>
        <w:t>中标通知书</w:t>
      </w:r>
      <w:r>
        <w:rPr>
          <w:rFonts w:hint="eastAsia" w:ascii="宋体" w:hAnsi="宋体"/>
          <w:color w:val="000000" w:themeColor="text1"/>
          <w:sz w:val="24"/>
          <w:highlight w:val="none"/>
          <w14:textFill>
            <w14:solidFill>
              <w14:schemeClr w14:val="tx1"/>
            </w14:solidFill>
          </w14:textFill>
        </w:rPr>
        <w:t>发出之日起</w:t>
      </w:r>
      <w:r>
        <w:rPr>
          <w:rFonts w:hint="eastAsia" w:ascii="宋体" w:hAnsi="宋体"/>
          <w:color w:val="000000" w:themeColor="text1"/>
          <w:sz w:val="24"/>
          <w:highlight w:val="none"/>
          <w:lang w:val="en-US" w:eastAsia="zh-CN"/>
          <w14:textFill>
            <w14:solidFill>
              <w14:schemeClr w14:val="tx1"/>
            </w14:solidFill>
          </w14:textFill>
        </w:rPr>
        <w:t>20日历天</w:t>
      </w:r>
      <w:r>
        <w:rPr>
          <w:rFonts w:hint="eastAsia" w:ascii="宋体" w:hAnsi="宋体"/>
          <w:color w:val="000000" w:themeColor="text1"/>
          <w:sz w:val="24"/>
          <w:highlight w:val="none"/>
          <w14:textFill>
            <w14:solidFill>
              <w14:schemeClr w14:val="tx1"/>
            </w14:solidFill>
          </w14:textFill>
        </w:rPr>
        <w:t>内，按照采购文件确定的事项签订本合同。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根据《中华人民共和国民法典》《中华人民共和国政府采购法》等相关法律法规之规定，按照平等、自愿、公平和诚实信用的原则，经</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eastAsia="zh-CN"/>
          <w14:textFill>
            <w14:solidFill>
              <w14:schemeClr w14:val="tx1"/>
            </w14:solidFill>
          </w14:textFill>
        </w:rPr>
        <w:t>杭州市萧山区瓜沥镇人民政府</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lang w:val="zh-CN"/>
          <w14:textFill>
            <w14:solidFill>
              <w14:schemeClr w14:val="tx1"/>
            </w14:solidFill>
          </w14:textFill>
        </w:rPr>
        <w:t>(以下简称：甲方)和</w:t>
      </w:r>
      <w:r>
        <w:rPr>
          <w:rFonts w:ascii="宋体" w:hAnsi="宋体"/>
          <w:color w:val="000000" w:themeColor="text1"/>
          <w:sz w:val="24"/>
          <w:highlight w:val="none"/>
          <w:u w:val="single"/>
          <w14:textFill>
            <w14:solidFill>
              <w14:schemeClr w14:val="tx1"/>
            </w14:solidFill>
          </w14:textFill>
        </w:rPr>
        <w:t xml:space="preserve"> （中标供应商名称）  </w:t>
      </w:r>
      <w:r>
        <w:rPr>
          <w:rFonts w:ascii="宋体" w:hAnsi="宋体"/>
          <w:color w:val="000000" w:themeColor="text1"/>
          <w:sz w:val="24"/>
          <w:highlight w:val="none"/>
          <w:lang w:val="zh-CN"/>
          <w14:textFill>
            <w14:solidFill>
              <w14:schemeClr w14:val="tx1"/>
            </w14:solidFill>
          </w14:textFill>
        </w:rPr>
        <w:t>(以下简称：乙方)协商一致，约定以下合同</w:t>
      </w:r>
      <w:r>
        <w:rPr>
          <w:rFonts w:hint="eastAsia" w:ascii="宋体" w:hAnsi="宋体"/>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ascii="宋体" w:hAnsi="宋体"/>
          <w:color w:val="000000" w:themeColor="text1"/>
          <w:sz w:val="24"/>
          <w:highlight w:val="none"/>
          <w14:textFill>
            <w14:solidFill>
              <w14:schemeClr w14:val="tx1"/>
            </w14:solidFill>
          </w14:textFill>
        </w:rPr>
      </w:pPr>
      <w:bookmarkStart w:id="395" w:name="_Toc15367"/>
      <w:bookmarkStart w:id="396" w:name="_Toc22967"/>
      <w:bookmarkStart w:id="397" w:name="_Toc19273"/>
      <w:bookmarkStart w:id="398" w:name="_Toc28855"/>
      <w:bookmarkStart w:id="399" w:name="_Toc20421"/>
      <w:r>
        <w:rPr>
          <w:rFonts w:ascii="宋体" w:hAnsi="宋体"/>
          <w:b/>
          <w:color w:val="000000" w:themeColor="text1"/>
          <w:sz w:val="24"/>
          <w:highlight w:val="none"/>
          <w14:textFill>
            <w14:solidFill>
              <w14:schemeClr w14:val="tx1"/>
            </w14:solidFill>
          </w14:textFill>
        </w:rPr>
        <w:t xml:space="preserve">1.1 </w:t>
      </w:r>
      <w:r>
        <w:rPr>
          <w:rFonts w:hint="eastAsia" w:ascii="宋体" w:hAnsi="宋体"/>
          <w:b/>
          <w:color w:val="000000" w:themeColor="text1"/>
          <w:sz w:val="24"/>
          <w:highlight w:val="none"/>
          <w14:textFill>
            <w14:solidFill>
              <w14:schemeClr w14:val="tx1"/>
            </w14:solidFill>
          </w14:textFill>
        </w:rPr>
        <w:t>合同组成部分</w:t>
      </w:r>
      <w:bookmarkEnd w:id="395"/>
      <w:bookmarkEnd w:id="396"/>
      <w:bookmarkEnd w:id="397"/>
      <w:bookmarkEnd w:id="398"/>
      <w:bookmarkEnd w:id="399"/>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1.1.1 </w:t>
      </w:r>
      <w:r>
        <w:rPr>
          <w:rFonts w:hint="eastAsia" w:ascii="宋体" w:hAnsi="宋体"/>
          <w:color w:val="000000" w:themeColor="text1"/>
          <w:sz w:val="24"/>
          <w:highlight w:val="none"/>
          <w14:textFill>
            <w14:solidFill>
              <w14:schemeClr w14:val="tx1"/>
            </w14:solidFill>
          </w14:textFill>
        </w:rPr>
        <w:t>本合同及其补充合同、变更协议；</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1.1.2 </w:t>
      </w:r>
      <w:r>
        <w:rPr>
          <w:rFonts w:hint="eastAsia" w:ascii="宋体" w:hAnsi="宋体"/>
          <w:color w:val="000000" w:themeColor="text1"/>
          <w:sz w:val="24"/>
          <w:highlight w:val="none"/>
          <w14:textFill>
            <w14:solidFill>
              <w14:schemeClr w14:val="tx1"/>
            </w14:solidFill>
          </w14:textFill>
        </w:rPr>
        <w:t>中标或者成交通知书；</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1.1.3 </w:t>
      </w:r>
      <w:r>
        <w:rPr>
          <w:rFonts w:hint="eastAsia" w:ascii="宋体" w:hAnsi="宋体"/>
          <w:color w:val="000000" w:themeColor="text1"/>
          <w:sz w:val="24"/>
          <w:highlight w:val="none"/>
          <w14:textFill>
            <w14:solidFill>
              <w14:schemeClr w14:val="tx1"/>
            </w14:solidFill>
          </w14:textFill>
        </w:rPr>
        <w:t>投标或者响应文件（含澄清或者说明文件）；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1.1.4 </w:t>
      </w:r>
      <w:r>
        <w:rPr>
          <w:rFonts w:hint="eastAsia" w:ascii="宋体" w:hAnsi="宋体"/>
          <w:color w:val="000000" w:themeColor="text1"/>
          <w:sz w:val="24"/>
          <w:highlight w:val="none"/>
          <w14:textFill>
            <w14:solidFill>
              <w14:schemeClr w14:val="tx1"/>
            </w14:solidFill>
          </w14:textFill>
        </w:rPr>
        <w:t>采购文件（含澄清或者修改文件）；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1.1.5 </w:t>
      </w:r>
      <w:r>
        <w:rPr>
          <w:rFonts w:hint="eastAsia" w:ascii="宋体" w:hAnsi="宋体"/>
          <w:color w:val="000000" w:themeColor="text1"/>
          <w:sz w:val="24"/>
          <w:highlight w:val="none"/>
          <w14:textFill>
            <w14:solidFill>
              <w14:schemeClr w14:val="tx1"/>
            </w14:solidFill>
          </w14:textFill>
        </w:rPr>
        <w:t>其他相关采购文件。</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00" w:name="_Toc6773"/>
      <w:bookmarkStart w:id="401" w:name="_Toc2918"/>
      <w:bookmarkStart w:id="402" w:name="_Toc18585"/>
      <w:bookmarkStart w:id="403" w:name="_Toc22185"/>
      <w:bookmarkStart w:id="404" w:name="_Toc6311"/>
      <w:r>
        <w:rPr>
          <w:rFonts w:ascii="宋体" w:hAnsi="宋体"/>
          <w:b/>
          <w:color w:val="000000" w:themeColor="text1"/>
          <w:sz w:val="24"/>
          <w:highlight w:val="none"/>
          <w14:textFill>
            <w14:solidFill>
              <w14:schemeClr w14:val="tx1"/>
            </w14:solidFill>
          </w14:textFill>
        </w:rPr>
        <w:t xml:space="preserve">1.2 </w:t>
      </w:r>
      <w:r>
        <w:rPr>
          <w:rFonts w:hint="eastAsia" w:ascii="宋体" w:hAnsi="宋体"/>
          <w:b/>
          <w:color w:val="000000" w:themeColor="text1"/>
          <w:sz w:val="24"/>
          <w:highlight w:val="none"/>
          <w14:textFill>
            <w14:solidFill>
              <w14:schemeClr w14:val="tx1"/>
            </w14:solidFill>
          </w14:textFill>
        </w:rPr>
        <w:t>标的</w:t>
      </w:r>
      <w:bookmarkEnd w:id="400"/>
      <w:bookmarkEnd w:id="401"/>
      <w:bookmarkEnd w:id="402"/>
      <w:bookmarkEnd w:id="403"/>
      <w:bookmarkEnd w:id="404"/>
    </w:p>
    <w:p>
      <w:pPr>
        <w:spacing w:line="560" w:lineRule="exact"/>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1.2.1 </w:t>
      </w:r>
      <w:r>
        <w:rPr>
          <w:rFonts w:hint="eastAsia" w:ascii="宋体" w:hAnsi="宋体"/>
          <w:color w:val="000000" w:themeColor="text1"/>
          <w:sz w:val="24"/>
          <w:highlight w:val="none"/>
          <w14:textFill>
            <w14:solidFill>
              <w14:schemeClr w14:val="tx1"/>
            </w14:solidFill>
          </w14:textFill>
        </w:rPr>
        <w:t>服务内容</w:t>
      </w:r>
      <w:r>
        <w:rPr>
          <w:rFonts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eastAsia="zh-CN"/>
          <w14:textFill>
            <w14:solidFill>
              <w14:schemeClr w14:val="tx1"/>
            </w14:solidFill>
          </w14:textFill>
        </w:rPr>
        <w:t>（</w:t>
      </w:r>
      <w:r>
        <w:rPr>
          <w:rFonts w:hint="eastAsia" w:ascii="宋体" w:hAnsi="宋体"/>
          <w:color w:val="000000" w:themeColor="text1"/>
          <w:sz w:val="24"/>
          <w:highlight w:val="none"/>
          <w:u w:val="single"/>
          <w:lang w:val="en-US" w:eastAsia="zh-CN"/>
          <w14:textFill>
            <w14:solidFill>
              <w14:schemeClr w14:val="tx1"/>
            </w14:solidFill>
          </w14:textFill>
        </w:rPr>
        <w:t>附：采购需求</w:t>
      </w:r>
      <w:r>
        <w:rPr>
          <w:rFonts w:hint="eastAsia" w:ascii="宋体" w:hAnsi="宋体"/>
          <w:color w:val="000000" w:themeColor="text1"/>
          <w:sz w:val="24"/>
          <w:highlight w:val="none"/>
          <w:u w:val="single"/>
          <w:lang w:eastAsia="zh-CN"/>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1.2.2 </w:t>
      </w:r>
      <w:r>
        <w:rPr>
          <w:rFonts w:hint="eastAsia" w:ascii="宋体" w:hAnsi="宋体"/>
          <w:color w:val="000000" w:themeColor="text1"/>
          <w:sz w:val="24"/>
          <w:highlight w:val="none"/>
          <w14:textFill>
            <w14:solidFill>
              <w14:schemeClr w14:val="tx1"/>
            </w14:solidFill>
          </w14:textFill>
        </w:rPr>
        <w:t>服务标准</w:t>
      </w:r>
      <w:r>
        <w:rPr>
          <w:rFonts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1.2.3 </w:t>
      </w:r>
      <w:r>
        <w:rPr>
          <w:rFonts w:hint="eastAsia" w:ascii="宋体" w:hAnsi="宋体"/>
          <w:color w:val="000000" w:themeColor="text1"/>
          <w:sz w:val="24"/>
          <w:highlight w:val="none"/>
          <w14:textFill>
            <w14:solidFill>
              <w14:schemeClr w14:val="tx1"/>
            </w14:solidFill>
          </w14:textFill>
        </w:rPr>
        <w:t>技术保障：</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w:t>
      </w:r>
    </w:p>
    <w:p>
      <w:pPr>
        <w:spacing w:line="56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1.2.4 服务人员组成：</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pStyle w:val="959"/>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1.2.5合同</w:t>
      </w:r>
      <w:r>
        <w:rPr>
          <w:rFonts w:hint="eastAsia"/>
          <w:b/>
          <w:bCs/>
          <w:color w:val="000000" w:themeColor="text1"/>
          <w:highlight w:val="none"/>
          <w:u w:val="single"/>
          <w14:textFill>
            <w14:solidFill>
              <w14:schemeClr w14:val="tx1"/>
            </w14:solidFill>
          </w14:textFill>
        </w:rPr>
        <w:t xml:space="preserve"> 否 </w:t>
      </w:r>
      <w:r>
        <w:rPr>
          <w:rFonts w:hint="eastAsia"/>
          <w:color w:val="000000" w:themeColor="text1"/>
          <w:highlight w:val="none"/>
          <w14:textFill>
            <w14:solidFill>
              <w14:schemeClr w14:val="tx1"/>
            </w14:solidFill>
          </w14:textFill>
        </w:rPr>
        <w:t>（是</w:t>
      </w:r>
      <w:r>
        <w:rPr>
          <w:rFonts w:hint="eastAsia" w:ascii="仿宋" w:hAnsi="仿宋" w:eastAsia="仿宋" w:cs="仿宋"/>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否）涉及货物。若涉及货物的的，则：</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bookmarkStart w:id="405" w:name="_Toc5635"/>
      <w:bookmarkStart w:id="406" w:name="_Toc21124"/>
      <w:bookmarkStart w:id="407" w:name="_Toc1386"/>
      <w:bookmarkStart w:id="408" w:name="_Toc4929"/>
      <w:bookmarkStart w:id="409" w:name="_Toc13918"/>
      <w:r>
        <w:rPr>
          <w:rFonts w:hint="eastAsia" w:ascii="宋体" w:hAnsi="宋体" w:cs="宋体"/>
          <w:color w:val="000000" w:themeColor="text1"/>
          <w:sz w:val="24"/>
          <w:highlight w:val="none"/>
          <w14:textFill>
            <w14:solidFill>
              <w14:schemeClr w14:val="tx1"/>
            </w14:solidFill>
          </w14:textFill>
        </w:rPr>
        <w:t>1.2.5.1 货物名称、品牌、规格型号、花色：</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1.2.5.2 货物数量：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1.2.5.3 货物质量：</w:t>
      </w:r>
      <w:r>
        <w:rPr>
          <w:rFonts w:hint="eastAsia" w:ascii="宋体" w:hAnsi="宋体" w:cs="宋体"/>
          <w:color w:val="000000" w:themeColor="text1"/>
          <w:sz w:val="24"/>
          <w:highlight w:val="none"/>
          <w:u w:val="single"/>
          <w14:textFill>
            <w14:solidFill>
              <w14:schemeClr w14:val="tx1"/>
            </w14:solidFill>
          </w14:textFill>
        </w:rPr>
        <w:t>　</w:t>
      </w:r>
      <w:r>
        <w:rPr>
          <w:rFonts w:hint="eastAsia" w:ascii="宋体" w:hAnsi="宋体" w:cs="宋体"/>
          <w:color w:val="000000" w:themeColor="text1"/>
          <w:sz w:val="24"/>
          <w:highlight w:val="none"/>
          <w:u w:val="single"/>
          <w:lang w:val="en-US"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1.3 价款</w:t>
      </w:r>
      <w:bookmarkEnd w:id="405"/>
      <w:bookmarkEnd w:id="406"/>
      <w:bookmarkEnd w:id="407"/>
      <w:bookmarkEnd w:id="408"/>
      <w:bookmarkEnd w:id="409"/>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本项目采用以下第</w:t>
      </w:r>
      <w:r>
        <w:rPr>
          <w:rFonts w:hint="eastAsia" w:ascii="宋体" w:hAnsi="宋体" w:cs="宋体"/>
          <w:b/>
          <w:bCs/>
          <w:color w:val="000000" w:themeColor="text1"/>
          <w:sz w:val="24"/>
          <w:highlight w:val="none"/>
          <w:u w:val="single"/>
          <w14:textFill>
            <w14:solidFill>
              <w14:schemeClr w14:val="tx1"/>
            </w14:solidFill>
          </w14:textFill>
        </w:rPr>
        <w:t xml:space="preserve"> </w:t>
      </w:r>
      <w:r>
        <w:rPr>
          <w:rFonts w:hint="eastAsia" w:ascii="宋体" w:hAnsi="宋体" w:cs="宋体"/>
          <w:b/>
          <w:bCs/>
          <w:color w:val="000000" w:themeColor="text1"/>
          <w:sz w:val="24"/>
          <w:highlight w:val="none"/>
          <w:u w:val="single"/>
          <w:lang w:val="en-US" w:eastAsia="zh-CN"/>
          <w14:textFill>
            <w14:solidFill>
              <w14:schemeClr w14:val="tx1"/>
            </w14:solidFill>
          </w14:textFill>
        </w:rPr>
        <w:t>1.3.1</w:t>
      </w:r>
      <w:r>
        <w:rPr>
          <w:rFonts w:hint="eastAsia" w:ascii="宋体" w:hAnsi="宋体" w:cs="宋体"/>
          <w:color w:val="000000" w:themeColor="text1"/>
          <w:sz w:val="24"/>
          <w:highlight w:val="none"/>
          <w14:textFill>
            <w14:solidFill>
              <w14:schemeClr w14:val="tx1"/>
            </w14:solidFill>
          </w14:textFill>
        </w:rPr>
        <w:t>条款规定的计价方式计价。</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1.3.1总价合同，</w:t>
      </w:r>
      <w:r>
        <w:rPr>
          <w:rFonts w:ascii="宋体" w:hAnsi="宋体"/>
          <w:color w:val="000000" w:themeColor="text1"/>
          <w:sz w:val="24"/>
          <w:highlight w:val="none"/>
          <w14:textFill>
            <w14:solidFill>
              <w14:schemeClr w14:val="tx1"/>
            </w14:solidFill>
          </w14:textFill>
        </w:rPr>
        <w:t>本合同总价</w:t>
      </w:r>
      <w:r>
        <w:rPr>
          <w:rFonts w:hint="eastAsia" w:ascii="宋体" w:hAnsi="宋体"/>
          <w:color w:val="000000" w:themeColor="text1"/>
          <w:sz w:val="24"/>
          <w:highlight w:val="none"/>
          <w14:textFill>
            <w14:solidFill>
              <w14:schemeClr w14:val="tx1"/>
            </w14:solidFill>
          </w14:textFill>
        </w:rPr>
        <w:t>（含税）</w:t>
      </w:r>
      <w:r>
        <w:rPr>
          <w:rFonts w:ascii="宋体" w:hAnsi="宋体"/>
          <w:color w:val="000000" w:themeColor="text1"/>
          <w:sz w:val="24"/>
          <w:highlight w:val="none"/>
          <w14:textFill>
            <w14:solidFill>
              <w14:schemeClr w14:val="tx1"/>
            </w14:solidFill>
          </w14:textFill>
        </w:rPr>
        <w:t>为</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元</w:t>
      </w:r>
      <w:r>
        <w:rPr>
          <w:rFonts w:hint="eastAsia" w:ascii="宋体" w:hAnsi="宋体"/>
          <w:color w:val="000000" w:themeColor="text1"/>
          <w:sz w:val="24"/>
          <w:highlight w:val="none"/>
          <w14:textFill>
            <w14:solidFill>
              <w14:schemeClr w14:val="tx1"/>
            </w14:solidFill>
          </w14:textFill>
        </w:rPr>
        <w:t>（大写：</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元人民币）</w:t>
      </w:r>
      <w:r>
        <w:rPr>
          <w:rFonts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u w:val="single"/>
          <w14:textFill>
            <w14:solidFill>
              <w14:schemeClr w14:val="tx1"/>
            </w14:solidFill>
          </w14:textFill>
        </w:rPr>
      </w:pPr>
      <w:r>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t>合同价中包括技术服务费、策划方案编制费、调研考察费、专家咨询费、人工费、材料费、食宿费、交通费、配套设施设备费、策划方案评审费、验收费、税费、不可预见风险等完成本项目所需要的一切税金和费用。</w:t>
      </w:r>
      <w:r>
        <w:rPr>
          <w:rFonts w:ascii="宋体" w:hAnsi="宋体"/>
          <w:color w:val="000000" w:themeColor="text1"/>
          <w:sz w:val="24"/>
          <w:highlight w:val="none"/>
          <w14:textFill>
            <w14:solidFill>
              <w14:schemeClr w14:val="tx1"/>
            </w14:solidFill>
          </w14:textFill>
        </w:rPr>
        <w:t>分项价格：</w:t>
      </w:r>
    </w:p>
    <w:tbl>
      <w:tblPr>
        <w:tblStyle w:val="63"/>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810"/>
        <w:gridCol w:w="1900"/>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67" w:type="dxa"/>
            <w:noWrap w:val="0"/>
            <w:vAlign w:val="center"/>
          </w:tcPr>
          <w:p>
            <w:pPr>
              <w:jc w:val="both"/>
              <w:rPr>
                <w:rFonts w:hint="eastAsia" w:ascii="宋体" w:hAnsi="宋体" w:eastAsia="宋体" w:cs="宋体"/>
                <w:b/>
                <w:bCs/>
                <w:color w:val="000000" w:themeColor="text1"/>
                <w:sz w:val="24"/>
                <w:szCs w:val="24"/>
                <w:highlight w:val="none"/>
                <w14:textFill>
                  <w14:solidFill>
                    <w14:schemeClr w14:val="tx1"/>
                  </w14:solidFill>
                </w14:textFill>
              </w:rPr>
            </w:pPr>
            <w:bookmarkStart w:id="410" w:name="_Toc22618"/>
            <w:bookmarkStart w:id="411" w:name="_Toc1814"/>
            <w:bookmarkStart w:id="412" w:name="_Toc10340"/>
            <w:bookmarkStart w:id="413" w:name="_Toc8772"/>
            <w:bookmarkStart w:id="414" w:name="_Toc4760"/>
            <w:bookmarkStart w:id="415" w:name="_Toc31421"/>
            <w:bookmarkStart w:id="416" w:name="_Toc11108"/>
            <w:bookmarkStart w:id="417" w:name="_Toc3625"/>
            <w:r>
              <w:rPr>
                <w:rFonts w:hint="eastAsia" w:ascii="宋体" w:hAnsi="宋体" w:eastAsia="宋体" w:cs="宋体"/>
                <w:b/>
                <w:bCs/>
                <w:color w:val="000000" w:themeColor="text1"/>
                <w:kern w:val="0"/>
                <w:sz w:val="24"/>
                <w:szCs w:val="24"/>
                <w:highlight w:val="none"/>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序号</w:t>
            </w:r>
          </w:p>
        </w:tc>
        <w:tc>
          <w:tcPr>
            <w:tcW w:w="2810" w:type="dxa"/>
            <w:noWrap w:val="0"/>
            <w:vAlign w:val="center"/>
          </w:tcPr>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分项内容</w:t>
            </w:r>
          </w:p>
        </w:tc>
        <w:tc>
          <w:tcPr>
            <w:tcW w:w="1900" w:type="dxa"/>
            <w:noWrap w:val="0"/>
            <w:vAlign w:val="center"/>
          </w:tcPr>
          <w:p>
            <w:pPr>
              <w:jc w:val="cente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 xml:space="preserve">   数量</w:t>
            </w:r>
          </w:p>
        </w:tc>
        <w:tc>
          <w:tcPr>
            <w:tcW w:w="3150" w:type="dxa"/>
            <w:noWrap w:val="0"/>
            <w:vAlign w:val="center"/>
          </w:tcPr>
          <w:p>
            <w:pPr>
              <w:jc w:val="cente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67"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2810" w:type="dxa"/>
            <w:noWrap w:val="0"/>
            <w:vAlign w:val="center"/>
          </w:tcPr>
          <w:p>
            <w:pPr>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设计费</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1项</w:t>
            </w:r>
          </w:p>
        </w:tc>
        <w:tc>
          <w:tcPr>
            <w:tcW w:w="3150"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7" w:type="dxa"/>
            <w:noWrap w:val="0"/>
            <w:vAlign w:val="top"/>
          </w:tcPr>
          <w:p>
            <w:pPr>
              <w:jc w:val="center"/>
              <w:rPr>
                <w:rFonts w:hint="eastAsia" w:ascii="宋体" w:hAnsi="宋体" w:eastAsia="宋体" w:cs="宋体"/>
                <w:color w:val="000000" w:themeColor="text1"/>
                <w:sz w:val="24"/>
                <w:szCs w:val="24"/>
                <w:highlight w:val="none"/>
                <w14:textFill>
                  <w14:solidFill>
                    <w14:schemeClr w14:val="tx1"/>
                  </w14:solidFill>
                </w14:textFill>
              </w:rPr>
            </w:pPr>
          </w:p>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2810" w:type="dxa"/>
            <w:noWrap w:val="0"/>
            <w:vAlign w:val="center"/>
          </w:tcPr>
          <w:p>
            <w:pPr>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采购提升费</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1项</w:t>
            </w:r>
          </w:p>
        </w:tc>
        <w:tc>
          <w:tcPr>
            <w:tcW w:w="3150"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7" w:type="dxa"/>
            <w:noWrap w:val="0"/>
            <w:vAlign w:val="top"/>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2810" w:type="dxa"/>
            <w:noWrap w:val="0"/>
            <w:vAlign w:val="center"/>
          </w:tcPr>
          <w:p>
            <w:pPr>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运营管理费</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3年</w:t>
            </w:r>
          </w:p>
        </w:tc>
        <w:tc>
          <w:tcPr>
            <w:tcW w:w="3150"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67" w:type="dxa"/>
            <w:noWrap w:val="0"/>
            <w:vAlign w:val="top"/>
          </w:tcPr>
          <w:p>
            <w:pPr>
              <w:jc w:val="center"/>
              <w:rPr>
                <w:rFonts w:hint="eastAsia" w:ascii="宋体" w:hAnsi="宋体" w:eastAsia="宋体" w:cs="宋体"/>
                <w:color w:val="000000" w:themeColor="text1"/>
                <w:sz w:val="24"/>
                <w:szCs w:val="24"/>
                <w:highlight w:val="none"/>
                <w14:textFill>
                  <w14:solidFill>
                    <w14:schemeClr w14:val="tx1"/>
                  </w14:solidFill>
                </w14:textFill>
              </w:rPr>
            </w:pPr>
          </w:p>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4710" w:type="dxa"/>
            <w:gridSpan w:val="2"/>
            <w:noWrap w:val="0"/>
            <w:vAlign w:val="center"/>
          </w:tcPr>
          <w:p>
            <w:pPr>
              <w:jc w:val="center"/>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总价合计</w:t>
            </w:r>
          </w:p>
        </w:tc>
        <w:tc>
          <w:tcPr>
            <w:tcW w:w="3150" w:type="dxa"/>
            <w:noWrap w:val="0"/>
            <w:vAlign w:val="center"/>
          </w:tcPr>
          <w:p>
            <w:pPr>
              <w:rPr>
                <w:rFonts w:hint="eastAsia" w:ascii="宋体" w:hAnsi="宋体" w:eastAsia="宋体" w:cs="宋体"/>
                <w:color w:val="000000" w:themeColor="text1"/>
                <w:sz w:val="24"/>
                <w:szCs w:val="24"/>
                <w:highlight w:val="none"/>
                <w:lang w:val="en-GB"/>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827" w:type="dxa"/>
            <w:gridSpan w:val="4"/>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项目负责人：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827" w:type="dxa"/>
            <w:gridSpan w:val="4"/>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合同履约期限：</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总服务期85日历天（其中合同签订后20日历天内完成提升设计深化方案；深化方案完成后65日历天内完成设备材料的采购安装与现场施工）；运营期限3年。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827" w:type="dxa"/>
            <w:gridSpan w:val="4"/>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价格明细详见附件：</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报价明细表（一）、表（二）、表（三）</w:t>
            </w:r>
          </w:p>
        </w:tc>
      </w:tr>
    </w:tbl>
    <w:p>
      <w:pPr>
        <w:pStyle w:val="959"/>
        <w:spacing w:before="0" w:beforeAutospacing="0" w:after="0" w:afterAutospacing="0" w:line="360" w:lineRule="auto"/>
        <w:ind w:firstLine="480"/>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1.4履约保证金</w:t>
      </w:r>
    </w:p>
    <w:p>
      <w:pPr>
        <w:pStyle w:val="959"/>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w:t>
      </w:r>
      <w:r>
        <w:rPr>
          <w:rFonts w:hint="eastAsia"/>
          <w:color w:val="000000" w:themeColor="text1"/>
          <w:highlight w:val="none"/>
          <w:u w:val="single"/>
          <w14:textFill>
            <w14:solidFill>
              <w14:schemeClr w14:val="tx1"/>
            </w14:solidFill>
          </w14:textFill>
        </w:rPr>
        <w:t xml:space="preserve"> </w:t>
      </w:r>
      <w:r>
        <w:rPr>
          <w:rFonts w:hint="eastAsia"/>
          <w:b/>
          <w:bCs/>
          <w:color w:val="000000" w:themeColor="text1"/>
          <w:highlight w:val="none"/>
          <w:u w:val="single"/>
          <w14:textFill>
            <w14:solidFill>
              <w14:schemeClr w14:val="tx1"/>
            </w14:solidFill>
          </w14:textFill>
        </w:rPr>
        <w:t xml:space="preserve"> </w:t>
      </w:r>
      <w:r>
        <w:rPr>
          <w:rFonts w:hint="eastAsia"/>
          <w:b/>
          <w:bCs/>
          <w:color w:val="000000" w:themeColor="text1"/>
          <w:highlight w:val="none"/>
          <w:u w:val="single"/>
          <w:lang w:eastAsia="zh-CN"/>
          <w14:textFill>
            <w14:solidFill>
              <w14:schemeClr w14:val="tx1"/>
            </w14:solidFill>
          </w14:textFill>
        </w:rPr>
        <w:t>是</w:t>
      </w:r>
      <w:r>
        <w:rPr>
          <w:rFonts w:hint="eastAsia"/>
          <w:b/>
          <w:bCs/>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需要支付履约保证金。若需要支付履约保证金的，则：</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1.4.1履约保证金的比例为合同金额</w:t>
      </w:r>
      <w:r>
        <w:rPr>
          <w:rFonts w:hint="eastAsia" w:ascii="宋体" w:hAnsi="宋体" w:cs="宋体"/>
          <w:b/>
          <w:bCs/>
          <w:color w:val="000000" w:themeColor="text1"/>
          <w:kern w:val="0"/>
          <w:sz w:val="24"/>
          <w:highlight w:val="none"/>
          <w14:textFill>
            <w14:solidFill>
              <w14:schemeClr w14:val="tx1"/>
            </w14:solidFill>
          </w14:textFill>
        </w:rPr>
        <w:t>的</w:t>
      </w:r>
      <w:r>
        <w:rPr>
          <w:rFonts w:hint="eastAsia" w:ascii="宋体" w:hAnsi="宋体" w:cs="宋体"/>
          <w:b/>
          <w:bCs/>
          <w:color w:val="000000" w:themeColor="text1"/>
          <w:kern w:val="0"/>
          <w:sz w:val="24"/>
          <w:highlight w:val="none"/>
          <w:u w:val="single"/>
          <w14:textFill>
            <w14:solidFill>
              <w14:schemeClr w14:val="tx1"/>
            </w14:solidFill>
          </w14:textFill>
        </w:rPr>
        <w:t xml:space="preserve"> </w:t>
      </w:r>
      <w:r>
        <w:rPr>
          <w:rFonts w:hint="eastAsia" w:ascii="宋体" w:hAnsi="宋体" w:cs="宋体"/>
          <w:b/>
          <w:bCs/>
          <w:color w:val="000000" w:themeColor="text1"/>
          <w:kern w:val="0"/>
          <w:sz w:val="24"/>
          <w:highlight w:val="none"/>
          <w:u w:val="single"/>
          <w:lang w:val="en-US" w:eastAsia="zh-CN"/>
          <w14:textFill>
            <w14:solidFill>
              <w14:schemeClr w14:val="tx1"/>
            </w14:solidFill>
          </w14:textFill>
        </w:rPr>
        <w:t>1</w:t>
      </w:r>
      <w:r>
        <w:rPr>
          <w:rFonts w:hint="eastAsia" w:ascii="宋体" w:hAnsi="宋体" w:cs="宋体"/>
          <w:b/>
          <w:bCs/>
          <w:color w:val="000000" w:themeColor="text1"/>
          <w:kern w:val="0"/>
          <w:sz w:val="24"/>
          <w:highlight w:val="none"/>
          <w:u w:val="single"/>
          <w14:textFill>
            <w14:solidFill>
              <w14:schemeClr w14:val="tx1"/>
            </w14:solidFill>
          </w14:textFill>
        </w:rPr>
        <w:t xml:space="preserve"> </w:t>
      </w:r>
      <w:r>
        <w:rPr>
          <w:rFonts w:hint="eastAsia" w:ascii="宋体" w:hAnsi="宋体" w:cs="宋体"/>
          <w:b/>
          <w:bCs/>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1.4.2履约保证金支付方式详见</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pStyle w:val="4"/>
        <w:tabs>
          <w:tab w:val="left" w:pos="0"/>
        </w:tabs>
        <w:spacing w:line="560" w:lineRule="exact"/>
        <w:ind w:left="0" w:firstLine="480" w:firstLineChars="200"/>
        <w:rPr>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1.4.4甲方在项目验收结束后及时退还履约保证金。甲方在项目通过验收之日起</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highlight w:val="none"/>
          <w:u w:val="single"/>
          <w14:textFill>
            <w14:solidFill>
              <w14:schemeClr w14:val="tx1"/>
            </w14:solidFill>
          </w14:textFill>
        </w:rPr>
        <w:t xml:space="preserve">  0.05（可根据情况修改）  </w:t>
      </w:r>
      <w:r>
        <w:rPr>
          <w:rFonts w:hint="eastAsia" w:ascii="宋体" w:hAnsi="宋体" w:cs="宋体"/>
          <w:color w:val="000000" w:themeColor="text1"/>
          <w:kern w:val="0"/>
          <w:sz w:val="24"/>
          <w:highlight w:val="none"/>
          <w14:textFill>
            <w14:solidFill>
              <w14:schemeClr w14:val="tx1"/>
            </w14:solidFill>
          </w14:textFill>
        </w:rPr>
        <w:t>%计算，最高限额为本合同履约保证金的</w:t>
      </w:r>
      <w:r>
        <w:rPr>
          <w:rFonts w:hint="eastAsia" w:ascii="宋体" w:hAnsi="宋体" w:cs="宋体"/>
          <w:color w:val="000000" w:themeColor="text1"/>
          <w:kern w:val="0"/>
          <w:sz w:val="24"/>
          <w:highlight w:val="none"/>
          <w:u w:val="single"/>
          <w14:textFill>
            <w14:solidFill>
              <w14:schemeClr w14:val="tx1"/>
            </w14:solidFill>
          </w14:textFill>
        </w:rPr>
        <w:t xml:space="preserve">  20  </w:t>
      </w:r>
      <w:r>
        <w:rPr>
          <w:rFonts w:hint="eastAsia" w:ascii="宋体" w:hAnsi="宋体" w:cs="宋体"/>
          <w:color w:val="000000" w:themeColor="text1"/>
          <w:kern w:val="0"/>
          <w:sz w:val="24"/>
          <w:highlight w:val="none"/>
          <w14:textFill>
            <w14:solidFill>
              <w14:schemeClr w14:val="tx1"/>
            </w14:solidFill>
          </w14:textFill>
        </w:rPr>
        <w:t xml:space="preserve"> %。</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w:t>
      </w:r>
      <w:bookmarkEnd w:id="410"/>
      <w:bookmarkEnd w:id="411"/>
      <w:bookmarkEnd w:id="412"/>
      <w:r>
        <w:rPr>
          <w:rFonts w:hint="eastAsia" w:ascii="宋体" w:hAnsi="宋体" w:cs="宋体"/>
          <w:b/>
          <w:color w:val="000000" w:themeColor="text1"/>
          <w:sz w:val="24"/>
          <w:highlight w:val="none"/>
          <w14:textFill>
            <w14:solidFill>
              <w14:schemeClr w14:val="tx1"/>
            </w14:solidFill>
          </w14:textFill>
        </w:rPr>
        <w:t>预付款</w:t>
      </w:r>
    </w:p>
    <w:p>
      <w:pPr>
        <w:pStyle w:val="959"/>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w:t>
      </w:r>
      <w:r>
        <w:rPr>
          <w:rFonts w:hint="eastAsia"/>
          <w:color w:val="000000" w:themeColor="text1"/>
          <w:highlight w:val="none"/>
          <w:u w:val="single"/>
          <w14:textFill>
            <w14:solidFill>
              <w14:schemeClr w14:val="tx1"/>
            </w14:solidFill>
          </w14:textFill>
        </w:rPr>
        <w:t xml:space="preserve"> </w:t>
      </w:r>
      <w:r>
        <w:rPr>
          <w:rFonts w:hint="eastAsia"/>
          <w:b/>
          <w:bCs/>
          <w:color w:val="000000" w:themeColor="text1"/>
          <w:highlight w:val="none"/>
          <w:u w:val="single"/>
          <w14:textFill>
            <w14:solidFill>
              <w14:schemeClr w14:val="tx1"/>
            </w14:solidFill>
          </w14:textFill>
        </w:rPr>
        <w:t xml:space="preserve"> </w:t>
      </w:r>
      <w:r>
        <w:rPr>
          <w:rFonts w:hint="eastAsia"/>
          <w:b/>
          <w:bCs/>
          <w:color w:val="000000" w:themeColor="text1"/>
          <w:highlight w:val="none"/>
          <w:u w:val="single"/>
          <w:lang w:eastAsia="zh-CN"/>
          <w14:textFill>
            <w14:solidFill>
              <w14:schemeClr w14:val="tx1"/>
            </w14:solidFill>
          </w14:textFill>
        </w:rPr>
        <w:t>是</w:t>
      </w:r>
      <w:r>
        <w:rPr>
          <w:rFonts w:hint="eastAsia"/>
          <w:b/>
          <w:bCs/>
          <w:color w:val="000000" w:themeColor="text1"/>
          <w:highlight w:val="none"/>
          <w:u w:val="singl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需要支付预付款。若需要支付预付款的，则：</w:t>
      </w:r>
    </w:p>
    <w:p>
      <w:pPr>
        <w:spacing w:line="56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1.5.1预付款比例、支付方式、时间详见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14:textFill>
            <w14:solidFill>
              <w14:schemeClr w14:val="tx1"/>
            </w14:solidFill>
          </w14:textFill>
        </w:rPr>
        <w:t>；</w:t>
      </w:r>
    </w:p>
    <w:p>
      <w:pPr>
        <w:pStyle w:val="959"/>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1.5.2预付款的扣回方式详见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959"/>
        <w:spacing w:before="0" w:beforeAutospacing="0" w:after="0" w:afterAutospacing="0" w:line="360" w:lineRule="auto"/>
        <w:ind w:firstLine="48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1.5.3预付款的担保措施详见</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14:textFill>
            <w14:solidFill>
              <w14:schemeClr w14:val="tx1"/>
            </w14:solidFill>
          </w14:textFill>
        </w:rPr>
        <w:t>。</w:t>
      </w:r>
    </w:p>
    <w:p>
      <w:pPr>
        <w:pStyle w:val="959"/>
        <w:spacing w:before="0" w:beforeAutospacing="0" w:after="0" w:afterAutospacing="0" w:line="360" w:lineRule="auto"/>
        <w:ind w:firstLine="480"/>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1.6资金支付</w:t>
      </w:r>
    </w:p>
    <w:p>
      <w:pPr>
        <w:pStyle w:val="959"/>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1.6.2资金支付的方式、时间和条件详见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1.</w:t>
      </w:r>
      <w:r>
        <w:rPr>
          <w:rFonts w:hint="eastAsia" w:ascii="宋体" w:hAnsi="宋体"/>
          <w:b/>
          <w:color w:val="000000" w:themeColor="text1"/>
          <w:sz w:val="24"/>
          <w:highlight w:val="none"/>
          <w14:textFill>
            <w14:solidFill>
              <w14:schemeClr w14:val="tx1"/>
            </w14:solidFill>
          </w14:textFill>
        </w:rPr>
        <w:t>7</w:t>
      </w:r>
      <w:r>
        <w:rPr>
          <w:rFonts w:ascii="宋体" w:hAnsi="宋体"/>
          <w:b/>
          <w:color w:val="000000" w:themeColor="text1"/>
          <w:sz w:val="24"/>
          <w:highlight w:val="none"/>
          <w14:textFill>
            <w14:solidFill>
              <w14:schemeClr w14:val="tx1"/>
            </w14:solidFill>
          </w14:textFill>
        </w:rPr>
        <w:t xml:space="preserve"> 履行期限</w:t>
      </w:r>
      <w:r>
        <w:rPr>
          <w:rFonts w:hint="eastAsia" w:ascii="宋体" w:hAnsi="宋体"/>
          <w:b/>
          <w:color w:val="000000" w:themeColor="text1"/>
          <w:sz w:val="24"/>
          <w:highlight w:val="none"/>
          <w14:textFill>
            <w14:solidFill>
              <w14:schemeClr w14:val="tx1"/>
            </w14:solidFill>
          </w14:textFill>
        </w:rPr>
        <w:t>、地点和方式</w:t>
      </w:r>
      <w:bookmarkEnd w:id="413"/>
      <w:bookmarkEnd w:id="414"/>
      <w:bookmarkEnd w:id="415"/>
      <w:bookmarkEnd w:id="416"/>
      <w:bookmarkEnd w:id="417"/>
    </w:p>
    <w:p>
      <w:pPr>
        <w:spacing w:line="560" w:lineRule="exact"/>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服务交付（实施）的时间（期限）</w:t>
      </w:r>
      <w:r>
        <w:rPr>
          <w:rFonts w:ascii="宋体" w:hAnsi="宋体"/>
          <w:color w:val="000000" w:themeColor="text1"/>
          <w:sz w:val="24"/>
          <w:highlight w:val="none"/>
          <w14:textFill>
            <w14:solidFill>
              <w14:schemeClr w14:val="tx1"/>
            </w14:solidFill>
          </w14:textFill>
        </w:rPr>
        <w:t>：</w:t>
      </w:r>
      <w:r>
        <w:rPr>
          <w:rFonts w:hint="eastAsia" w:ascii="宋体" w:hAnsi="宋体"/>
          <w:b/>
          <w:i/>
          <w:color w:val="000000" w:themeColor="text1"/>
          <w:sz w:val="24"/>
          <w:highlight w:val="none"/>
          <w:u w:val="single"/>
          <w14:textFill>
            <w14:solidFill>
              <w14:schemeClr w14:val="tx1"/>
            </w14:solidFill>
          </w14:textFill>
        </w:rPr>
        <w:t>合同专用条款</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.2 </w:t>
      </w:r>
      <w:r>
        <w:rPr>
          <w:rFonts w:hint="eastAsia" w:ascii="宋体" w:hAnsi="宋体"/>
          <w:color w:val="000000" w:themeColor="text1"/>
          <w:sz w:val="24"/>
          <w:highlight w:val="none"/>
          <w14:textFill>
            <w14:solidFill>
              <w14:schemeClr w14:val="tx1"/>
            </w14:solidFill>
          </w14:textFill>
        </w:rPr>
        <w:t>服</w:t>
      </w:r>
      <w:r>
        <w:rPr>
          <w:rFonts w:hint="eastAsia" w:ascii="宋体" w:hAnsi="宋体" w:cs="宋体"/>
          <w:color w:val="000000" w:themeColor="text1"/>
          <w:sz w:val="24"/>
          <w:highlight w:val="none"/>
          <w14:textFill>
            <w14:solidFill>
              <w14:schemeClr w14:val="tx1"/>
            </w14:solidFill>
          </w14:textFill>
        </w:rPr>
        <w:t>务交付（实施）的地点（地域范围）：</w:t>
      </w:r>
      <w:r>
        <w:rPr>
          <w:rFonts w:hint="eastAsia" w:ascii="宋体" w:hAnsi="宋体"/>
          <w:b/>
          <w:i/>
          <w:color w:val="000000" w:themeColor="text1"/>
          <w:sz w:val="24"/>
          <w:highlight w:val="none"/>
          <w:u w:val="single"/>
          <w14:textFill>
            <w14:solidFill>
              <w14:schemeClr w14:val="tx1"/>
            </w14:solidFill>
          </w14:textFill>
        </w:rPr>
        <w:t>合同专用条款</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.3 </w:t>
      </w:r>
      <w:r>
        <w:rPr>
          <w:rFonts w:hint="eastAsia" w:ascii="宋体" w:hAnsi="宋体"/>
          <w:color w:val="000000" w:themeColor="text1"/>
          <w:sz w:val="24"/>
          <w:highlight w:val="none"/>
          <w14:textFill>
            <w14:solidFill>
              <w14:schemeClr w14:val="tx1"/>
            </w14:solidFill>
          </w14:textFill>
        </w:rPr>
        <w:t>服务交付（实施）的方式：</w:t>
      </w:r>
      <w:r>
        <w:rPr>
          <w:rFonts w:hint="eastAsia" w:ascii="宋体" w:hAnsi="宋体"/>
          <w:b/>
          <w:i/>
          <w:color w:val="000000" w:themeColor="text1"/>
          <w:sz w:val="24"/>
          <w:highlight w:val="none"/>
          <w:u w:val="single"/>
          <w14:textFill>
            <w14:solidFill>
              <w14:schemeClr w14:val="tx1"/>
            </w14:solidFill>
          </w14:textFill>
        </w:rPr>
        <w:t>合同专用条款</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outlineLvl w:val="0"/>
        <w:rPr>
          <w:rFonts w:ascii="宋体" w:hAnsi="宋体"/>
          <w:bCs/>
          <w:color w:val="000000" w:themeColor="text1"/>
          <w:sz w:val="24"/>
          <w:highlight w:val="none"/>
          <w14:textFill>
            <w14:solidFill>
              <w14:schemeClr w14:val="tx1"/>
            </w14:solidFill>
          </w14:textFill>
        </w:rPr>
      </w:pPr>
      <w:bookmarkStart w:id="418" w:name="_Toc24662"/>
      <w:bookmarkStart w:id="419" w:name="_Toc8586"/>
      <w:bookmarkStart w:id="420" w:name="_Toc5698"/>
      <w:bookmarkStart w:id="421" w:name="_Toc3079"/>
      <w:bookmarkStart w:id="422" w:name="_Toc2375"/>
      <w:r>
        <w:rPr>
          <w:rFonts w:hint="eastAsia" w:ascii="宋体" w:hAnsi="宋体"/>
          <w:bCs/>
          <w:color w:val="000000" w:themeColor="text1"/>
          <w:sz w:val="24"/>
          <w:highlight w:val="none"/>
          <w14:textFill>
            <w14:solidFill>
              <w14:schemeClr w14:val="tx1"/>
            </w14:solidFill>
          </w14:textFill>
        </w:rPr>
        <w:t>1.7.4若服务</w:t>
      </w:r>
      <w:r>
        <w:rPr>
          <w:rFonts w:hint="eastAsia"/>
          <w:bCs/>
          <w:color w:val="000000" w:themeColor="text1"/>
          <w:sz w:val="24"/>
          <w:highlight w:val="none"/>
          <w14:textFill>
            <w14:solidFill>
              <w14:schemeClr w14:val="tx1"/>
            </w14:solidFill>
          </w14:textFill>
        </w:rPr>
        <w:t>涉及货物的，则货物的：</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1.7.4.1 交付期限：详见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1.7.4.2 交付地点：</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1.7.4.3 交付方式：</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olor w:val="000000" w:themeColor="text1"/>
          <w:sz w:val="24"/>
          <w:highlight w:val="none"/>
          <w:u w:val="single"/>
          <w14:textFill>
            <w14:solidFill>
              <w14:schemeClr w14:val="tx1"/>
            </w14:solidFill>
          </w14:textFill>
        </w:rPr>
      </w:pPr>
      <w:r>
        <w:rPr>
          <w:rFonts w:ascii="宋体" w:hAnsi="宋体"/>
          <w:b/>
          <w:color w:val="000000" w:themeColor="text1"/>
          <w:sz w:val="24"/>
          <w:highlight w:val="none"/>
          <w14:textFill>
            <w14:solidFill>
              <w14:schemeClr w14:val="tx1"/>
            </w14:solidFill>
          </w14:textFill>
        </w:rPr>
        <w:t>1.</w:t>
      </w:r>
      <w:r>
        <w:rPr>
          <w:rFonts w:hint="eastAsia" w:ascii="宋体" w:hAnsi="宋体"/>
          <w:b/>
          <w:color w:val="000000" w:themeColor="text1"/>
          <w:sz w:val="24"/>
          <w:highlight w:val="none"/>
          <w14:textFill>
            <w14:solidFill>
              <w14:schemeClr w14:val="tx1"/>
            </w14:solidFill>
          </w14:textFill>
        </w:rPr>
        <w:t>8违约责任</w:t>
      </w:r>
      <w:bookmarkEnd w:id="418"/>
      <w:bookmarkEnd w:id="419"/>
      <w:bookmarkEnd w:id="420"/>
      <w:bookmarkEnd w:id="421"/>
      <w:bookmarkEnd w:id="422"/>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8</w:t>
      </w:r>
      <w:r>
        <w:rPr>
          <w:rFonts w:ascii="宋体" w:hAnsi="宋体"/>
          <w:color w:val="000000" w:themeColor="text1"/>
          <w:sz w:val="24"/>
          <w:highlight w:val="none"/>
          <w14:textFill>
            <w14:solidFill>
              <w14:schemeClr w14:val="tx1"/>
            </w14:solidFill>
          </w14:textFill>
        </w:rPr>
        <w:t>.1 除不可抗力外，如果乙方没有按照本合同约定的期限</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地点和方式</w:t>
      </w:r>
      <w:r>
        <w:rPr>
          <w:rFonts w:hint="eastAsia" w:ascii="宋体" w:hAnsi="宋体"/>
          <w:color w:val="000000" w:themeColor="text1"/>
          <w:sz w:val="24"/>
          <w:highlight w:val="none"/>
          <w14:textFill>
            <w14:solidFill>
              <w14:schemeClr w14:val="tx1"/>
            </w14:solidFill>
          </w14:textFill>
        </w:rPr>
        <w:t>交付服务成果或者实施服务</w:t>
      </w:r>
      <w:r>
        <w:rPr>
          <w:rFonts w:ascii="宋体" w:hAnsi="宋体"/>
          <w:color w:val="000000" w:themeColor="text1"/>
          <w:sz w:val="24"/>
          <w:highlight w:val="none"/>
          <w14:textFill>
            <w14:solidFill>
              <w14:schemeClr w14:val="tx1"/>
            </w14:solidFill>
          </w14:textFill>
        </w:rPr>
        <w:t>，那么甲方可要求乙方支付违约金</w:t>
      </w:r>
      <w:r>
        <w:rPr>
          <w:rFonts w:hint="eastAsia" w:ascii="宋体" w:hAnsi="宋体"/>
          <w:color w:val="000000" w:themeColor="text1"/>
          <w:sz w:val="24"/>
          <w:highlight w:val="none"/>
          <w14:textFill>
            <w14:solidFill>
              <w14:schemeClr w14:val="tx1"/>
            </w14:solidFill>
          </w14:textFill>
        </w:rPr>
        <w:t>，迟延履行</w:t>
      </w:r>
      <w:r>
        <w:rPr>
          <w:rFonts w:ascii="宋体" w:hAnsi="宋体"/>
          <w:color w:val="000000" w:themeColor="text1"/>
          <w:sz w:val="24"/>
          <w:highlight w:val="none"/>
          <w14:textFill>
            <w14:solidFill>
              <w14:schemeClr w14:val="tx1"/>
            </w14:solidFill>
          </w14:textFill>
        </w:rPr>
        <w:t>违约金按每迟延</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一日的应提供而未</w:t>
      </w:r>
      <w:r>
        <w:rPr>
          <w:rFonts w:hint="eastAsia" w:ascii="宋体" w:hAnsi="宋体"/>
          <w:color w:val="000000" w:themeColor="text1"/>
          <w:sz w:val="24"/>
          <w:highlight w:val="none"/>
          <w14:textFill>
            <w14:solidFill>
              <w14:schemeClr w14:val="tx1"/>
            </w14:solidFill>
          </w14:textFill>
        </w:rPr>
        <w:t>提供</w:t>
      </w:r>
      <w:r>
        <w:rPr>
          <w:rFonts w:ascii="宋体" w:hAnsi="宋体"/>
          <w:color w:val="000000" w:themeColor="text1"/>
          <w:sz w:val="24"/>
          <w:highlight w:val="none"/>
          <w14:textFill>
            <w14:solidFill>
              <w14:schemeClr w14:val="tx1"/>
            </w14:solidFill>
          </w14:textFill>
        </w:rPr>
        <w:t>服务价格的</w:t>
      </w:r>
      <w:r>
        <w:rPr>
          <w:rFonts w:hint="eastAsia" w:ascii="宋体" w:hAnsi="宋体"/>
          <w:color w:val="000000" w:themeColor="text1"/>
          <w:sz w:val="24"/>
          <w:highlight w:val="none"/>
          <w:u w:val="single"/>
          <w14:textFill>
            <w14:solidFill>
              <w14:schemeClr w14:val="tx1"/>
            </w14:solidFill>
          </w14:textFill>
        </w:rPr>
        <w:t>0.05</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%计算</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最高限额为</w:t>
      </w:r>
      <w:r>
        <w:rPr>
          <w:rFonts w:hint="eastAsia" w:ascii="宋体" w:hAnsi="宋体"/>
          <w:color w:val="000000" w:themeColor="text1"/>
          <w:sz w:val="24"/>
          <w:highlight w:val="none"/>
          <w14:textFill>
            <w14:solidFill>
              <w14:schemeClr w14:val="tx1"/>
            </w14:solidFill>
          </w14:textFill>
        </w:rPr>
        <w:t>本</w:t>
      </w:r>
      <w:r>
        <w:rPr>
          <w:rFonts w:ascii="宋体" w:hAnsi="宋体"/>
          <w:color w:val="000000" w:themeColor="text1"/>
          <w:sz w:val="24"/>
          <w:highlight w:val="none"/>
          <w14:textFill>
            <w14:solidFill>
              <w14:schemeClr w14:val="tx1"/>
            </w14:solidFill>
          </w14:textFill>
        </w:rPr>
        <w:t>合同总价的</w:t>
      </w:r>
      <w:r>
        <w:rPr>
          <w:rFonts w:ascii="宋体" w:hAnsi="宋体"/>
          <w:color w:val="000000" w:themeColor="text1"/>
          <w:sz w:val="24"/>
          <w:highlight w:val="none"/>
          <w:u w:val="single"/>
          <w14:textFill>
            <w14:solidFill>
              <w14:schemeClr w14:val="tx1"/>
            </w14:solidFill>
          </w14:textFill>
        </w:rPr>
        <w:t xml:space="preserve"> 20 </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迟延</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的违约金计算数额达到前述最高限额之日起</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甲方有权在要求乙方支付违约金的同时</w:t>
      </w:r>
      <w:r>
        <w:rPr>
          <w:rFonts w:hint="eastAsia" w:ascii="宋体" w:hAnsi="宋体"/>
          <w:color w:val="000000" w:themeColor="text1"/>
          <w:sz w:val="24"/>
          <w:highlight w:val="none"/>
          <w14:textFill>
            <w14:solidFill>
              <w14:schemeClr w14:val="tx1"/>
            </w14:solidFill>
          </w14:textFill>
        </w:rPr>
        <w:t>，书面通知乙方</w:t>
      </w:r>
      <w:r>
        <w:rPr>
          <w:rFonts w:ascii="宋体" w:hAnsi="宋体"/>
          <w:color w:val="000000" w:themeColor="text1"/>
          <w:sz w:val="24"/>
          <w:highlight w:val="none"/>
          <w14:textFill>
            <w14:solidFill>
              <w14:schemeClr w14:val="tx1"/>
            </w14:solidFill>
          </w14:textFill>
        </w:rPr>
        <w:t>解除本合同</w:t>
      </w:r>
      <w:r>
        <w:rPr>
          <w:rFonts w:hint="eastAsia" w:ascii="宋体" w:hAnsi="宋体"/>
          <w:color w:val="000000" w:themeColor="text1"/>
          <w:sz w:val="24"/>
          <w:highlight w:val="none"/>
          <w14:textFill>
            <w14:solidFill>
              <w14:schemeClr w14:val="tx1"/>
            </w14:solidFill>
          </w14:textFill>
        </w:rPr>
        <w:t>；</w:t>
      </w:r>
    </w:p>
    <w:p>
      <w:pPr>
        <w:pStyle w:val="4"/>
        <w:ind w:left="0" w:firstLine="480" w:firstLineChars="200"/>
        <w:rPr>
          <w:rFonts w:ascii="宋体" w:hAnsi="宋体" w:eastAsia="宋体" w:cs="宋体"/>
          <w:b w:val="0"/>
          <w:bCs w:val="0"/>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000000" w:themeColor="text1"/>
          <w:sz w:val="24"/>
          <w:szCs w:val="24"/>
          <w:highlight w:val="none"/>
          <w:u w:val="single"/>
          <w:lang w:val="en-US"/>
          <w14:textFill>
            <w14:solidFill>
              <w14:schemeClr w14:val="tx1"/>
            </w14:solidFill>
          </w14:textFill>
        </w:rPr>
        <w:t xml:space="preserve">  0.0</w:t>
      </w:r>
      <w:r>
        <w:rPr>
          <w:rFonts w:hint="eastAsia" w:ascii="宋体" w:hAnsi="宋体" w:eastAsia="宋体" w:cs="宋体"/>
          <w:b w:val="0"/>
          <w:bCs w:val="0"/>
          <w:color w:val="000000" w:themeColor="text1"/>
          <w:sz w:val="24"/>
          <w:szCs w:val="24"/>
          <w:highlight w:val="none"/>
          <w:lang w:val="en-US"/>
          <w14:textFill>
            <w14:solidFill>
              <w14:schemeClr w14:val="tx1"/>
            </w14:solidFill>
          </w14:textFill>
        </w:rPr>
        <w:t>5</w:t>
      </w:r>
      <w:r>
        <w:rPr>
          <w:rFonts w:hint="eastAsia" w:ascii="宋体" w:hAnsi="宋体" w:eastAsia="宋体" w:cs="宋体"/>
          <w:b w:val="0"/>
          <w:bCs w:val="0"/>
          <w:color w:val="000000" w:themeColor="text1"/>
          <w:sz w:val="24"/>
          <w:szCs w:val="24"/>
          <w:highlight w:val="none"/>
          <w:u w:val="single"/>
          <w:lang w:val="en-US"/>
          <w14:textFill>
            <w14:solidFill>
              <w14:schemeClr w14:val="tx1"/>
            </w14:solidFill>
          </w14:textFill>
        </w:rPr>
        <w:t xml:space="preserve">（可根据情况修改）   </w:t>
      </w:r>
      <w:r>
        <w:rPr>
          <w:rFonts w:hint="eastAsia" w:ascii="宋体" w:hAnsi="宋体" w:eastAsia="宋体" w:cs="宋体"/>
          <w:b w:val="0"/>
          <w:bCs w:val="0"/>
          <w:color w:val="000000" w:themeColor="text1"/>
          <w:sz w:val="24"/>
          <w:szCs w:val="24"/>
          <w:highlight w:val="none"/>
          <w:lang w:val="en-US"/>
          <w14:textFill>
            <w14:solidFill>
              <w14:schemeClr w14:val="tx1"/>
            </w14:solidFill>
          </w14:textFill>
        </w:rPr>
        <w:t>%计算，最高限额为本合同总价的</w:t>
      </w:r>
      <w:r>
        <w:rPr>
          <w:rFonts w:hint="eastAsia" w:ascii="宋体" w:hAnsi="宋体" w:eastAsia="宋体" w:cs="宋体"/>
          <w:b w:val="0"/>
          <w:bCs w:val="0"/>
          <w:color w:val="000000" w:themeColor="text1"/>
          <w:sz w:val="24"/>
          <w:szCs w:val="24"/>
          <w:highlight w:val="none"/>
          <w:u w:val="single"/>
          <w:lang w:val="en-US"/>
          <w14:textFill>
            <w14:solidFill>
              <w14:schemeClr w14:val="tx1"/>
            </w14:solidFill>
          </w14:textFill>
        </w:rPr>
        <w:t xml:space="preserve">  20 </w:t>
      </w:r>
      <w:r>
        <w:rPr>
          <w:rFonts w:hint="eastAsia" w:ascii="宋体" w:hAnsi="宋体" w:eastAsia="宋体" w:cs="宋体"/>
          <w:b w:val="0"/>
          <w:bCs w:val="0"/>
          <w:color w:val="000000" w:themeColor="text1"/>
          <w:sz w:val="24"/>
          <w:szCs w:val="24"/>
          <w:highlight w:val="none"/>
          <w:lang w:val="en-US"/>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8</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highlight w:val="none"/>
          <w:u w:val="single"/>
          <w14:textFill>
            <w14:solidFill>
              <w14:schemeClr w14:val="tx1"/>
            </w14:solidFill>
          </w14:textFill>
        </w:rPr>
        <w:t xml:space="preserve">  0.05 </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w:t>
      </w:r>
      <w:r>
        <w:rPr>
          <w:rFonts w:hint="eastAsia" w:ascii="宋体" w:hAnsi="宋体" w:cs="宋体"/>
          <w:color w:val="000000" w:themeColor="text1"/>
          <w:kern w:val="0"/>
          <w:sz w:val="24"/>
          <w:highlight w:val="none"/>
          <w:u w:val="single"/>
          <w14:textFill>
            <w14:solidFill>
              <w14:schemeClr w14:val="tx1"/>
            </w14:solidFill>
          </w14:textFill>
        </w:rPr>
        <w:t>（可根据情况修改）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23" w:name="_Toc9497"/>
      <w:bookmarkStart w:id="424" w:name="_Toc30329"/>
      <w:bookmarkStart w:id="425" w:name="_Toc26807"/>
      <w:bookmarkStart w:id="426" w:name="_Toc18683"/>
      <w:bookmarkStart w:id="427" w:name="_Toc32454"/>
      <w:r>
        <w:rPr>
          <w:rFonts w:hint="eastAsia" w:ascii="宋体" w:hAnsi="宋体" w:cs="宋体"/>
          <w:color w:val="000000" w:themeColor="text1"/>
          <w:sz w:val="24"/>
          <w:highlight w:val="none"/>
          <w14:textFill>
            <w14:solidFill>
              <w14:schemeClr w14:val="tx1"/>
            </w14:solidFill>
          </w14:textFill>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1.8.7违约责任</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另有约定的，从其约定。</w:t>
      </w:r>
    </w:p>
    <w:bookmarkEnd w:id="423"/>
    <w:bookmarkEnd w:id="424"/>
    <w:bookmarkEnd w:id="425"/>
    <w:bookmarkEnd w:id="426"/>
    <w:bookmarkEnd w:id="427"/>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28" w:name="_Toc28375"/>
      <w:bookmarkStart w:id="429" w:name="_Toc15583"/>
      <w:bookmarkStart w:id="430" w:name="_Toc16021"/>
      <w:r>
        <w:rPr>
          <w:rFonts w:hint="eastAsia" w:ascii="宋体" w:hAnsi="宋体" w:cs="宋体"/>
          <w:b/>
          <w:color w:val="000000" w:themeColor="text1"/>
          <w:sz w:val="24"/>
          <w:highlight w:val="none"/>
          <w14:textFill>
            <w14:solidFill>
              <w14:schemeClr w14:val="tx1"/>
            </w14:solidFill>
          </w14:textFill>
        </w:rPr>
        <w:t>1.9合同争议的解决</w:t>
      </w:r>
      <w:bookmarkEnd w:id="428"/>
      <w:bookmarkEnd w:id="429"/>
      <w:bookmarkEnd w:id="430"/>
    </w:p>
    <w:p>
      <w:pPr>
        <w:spacing w:line="560" w:lineRule="exact"/>
        <w:ind w:left="-61" w:leftChars="-29" w:right="-420" w:rightChars="-200"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val="0"/>
          <w:iCs/>
          <w:color w:val="000000" w:themeColor="text1"/>
          <w:sz w:val="24"/>
          <w:highlight w:val="none"/>
          <w:u w:val="single"/>
          <w:lang w:val="en-US" w:eastAsia="zh-CN"/>
          <w14:textFill>
            <w14:solidFill>
              <w14:schemeClr w14:val="tx1"/>
            </w14:solidFill>
          </w14:textFill>
        </w:rPr>
        <w:t>1.9.2</w:t>
      </w:r>
      <w:r>
        <w:rPr>
          <w:rFonts w:hint="eastAsia" w:ascii="宋体" w:hAnsi="宋体" w:cs="宋体"/>
          <w:b/>
          <w:i w:val="0"/>
          <w:iCs/>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600" w:firstLineChars="2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1.9.1 将争议提交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1.9.2 向</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31" w:name="_Toc7245"/>
      <w:bookmarkStart w:id="432" w:name="_Toc11173"/>
      <w:bookmarkStart w:id="433" w:name="_Toc15322"/>
      <w:r>
        <w:rPr>
          <w:rFonts w:hint="eastAsia" w:ascii="宋体" w:hAnsi="宋体" w:cs="宋体"/>
          <w:b/>
          <w:color w:val="000000" w:themeColor="text1"/>
          <w:sz w:val="24"/>
          <w:highlight w:val="none"/>
          <w14:textFill>
            <w14:solidFill>
              <w14:schemeClr w14:val="tx1"/>
            </w14:solidFill>
          </w14:textFill>
        </w:rPr>
        <w:t>2.0 合同生效</w:t>
      </w:r>
      <w:bookmarkEnd w:id="431"/>
      <w:bookmarkEnd w:id="432"/>
      <w:bookmarkEnd w:id="433"/>
    </w:p>
    <w:p>
      <w:pPr>
        <w:spacing w:line="560" w:lineRule="exact"/>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本合同自双方当事人盖章签字时生效。</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甲方</w:t>
      </w:r>
      <w:r>
        <w:rPr>
          <w:rFonts w:hint="eastAsia" w:ascii="宋体" w:hAnsi="宋体"/>
          <w:color w:val="000000" w:themeColor="text1"/>
          <w:sz w:val="24"/>
          <w:highlight w:val="none"/>
          <w:lang w:val="zh-CN"/>
          <w14:textFill>
            <w14:solidFill>
              <w14:schemeClr w14:val="tx1"/>
            </w14:solidFill>
          </w14:textFill>
        </w:rPr>
        <w:t>：</w:t>
      </w:r>
      <w:r>
        <w:rPr>
          <w:rFonts w:ascii="宋体" w:hAnsi="宋体"/>
          <w:color w:val="000000" w:themeColor="text1"/>
          <w:sz w:val="24"/>
          <w:highlight w:val="none"/>
          <w:lang w:val="zh-CN"/>
          <w14:textFill>
            <w14:solidFill>
              <w14:schemeClr w14:val="tx1"/>
            </w14:solidFill>
          </w14:textFill>
        </w:rPr>
        <w:t xml:space="preserve">                             </w:t>
      </w:r>
      <w:r>
        <w:rPr>
          <w:rFonts w:ascii="宋体" w:hAnsi="宋体"/>
          <w:b/>
          <w:color w:val="000000" w:themeColor="text1"/>
          <w:sz w:val="24"/>
          <w:highlight w:val="none"/>
          <w:lang w:val="zh-CN"/>
          <w14:textFill>
            <w14:solidFill>
              <w14:schemeClr w14:val="tx1"/>
            </w14:solidFill>
          </w14:textFill>
        </w:rPr>
        <w:t xml:space="preserve">      乙方</w:t>
      </w:r>
      <w:r>
        <w:rPr>
          <w:rFonts w:hint="eastAsia" w:ascii="宋体" w:hAnsi="宋体"/>
          <w:color w:val="000000" w:themeColor="text1"/>
          <w:sz w:val="24"/>
          <w:highlight w:val="none"/>
          <w:lang w:val="zh-CN"/>
          <w14:textFill>
            <w14:solidFill>
              <w14:schemeClr w14:val="tx1"/>
            </w14:solidFill>
          </w14:textFill>
        </w:rPr>
        <w:t>：</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统一社会信用代码：</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统一社会信用代码或身份证号码：</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住所：</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住所：</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法定代表人或</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法定代表人或</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授权代表（签字）：</w:t>
      </w:r>
      <w:r>
        <w:rPr>
          <w:rFonts w:ascii="宋体" w:hAnsi="宋体"/>
          <w:color w:val="000000" w:themeColor="text1"/>
          <w:sz w:val="24"/>
          <w:highlight w:val="none"/>
          <w:lang w:val="zh-CN"/>
          <w14:textFill>
            <w14:solidFill>
              <w14:schemeClr w14:val="tx1"/>
            </w14:solidFill>
          </w14:textFill>
        </w:rPr>
        <w:t xml:space="preserve">                       授权代表（签字）: </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联系人：</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联系人：</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约定送达地址：</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约定送达地址：</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邮政编码：</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邮政编码：</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电话</w:t>
      </w:r>
      <w:r>
        <w:rPr>
          <w:rFonts w:ascii="宋体" w:hAnsi="宋体"/>
          <w:color w:val="000000" w:themeColor="text1"/>
          <w:sz w:val="24"/>
          <w:highlight w:val="none"/>
          <w:lang w:val="zh-CN"/>
          <w14:textFill>
            <w14:solidFill>
              <w14:schemeClr w14:val="tx1"/>
            </w14:solidFill>
          </w14:textFill>
        </w:rPr>
        <w:t xml:space="preserve">:                                    电话: </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传真</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传真</w:t>
      </w:r>
      <w:r>
        <w:rPr>
          <w:rFonts w:ascii="宋体" w:hAnsi="宋体"/>
          <w:color w:val="000000" w:themeColor="text1"/>
          <w:sz w:val="24"/>
          <w:highlight w:val="none"/>
          <w:lang w:val="zh-CN"/>
          <w14:textFill>
            <w14:solidFill>
              <w14:schemeClr w14:val="tx1"/>
            </w14:solidFill>
          </w14:textFill>
        </w:rPr>
        <w:t>:</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电子邮箱：</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电子邮箱：</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r>
        <w:rPr>
          <w:rFonts w:ascii="宋体" w:hAnsi="宋体"/>
          <w:color w:val="000000" w:themeColor="text1"/>
          <w:sz w:val="24"/>
          <w:highlight w:val="none"/>
          <w14:textFill>
            <w14:solidFill>
              <w14:schemeClr w14:val="tx1"/>
            </w14:solidFill>
          </w14:textFill>
        </w:rPr>
        <w:t xml:space="preserve">                               开户银行： </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开户名称：</w:t>
      </w:r>
      <w:r>
        <w:rPr>
          <w:rFonts w:ascii="宋体" w:hAnsi="宋体"/>
          <w:color w:val="000000" w:themeColor="text1"/>
          <w:sz w:val="24"/>
          <w:highlight w:val="none"/>
          <w14:textFill>
            <w14:solidFill>
              <w14:schemeClr w14:val="tx1"/>
            </w14:solidFill>
          </w14:textFill>
        </w:rPr>
        <w:t xml:space="preserve">                               开户名称： </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开户账号：</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开户账号：</w:t>
      </w:r>
    </w:p>
    <w:p>
      <w:pPr>
        <w:widowControl/>
        <w:spacing w:line="560" w:lineRule="exact"/>
        <w:jc w:val="left"/>
        <w:rPr>
          <w:rFonts w:ascii="宋体" w:hAnsi="宋体"/>
          <w:b/>
          <w:color w:val="000000" w:themeColor="text1"/>
          <w:sz w:val="24"/>
          <w:highlight w:val="none"/>
          <w14:textFill>
            <w14:solidFill>
              <w14:schemeClr w14:val="tx1"/>
            </w14:solidFill>
          </w14:textFill>
        </w:rPr>
      </w:pPr>
    </w:p>
    <w:p>
      <w:pPr>
        <w:widowControl/>
        <w:adjustRightInd/>
        <w:jc w:val="left"/>
        <w:rPr>
          <w:rFonts w:ascii="宋体" w:hAnsi="宋体"/>
          <w:b/>
          <w:color w:val="000000" w:themeColor="text1"/>
          <w:sz w:val="24"/>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br w:type="page"/>
      </w:r>
    </w:p>
    <w:p>
      <w:pPr>
        <w:pStyle w:val="701"/>
        <w:spacing w:line="560" w:lineRule="exact"/>
        <w:ind w:left="0" w:leftChars="0" w:firstLine="0" w:firstLineChars="0"/>
        <w:jc w:val="center"/>
        <w:rPr>
          <w:rFonts w:ascii="宋体" w:hAnsi="宋体"/>
          <w:b/>
          <w:color w:val="000000" w:themeColor="text1"/>
          <w:szCs w:val="24"/>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第二部分</w:t>
      </w:r>
      <w:r>
        <w:rPr>
          <w:rFonts w:ascii="宋体" w:hAnsi="宋体"/>
          <w:b/>
          <w:color w:val="000000" w:themeColor="text1"/>
          <w:szCs w:val="24"/>
          <w:highlight w:val="none"/>
          <w14:textFill>
            <w14:solidFill>
              <w14:schemeClr w14:val="tx1"/>
            </w14:solidFill>
          </w14:textFill>
        </w:rPr>
        <w:t xml:space="preserve"> </w:t>
      </w:r>
      <w:r>
        <w:rPr>
          <w:rFonts w:hint="eastAsia" w:ascii="宋体" w:hAnsi="宋体"/>
          <w:b/>
          <w:color w:val="000000" w:themeColor="text1"/>
          <w:szCs w:val="24"/>
          <w:highlight w:val="none"/>
          <w14:textFill>
            <w14:solidFill>
              <w14:schemeClr w14:val="tx1"/>
            </w14:solidFill>
          </w14:textFill>
        </w:rPr>
        <w:t>合同一般条款</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34" w:name="_Toc14021"/>
      <w:bookmarkStart w:id="435" w:name="_Toc31297"/>
      <w:bookmarkStart w:id="436" w:name="_Toc19680"/>
      <w:bookmarkStart w:id="437" w:name="_Toc25079"/>
      <w:bookmarkStart w:id="438" w:name="_Toc5228"/>
      <w:r>
        <w:rPr>
          <w:rFonts w:ascii="宋体" w:hAnsi="宋体"/>
          <w:b/>
          <w:color w:val="000000" w:themeColor="text1"/>
          <w:sz w:val="24"/>
          <w:highlight w:val="none"/>
          <w14:textFill>
            <w14:solidFill>
              <w14:schemeClr w14:val="tx1"/>
            </w14:solidFill>
          </w14:textFill>
        </w:rPr>
        <w:t>2.1 定义</w:t>
      </w:r>
      <w:bookmarkEnd w:id="434"/>
      <w:bookmarkEnd w:id="435"/>
      <w:bookmarkEnd w:id="436"/>
      <w:bookmarkEnd w:id="437"/>
      <w:bookmarkEnd w:id="438"/>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本合同中的下列</w:t>
      </w:r>
      <w:r>
        <w:rPr>
          <w:rFonts w:hint="eastAsia" w:ascii="宋体" w:hAnsi="宋体"/>
          <w:color w:val="000000" w:themeColor="text1"/>
          <w:sz w:val="24"/>
          <w:highlight w:val="none"/>
          <w14:textFill>
            <w14:solidFill>
              <w14:schemeClr w14:val="tx1"/>
            </w14:solidFill>
          </w14:textFill>
        </w:rPr>
        <w:t>词</w:t>
      </w:r>
      <w:r>
        <w:rPr>
          <w:rFonts w:ascii="宋体" w:hAnsi="宋体"/>
          <w:color w:val="000000" w:themeColor="text1"/>
          <w:sz w:val="24"/>
          <w:highlight w:val="none"/>
          <w14:textFill>
            <w14:solidFill>
              <w14:schemeClr w14:val="tx1"/>
            </w14:solidFill>
          </w14:textFill>
        </w:rPr>
        <w:t>语应</w:t>
      </w:r>
      <w:r>
        <w:rPr>
          <w:rFonts w:hint="eastAsia" w:ascii="宋体" w:hAnsi="宋体"/>
          <w:color w:val="000000" w:themeColor="text1"/>
          <w:sz w:val="24"/>
          <w:highlight w:val="none"/>
          <w14:textFill>
            <w14:solidFill>
              <w14:schemeClr w14:val="tx1"/>
            </w14:solidFill>
          </w14:textFill>
        </w:rPr>
        <w:t>按以下内容进行</w:t>
      </w:r>
      <w:r>
        <w:rPr>
          <w:rFonts w:ascii="宋体" w:hAnsi="宋体"/>
          <w:color w:val="000000" w:themeColor="text1"/>
          <w:sz w:val="24"/>
          <w:highlight w:val="none"/>
          <w14:textFill>
            <w14:solidFill>
              <w14:schemeClr w14:val="tx1"/>
            </w14:solidFill>
          </w14:textFill>
        </w:rPr>
        <w:t>解释：</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 “合同”系指采购人和</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供应商签订的载明双方当事人所达成的协议，并包括所有的附件、附录和构成合同的其他文件。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2.1.2 “合同价”系指根据合同约定，</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供应商在完全履行合同义务后</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采购人应支付给</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供应商的价格。</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2.1.3 “</w:t>
      </w:r>
      <w:r>
        <w:rPr>
          <w:rFonts w:hint="eastAsia" w:ascii="宋体" w:hAnsi="宋体"/>
          <w:color w:val="000000" w:themeColor="text1"/>
          <w:sz w:val="24"/>
          <w:highlight w:val="none"/>
          <w14:textFill>
            <w14:solidFill>
              <w14:schemeClr w14:val="tx1"/>
            </w14:solidFill>
          </w14:textFill>
        </w:rPr>
        <w:t>服务</w:t>
      </w:r>
      <w:r>
        <w:rPr>
          <w:rFonts w:ascii="宋体" w:hAnsi="宋体"/>
          <w:color w:val="000000" w:themeColor="text1"/>
          <w:sz w:val="24"/>
          <w:highlight w:val="none"/>
          <w14:textFill>
            <w14:solidFill>
              <w14:schemeClr w14:val="tx1"/>
            </w14:solidFill>
          </w14:textFill>
        </w:rPr>
        <w:t>”系指</w:t>
      </w:r>
      <w:r>
        <w:rPr>
          <w:rFonts w:hint="eastAsia" w:ascii="宋体" w:hAnsi="宋体" w:cs="宋体"/>
          <w:color w:val="000000" w:themeColor="text1"/>
          <w:sz w:val="24"/>
          <w:highlight w:val="none"/>
          <w14:textFill>
            <w14:solidFill>
              <w14:schemeClr w14:val="tx1"/>
            </w14:solidFill>
          </w14:textFill>
        </w:rPr>
        <w:t>中标或成交</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根据合同约定应向采购人</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2.1.4 “</w:t>
      </w:r>
      <w:r>
        <w:rPr>
          <w:rFonts w:hint="eastAsia" w:ascii="宋体" w:hAnsi="宋体"/>
          <w:color w:val="000000" w:themeColor="text1"/>
          <w:sz w:val="24"/>
          <w:highlight w:val="none"/>
          <w14:textFill>
            <w14:solidFill>
              <w14:schemeClr w14:val="tx1"/>
            </w14:solidFill>
          </w14:textFill>
        </w:rPr>
        <w:t>甲方</w:t>
      </w:r>
      <w:r>
        <w:rPr>
          <w:rFonts w:ascii="宋体" w:hAnsi="宋体"/>
          <w:color w:val="000000" w:themeColor="text1"/>
          <w:sz w:val="24"/>
          <w:highlight w:val="none"/>
          <w14:textFill>
            <w14:solidFill>
              <w14:schemeClr w14:val="tx1"/>
            </w14:solidFill>
          </w14:textFill>
        </w:rPr>
        <w:t>”系指与</w:t>
      </w:r>
      <w:r>
        <w:rPr>
          <w:rFonts w:hint="eastAsia" w:ascii="宋体" w:hAnsi="宋体" w:cs="宋体"/>
          <w:color w:val="000000" w:themeColor="text1"/>
          <w:sz w:val="24"/>
          <w:highlight w:val="none"/>
          <w14:textFill>
            <w14:solidFill>
              <w14:schemeClr w14:val="tx1"/>
            </w14:solidFill>
          </w14:textFill>
        </w:rPr>
        <w:t>中标或成交</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签署合同的采购人</w:t>
      </w:r>
      <w:r>
        <w:rPr>
          <w:rFonts w:hint="eastAsia" w:ascii="宋体" w:hAnsi="宋体"/>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2.1.5 “乙方”系指根据合同约定提供服务的</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w:t>
      </w:r>
      <w:r>
        <w:rPr>
          <w:rFonts w:hint="eastAsia" w:ascii="宋体" w:hAnsi="宋体"/>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2.1.6 “现场”系指合同约定提供服务的地点。</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39" w:name="_Toc3769"/>
      <w:bookmarkStart w:id="440" w:name="_Toc23289"/>
      <w:bookmarkStart w:id="441" w:name="_Toc31402"/>
      <w:bookmarkStart w:id="442" w:name="_Toc16752"/>
      <w:bookmarkStart w:id="443" w:name="_Toc19539"/>
      <w:r>
        <w:rPr>
          <w:rFonts w:ascii="宋体" w:hAnsi="宋体"/>
          <w:b/>
          <w:color w:val="000000" w:themeColor="text1"/>
          <w:sz w:val="24"/>
          <w:highlight w:val="none"/>
          <w14:textFill>
            <w14:solidFill>
              <w14:schemeClr w14:val="tx1"/>
            </w14:solidFill>
          </w14:textFill>
        </w:rPr>
        <w:t>2.2 技术规范</w:t>
      </w:r>
      <w:bookmarkEnd w:id="439"/>
      <w:bookmarkEnd w:id="440"/>
      <w:bookmarkEnd w:id="441"/>
      <w:bookmarkEnd w:id="442"/>
      <w:bookmarkEnd w:id="443"/>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服务</w:t>
      </w:r>
      <w:r>
        <w:rPr>
          <w:rFonts w:ascii="宋体" w:hAnsi="宋体"/>
          <w:color w:val="000000" w:themeColor="text1"/>
          <w:sz w:val="24"/>
          <w:highlight w:val="none"/>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如果采购文件中没有技术规范的相应说明，那么应以国家有关部门最新颁布的相应标准</w:t>
      </w:r>
      <w:r>
        <w:rPr>
          <w:rFonts w:hint="eastAsia" w:ascii="宋体" w:hAnsi="宋体"/>
          <w:color w:val="000000" w:themeColor="text1"/>
          <w:sz w:val="24"/>
          <w:highlight w:val="none"/>
          <w14:textFill>
            <w14:solidFill>
              <w14:schemeClr w14:val="tx1"/>
            </w14:solidFill>
          </w14:textFill>
        </w:rPr>
        <w:t>和</w:t>
      </w:r>
      <w:r>
        <w:rPr>
          <w:rFonts w:ascii="宋体" w:hAnsi="宋体"/>
          <w:color w:val="000000" w:themeColor="text1"/>
          <w:sz w:val="24"/>
          <w:highlight w:val="none"/>
          <w14:textFill>
            <w14:solidFill>
              <w14:schemeClr w14:val="tx1"/>
            </w14:solidFill>
          </w14:textFill>
        </w:rPr>
        <w:t>规范为准。</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44" w:name="_Toc13673"/>
      <w:bookmarkStart w:id="445" w:name="_Toc9161"/>
      <w:bookmarkStart w:id="446" w:name="_Toc12412"/>
      <w:bookmarkStart w:id="447" w:name="_Toc4133"/>
      <w:bookmarkStart w:id="448" w:name="_Toc27945"/>
      <w:r>
        <w:rPr>
          <w:rFonts w:ascii="宋体" w:hAnsi="宋体"/>
          <w:b/>
          <w:color w:val="000000" w:themeColor="text1"/>
          <w:sz w:val="24"/>
          <w:highlight w:val="none"/>
          <w14:textFill>
            <w14:solidFill>
              <w14:schemeClr w14:val="tx1"/>
            </w14:solidFill>
          </w14:textFill>
        </w:rPr>
        <w:t>2.3 知识产权</w:t>
      </w:r>
      <w:bookmarkEnd w:id="444"/>
      <w:bookmarkEnd w:id="445"/>
      <w:bookmarkEnd w:id="446"/>
      <w:bookmarkEnd w:id="447"/>
      <w:bookmarkEnd w:id="448"/>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2.3.1 </w:t>
      </w:r>
      <w:r>
        <w:rPr>
          <w:rFonts w:hint="eastAsia" w:ascii="宋体" w:hAnsi="宋体"/>
          <w:color w:val="000000" w:themeColor="text1"/>
          <w:sz w:val="24"/>
          <w:highlight w:val="none"/>
          <w14:textFill>
            <w14:solidFill>
              <w14:schemeClr w14:val="tx1"/>
            </w14:solidFill>
          </w14:textFill>
        </w:rPr>
        <w:t>乙</w:t>
      </w:r>
      <w:r>
        <w:rPr>
          <w:rFonts w:ascii="宋体" w:hAnsi="宋体"/>
          <w:color w:val="000000" w:themeColor="text1"/>
          <w:sz w:val="24"/>
          <w:highlight w:val="none"/>
          <w14:textFill>
            <w14:solidFill>
              <w14:schemeClr w14:val="tx1"/>
            </w14:solidFill>
          </w14:textFill>
        </w:rPr>
        <w:t>方应保证</w:t>
      </w:r>
      <w:r>
        <w:rPr>
          <w:rFonts w:hint="eastAsia" w:ascii="宋体" w:hAnsi="宋体"/>
          <w:color w:val="000000" w:themeColor="text1"/>
          <w:sz w:val="24"/>
          <w:highlight w:val="none"/>
          <w14:textFill>
            <w14:solidFill>
              <w14:schemeClr w14:val="tx1"/>
            </w14:solidFill>
          </w14:textFill>
        </w:rPr>
        <w:t>其提供的服务</w:t>
      </w:r>
      <w:r>
        <w:rPr>
          <w:rFonts w:ascii="宋体" w:hAnsi="宋体"/>
          <w:color w:val="000000" w:themeColor="text1"/>
          <w:sz w:val="24"/>
          <w:highlight w:val="none"/>
          <w14:textFill>
            <w14:solidFill>
              <w14:schemeClr w14:val="tx1"/>
            </w14:solidFill>
          </w14:textFill>
        </w:rPr>
        <w:t>不受任何第三方提出的侵犯其著作权、商标权、专利权等知识产权方面的起诉</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如果任何第三方提出侵权</w:t>
      </w:r>
      <w:r>
        <w:rPr>
          <w:rFonts w:hint="eastAsia" w:ascii="宋体" w:hAnsi="宋体"/>
          <w:color w:val="000000" w:themeColor="text1"/>
          <w:sz w:val="24"/>
          <w:highlight w:val="none"/>
          <w14:textFill>
            <w14:solidFill>
              <w14:schemeClr w14:val="tx1"/>
            </w14:solidFill>
          </w14:textFill>
        </w:rPr>
        <w:t>指控</w:t>
      </w:r>
      <w:r>
        <w:rPr>
          <w:rFonts w:ascii="宋体" w:hAnsi="宋体"/>
          <w:color w:val="000000" w:themeColor="text1"/>
          <w:sz w:val="24"/>
          <w:highlight w:val="none"/>
          <w14:textFill>
            <w14:solidFill>
              <w14:schemeClr w14:val="tx1"/>
            </w14:solidFill>
          </w14:textFill>
        </w:rPr>
        <w:t>，那么乙方须与该第三方交涉并承担由此发生的一切责任、费用和赔偿</w:t>
      </w:r>
      <w:r>
        <w:rPr>
          <w:rFonts w:hint="eastAsia" w:ascii="宋体" w:hAnsi="宋体"/>
          <w:color w:val="000000" w:themeColor="text1"/>
          <w:sz w:val="24"/>
          <w:highlight w:val="none"/>
          <w14:textFill>
            <w14:solidFill>
              <w14:schemeClr w14:val="tx1"/>
            </w14:solidFill>
          </w14:textFill>
        </w:rPr>
        <w:t>，乙方还应及时澄清相关信息，使甲方声誉免受损害，甲方保留追责的权利。</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2.3.2 </w:t>
      </w:r>
      <w:r>
        <w:rPr>
          <w:rFonts w:hint="eastAsia" w:ascii="宋体" w:hAnsi="宋体"/>
          <w:color w:val="000000" w:themeColor="text1"/>
          <w:sz w:val="24"/>
          <w:highlight w:val="none"/>
          <w14:textFill>
            <w14:solidFill>
              <w14:schemeClr w14:val="tx1"/>
            </w14:solidFill>
          </w14:textFill>
        </w:rPr>
        <w:t>合同涉及技术成果的归属和收益的分成办法的，</w:t>
      </w:r>
      <w:r>
        <w:rPr>
          <w:rFonts w:ascii="宋体" w:hAnsi="宋体"/>
          <w:color w:val="000000" w:themeColor="text1"/>
          <w:sz w:val="24"/>
          <w:highlight w:val="none"/>
          <w14:textFill>
            <w14:solidFill>
              <w14:schemeClr w14:val="tx1"/>
            </w14:solidFill>
          </w14:textFill>
        </w:rPr>
        <w:t>详见</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w:t>
      </w:r>
    </w:p>
    <w:p>
      <w:pPr>
        <w:spacing w:line="560" w:lineRule="exact"/>
        <w:ind w:firstLine="482" w:firstLineChars="2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2.4 </w:t>
      </w:r>
      <w:r>
        <w:rPr>
          <w:rFonts w:hint="eastAsia" w:ascii="宋体" w:hAnsi="宋体"/>
          <w:b/>
          <w:color w:val="000000" w:themeColor="text1"/>
          <w:sz w:val="24"/>
          <w:highlight w:val="none"/>
          <w14:textFill>
            <w14:solidFill>
              <w14:schemeClr w14:val="tx1"/>
            </w14:solidFill>
          </w14:textFill>
        </w:rPr>
        <w:t>履约检查和问题反馈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2.4.1甲方</w:t>
      </w:r>
      <w:r>
        <w:rPr>
          <w:rFonts w:hint="eastAsia" w:ascii="宋体" w:hAnsi="宋体"/>
          <w:color w:val="000000" w:themeColor="text1"/>
          <w:sz w:val="24"/>
          <w:highlight w:val="none"/>
          <w14:textFill>
            <w14:solidFill>
              <w14:schemeClr w14:val="tx1"/>
            </w14:solidFill>
          </w14:textFill>
        </w:rPr>
        <w:t>有权</w:t>
      </w:r>
      <w:r>
        <w:rPr>
          <w:rFonts w:ascii="宋体" w:hAnsi="宋体"/>
          <w:color w:val="000000" w:themeColor="text1"/>
          <w:sz w:val="24"/>
          <w:highlight w:val="none"/>
          <w14:textFill>
            <w14:solidFill>
              <w14:schemeClr w14:val="tx1"/>
            </w14:solidFill>
          </w14:textFill>
        </w:rPr>
        <w:t>在其认为必要时</w:t>
      </w:r>
      <w:r>
        <w:rPr>
          <w:rFonts w:hint="eastAsia" w:ascii="宋体" w:hAnsi="宋体"/>
          <w:color w:val="000000" w:themeColor="text1"/>
          <w:sz w:val="24"/>
          <w:highlight w:val="none"/>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2.4.2 </w:t>
      </w:r>
      <w:r>
        <w:rPr>
          <w:rFonts w:hint="eastAsia" w:ascii="宋体" w:hAnsi="宋体"/>
          <w:color w:val="000000" w:themeColor="text1"/>
          <w:sz w:val="24"/>
          <w:highlight w:val="none"/>
          <w14:textFill>
            <w14:solidFill>
              <w14:schemeClr w14:val="tx1"/>
            </w14:solidFill>
          </w14:textFill>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49" w:name="_Toc31233"/>
      <w:bookmarkStart w:id="450" w:name="_Toc26555"/>
      <w:bookmarkStart w:id="451" w:name="_Toc32670"/>
      <w:bookmarkStart w:id="452" w:name="_Toc22011"/>
      <w:bookmarkStart w:id="453" w:name="_Toc15447"/>
      <w:r>
        <w:rPr>
          <w:rFonts w:ascii="宋体" w:hAnsi="宋体"/>
          <w:b/>
          <w:color w:val="000000" w:themeColor="text1"/>
          <w:sz w:val="24"/>
          <w:highlight w:val="none"/>
          <w14:textFill>
            <w14:solidFill>
              <w14:schemeClr w14:val="tx1"/>
            </w14:solidFill>
          </w14:textFill>
        </w:rPr>
        <w:t>2.5 结算方式和付款条件</w:t>
      </w:r>
      <w:bookmarkEnd w:id="449"/>
      <w:bookmarkEnd w:id="450"/>
      <w:bookmarkEnd w:id="451"/>
      <w:bookmarkEnd w:id="452"/>
      <w:bookmarkEnd w:id="453"/>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详见</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54" w:name="_Toc30507"/>
      <w:bookmarkStart w:id="455" w:name="_Toc16163"/>
      <w:bookmarkStart w:id="456" w:name="_Toc13154"/>
      <w:bookmarkStart w:id="457" w:name="_Toc18990"/>
      <w:bookmarkStart w:id="458" w:name="_Toc13467"/>
      <w:r>
        <w:rPr>
          <w:rFonts w:ascii="宋体" w:hAnsi="宋体"/>
          <w:b/>
          <w:color w:val="000000" w:themeColor="text1"/>
          <w:sz w:val="24"/>
          <w:highlight w:val="none"/>
          <w14:textFill>
            <w14:solidFill>
              <w14:schemeClr w14:val="tx1"/>
            </w14:solidFill>
          </w14:textFill>
        </w:rPr>
        <w:t>2.6 技术资料和保密义务</w:t>
      </w:r>
      <w:bookmarkEnd w:id="454"/>
      <w:bookmarkEnd w:id="455"/>
      <w:bookmarkEnd w:id="456"/>
      <w:bookmarkEnd w:id="457"/>
      <w:bookmarkEnd w:id="458"/>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2.6.2 </w:t>
      </w:r>
      <w:r>
        <w:rPr>
          <w:rFonts w:hint="eastAsia" w:ascii="宋体" w:hAnsi="宋体"/>
          <w:color w:val="000000" w:themeColor="text1"/>
          <w:sz w:val="24"/>
          <w:highlight w:val="none"/>
          <w14:textFill>
            <w14:solidFill>
              <w14:schemeClr w14:val="tx1"/>
            </w14:solidFill>
          </w14:textFill>
        </w:rPr>
        <w:t>乙方有义务妥善保管和保护由甲方提供的前款信息和资料等；</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2.6.3 </w:t>
      </w:r>
      <w:r>
        <w:rPr>
          <w:rFonts w:hint="eastAsia" w:ascii="宋体" w:hAnsi="宋体"/>
          <w:color w:val="000000" w:themeColor="text1"/>
          <w:sz w:val="24"/>
          <w:highlight w:val="none"/>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themeColor="text1"/>
          <w:sz w:val="24"/>
          <w:highlight w:val="none"/>
          <w14:textFill>
            <w14:solidFill>
              <w14:schemeClr w14:val="tx1"/>
            </w14:solidFill>
          </w14:textFill>
        </w:rPr>
        <w:t>技术情报</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技术资料</w:t>
      </w:r>
      <w:r>
        <w:rPr>
          <w:rFonts w:hint="eastAsia" w:ascii="宋体" w:hAnsi="宋体"/>
          <w:color w:val="000000" w:themeColor="text1"/>
          <w:sz w:val="24"/>
          <w:highlight w:val="none"/>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59" w:name="_Toc19069"/>
      <w:r>
        <w:rPr>
          <w:rFonts w:ascii="宋体" w:hAnsi="宋体"/>
          <w:b/>
          <w:color w:val="000000" w:themeColor="text1"/>
          <w:sz w:val="24"/>
          <w:highlight w:val="none"/>
          <w14:textFill>
            <w14:solidFill>
              <w14:schemeClr w14:val="tx1"/>
            </w14:solidFill>
          </w14:textFill>
        </w:rPr>
        <w:t xml:space="preserve">2.7 </w:t>
      </w:r>
      <w:r>
        <w:rPr>
          <w:rFonts w:hint="eastAsia" w:ascii="宋体" w:hAnsi="宋体"/>
          <w:b/>
          <w:color w:val="000000" w:themeColor="text1"/>
          <w:sz w:val="24"/>
          <w:highlight w:val="none"/>
          <w14:textFill>
            <w14:solidFill>
              <w14:schemeClr w14:val="tx1"/>
            </w14:solidFill>
          </w14:textFill>
        </w:rPr>
        <w:t>质量保证</w:t>
      </w:r>
      <w:bookmarkEnd w:id="459"/>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2.7.1 </w:t>
      </w:r>
      <w:r>
        <w:rPr>
          <w:rFonts w:hint="eastAsia" w:ascii="宋体" w:hAnsi="宋体"/>
          <w:color w:val="000000" w:themeColor="text1"/>
          <w:sz w:val="24"/>
          <w:highlight w:val="none"/>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2.7.2 </w:t>
      </w:r>
      <w:r>
        <w:rPr>
          <w:rFonts w:hint="eastAsia" w:ascii="宋体" w:hAnsi="宋体"/>
          <w:color w:val="000000" w:themeColor="text1"/>
          <w:sz w:val="24"/>
          <w:highlight w:val="none"/>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0" w:name="_Toc22267"/>
      <w:r>
        <w:rPr>
          <w:rFonts w:ascii="宋体" w:hAnsi="宋体"/>
          <w:b/>
          <w:color w:val="000000" w:themeColor="text1"/>
          <w:sz w:val="24"/>
          <w:highlight w:val="none"/>
          <w14:textFill>
            <w14:solidFill>
              <w14:schemeClr w14:val="tx1"/>
            </w14:solidFill>
          </w14:textFill>
        </w:rPr>
        <w:t xml:space="preserve">2.8 </w:t>
      </w:r>
      <w:r>
        <w:rPr>
          <w:rFonts w:hint="eastAsia" w:ascii="宋体" w:hAnsi="宋体"/>
          <w:b/>
          <w:color w:val="000000" w:themeColor="text1"/>
          <w:sz w:val="24"/>
          <w:highlight w:val="none"/>
          <w14:textFill>
            <w14:solidFill>
              <w14:schemeClr w14:val="tx1"/>
            </w14:solidFill>
          </w14:textFill>
        </w:rPr>
        <w:t>延迟履行</w:t>
      </w:r>
      <w:bookmarkEnd w:id="460"/>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甲乙双方签订合同后，乙方应按照合同约定履行合同义务，除不可抗力外，乙方不得延迟履行。</w:t>
      </w:r>
      <w:r>
        <w:rPr>
          <w:rFonts w:ascii="宋体" w:hAnsi="宋体"/>
          <w:color w:val="000000" w:themeColor="text1"/>
          <w:sz w:val="24"/>
          <w:highlight w:val="none"/>
          <w14:textFill>
            <w14:solidFill>
              <w14:schemeClr w14:val="tx1"/>
            </w14:solidFill>
          </w14:textFill>
        </w:rPr>
        <w:t>在合同履行过程中，如果</w:t>
      </w:r>
      <w:r>
        <w:rPr>
          <w:rFonts w:hint="eastAsia" w:ascii="宋体" w:hAnsi="宋体"/>
          <w:color w:val="000000" w:themeColor="text1"/>
          <w:sz w:val="24"/>
          <w:highlight w:val="none"/>
          <w14:textFill>
            <w14:solidFill>
              <w14:schemeClr w14:val="tx1"/>
            </w14:solidFill>
          </w14:textFill>
        </w:rPr>
        <w:t>因不可抗力，</w:t>
      </w:r>
      <w:r>
        <w:rPr>
          <w:rFonts w:ascii="宋体" w:hAnsi="宋体"/>
          <w:color w:val="000000" w:themeColor="text1"/>
          <w:sz w:val="24"/>
          <w:highlight w:val="none"/>
          <w14:textFill>
            <w14:solidFill>
              <w14:schemeClr w14:val="tx1"/>
            </w14:solidFill>
          </w14:textFill>
        </w:rPr>
        <w:t>乙方遇到不能按时</w:t>
      </w:r>
      <w:r>
        <w:rPr>
          <w:rFonts w:hint="eastAsia" w:ascii="宋体" w:hAnsi="宋体"/>
          <w:color w:val="000000" w:themeColor="text1"/>
          <w:sz w:val="24"/>
          <w:highlight w:val="none"/>
          <w14:textFill>
            <w14:solidFill>
              <w14:schemeClr w14:val="tx1"/>
            </w14:solidFill>
          </w14:textFill>
        </w:rPr>
        <w:t>提供服务</w:t>
      </w:r>
      <w:r>
        <w:rPr>
          <w:rFonts w:ascii="宋体" w:hAnsi="宋体"/>
          <w:color w:val="000000" w:themeColor="text1"/>
          <w:sz w:val="24"/>
          <w:highlight w:val="none"/>
          <w14:textFill>
            <w14:solidFill>
              <w14:schemeClr w14:val="tx1"/>
            </w14:solidFill>
          </w14:textFill>
        </w:rPr>
        <w:t>的情况，应及时以书面形式将不能按时</w:t>
      </w:r>
      <w:r>
        <w:rPr>
          <w:rFonts w:hint="eastAsia" w:ascii="宋体" w:hAnsi="宋体"/>
          <w:color w:val="000000" w:themeColor="text1"/>
          <w:sz w:val="24"/>
          <w:highlight w:val="none"/>
          <w14:textFill>
            <w14:solidFill>
              <w14:schemeClr w14:val="tx1"/>
            </w14:solidFill>
          </w14:textFill>
        </w:rPr>
        <w:t>提供服务</w:t>
      </w:r>
      <w:r>
        <w:rPr>
          <w:rFonts w:ascii="宋体" w:hAnsi="宋体"/>
          <w:color w:val="000000" w:themeColor="text1"/>
          <w:sz w:val="24"/>
          <w:highlight w:val="none"/>
          <w14:textFill>
            <w14:solidFill>
              <w14:schemeClr w14:val="tx1"/>
            </w14:solidFill>
          </w14:textFill>
        </w:rPr>
        <w:t>的理由、预期延误时间通知甲方</w:t>
      </w:r>
      <w:r>
        <w:rPr>
          <w:rFonts w:hint="eastAsia" w:ascii="宋体" w:hAnsi="宋体"/>
          <w:color w:val="000000" w:themeColor="text1"/>
          <w:sz w:val="24"/>
          <w:highlight w:val="none"/>
          <w14:textFill>
            <w14:solidFill>
              <w14:schemeClr w14:val="tx1"/>
            </w14:solidFill>
          </w14:textFill>
        </w:rPr>
        <w:t>；甲</w:t>
      </w:r>
      <w:r>
        <w:rPr>
          <w:rFonts w:ascii="宋体" w:hAnsi="宋体"/>
          <w:color w:val="000000" w:themeColor="text1"/>
          <w:sz w:val="24"/>
          <w:highlight w:val="none"/>
          <w14:textFill>
            <w14:solidFill>
              <w14:schemeClr w14:val="tx1"/>
            </w14:solidFill>
          </w14:textFill>
        </w:rPr>
        <w:t>方收到乙方通知后，认为其理由正当的，可以书面形式酌情同意乙方可以延长</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的具体时间。</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1" w:name="_Toc10611"/>
      <w:r>
        <w:rPr>
          <w:rFonts w:ascii="宋体" w:hAnsi="宋体"/>
          <w:b/>
          <w:color w:val="000000" w:themeColor="text1"/>
          <w:sz w:val="24"/>
          <w:highlight w:val="none"/>
          <w14:textFill>
            <w14:solidFill>
              <w14:schemeClr w14:val="tx1"/>
            </w14:solidFill>
          </w14:textFill>
        </w:rPr>
        <w:t xml:space="preserve">2.9 </w:t>
      </w:r>
      <w:r>
        <w:rPr>
          <w:rFonts w:hint="eastAsia" w:ascii="宋体" w:hAnsi="宋体"/>
          <w:b/>
          <w:color w:val="000000" w:themeColor="text1"/>
          <w:sz w:val="24"/>
          <w:highlight w:val="none"/>
          <w14:textFill>
            <w14:solidFill>
              <w14:schemeClr w14:val="tx1"/>
            </w14:solidFill>
          </w14:textFill>
        </w:rPr>
        <w:t>合同变更</w:t>
      </w:r>
      <w:bookmarkEnd w:id="461"/>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2" w:name="_Toc10663"/>
      <w:bookmarkStart w:id="463" w:name="_Toc21830"/>
      <w:bookmarkStart w:id="464" w:name="_Toc42"/>
      <w:bookmarkStart w:id="465" w:name="_Toc23368"/>
      <w:bookmarkStart w:id="466" w:name="_Toc26689"/>
      <w:r>
        <w:rPr>
          <w:rFonts w:ascii="宋体" w:hAnsi="宋体"/>
          <w:b/>
          <w:color w:val="000000" w:themeColor="text1"/>
          <w:sz w:val="24"/>
          <w:highlight w:val="none"/>
          <w14:textFill>
            <w14:solidFill>
              <w14:schemeClr w14:val="tx1"/>
            </w14:solidFill>
          </w14:textFill>
        </w:rPr>
        <w:t>2.10 合同转让和分包</w:t>
      </w:r>
      <w:bookmarkEnd w:id="462"/>
      <w:bookmarkEnd w:id="463"/>
      <w:bookmarkEnd w:id="464"/>
      <w:bookmarkEnd w:id="465"/>
      <w:bookmarkEnd w:id="466"/>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合同的权利义务依法不</w:t>
      </w:r>
      <w:r>
        <w:rPr>
          <w:rFonts w:hint="eastAsia" w:ascii="宋体" w:hAnsi="宋体"/>
          <w:color w:val="000000" w:themeColor="text1"/>
          <w:sz w:val="24"/>
          <w:highlight w:val="none"/>
          <w14:textFill>
            <w14:solidFill>
              <w14:schemeClr w14:val="tx1"/>
            </w14:solidFill>
          </w14:textFill>
        </w:rPr>
        <w:t>得</w:t>
      </w:r>
      <w:r>
        <w:rPr>
          <w:rFonts w:ascii="宋体" w:hAnsi="宋体"/>
          <w:color w:val="000000" w:themeColor="text1"/>
          <w:sz w:val="24"/>
          <w:highlight w:val="none"/>
          <w14:textFill>
            <w14:solidFill>
              <w14:schemeClr w14:val="tx1"/>
            </w14:solidFill>
          </w14:textFill>
        </w:rPr>
        <w:t>转让</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但经甲方</w:t>
      </w:r>
      <w:r>
        <w:rPr>
          <w:rFonts w:hint="eastAsia" w:ascii="宋体" w:hAnsi="宋体"/>
          <w:color w:val="000000" w:themeColor="text1"/>
          <w:sz w:val="24"/>
          <w:highlight w:val="none"/>
          <w14:textFill>
            <w14:solidFill>
              <w14:schemeClr w14:val="tx1"/>
            </w14:solidFill>
          </w14:textFill>
        </w:rPr>
        <w:t>同意，乙方可以依法采取分包方式履行合同，即：依法可以</w:t>
      </w:r>
      <w:r>
        <w:rPr>
          <w:rFonts w:ascii="宋体" w:hAnsi="宋体"/>
          <w:color w:val="000000" w:themeColor="text1"/>
          <w:sz w:val="24"/>
          <w:highlight w:val="none"/>
          <w14:textFill>
            <w14:solidFill>
              <w14:schemeClr w14:val="tx1"/>
            </w14:solidFill>
          </w14:textFill>
        </w:rPr>
        <w:t>将合同项下的部分非主体、非关键性工作分包给他人完成</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接受分包的人应当具备相应的资格条件，并不得再次分包</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且乙方应就分包项目向甲方负责</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并</w:t>
      </w:r>
      <w:r>
        <w:rPr>
          <w:rFonts w:hint="eastAsia" w:ascii="宋体" w:hAnsi="宋体"/>
          <w:color w:val="000000" w:themeColor="text1"/>
          <w:sz w:val="24"/>
          <w:highlight w:val="none"/>
          <w14:textFill>
            <w14:solidFill>
              <w14:schemeClr w14:val="tx1"/>
            </w14:solidFill>
          </w14:textFill>
        </w:rPr>
        <w:t>与分包供应商就分包项目向甲方承担连带责任。</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7" w:name="_Toc4720"/>
      <w:bookmarkStart w:id="468" w:name="_Toc26633"/>
      <w:bookmarkStart w:id="469" w:name="_Toc14371"/>
      <w:bookmarkStart w:id="470" w:name="_Toc25571"/>
      <w:bookmarkStart w:id="471" w:name="_Toc32494"/>
      <w:r>
        <w:rPr>
          <w:rFonts w:ascii="宋体" w:hAnsi="宋体"/>
          <w:b/>
          <w:color w:val="000000" w:themeColor="text1"/>
          <w:sz w:val="24"/>
          <w:highlight w:val="none"/>
          <w14:textFill>
            <w14:solidFill>
              <w14:schemeClr w14:val="tx1"/>
            </w14:solidFill>
          </w14:textFill>
        </w:rPr>
        <w:t>2.11 不可抗力</w:t>
      </w:r>
      <w:bookmarkEnd w:id="467"/>
      <w:bookmarkEnd w:id="468"/>
      <w:bookmarkEnd w:id="469"/>
      <w:bookmarkEnd w:id="470"/>
      <w:bookmarkEnd w:id="471"/>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2.11.1如果任何一方遭遇法律规定的不可抗力，致使合同履行受阻时，履行合同的期限应予延长，延长的期限应相当于不可抗力所影响的时间</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2.11.2 </w:t>
      </w:r>
      <w:r>
        <w:rPr>
          <w:rFonts w:hint="eastAsia" w:ascii="宋体" w:hAnsi="宋体"/>
          <w:color w:val="000000" w:themeColor="text1"/>
          <w:sz w:val="24"/>
          <w:highlight w:val="none"/>
          <w14:textFill>
            <w14:solidFill>
              <w14:schemeClr w14:val="tx1"/>
            </w14:solidFill>
          </w14:textFill>
        </w:rPr>
        <w:t>因不可抗力致使不能实现合同目的的，当事人可以解除合同；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2.11.3 </w:t>
      </w:r>
      <w:r>
        <w:rPr>
          <w:rFonts w:hint="eastAsia" w:ascii="宋体" w:hAnsi="宋体"/>
          <w:color w:val="000000" w:themeColor="text1"/>
          <w:sz w:val="24"/>
          <w:highlight w:val="none"/>
          <w14:textFill>
            <w14:solidFill>
              <w14:schemeClr w14:val="tx1"/>
            </w14:solidFill>
          </w14:textFill>
        </w:rPr>
        <w:t>因</w:t>
      </w:r>
      <w:r>
        <w:rPr>
          <w:rFonts w:ascii="宋体" w:hAnsi="宋体"/>
          <w:color w:val="000000" w:themeColor="text1"/>
          <w:sz w:val="24"/>
          <w:highlight w:val="none"/>
          <w14:textFill>
            <w14:solidFill>
              <w14:schemeClr w14:val="tx1"/>
            </w14:solidFill>
          </w14:textFill>
        </w:rPr>
        <w:t>不可抗力致使合同有变更必要的，双方当事人应在</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约定时间内以书面形式变更合同</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2.11.4受</w:t>
      </w:r>
      <w:r>
        <w:rPr>
          <w:rFonts w:hint="eastAsia" w:ascii="宋体" w:hAnsi="宋体"/>
          <w:color w:val="000000" w:themeColor="text1"/>
          <w:sz w:val="24"/>
          <w:highlight w:val="none"/>
          <w14:textFill>
            <w14:solidFill>
              <w14:schemeClr w14:val="tx1"/>
            </w14:solidFill>
          </w14:textFill>
        </w:rPr>
        <w:t>不可抗力</w:t>
      </w:r>
      <w:r>
        <w:rPr>
          <w:rFonts w:ascii="宋体" w:hAnsi="宋体"/>
          <w:color w:val="000000" w:themeColor="text1"/>
          <w:sz w:val="24"/>
          <w:highlight w:val="none"/>
          <w14:textFill>
            <w14:solidFill>
              <w14:schemeClr w14:val="tx1"/>
            </w14:solidFill>
          </w14:textFill>
        </w:rPr>
        <w:t>影响的一方在不可抗力发生后</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应在</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约定时间内以书面形式通知</w:t>
      </w:r>
      <w:r>
        <w:rPr>
          <w:rFonts w:hint="eastAsia" w:ascii="宋体" w:hAnsi="宋体"/>
          <w:color w:val="000000" w:themeColor="text1"/>
          <w:sz w:val="24"/>
          <w:highlight w:val="none"/>
          <w14:textFill>
            <w14:solidFill>
              <w14:schemeClr w14:val="tx1"/>
            </w14:solidFill>
          </w14:textFill>
        </w:rPr>
        <w:t>对</w:t>
      </w:r>
      <w:r>
        <w:rPr>
          <w:rFonts w:ascii="宋体" w:hAnsi="宋体"/>
          <w:color w:val="000000" w:themeColor="text1"/>
          <w:sz w:val="24"/>
          <w:highlight w:val="none"/>
          <w14:textFill>
            <w14:solidFill>
              <w14:schemeClr w14:val="tx1"/>
            </w14:solidFill>
          </w14:textFill>
        </w:rPr>
        <w:t>方当事人，并在</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约定时间内，将有关部门出具的证明文件送达</w:t>
      </w:r>
      <w:r>
        <w:rPr>
          <w:rFonts w:hint="eastAsia" w:ascii="宋体" w:hAnsi="宋体"/>
          <w:color w:val="000000" w:themeColor="text1"/>
          <w:sz w:val="24"/>
          <w:highlight w:val="none"/>
          <w14:textFill>
            <w14:solidFill>
              <w14:schemeClr w14:val="tx1"/>
            </w14:solidFill>
          </w14:textFill>
        </w:rPr>
        <w:t>对方当事人</w:t>
      </w:r>
      <w:r>
        <w:rPr>
          <w:rFonts w:ascii="宋体" w:hAnsi="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72" w:name="_Toc23854"/>
      <w:bookmarkStart w:id="473" w:name="_Toc14115"/>
      <w:bookmarkStart w:id="474" w:name="_Toc24465"/>
      <w:bookmarkStart w:id="475" w:name="_Toc25783"/>
      <w:bookmarkStart w:id="476" w:name="_Toc3638"/>
      <w:r>
        <w:rPr>
          <w:rFonts w:ascii="宋体" w:hAnsi="宋体"/>
          <w:b/>
          <w:color w:val="000000" w:themeColor="text1"/>
          <w:sz w:val="24"/>
          <w:highlight w:val="none"/>
          <w14:textFill>
            <w14:solidFill>
              <w14:schemeClr w14:val="tx1"/>
            </w14:solidFill>
          </w14:textFill>
        </w:rPr>
        <w:t>2.12 税费</w:t>
      </w:r>
      <w:bookmarkEnd w:id="472"/>
      <w:bookmarkEnd w:id="473"/>
      <w:bookmarkEnd w:id="474"/>
      <w:bookmarkEnd w:id="475"/>
      <w:bookmarkEnd w:id="476"/>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与合同有关的一切税费</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均按照中华人民共和国法律的相关规定缴纳。</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77" w:name="_Toc7315"/>
      <w:bookmarkStart w:id="478" w:name="_Toc26883"/>
      <w:bookmarkStart w:id="479" w:name="_Toc14814"/>
      <w:bookmarkStart w:id="480" w:name="_Toc25525"/>
      <w:bookmarkStart w:id="481" w:name="_Toc30105"/>
      <w:r>
        <w:rPr>
          <w:rFonts w:ascii="宋体" w:hAnsi="宋体"/>
          <w:b/>
          <w:color w:val="000000" w:themeColor="text1"/>
          <w:sz w:val="24"/>
          <w:highlight w:val="none"/>
          <w14:textFill>
            <w14:solidFill>
              <w14:schemeClr w14:val="tx1"/>
            </w14:solidFill>
          </w14:textFill>
        </w:rPr>
        <w:t>2.13 乙方破产</w:t>
      </w:r>
      <w:bookmarkEnd w:id="477"/>
      <w:bookmarkEnd w:id="478"/>
      <w:bookmarkEnd w:id="479"/>
      <w:bookmarkEnd w:id="480"/>
      <w:bookmarkEnd w:id="481"/>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如果乙方破产导致合同无法履行时，甲方可以书面形式通知乙方终止合同且不给予乙方任何补偿和赔偿</w:t>
      </w:r>
      <w:r>
        <w:rPr>
          <w:rFonts w:hint="eastAsia" w:ascii="宋体" w:hAnsi="宋体"/>
          <w:color w:val="000000" w:themeColor="text1"/>
          <w:sz w:val="24"/>
          <w:highlight w:val="none"/>
          <w14:textFill>
            <w14:solidFill>
              <w14:schemeClr w14:val="tx1"/>
            </w14:solidFill>
          </w14:textFill>
        </w:rPr>
        <w:t>，但合同的</w:t>
      </w:r>
      <w:r>
        <w:rPr>
          <w:rFonts w:ascii="宋体" w:hAnsi="宋体"/>
          <w:color w:val="000000" w:themeColor="text1"/>
          <w:sz w:val="24"/>
          <w:highlight w:val="none"/>
          <w14:textFill>
            <w14:solidFill>
              <w14:schemeClr w14:val="tx1"/>
            </w14:solidFill>
          </w14:textFill>
        </w:rPr>
        <w:t>终止不损害或不影响甲方已经采取或将要采取的任何要求乙方支付违约金</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赔偿损失等的行动或补救措施的权利</w:t>
      </w:r>
      <w:r>
        <w:rPr>
          <w:rFonts w:hint="eastAsia" w:ascii="宋体" w:hAnsi="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82" w:name="_Toc23323"/>
      <w:bookmarkStart w:id="483" w:name="_Toc1123"/>
      <w:bookmarkStart w:id="484" w:name="_Toc2016"/>
      <w:r>
        <w:rPr>
          <w:rFonts w:ascii="宋体" w:hAnsi="宋体"/>
          <w:b/>
          <w:color w:val="000000" w:themeColor="text1"/>
          <w:sz w:val="24"/>
          <w:highlight w:val="none"/>
          <w14:textFill>
            <w14:solidFill>
              <w14:schemeClr w14:val="tx1"/>
            </w14:solidFill>
          </w14:textFill>
        </w:rPr>
        <w:t>2.14 合同中止、终止</w:t>
      </w:r>
      <w:bookmarkEnd w:id="482"/>
      <w:bookmarkEnd w:id="483"/>
      <w:bookmarkEnd w:id="484"/>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2.14.1 </w:t>
      </w:r>
      <w:r>
        <w:rPr>
          <w:rFonts w:hint="eastAsia" w:ascii="宋体" w:hAnsi="宋体"/>
          <w:color w:val="000000" w:themeColor="text1"/>
          <w:sz w:val="24"/>
          <w:highlight w:val="none"/>
          <w14:textFill>
            <w14:solidFill>
              <w14:schemeClr w14:val="tx1"/>
            </w14:solidFill>
          </w14:textFill>
        </w:rPr>
        <w:t>双方当事人不得擅自中止或者终止合同；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85" w:name="_Toc14525"/>
      <w:bookmarkStart w:id="486" w:name="_Toc17363"/>
      <w:bookmarkStart w:id="487" w:name="_Toc1969"/>
      <w:r>
        <w:rPr>
          <w:rFonts w:ascii="宋体" w:hAnsi="宋体"/>
          <w:b/>
          <w:color w:val="000000" w:themeColor="text1"/>
          <w:sz w:val="24"/>
          <w:highlight w:val="none"/>
          <w14:textFill>
            <w14:solidFill>
              <w14:schemeClr w14:val="tx1"/>
            </w14:solidFill>
          </w14:textFill>
        </w:rPr>
        <w:t>2.15 检验和验收</w:t>
      </w:r>
      <w:bookmarkEnd w:id="485"/>
      <w:bookmarkEnd w:id="486"/>
      <w:bookmarkEnd w:id="487"/>
    </w:p>
    <w:p>
      <w:pPr>
        <w:tabs>
          <w:tab w:val="left" w:pos="360"/>
          <w:tab w:val="left" w:pos="540"/>
          <w:tab w:val="left" w:pos="1080"/>
        </w:tabs>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2.15.1 </w:t>
      </w:r>
      <w:r>
        <w:rPr>
          <w:rFonts w:hint="eastAsia" w:ascii="宋体" w:hAnsi="宋体"/>
          <w:color w:val="000000" w:themeColor="text1"/>
          <w:sz w:val="24"/>
          <w:highlight w:val="none"/>
          <w14:textFill>
            <w14:solidFill>
              <w14:schemeClr w14:val="tx1"/>
            </w14:solidFill>
          </w14:textFill>
        </w:rPr>
        <w:t>乙方按照</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的约定</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定期提交服务报告</w:t>
      </w:r>
      <w:r>
        <w:rPr>
          <w:rFonts w:hint="eastAsia" w:ascii="宋体" w:hAnsi="宋体"/>
          <w:color w:val="000000" w:themeColor="text1"/>
          <w:sz w:val="24"/>
          <w:highlight w:val="none"/>
          <w14:textFill>
            <w14:solidFill>
              <w14:schemeClr w14:val="tx1"/>
            </w14:solidFill>
          </w14:textFill>
        </w:rPr>
        <w:t>，甲方按照</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的约定进行定期验收</w:t>
      </w:r>
      <w:r>
        <w:rPr>
          <w:rFonts w:hint="eastAsia" w:ascii="宋体" w:hAnsi="宋体"/>
          <w:color w:val="000000" w:themeColor="text1"/>
          <w:sz w:val="24"/>
          <w:highlight w:val="none"/>
          <w14:textFill>
            <w14:solidFill>
              <w14:schemeClr w14:val="tx1"/>
            </w14:solidFill>
          </w14:textFill>
        </w:rPr>
        <w:t>；</w:t>
      </w:r>
    </w:p>
    <w:p>
      <w:pPr>
        <w:tabs>
          <w:tab w:val="left" w:pos="360"/>
          <w:tab w:val="left" w:pos="540"/>
          <w:tab w:val="left" w:pos="1080"/>
        </w:tabs>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2.15.2 </w:t>
      </w:r>
      <w:r>
        <w:rPr>
          <w:rFonts w:hint="eastAsia" w:ascii="宋体" w:hAnsi="宋体"/>
          <w:color w:val="000000" w:themeColor="text1"/>
          <w:sz w:val="24"/>
          <w:highlight w:val="none"/>
          <w14:textFill>
            <w14:solidFill>
              <w14:schemeClr w14:val="tx1"/>
            </w14:solidFill>
          </w14:textFill>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2.15.3 </w:t>
      </w:r>
      <w:r>
        <w:rPr>
          <w:rFonts w:hint="eastAsia" w:ascii="宋体" w:hAnsi="宋体"/>
          <w:color w:val="000000" w:themeColor="text1"/>
          <w:sz w:val="24"/>
          <w:highlight w:val="none"/>
          <w14:textFill>
            <w14:solidFill>
              <w14:schemeClr w14:val="tx1"/>
            </w14:solidFill>
          </w14:textFill>
        </w:rPr>
        <w:t>检验和验收标准、程序等具体内容以及前述验收书的效力详见</w:t>
      </w:r>
      <w:r>
        <w:rPr>
          <w:rFonts w:ascii="宋体" w:hAnsi="宋体"/>
          <w:b/>
          <w:i/>
          <w:color w:val="000000" w:themeColor="text1"/>
          <w:sz w:val="24"/>
          <w:highlight w:val="none"/>
          <w:u w:val="single"/>
          <w14:textFill>
            <w14:solidFill>
              <w14:schemeClr w14:val="tx1"/>
            </w14:solidFill>
          </w14:textFill>
        </w:rPr>
        <w:t>合同专用条款</w:t>
      </w:r>
      <w:r>
        <w:rPr>
          <w:rFonts w:hint="eastAsia" w:ascii="宋体" w:hAnsi="宋体"/>
          <w:i/>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88" w:name="_Toc9808"/>
      <w:bookmarkStart w:id="489" w:name="_Toc31892"/>
      <w:bookmarkStart w:id="490" w:name="_Toc12666"/>
      <w:bookmarkStart w:id="491" w:name="_Toc2308"/>
      <w:bookmarkStart w:id="492" w:name="_Toc25198"/>
      <w:r>
        <w:rPr>
          <w:rFonts w:ascii="宋体" w:hAnsi="宋体"/>
          <w:b/>
          <w:color w:val="000000" w:themeColor="text1"/>
          <w:sz w:val="24"/>
          <w:highlight w:val="none"/>
          <w14:textFill>
            <w14:solidFill>
              <w14:schemeClr w14:val="tx1"/>
            </w14:solidFill>
          </w14:textFill>
        </w:rPr>
        <w:t>2.16 通知和送达</w:t>
      </w:r>
      <w:bookmarkEnd w:id="488"/>
      <w:bookmarkEnd w:id="489"/>
      <w:bookmarkEnd w:id="490"/>
      <w:bookmarkEnd w:id="491"/>
      <w:bookmarkEnd w:id="492"/>
    </w:p>
    <w:p>
      <w:pPr>
        <w:spacing w:line="560" w:lineRule="exact"/>
        <w:ind w:firstLine="480" w:firstLineChars="200"/>
        <w:rPr>
          <w:rFonts w:ascii="宋体" w:hAnsi="宋体"/>
          <w:color w:val="000000" w:themeColor="text1"/>
          <w:sz w:val="24"/>
          <w:highlight w:val="none"/>
          <w14:textFill>
            <w14:solidFill>
              <w14:schemeClr w14:val="tx1"/>
            </w14:solidFill>
          </w14:textFill>
        </w:rPr>
      </w:pPr>
      <w:bookmarkStart w:id="493" w:name="_Toc27674"/>
      <w:bookmarkStart w:id="494" w:name="_Toc18401"/>
      <w:r>
        <w:rPr>
          <w:rFonts w:ascii="宋体" w:hAnsi="宋体"/>
          <w:color w:val="000000" w:themeColor="text1"/>
          <w:sz w:val="24"/>
          <w:highlight w:val="none"/>
          <w14:textFill>
            <w14:solidFill>
              <w14:schemeClr w14:val="tx1"/>
            </w14:solidFill>
          </w14:textFill>
        </w:rPr>
        <w:t>2.17.1</w:t>
      </w:r>
      <w:r>
        <w:rPr>
          <w:rFonts w:hint="eastAsia" w:ascii="宋体" w:hAnsi="宋体"/>
          <w:color w:val="000000" w:themeColor="text1"/>
          <w:sz w:val="24"/>
          <w:highlight w:val="none"/>
          <w14:textFill>
            <w14:solidFill>
              <w14:schemeClr w14:val="tx1"/>
            </w14:solidFill>
          </w14:textFill>
        </w:rPr>
        <w:t>任何一方因履行合同而以合同第一部分尾部所列明的传真或电子邮件</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ascii="宋体" w:hAnsi="宋体"/>
          <w:color w:val="000000" w:themeColor="text1"/>
          <w:sz w:val="24"/>
          <w:highlight w:val="none"/>
          <w:u w:val="singl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000000" w:themeColor="text1"/>
          <w:sz w:val="24"/>
          <w:highlight w:val="none"/>
          <w14:textFill>
            <w14:solidFill>
              <w14:schemeClr w14:val="tx1"/>
            </w14:solidFill>
          </w14:textFill>
        </w:rPr>
        <w:t>的，邮件挂号寄出或者交邮之日之次日视为送达。</w:t>
      </w:r>
      <w:bookmarkEnd w:id="493"/>
      <w:bookmarkEnd w:id="494"/>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95" w:name="_Toc5063"/>
      <w:bookmarkStart w:id="496" w:name="_Toc20808"/>
      <w:bookmarkStart w:id="497" w:name="_Toc12254"/>
      <w:bookmarkStart w:id="498" w:name="_Toc28906"/>
      <w:bookmarkStart w:id="499" w:name="_Toc27644"/>
      <w:r>
        <w:rPr>
          <w:rFonts w:ascii="宋体" w:hAnsi="宋体"/>
          <w:b/>
          <w:color w:val="000000" w:themeColor="text1"/>
          <w:sz w:val="24"/>
          <w:highlight w:val="none"/>
          <w14:textFill>
            <w14:solidFill>
              <w14:schemeClr w14:val="tx1"/>
            </w14:solidFill>
          </w14:textFill>
        </w:rPr>
        <w:t xml:space="preserve">2.17 </w:t>
      </w:r>
      <w:r>
        <w:rPr>
          <w:rFonts w:hint="eastAsia" w:ascii="宋体" w:hAnsi="宋体"/>
          <w:b/>
          <w:color w:val="000000" w:themeColor="text1"/>
          <w:sz w:val="24"/>
          <w:highlight w:val="none"/>
          <w14:textFill>
            <w14:solidFill>
              <w14:schemeClr w14:val="tx1"/>
            </w14:solidFill>
          </w14:textFill>
        </w:rPr>
        <w:t>合同使用的文字和</w:t>
      </w:r>
      <w:r>
        <w:rPr>
          <w:rFonts w:ascii="宋体" w:hAnsi="宋体"/>
          <w:b/>
          <w:color w:val="000000" w:themeColor="text1"/>
          <w:sz w:val="24"/>
          <w:highlight w:val="none"/>
          <w14:textFill>
            <w14:solidFill>
              <w14:schemeClr w14:val="tx1"/>
            </w14:solidFill>
          </w14:textFill>
        </w:rPr>
        <w:t>适用的法律</w:t>
      </w:r>
      <w:bookmarkEnd w:id="495"/>
      <w:bookmarkEnd w:id="496"/>
      <w:bookmarkEnd w:id="497"/>
      <w:bookmarkEnd w:id="498"/>
      <w:bookmarkEnd w:id="499"/>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2.17.1 合同使用汉语书就</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变更和解释</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2.17.2 </w:t>
      </w:r>
      <w:r>
        <w:rPr>
          <w:rFonts w:hint="eastAsia" w:ascii="宋体" w:hAnsi="宋体"/>
          <w:color w:val="000000" w:themeColor="text1"/>
          <w:sz w:val="24"/>
          <w:highlight w:val="none"/>
          <w14:textFill>
            <w14:solidFill>
              <w14:schemeClr w14:val="tx1"/>
            </w14:solidFill>
          </w14:textFill>
        </w:rPr>
        <w:t>合同适用</w:t>
      </w:r>
      <w:r>
        <w:rPr>
          <w:rFonts w:ascii="宋体" w:hAnsi="宋体"/>
          <w:color w:val="000000" w:themeColor="text1"/>
          <w:sz w:val="24"/>
          <w:highlight w:val="none"/>
          <w14:textFill>
            <w14:solidFill>
              <w14:schemeClr w14:val="tx1"/>
            </w14:solidFill>
          </w14:textFill>
        </w:rPr>
        <w:t>中华人民共和国法律。</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00" w:name="_Toc18540"/>
      <w:bookmarkStart w:id="501" w:name="_Toc4355"/>
      <w:bookmarkStart w:id="502" w:name="_Toc30599"/>
      <w:r>
        <w:rPr>
          <w:rFonts w:hint="eastAsia" w:ascii="宋体" w:hAnsi="宋体" w:cs="宋体"/>
          <w:b/>
          <w:color w:val="000000" w:themeColor="text1"/>
          <w:sz w:val="24"/>
          <w:highlight w:val="none"/>
          <w14:textFill>
            <w14:solidFill>
              <w14:schemeClr w14:val="tx1"/>
            </w14:solidFill>
          </w14:textFill>
        </w:rPr>
        <w:t>2.18 计量单位</w:t>
      </w:r>
      <w:bookmarkEnd w:id="500"/>
      <w:bookmarkEnd w:id="501"/>
      <w:bookmarkEnd w:id="502"/>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除技术规范中另有规定外,合同的计量单位均使用国家法定计量单位。</w:t>
      </w:r>
    </w:p>
    <w:p>
      <w:pPr>
        <w:spacing w:line="560" w:lineRule="exact"/>
        <w:ind w:firstLine="482" w:firstLineChars="2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2.</w:t>
      </w:r>
      <w:r>
        <w:rPr>
          <w:rFonts w:hint="eastAsia" w:ascii="宋体" w:hAnsi="宋体"/>
          <w:b/>
          <w:color w:val="000000" w:themeColor="text1"/>
          <w:sz w:val="24"/>
          <w:highlight w:val="none"/>
          <w14:textFill>
            <w14:solidFill>
              <w14:schemeClr w14:val="tx1"/>
            </w14:solidFill>
          </w14:textFill>
        </w:rPr>
        <w:t>19</w:t>
      </w:r>
      <w:r>
        <w:rPr>
          <w:rFonts w:ascii="宋体" w:hAnsi="宋体"/>
          <w:b/>
          <w:color w:val="000000" w:themeColor="text1"/>
          <w:sz w:val="24"/>
          <w:highlight w:val="none"/>
          <w14:textFill>
            <w14:solidFill>
              <w14:schemeClr w14:val="tx1"/>
            </w14:solidFill>
          </w14:textFill>
        </w:rPr>
        <w:t>合同份数</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合同份数按</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规定</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每份均具有同等法律效力</w:t>
      </w:r>
      <w:r>
        <w:rPr>
          <w:rFonts w:hint="eastAsia" w:ascii="宋体" w:hAnsi="宋体"/>
          <w:color w:val="000000" w:themeColor="text1"/>
          <w:sz w:val="24"/>
          <w:highlight w:val="none"/>
          <w14:textFill>
            <w14:solidFill>
              <w14:schemeClr w14:val="tx1"/>
            </w14:solidFill>
          </w14:textFill>
        </w:rPr>
        <w:t>。</w:t>
      </w:r>
    </w:p>
    <w:p>
      <w:pPr>
        <w:spacing w:line="360" w:lineRule="auto"/>
        <w:jc w:val="center"/>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br w:type="page"/>
      </w:r>
      <w:bookmarkStart w:id="503" w:name="_Toc331685784"/>
      <w:r>
        <w:rPr>
          <w:rFonts w:hint="eastAsia" w:ascii="宋体" w:hAnsi="宋体" w:cs="宋体"/>
          <w:b/>
          <w:color w:val="000000" w:themeColor="text1"/>
          <w:sz w:val="24"/>
          <w:highlight w:val="none"/>
          <w14:textFill>
            <w14:solidFill>
              <w14:schemeClr w14:val="tx1"/>
            </w14:solidFill>
          </w14:textFill>
        </w:rPr>
        <w:t xml:space="preserve"> </w:t>
      </w:r>
      <w:bookmarkEnd w:id="503"/>
      <w:r>
        <w:rPr>
          <w:rFonts w:hint="eastAsia" w:ascii="宋体" w:hAnsi="宋体" w:cs="宋体"/>
          <w:b/>
          <w:color w:val="000000" w:themeColor="text1"/>
          <w:sz w:val="24"/>
          <w:highlight w:val="none"/>
          <w14:textFill>
            <w14:solidFill>
              <w14:schemeClr w14:val="tx1"/>
            </w14:solidFill>
          </w14:textFill>
        </w:rPr>
        <w:t>第三部分  合同专用条款</w:t>
      </w:r>
    </w:p>
    <w:p>
      <w:pPr>
        <w:spacing w:line="560" w:lineRule="exact"/>
        <w:ind w:left="-420" w:leftChars="-200" w:right="-420" w:rightChars="-200"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5"/>
        <w:gridCol w:w="8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534" w:type="pct"/>
            <w:tcBorders>
              <w:left w:val="single" w:color="auto" w:sz="4" w:space="0"/>
            </w:tcBorders>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条款号</w:t>
            </w:r>
          </w:p>
        </w:tc>
        <w:tc>
          <w:tcPr>
            <w:tcW w:w="4465" w:type="pct"/>
            <w:vAlign w:val="center"/>
          </w:tcPr>
          <w:p>
            <w:pPr>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1.3.2</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1.4.2</w:t>
            </w:r>
          </w:p>
        </w:tc>
        <w:tc>
          <w:tcPr>
            <w:tcW w:w="4465" w:type="pct"/>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本项目无履约</w:t>
            </w:r>
            <w:r>
              <w:rPr>
                <w:rFonts w:hint="eastAsia" w:ascii="宋体" w:hAnsi="宋体" w:cs="宋体"/>
                <w:color w:val="000000" w:themeColor="text1"/>
                <w:sz w:val="24"/>
                <w:highlight w:val="none"/>
                <w:lang w:val="en-US" w:eastAsia="zh-CN"/>
                <w14:textFill>
                  <w14:solidFill>
                    <w14:schemeClr w14:val="tx1"/>
                  </w14:solidFill>
                </w14:textFill>
              </w:rPr>
              <w:t>合同价的1%（即：¥</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元）</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kern w:val="0"/>
                <w:sz w:val="24"/>
                <w:highlight w:val="none"/>
                <w14:textFill>
                  <w14:solidFill>
                    <w14:schemeClr w14:val="tx1"/>
                  </w14:solidFill>
                </w14:textFill>
              </w:rPr>
              <w:t>以支票、汇票、本票或者金融机构、担保机构出具的保函等非现金形式提交</w:t>
            </w:r>
            <w:r>
              <w:rPr>
                <w:rFonts w:hint="eastAsia" w:ascii="宋体" w:hAnsi="宋体" w:cs="宋体"/>
                <w:color w:val="000000" w:themeColor="text1"/>
                <w:kern w:val="0"/>
                <w:sz w:val="24"/>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6"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1.5.1</w:t>
            </w:r>
          </w:p>
        </w:tc>
        <w:tc>
          <w:tcPr>
            <w:tcW w:w="4465" w:type="pct"/>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合同签订后的五个工作日内，</w:t>
            </w:r>
            <w:r>
              <w:rPr>
                <w:rFonts w:hint="eastAsia" w:ascii="宋体" w:hAnsi="宋体" w:cs="宋体"/>
                <w:color w:val="000000" w:themeColor="text1"/>
                <w:sz w:val="24"/>
                <w:highlight w:val="none"/>
                <w:lang w:val="en-US" w:eastAsia="zh-CN"/>
                <w14:textFill>
                  <w14:solidFill>
                    <w14:schemeClr w14:val="tx1"/>
                  </w14:solidFill>
                </w14:textFill>
              </w:rPr>
              <w:t>甲方</w:t>
            </w:r>
            <w:r>
              <w:rPr>
                <w:rFonts w:hint="eastAsia" w:ascii="宋体" w:hAnsi="宋体" w:eastAsia="宋体" w:cs="宋体"/>
                <w:color w:val="000000" w:themeColor="text1"/>
                <w:sz w:val="24"/>
                <w:highlight w:val="none"/>
                <w:lang w:eastAsia="zh-CN"/>
                <w14:textFill>
                  <w14:solidFill>
                    <w14:schemeClr w14:val="tx1"/>
                  </w14:solidFill>
                </w14:textFill>
              </w:rPr>
              <w:t>支付</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eastAsia="宋体" w:cs="宋体"/>
                <w:color w:val="000000" w:themeColor="text1"/>
                <w:sz w:val="24"/>
                <w:highlight w:val="none"/>
                <w:lang w:eastAsia="zh-CN"/>
                <w14:textFill>
                  <w14:solidFill>
                    <w14:schemeClr w14:val="tx1"/>
                  </w14:solidFill>
                </w14:textFill>
              </w:rPr>
              <w:t>合同设计费和采购提升费和“</w:t>
            </w:r>
            <w:r>
              <w:rPr>
                <w:rFonts w:hint="eastAsia" w:ascii="宋体" w:hAnsi="宋体" w:cs="宋体"/>
                <w:color w:val="000000" w:themeColor="text1"/>
                <w:sz w:val="24"/>
                <w:highlight w:val="none"/>
                <w:lang w:val="en-US" w:eastAsia="zh-CN"/>
                <w14:textFill>
                  <w14:solidFill>
                    <w14:schemeClr w14:val="tx1"/>
                  </w14:solidFill>
                </w14:textFill>
              </w:rPr>
              <w:t>一年</w:t>
            </w:r>
            <w:r>
              <w:rPr>
                <w:rFonts w:hint="eastAsia" w:ascii="宋体" w:hAnsi="宋体" w:eastAsia="宋体" w:cs="宋体"/>
                <w:color w:val="000000" w:themeColor="text1"/>
                <w:sz w:val="24"/>
                <w:highlight w:val="none"/>
                <w:lang w:eastAsia="zh-CN"/>
                <w14:textFill>
                  <w14:solidFill>
                    <w14:schemeClr w14:val="tx1"/>
                  </w14:solidFill>
                </w14:textFill>
              </w:rPr>
              <w:t>运营管理费”的40%预付款</w:t>
            </w:r>
            <w:r>
              <w:rPr>
                <w:rFonts w:hint="eastAsia" w:ascii="宋体" w:hAnsi="宋体" w:cs="宋体"/>
                <w:color w:val="000000" w:themeColor="text1"/>
                <w:sz w:val="24"/>
                <w:highlight w:val="none"/>
                <w:lang w:val="en-US" w:eastAsia="zh-CN"/>
                <w14:textFill>
                  <w14:solidFill>
                    <w14:schemeClr w14:val="tx1"/>
                  </w14:solidFill>
                </w14:textFill>
              </w:rPr>
              <w:t>（即：大写：</w:t>
            </w:r>
            <w:r>
              <w:rPr>
                <w:rFonts w:hint="eastAsia" w:ascii="宋体" w:hAnsi="宋体" w:cs="宋体"/>
                <w:color w:val="000000" w:themeColor="text1"/>
                <w:sz w:val="24"/>
                <w:highlight w:val="none"/>
                <w:u w:val="single"/>
                <w:lang w:val="en-US" w:eastAsia="zh-CN"/>
                <w14:textFill>
                  <w14:solidFill>
                    <w14:schemeClr w14:val="tx1"/>
                  </w14:solidFill>
                </w14:textFill>
              </w:rPr>
              <w:t xml:space="preserve">       ；小写</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元）</w:t>
            </w:r>
            <w:r>
              <w:rPr>
                <w:rFonts w:hint="eastAsia" w:ascii="宋体" w:hAnsi="宋体" w:cs="宋体"/>
                <w:color w:val="000000" w:themeColor="text1"/>
                <w:sz w:val="24"/>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1.5.2</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将分</w:t>
            </w:r>
            <w:r>
              <w:rPr>
                <w:rFonts w:hint="eastAsia" w:ascii="宋体" w:hAnsi="宋体" w:cs="宋体"/>
                <w:color w:val="000000" w:themeColor="text1"/>
                <w:sz w:val="24"/>
                <w:highlight w:val="none"/>
                <w:lang w:val="en-US" w:eastAsia="zh-CN"/>
                <w14:textFill>
                  <w14:solidFill>
                    <w14:schemeClr w14:val="tx1"/>
                  </w14:solidFill>
                </w14:textFill>
              </w:rPr>
              <w:t>半年</w:t>
            </w:r>
            <w:r>
              <w:rPr>
                <w:rFonts w:hint="eastAsia" w:ascii="宋体" w:hAnsi="宋体" w:cs="宋体"/>
                <w:color w:val="000000" w:themeColor="text1"/>
                <w:sz w:val="24"/>
                <w:highlight w:val="none"/>
                <w14:textFill>
                  <w14:solidFill>
                    <w14:schemeClr w14:val="tx1"/>
                  </w14:solidFill>
                </w14:textFill>
              </w:rPr>
              <w:t>在</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应支付给</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的费用中抵扣</w:t>
            </w:r>
            <w:r>
              <w:rPr>
                <w:rFonts w:hint="eastAsia" w:ascii="宋体" w:hAnsi="宋体" w:cs="宋体"/>
                <w:color w:val="000000" w:themeColor="text1"/>
                <w:sz w:val="24"/>
                <w:highlight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1.5.3</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1.6.2</w:t>
            </w:r>
          </w:p>
        </w:tc>
        <w:tc>
          <w:tcPr>
            <w:tcW w:w="4465" w:type="pct"/>
            <w:vAlign w:val="center"/>
          </w:tcPr>
          <w:p>
            <w:pPr>
              <w:spacing w:line="360" w:lineRule="auto"/>
              <w:rPr>
                <w:rFonts w:hint="default" w:ascii="宋体" w:hAnsi="宋体" w:eastAsia="宋体" w:cs="宋体"/>
                <w:color w:val="000000" w:themeColor="text1"/>
                <w:sz w:val="24"/>
                <w:highlight w:val="none"/>
                <w:lang w:val="en-US"/>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详见第2.5条付款进度安排。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1.7.1</w:t>
            </w:r>
          </w:p>
        </w:tc>
        <w:tc>
          <w:tcPr>
            <w:tcW w:w="4465" w:type="pct"/>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总服务期85日历天（其中合同签订后20日历天内完成提升设计深化方案；深化方案完成后65日历天内完成设备材料的采购安装与现场施工）；</w:t>
            </w:r>
            <w:r>
              <w:rPr>
                <w:rFonts w:hint="eastAsia" w:ascii="宋体" w:hAnsi="宋体" w:eastAsia="宋体" w:cs="宋体"/>
                <w:b w:val="0"/>
                <w:bCs w:val="0"/>
                <w:color w:val="000000" w:themeColor="text1"/>
                <w:sz w:val="24"/>
                <w:highlight w:val="none"/>
                <w:shd w:val="clear" w:color="auto" w:fill="auto"/>
                <w:lang w:val="en-US" w:eastAsia="zh-CN"/>
                <w14:textFill>
                  <w14:solidFill>
                    <w14:schemeClr w14:val="tx1"/>
                  </w14:solidFill>
                </w14:textFill>
              </w:rPr>
              <w:t>运营期限3年。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1.7.2</w:t>
            </w:r>
          </w:p>
        </w:tc>
        <w:tc>
          <w:tcPr>
            <w:tcW w:w="4465" w:type="pct"/>
            <w:vAlign w:val="center"/>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杭州市萧山区</w:t>
            </w:r>
            <w:r>
              <w:rPr>
                <w:rFonts w:hint="eastAsia" w:ascii="宋体" w:hAnsi="宋体" w:cs="宋体"/>
                <w:color w:val="000000" w:themeColor="text1"/>
                <w:sz w:val="24"/>
                <w:highlight w:val="none"/>
                <w:lang w:val="en-US" w:eastAsia="zh-CN"/>
                <w14:textFill>
                  <w14:solidFill>
                    <w14:schemeClr w14:val="tx1"/>
                  </w14:solidFill>
                </w14:textFill>
              </w:rPr>
              <w:t>瓜沥镇</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大梅林</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辖区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1.7.3</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按甲方的指示交付；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1.7.4.1</w:t>
            </w:r>
          </w:p>
        </w:tc>
        <w:tc>
          <w:tcPr>
            <w:tcW w:w="4465" w:type="pct"/>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1.7.4.2</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1.7.4.3</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1.8.7</w:t>
            </w:r>
          </w:p>
        </w:tc>
        <w:tc>
          <w:tcPr>
            <w:tcW w:w="4465" w:type="pct"/>
            <w:vAlign w:val="center"/>
          </w:tcPr>
          <w:p>
            <w:pPr>
              <w:pStyle w:val="2"/>
              <w:widowControl w:val="0"/>
              <w:wordWrap/>
              <w:adjustRightInd w:val="0"/>
              <w:spacing w:line="360" w:lineRule="auto"/>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（1）甲方无正当理由拒收接受服务的，甲方向乙方偿付合同款项百分之五作为违约金。</w:t>
            </w:r>
          </w:p>
          <w:p>
            <w:pPr>
              <w:pStyle w:val="2"/>
              <w:widowControl w:val="0"/>
              <w:wordWrap/>
              <w:adjustRightInd w:val="0"/>
              <w:spacing w:line="360" w:lineRule="auto"/>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（2）甲方无故逾期验收和办理款项支付手续的,甲方应按逾期付款总额每日万分之五向乙方支付违约金。</w:t>
            </w:r>
          </w:p>
          <w:p>
            <w:pPr>
              <w:pStyle w:val="2"/>
              <w:widowControl w:val="0"/>
              <w:wordWrap/>
              <w:adjustRightInd w:val="0"/>
              <w:spacing w:line="360" w:lineRule="auto"/>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3）乙方未能如期提供服务的，每日向甲方支付合同款项的千分之六作为违约金。乙方超过约定日期10个工作日仍不能提供服务的，甲方有权单方解除本合同。乙方因未能如期提供服务或因其他违约行为导致甲方解除合同的，乙方应向甲方支付合同总值的百分之五作为违约金；如造成甲方损失超过违约金的，超出部分由乙方继续承担赔偿责任。</w:t>
            </w:r>
          </w:p>
          <w:p>
            <w:pPr>
              <w:pStyle w:val="2"/>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（4）乙方在服务期内，执行本项目过程中必须接受甲方和有关部门的检查和监督。甲方发现乙方有违反合同约定的，有权单方终止合同。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1.9.1</w:t>
            </w:r>
          </w:p>
        </w:tc>
        <w:tc>
          <w:tcPr>
            <w:tcW w:w="4465" w:type="pct"/>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因履行本合同发生争议的，应双方友好协调解决。无法协商解决的，任何一方均可向合同履行地人民法院提起诉讼。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1.9.2</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w:t>
            </w:r>
          </w:p>
        </w:tc>
        <w:tc>
          <w:tcPr>
            <w:tcW w:w="4465" w:type="pct"/>
            <w:vAlign w:val="center"/>
          </w:tcPr>
          <w:p>
            <w:pPr>
              <w:spacing w:line="360" w:lineRule="auto"/>
              <w:ind w:left="-420" w:leftChars="-200" w:right="-420" w:rightChars="-200"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合同涉及技术成果的归属和收益等所有权益归甲方。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w:t>
            </w:r>
          </w:p>
        </w:tc>
        <w:tc>
          <w:tcPr>
            <w:tcW w:w="4465"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付款进度安排</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（1）预付款：合同签订后的五个工作日内，</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甲方</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支付合同设计费和采购提升费和“一年运营管理费”的40%预付款；</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预付款扣回：</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将分</w:t>
            </w:r>
            <w:r>
              <w:rPr>
                <w:rFonts w:hint="eastAsia" w:ascii="宋体" w:hAnsi="宋体" w:cs="宋体"/>
                <w:color w:val="000000" w:themeColor="text1"/>
                <w:sz w:val="24"/>
                <w:highlight w:val="none"/>
                <w:lang w:val="en-US" w:eastAsia="zh-CN"/>
                <w14:textFill>
                  <w14:solidFill>
                    <w14:schemeClr w14:val="tx1"/>
                  </w14:solidFill>
                </w14:textFill>
              </w:rPr>
              <w:t>半年</w:t>
            </w:r>
            <w:r>
              <w:rPr>
                <w:rFonts w:hint="eastAsia" w:ascii="宋体" w:hAnsi="宋体" w:cs="宋体"/>
                <w:color w:val="000000" w:themeColor="text1"/>
                <w:sz w:val="24"/>
                <w:highlight w:val="none"/>
                <w14:textFill>
                  <w14:solidFill>
                    <w14:schemeClr w14:val="tx1"/>
                  </w14:solidFill>
                </w14:textFill>
              </w:rPr>
              <w:t>在</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应支付给</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的费用中抵扣</w:t>
            </w:r>
            <w:r>
              <w:rPr>
                <w:rFonts w:hint="eastAsia" w:ascii="宋体" w:hAnsi="宋体" w:cs="宋体"/>
                <w:color w:val="000000" w:themeColor="text1"/>
                <w:sz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（2）设计费支付：①整体设计方案经</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甲方</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审核通过支付至“设计费总额”的70%；②采购提升项目完工后，支付至设计费总额的90%；③运营服务期满1年后，支付至设计费总额的100%；</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（3）采购提升费支付：①完成采购提升并经甲方验收合格后15个工作日内支付至“采购提升费用”的80%；②运营服务期满1年后，支付至采购提升费总额的100%；</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（4）运营费</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支付：①</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根据考核结果扣除相应款项后按半年支付1次</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实际运营费的90%（其中80%全额支付，10%根据“运营服务内容完成情况满意度考核”结果得分</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（详见考核结果支付标准）</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扣除处罚金后，支付剩余款项）②3年营运费总价的10%，根据</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“产值绩效考核”结果得分（详见考核结果支付标准），扣除处罚金且项目验收后</w:t>
            </w:r>
            <w:r>
              <w:rPr>
                <w:rFonts w:hint="eastAsia" w:ascii="宋体" w:hAnsi="宋体" w:eastAsia="宋体" w:cs="宋体"/>
                <w:color w:val="000000" w:themeColor="text1"/>
                <w:sz w:val="24"/>
                <w:highlight w:val="none"/>
                <w:lang w:val="en-US" w:eastAsia="zh-CN"/>
                <w14:textFill>
                  <w14:solidFill>
                    <w14:schemeClr w14:val="tx1"/>
                  </w14:solidFill>
                </w14:textFill>
              </w:rPr>
              <w:t>一次性支付。</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考核结果支付标准:★“运营服务内容完成情况满意度考核”由</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甲方</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及梅林村、八里桥村、张潭村、山北村、车路湾村居民代表对</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乙方</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进行每半年1次的运营服务考核评价，其中（1）考核得分90分及以上的一次性付清剩余运营费用的10%；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（2）考核得分80分及以上的，扣除2%运营费用作为考核处罚金，一次性付清剩余运营费用的8%；</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（3）考核得分60分及以上的，扣除4%运营费用作为考核处罚金，一次性付清剩余运营费用的6%；</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（4）考核得分60分（不含）以下的，扣除5%运营费用作为考核处罚金；扣除5%运营费用作为考核处罚金，一次性付清剩余运营费用的5%；</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★“产值绩效考核”，3年营运服务期满，</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由</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甲方</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对</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乙方</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进行1次</w:t>
            </w:r>
            <w:r>
              <w:rPr>
                <w:rFonts w:hint="eastAsia" w:ascii="宋体" w:hAnsi="宋体" w:eastAsia="宋体" w:cs="宋体"/>
                <w:color w:val="000000" w:themeColor="text1"/>
                <w:sz w:val="24"/>
                <w:highlight w:val="none"/>
                <w:lang w:val="en-US" w:eastAsia="zh-CN"/>
                <w14:textFill>
                  <w14:solidFill>
                    <w14:schemeClr w14:val="tx1"/>
                  </w14:solidFill>
                </w14:textFill>
              </w:rPr>
              <w:t>考核</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评价，其中（1）考核得分60分（不含）以下的，10%的运营费用全部扣除作为考核处罚金；</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考核得分60分（含）及以上的得分，根据得分同比例扣除考核处罚金（如“考核得分为60分，即扣除4%，支付剩余6%”；如“得分为65分，即扣除3.5%，支付剩余6.5%”；以此类推），处罚金及支付剩余营运费用比例，具体计算公式如下：</w:t>
            </w:r>
          </w:p>
          <w:p>
            <w:pPr>
              <w:pStyle w:val="2"/>
              <w:widowControl w:val="0"/>
              <w:wordWrap/>
              <w:adjustRightInd w:val="0"/>
              <w:spacing w:line="360" w:lineRule="auto"/>
              <w:ind w:firstLine="480" w:firstLineChars="200"/>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①扣除处罚金（%）=1-（得分*10%）</w:t>
            </w:r>
          </w:p>
          <w:p>
            <w:pPr>
              <w:ind w:firstLine="480" w:firstLineChars="200"/>
              <w:rPr>
                <w:rFonts w:hint="default"/>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②支付剩余营运费（%）=得分*10%</w:t>
            </w:r>
          </w:p>
          <w:p>
            <w:pPr>
              <w:pStyle w:val="2"/>
              <w:widowControl w:val="0"/>
              <w:wordWrap/>
              <w:adjustRightInd w:val="0"/>
              <w:spacing w:line="360" w:lineRule="auto"/>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付款条件：</w:t>
            </w:r>
          </w:p>
          <w:p>
            <w:pPr>
              <w:keepNext w:val="0"/>
              <w:keepLines w:val="0"/>
              <w:pageBreakBefore w:val="0"/>
              <w:widowControl w:val="0"/>
              <w:tabs>
                <w:tab w:val="left" w:pos="0"/>
              </w:tabs>
              <w:kinsoku/>
              <w:wordWrap/>
              <w:overflowPunct/>
              <w:topLinePunct w:val="0"/>
              <w:autoSpaceDE/>
              <w:autoSpaceDN/>
              <w:bidi w:val="0"/>
              <w:adjustRightInd/>
              <w:snapToGrid w:val="0"/>
              <w:spacing w:line="360" w:lineRule="auto"/>
              <w:textAlignment w:val="auto"/>
              <w:outlineLvl w:val="1"/>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cs="宋体"/>
                <w:color w:val="000000" w:themeColor="text1"/>
                <w:sz w:val="24"/>
                <w:szCs w:val="24"/>
                <w:highlight w:val="none"/>
                <w14:textFill>
                  <w14:solidFill>
                    <w14:schemeClr w14:val="tx1"/>
                  </w14:solidFill>
                </w14:textFill>
              </w:rPr>
              <w:t>在收到</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cs="宋体"/>
                <w:color w:val="000000" w:themeColor="text1"/>
                <w:sz w:val="24"/>
                <w:szCs w:val="24"/>
                <w:highlight w:val="none"/>
                <w14:textFill>
                  <w14:solidFill>
                    <w14:schemeClr w14:val="tx1"/>
                  </w14:solidFill>
                </w14:textFill>
              </w:rPr>
              <w:t>开具的符合法律法规规定发票后，以转账支付的方式，支付给</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cs="宋体"/>
                <w:color w:val="000000" w:themeColor="text1"/>
                <w:sz w:val="24"/>
                <w:szCs w:val="24"/>
                <w:highlight w:val="none"/>
                <w14:textFill>
                  <w14:solidFill>
                    <w14:schemeClr w14:val="tx1"/>
                  </w14:solidFill>
                </w14:textFill>
              </w:rPr>
              <w:t>服务费。</w:t>
            </w:r>
            <w:r>
              <w:rPr>
                <w:rFonts w:hint="eastAsia" w:ascii="宋体" w:hAnsi="宋体" w:cs="宋体"/>
                <w:color w:val="000000" w:themeColor="text1"/>
                <w:sz w:val="24"/>
                <w:szCs w:val="24"/>
                <w:highlight w:val="none"/>
                <w:lang w:eastAsia="zh-CN"/>
                <w14:textFill>
                  <w14:solidFill>
                    <w14:schemeClr w14:val="tx1"/>
                  </w14:solidFill>
                </w14:textFill>
              </w:rPr>
              <w:t>乙方</w:t>
            </w:r>
            <w:r>
              <w:rPr>
                <w:rFonts w:hint="eastAsia" w:ascii="宋体" w:hAnsi="宋体" w:cs="宋体"/>
                <w:color w:val="000000" w:themeColor="text1"/>
                <w:sz w:val="24"/>
                <w:szCs w:val="24"/>
                <w:highlight w:val="none"/>
                <w14:textFill>
                  <w14:solidFill>
                    <w14:schemeClr w14:val="tx1"/>
                  </w14:solidFill>
                </w14:textFill>
              </w:rPr>
              <w:t>逾期开具发票或开具的发票不符合</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cs="宋体"/>
                <w:color w:val="000000" w:themeColor="text1"/>
                <w:sz w:val="24"/>
                <w:szCs w:val="24"/>
                <w:highlight w:val="none"/>
                <w14:textFill>
                  <w14:solidFill>
                    <w14:schemeClr w14:val="tx1"/>
                  </w14:solidFill>
                </w14:textFill>
              </w:rPr>
              <w:t>要求的，</w:t>
            </w:r>
            <w:r>
              <w:rPr>
                <w:rFonts w:hint="eastAsia" w:ascii="宋体" w:hAnsi="宋体" w:cs="宋体"/>
                <w:color w:val="000000" w:themeColor="text1"/>
                <w:sz w:val="24"/>
                <w:szCs w:val="24"/>
                <w:highlight w:val="none"/>
                <w:lang w:eastAsia="zh-CN"/>
                <w14:textFill>
                  <w14:solidFill>
                    <w14:schemeClr w14:val="tx1"/>
                  </w14:solidFill>
                </w14:textFill>
              </w:rPr>
              <w:t>甲方</w:t>
            </w:r>
            <w:r>
              <w:rPr>
                <w:rFonts w:hint="eastAsia" w:ascii="宋体" w:hAnsi="宋体" w:cs="宋体"/>
                <w:color w:val="000000" w:themeColor="text1"/>
                <w:sz w:val="24"/>
                <w:szCs w:val="24"/>
                <w:highlight w:val="none"/>
                <w14:textFill>
                  <w14:solidFill>
                    <w14:schemeClr w14:val="tx1"/>
                  </w14:solidFill>
                </w14:textFill>
              </w:rPr>
              <w:t>有权延迟付款时间，且该行为不视为违约</w:t>
            </w:r>
            <w:r>
              <w:rPr>
                <w:rFonts w:hint="eastAsia" w:ascii="宋体" w:hAnsi="宋体" w:eastAsia="宋体" w:cs="宋体"/>
                <w:b w:val="0"/>
                <w:bCs/>
                <w:color w:val="000000" w:themeColor="text1"/>
                <w:sz w:val="24"/>
                <w:szCs w:val="24"/>
                <w:highlight w:val="none"/>
                <w14:textFill>
                  <w14:solidFill>
                    <w14:schemeClr w14:val="tx1"/>
                  </w14:solidFill>
                </w14:textFill>
              </w:rPr>
              <w:t>。</w:t>
            </w:r>
          </w:p>
          <w:p>
            <w:pPr>
              <w:pStyle w:val="2"/>
              <w:widowControl w:val="0"/>
              <w:wordWrap/>
              <w:adjustRightInd w:val="0"/>
              <w:spacing w:line="360" w:lineRule="auto"/>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（2）在签订合同时，</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乙方</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明确表示无需预付款或者主动要求降低预付款比例的，采购单位可不适用上述</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“付款进度安排”</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第（1）项预付款的规定。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2.11.3</w:t>
            </w:r>
          </w:p>
        </w:tc>
        <w:tc>
          <w:tcPr>
            <w:tcW w:w="4465" w:type="pct"/>
            <w:vAlign w:val="center"/>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因不可抗力致使合同有变更必要的，双方当事人应在</w:t>
            </w:r>
            <w:r>
              <w:rPr>
                <w:rFonts w:hint="eastAsia" w:ascii="宋体" w:hAnsi="宋体" w:eastAsia="宋体" w:cs="宋体"/>
                <w:color w:val="000000" w:themeColor="text1"/>
                <w:sz w:val="24"/>
                <w:highlight w:val="none"/>
                <w:lang w:eastAsia="zh-CN"/>
                <w14:textFill>
                  <w14:solidFill>
                    <w14:schemeClr w14:val="tx1"/>
                  </w14:solidFill>
                </w14:textFill>
              </w:rPr>
              <w:t>提前</w:t>
            </w:r>
            <w:r>
              <w:rPr>
                <w:rFonts w:hint="eastAsia" w:ascii="宋体" w:hAnsi="宋体" w:eastAsia="宋体" w:cs="宋体"/>
                <w:color w:val="000000" w:themeColor="text1"/>
                <w:sz w:val="24"/>
                <w:highlight w:val="none"/>
                <w:lang w:val="en-US" w:eastAsia="zh-CN"/>
                <w14:textFill>
                  <w14:solidFill>
                    <w14:schemeClr w14:val="tx1"/>
                  </w14:solidFill>
                </w14:textFill>
              </w:rPr>
              <w:t>30日历天</w:t>
            </w:r>
            <w:r>
              <w:rPr>
                <w:rFonts w:hint="eastAsia" w:ascii="宋体" w:hAnsi="宋体" w:eastAsia="宋体" w:cs="宋体"/>
                <w:color w:val="000000" w:themeColor="text1"/>
                <w:sz w:val="24"/>
                <w:highlight w:val="none"/>
                <w14:textFill>
                  <w14:solidFill>
                    <w14:schemeClr w14:val="tx1"/>
                  </w14:solidFill>
                </w14:textFill>
              </w:rPr>
              <w:t>以书面形式</w:t>
            </w:r>
            <w:r>
              <w:rPr>
                <w:rFonts w:hint="eastAsia" w:ascii="宋体" w:hAnsi="宋体" w:eastAsia="宋体" w:cs="宋体"/>
                <w:color w:val="000000" w:themeColor="text1"/>
                <w:sz w:val="24"/>
                <w:highlight w:val="none"/>
                <w:lang w:val="en-US" w:eastAsia="zh-CN"/>
                <w14:textFill>
                  <w14:solidFill>
                    <w14:schemeClr w14:val="tx1"/>
                  </w14:solidFill>
                </w14:textFill>
              </w:rPr>
              <w:t>通知对方，经协商后</w:t>
            </w:r>
            <w:r>
              <w:rPr>
                <w:rFonts w:hint="eastAsia" w:ascii="宋体" w:hAnsi="宋体" w:eastAsia="宋体" w:cs="宋体"/>
                <w:color w:val="000000" w:themeColor="text1"/>
                <w:sz w:val="24"/>
                <w:highlight w:val="none"/>
                <w14:textFill>
                  <w14:solidFill>
                    <w14:schemeClr w14:val="tx1"/>
                  </w14:solidFill>
                </w14:textFill>
              </w:rPr>
              <w:t>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2.11.4</w:t>
            </w:r>
          </w:p>
        </w:tc>
        <w:tc>
          <w:tcPr>
            <w:tcW w:w="4465" w:type="pct"/>
          </w:tcPr>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受不可抗力影响的一方在不可抗力发生后，应在</w:t>
            </w:r>
            <w:r>
              <w:rPr>
                <w:rFonts w:hint="eastAsia" w:ascii="宋体" w:hAnsi="宋体" w:eastAsia="宋体" w:cs="宋体"/>
                <w:color w:val="000000" w:themeColor="text1"/>
                <w:sz w:val="24"/>
                <w:highlight w:val="none"/>
                <w:lang w:eastAsia="zh-CN"/>
                <w14:textFill>
                  <w14:solidFill>
                    <w14:schemeClr w14:val="tx1"/>
                  </w14:solidFill>
                </w14:textFill>
              </w:rPr>
              <w:t>提前</w:t>
            </w:r>
            <w:r>
              <w:rPr>
                <w:rFonts w:hint="eastAsia" w:ascii="宋体" w:hAnsi="宋体" w:eastAsia="宋体" w:cs="宋体"/>
                <w:color w:val="000000" w:themeColor="text1"/>
                <w:sz w:val="24"/>
                <w:highlight w:val="none"/>
                <w:lang w:val="en-US" w:eastAsia="zh-CN"/>
                <w14:textFill>
                  <w14:solidFill>
                    <w14:schemeClr w14:val="tx1"/>
                  </w14:solidFill>
                </w14:textFill>
              </w:rPr>
              <w:t>30日历天</w:t>
            </w:r>
            <w:r>
              <w:rPr>
                <w:rFonts w:hint="eastAsia" w:ascii="宋体" w:hAnsi="宋体" w:eastAsia="宋体" w:cs="宋体"/>
                <w:color w:val="000000" w:themeColor="text1"/>
                <w:sz w:val="24"/>
                <w:highlight w:val="none"/>
                <w:lang w:eastAsia="zh-CN"/>
                <w14:textFill>
                  <w14:solidFill>
                    <w14:schemeClr w14:val="tx1"/>
                  </w14:solidFill>
                </w14:textFill>
              </w:rPr>
              <w:t>之前</w:t>
            </w:r>
            <w:r>
              <w:rPr>
                <w:rFonts w:hint="eastAsia" w:ascii="宋体" w:hAnsi="宋体" w:eastAsia="宋体" w:cs="宋体"/>
                <w:color w:val="000000" w:themeColor="text1"/>
                <w:sz w:val="24"/>
                <w:highlight w:val="none"/>
                <w14:textFill>
                  <w14:solidFill>
                    <w14:schemeClr w14:val="tx1"/>
                  </w14:solidFill>
                </w14:textFill>
              </w:rPr>
              <w:t>以书面形式通知对方当事人，并</w:t>
            </w:r>
            <w:r>
              <w:rPr>
                <w:rFonts w:hint="eastAsia" w:ascii="宋体" w:hAnsi="宋体" w:eastAsia="宋体" w:cs="宋体"/>
                <w:color w:val="000000" w:themeColor="text1"/>
                <w:sz w:val="24"/>
                <w:highlight w:val="none"/>
                <w:lang w:eastAsia="zh-CN"/>
                <w14:textFill>
                  <w14:solidFill>
                    <w14:schemeClr w14:val="tx1"/>
                  </w14:solidFill>
                </w14:textFill>
              </w:rPr>
              <w:t>在</w:t>
            </w:r>
            <w:r>
              <w:rPr>
                <w:rFonts w:hint="eastAsia" w:ascii="宋体" w:hAnsi="宋体" w:eastAsia="宋体" w:cs="宋体"/>
                <w:color w:val="000000" w:themeColor="text1"/>
                <w:sz w:val="24"/>
                <w:highlight w:val="none"/>
                <w:lang w:val="en-US" w:eastAsia="zh-CN"/>
                <w14:textFill>
                  <w14:solidFill>
                    <w14:schemeClr w14:val="tx1"/>
                  </w14:solidFill>
                </w14:textFill>
              </w:rPr>
              <w:t>30日历天</w:t>
            </w:r>
            <w:r>
              <w:rPr>
                <w:rFonts w:hint="eastAsia" w:ascii="宋体" w:hAnsi="宋体" w:eastAsia="宋体" w:cs="宋体"/>
                <w:color w:val="000000" w:themeColor="text1"/>
                <w:sz w:val="24"/>
                <w:highlight w:val="none"/>
                <w14:textFill>
                  <w14:solidFill>
                    <w14:schemeClr w14:val="tx1"/>
                  </w14:solidFill>
                </w14:textFill>
              </w:rPr>
              <w:t>内，将有关部门出具的证明文件</w:t>
            </w:r>
            <w:r>
              <w:rPr>
                <w:rFonts w:hint="eastAsia" w:ascii="宋体" w:hAnsi="宋体" w:eastAsia="宋体" w:cs="宋体"/>
                <w:color w:val="000000" w:themeColor="text1"/>
                <w:sz w:val="24"/>
                <w:highlight w:val="none"/>
                <w:lang w:eastAsia="zh-CN"/>
                <w14:textFill>
                  <w14:solidFill>
                    <w14:schemeClr w14:val="tx1"/>
                  </w14:solidFill>
                </w14:textFill>
              </w:rPr>
              <w:t>（将相关证明材料）</w:t>
            </w:r>
            <w:r>
              <w:rPr>
                <w:rFonts w:hint="eastAsia" w:ascii="宋体" w:hAnsi="宋体" w:eastAsia="宋体" w:cs="宋体"/>
                <w:color w:val="000000" w:themeColor="text1"/>
                <w:sz w:val="24"/>
                <w:highlight w:val="none"/>
                <w14:textFill>
                  <w14:solidFill>
                    <w14:schemeClr w14:val="tx1"/>
                  </w14:solidFill>
                </w14:textFill>
              </w:rPr>
              <w:t>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2.15.1</w:t>
            </w:r>
          </w:p>
        </w:tc>
        <w:tc>
          <w:tcPr>
            <w:tcW w:w="4465" w:type="pct"/>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4" w:type="pct"/>
            <w:tcBorders>
              <w:left w:val="single" w:color="auto" w:sz="4" w:space="0"/>
            </w:tcBorders>
            <w:vAlign w:val="center"/>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2.15.3</w:t>
            </w:r>
          </w:p>
        </w:tc>
        <w:tc>
          <w:tcPr>
            <w:tcW w:w="4465" w:type="pct"/>
            <w:vAlign w:val="center"/>
          </w:tcPr>
          <w:p>
            <w:pPr>
              <w:spacing w:line="36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验收标准：验收采用甲方自行组织验收和专门机构验收两种形式，具体按照萧政办发[2014]217号文件执行。</w:t>
            </w:r>
          </w:p>
          <w:p>
            <w:pPr>
              <w:spacing w:line="360" w:lineRule="auto"/>
              <w:rPr>
                <w:rFonts w:ascii="宋体" w:hAnsi="宋体" w:cs="仿宋"/>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履约验收：1、</w:t>
            </w:r>
            <w:r>
              <w:rPr>
                <w:rFonts w:hint="eastAsia" w:ascii="宋体" w:hAnsi="宋体" w:eastAsia="宋体" w:cs="宋体"/>
                <w:color w:val="000000" w:themeColor="text1"/>
                <w:sz w:val="24"/>
                <w:highlight w:val="none"/>
                <w:lang w:val="zh-CN" w:eastAsia="zh-CN"/>
                <w14:textFill>
                  <w14:solidFill>
                    <w14:schemeClr w14:val="tx1"/>
                  </w14:solidFill>
                </w14:textFill>
              </w:rPr>
              <w:t>甲方组织对乙方履约的验收。验收方成员应当在验收书上签字，并承担相应</w:t>
            </w:r>
            <w:r>
              <w:rPr>
                <w:rFonts w:hint="eastAsia" w:ascii="宋体" w:hAnsi="宋体" w:cs="仿宋"/>
                <w:color w:val="000000" w:themeColor="text1"/>
                <w:sz w:val="24"/>
                <w:highlight w:val="none"/>
                <w:lang w:val="zh-CN"/>
                <w14:textFill>
                  <w14:solidFill>
                    <w14:schemeClr w14:val="tx1"/>
                  </w14:solidFill>
                </w14:textFill>
              </w:rPr>
              <w:t>的法律责任。如果发现与合同中要求不符，乙方须承担由此发生的一切损失和费用，并接受相应的处理，验收按国家有关的规定、规范进行。</w:t>
            </w:r>
          </w:p>
          <w:p>
            <w:pPr>
              <w:snapToGrid w:val="0"/>
              <w:spacing w:line="360" w:lineRule="auto"/>
              <w:ind w:firstLine="480" w:firstLineChars="200"/>
              <w:jc w:val="left"/>
              <w:rPr>
                <w:rFonts w:ascii="宋体" w:hAnsi="宋体" w:cs="仿宋"/>
                <w:color w:val="000000" w:themeColor="text1"/>
                <w:sz w:val="24"/>
                <w:highlight w:val="none"/>
                <w:lang w:val="zh-CN"/>
                <w14:textFill>
                  <w14:solidFill>
                    <w14:schemeClr w14:val="tx1"/>
                  </w14:solidFill>
                </w14:textFill>
              </w:rPr>
            </w:pPr>
            <w:r>
              <w:rPr>
                <w:rFonts w:hint="eastAsia" w:ascii="宋体" w:hAnsi="宋体" w:cs="仿宋"/>
                <w:color w:val="000000" w:themeColor="text1"/>
                <w:sz w:val="24"/>
                <w:highlight w:val="none"/>
                <w:lang w:val="en-US" w:eastAsia="zh-CN"/>
                <w14:textFill>
                  <w14:solidFill>
                    <w14:schemeClr w14:val="tx1"/>
                  </w14:solidFill>
                </w14:textFill>
              </w:rPr>
              <w:t>2、</w:t>
            </w:r>
            <w:r>
              <w:rPr>
                <w:rFonts w:hint="eastAsia" w:ascii="宋体" w:hAnsi="宋体" w:cs="仿宋"/>
                <w:color w:val="000000" w:themeColor="text1"/>
                <w:sz w:val="24"/>
                <w:highlight w:val="none"/>
                <w:lang w:val="zh-CN"/>
                <w14:textFill>
                  <w14:solidFill>
                    <w14:schemeClr w14:val="tx1"/>
                  </w14:solidFill>
                </w14:textFill>
              </w:rPr>
              <w:t>甲方可以邀请参加本项目的其他乙方或者第三方机构参与验收。参与验收的乙方或者第三方机构的意见作为验收书的参考资料一并存档。</w:t>
            </w:r>
          </w:p>
          <w:p>
            <w:pPr>
              <w:snapToGrid w:val="0"/>
              <w:spacing w:line="360" w:lineRule="auto"/>
              <w:ind w:firstLine="480" w:firstLineChars="200"/>
              <w:jc w:val="left"/>
              <w:rPr>
                <w:rFonts w:ascii="宋体" w:hAnsi="宋体" w:cs="仿宋"/>
                <w:color w:val="000000" w:themeColor="text1"/>
                <w:sz w:val="24"/>
                <w:highlight w:val="none"/>
                <w:lang w:val="zh-CN"/>
                <w14:textFill>
                  <w14:solidFill>
                    <w14:schemeClr w14:val="tx1"/>
                  </w14:solidFill>
                </w14:textFill>
              </w:rPr>
            </w:pPr>
            <w:r>
              <w:rPr>
                <w:rFonts w:hint="eastAsia" w:ascii="宋体" w:hAnsi="宋体" w:cs="仿宋"/>
                <w:color w:val="000000" w:themeColor="text1"/>
                <w:sz w:val="24"/>
                <w:highlight w:val="none"/>
                <w:lang w:val="en-US" w:eastAsia="zh-CN"/>
                <w14:textFill>
                  <w14:solidFill>
                    <w14:schemeClr w14:val="tx1"/>
                  </w14:solidFill>
                </w14:textFill>
              </w:rPr>
              <w:t>3、</w:t>
            </w:r>
            <w:r>
              <w:rPr>
                <w:rFonts w:hint="eastAsia" w:ascii="宋体" w:hAnsi="宋体" w:cs="仿宋"/>
                <w:color w:val="000000" w:themeColor="text1"/>
                <w:sz w:val="24"/>
                <w:highlight w:val="none"/>
                <w:lang w:val="zh-CN"/>
                <w14:textFill>
                  <w14:solidFill>
                    <w14:schemeClr w14:val="tx1"/>
                  </w14:solidFill>
                </w14:textFill>
              </w:rPr>
              <w:t>严格按照采购合同开展履约验收。甲方成立验收小组，按照采购合同的约定对乙方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ind w:firstLine="480" w:firstLineChars="200"/>
              <w:jc w:val="left"/>
              <w:rPr>
                <w:rFonts w:hint="eastAsia"/>
                <w:color w:val="000000" w:themeColor="text1"/>
                <w:highlight w:val="none"/>
                <w:lang w:val="en-US" w:eastAsia="zh-CN"/>
                <w14:textFill>
                  <w14:solidFill>
                    <w14:schemeClr w14:val="tx1"/>
                  </w14:solidFill>
                </w14:textFill>
              </w:rPr>
            </w:pPr>
            <w:r>
              <w:rPr>
                <w:rFonts w:hint="eastAsia" w:ascii="宋体" w:hAnsi="宋体" w:cs="仿宋"/>
                <w:color w:val="000000" w:themeColor="text1"/>
                <w:sz w:val="24"/>
                <w:highlight w:val="none"/>
                <w:lang w:val="en-US" w:eastAsia="zh-CN"/>
                <w14:textFill>
                  <w14:solidFill>
                    <w14:schemeClr w14:val="tx1"/>
                  </w14:solidFill>
                </w14:textFill>
              </w:rPr>
              <w:t>4、</w:t>
            </w:r>
            <w:r>
              <w:rPr>
                <w:rFonts w:hint="eastAsia" w:ascii="宋体" w:hAnsi="宋体" w:cs="仿宋"/>
                <w:color w:val="000000" w:themeColor="text1"/>
                <w:sz w:val="24"/>
                <w:highlight w:val="none"/>
                <w:lang w:val="zh-CN"/>
                <w14:textFill>
                  <w14:solidFill>
                    <w14:schemeClr w14:val="tx1"/>
                  </w14:solidFill>
                </w14:textFill>
              </w:rPr>
              <w:t>验收合格的项目，甲方将根据采购合同的约定及时向乙方支付采购资金、退还履约保证金。验收不合格的项目，甲方将依法及时处理。采购合同的履行、违约责任和解决争议的方式等适用《中华人民共和国</w:t>
            </w:r>
            <w:r>
              <w:rPr>
                <w:rFonts w:hint="eastAsia" w:ascii="宋体" w:hAnsi="宋体" w:cs="仿宋"/>
                <w:color w:val="000000" w:themeColor="text1"/>
                <w:sz w:val="24"/>
                <w:highlight w:val="none"/>
                <w:lang w:val="en-US" w:eastAsia="zh-CN"/>
                <w14:textFill>
                  <w14:solidFill>
                    <w14:schemeClr w14:val="tx1"/>
                  </w14:solidFill>
                </w14:textFill>
              </w:rPr>
              <w:t>民法典</w:t>
            </w:r>
            <w:r>
              <w:rPr>
                <w:rFonts w:hint="eastAsia" w:ascii="宋体" w:hAnsi="宋体" w:cs="仿宋"/>
                <w:color w:val="000000" w:themeColor="text1"/>
                <w:sz w:val="24"/>
                <w:highlight w:val="none"/>
                <w:lang w:val="zh-CN"/>
                <w14:textFill>
                  <w14:solidFill>
                    <w14:schemeClr w14:val="tx1"/>
                  </w14:solidFill>
                </w14:textFill>
              </w:rPr>
              <w:t>》。乙方在履约过程中有政府采购法律法规规定的违法违规情形的，甲方应当及时报告本级财政部门。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4" w:type="pct"/>
            <w:tcBorders>
              <w:left w:val="single" w:color="auto" w:sz="4" w:space="0"/>
            </w:tcBorders>
          </w:tcPr>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2.19</w:t>
            </w:r>
          </w:p>
        </w:tc>
        <w:tc>
          <w:tcPr>
            <w:tcW w:w="4465" w:type="pct"/>
          </w:tcPr>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本合同一式</w:t>
            </w:r>
            <w:r>
              <w:rPr>
                <w:rFonts w:hint="eastAsia" w:ascii="宋体" w:hAnsi="宋体" w:cs="宋体"/>
                <w:color w:val="000000" w:themeColor="text1"/>
                <w:sz w:val="24"/>
                <w:highlight w:val="none"/>
                <w:lang w:val="en-US" w:eastAsia="zh-CN"/>
                <w14:textFill>
                  <w14:solidFill>
                    <w14:schemeClr w14:val="tx1"/>
                  </w14:solidFill>
                </w14:textFill>
              </w:rPr>
              <w:t>十</w:t>
            </w:r>
            <w:r>
              <w:rPr>
                <w:rFonts w:hint="eastAsia" w:ascii="宋体" w:hAnsi="宋体" w:eastAsia="宋体" w:cs="宋体"/>
                <w:color w:val="000000" w:themeColor="text1"/>
                <w:sz w:val="24"/>
                <w:highlight w:val="none"/>
                <w:lang w:eastAsia="zh-CN"/>
                <w14:textFill>
                  <w14:solidFill>
                    <w14:schemeClr w14:val="tx1"/>
                  </w14:solidFill>
                </w14:textFill>
              </w:rPr>
              <w:t>份，甲</w:t>
            </w:r>
            <w:r>
              <w:rPr>
                <w:rFonts w:hint="eastAsia" w:ascii="宋体" w:hAnsi="宋体" w:cs="宋体"/>
                <w:color w:val="000000" w:themeColor="text1"/>
                <w:sz w:val="24"/>
                <w:highlight w:val="none"/>
                <w:lang w:val="en-US" w:eastAsia="zh-CN"/>
                <w14:textFill>
                  <w14:solidFill>
                    <w14:schemeClr w14:val="tx1"/>
                  </w14:solidFill>
                </w14:textFill>
              </w:rPr>
              <w:t>方七</w:t>
            </w:r>
            <w:r>
              <w:rPr>
                <w:rFonts w:hint="eastAsia" w:ascii="宋体" w:hAnsi="宋体" w:eastAsia="宋体" w:cs="宋体"/>
                <w:color w:val="000000" w:themeColor="text1"/>
                <w:sz w:val="24"/>
                <w:highlight w:val="none"/>
                <w:lang w:eastAsia="zh-CN"/>
                <w14:textFill>
                  <w14:solidFill>
                    <w14:schemeClr w14:val="tx1"/>
                  </w14:solidFill>
                </w14:textFill>
              </w:rPr>
              <w:t>份。乙方</w:t>
            </w:r>
            <w:r>
              <w:rPr>
                <w:rFonts w:hint="eastAsia" w:ascii="宋体" w:hAnsi="宋体" w:eastAsia="宋体" w:cs="宋体"/>
                <w:color w:val="000000" w:themeColor="text1"/>
                <w:sz w:val="24"/>
                <w:highlight w:val="none"/>
                <w:lang w:val="en-US" w:eastAsia="zh-CN"/>
                <w14:textFill>
                  <w14:solidFill>
                    <w14:schemeClr w14:val="tx1"/>
                  </w14:solidFill>
                </w14:textFill>
              </w:rPr>
              <w:t>二份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4" w:type="pct"/>
            <w:tcBorders>
              <w:left w:val="single" w:color="auto" w:sz="4" w:space="0"/>
            </w:tcBorders>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2.20</w:t>
            </w:r>
          </w:p>
        </w:tc>
        <w:tc>
          <w:tcPr>
            <w:tcW w:w="4465" w:type="pct"/>
          </w:tcPr>
          <w:p>
            <w:pPr>
              <w:snapToGrid w:val="0"/>
              <w:spacing w:line="360" w:lineRule="auto"/>
              <w:ind w:firstLine="482" w:firstLineChars="200"/>
              <w:jc w:val="left"/>
              <w:rPr>
                <w:rFonts w:hint="eastAsia" w:ascii="宋体" w:hAnsi="宋体"/>
                <w:b/>
                <w:color w:val="000000" w:themeColor="text1"/>
                <w:sz w:val="24"/>
                <w:highlight w:val="none"/>
                <w:lang w:eastAsia="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服务质量保证期</w:t>
            </w:r>
            <w:r>
              <w:rPr>
                <w:rFonts w:hint="eastAsia" w:ascii="宋体" w:hAnsi="宋体"/>
                <w:b/>
                <w:color w:val="000000" w:themeColor="text1"/>
                <w:sz w:val="24"/>
                <w:highlight w:val="none"/>
                <w:lang w:eastAsia="zh-CN"/>
                <w14:textFill>
                  <w14:solidFill>
                    <w14:schemeClr w14:val="tx1"/>
                  </w14:solidFill>
                </w14:textFill>
              </w:rPr>
              <w:t>：</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须对合同中规定的主要设备提供</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lang w:eastAsia="zh-CN"/>
                <w14:textFill>
                  <w14:solidFill>
                    <w14:schemeClr w14:val="tx1"/>
                  </w14:solidFill>
                </w14:textFill>
              </w:rPr>
              <w:t>质保期</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以履约验收确认合格后之日起，</w:t>
            </w:r>
            <w:r>
              <w:rPr>
                <w:rFonts w:hint="eastAsia" w:ascii="宋体" w:hAnsi="宋体" w:cs="宋体"/>
                <w:color w:val="000000" w:themeColor="text1"/>
                <w:sz w:val="24"/>
                <w:highlight w:val="none"/>
                <w14:textFill>
                  <w14:solidFill>
                    <w14:schemeClr w14:val="tx1"/>
                  </w14:solidFill>
                </w14:textFill>
              </w:rPr>
              <w:t>如厂家出厂质保期超过</w:t>
            </w:r>
            <w:r>
              <w:rPr>
                <w:rFonts w:hint="eastAsia" w:ascii="宋体" w:hAnsi="宋体" w:cs="宋体"/>
                <w:color w:val="000000" w:themeColor="text1"/>
                <w:sz w:val="24"/>
                <w:highlight w:val="none"/>
                <w:lang w:val="en-US" w:eastAsia="zh-CN"/>
                <w14:textFill>
                  <w14:solidFill>
                    <w14:schemeClr w14:val="tx1"/>
                  </w14:solidFill>
                </w14:textFill>
              </w:rPr>
              <w:t>优于2</w:t>
            </w:r>
            <w:r>
              <w:rPr>
                <w:rFonts w:hint="eastAsia" w:ascii="宋体" w:hAnsi="宋体" w:cs="宋体"/>
                <w:color w:val="000000" w:themeColor="text1"/>
                <w:sz w:val="24"/>
                <w:highlight w:val="none"/>
                <w14:textFill>
                  <w14:solidFill>
                    <w14:schemeClr w14:val="tx1"/>
                  </w14:solidFill>
                </w14:textFill>
              </w:rPr>
              <w:t>年的，以厂家质保期为准）。中标后提供厂商授权或者售后服务承诺的免费质保期。</w:t>
            </w:r>
          </w:p>
          <w:p>
            <w:pPr>
              <w:snapToGrid w:val="0"/>
              <w:spacing w:line="360" w:lineRule="auto"/>
              <w:ind w:firstLine="480" w:firstLineChars="20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免费质保期起算节点为项目验收确认合格后之日起，质保期内承诺均提供上门维护服务；</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针对本项目具有完善的售后服务方案，有较强的本地化服务能力。对于各类故障必须提供7*24小时立即响应服务，在</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小时内提出解决方案并做出明确安排，若远程不能解决问题，须在</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小时内派人到现场上门服务，排除故障，并分析故障原因，提出书面故障分析报告及防范措施，不间断服务直至故障解除。不能修复的，必须采取无偿提供备品、备件或备机等措施，以保证</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的正常使用。质保期内配件更换费用包含在投标报价中</w:t>
            </w:r>
            <w:r>
              <w:rPr>
                <w:rFonts w:hint="eastAsia" w:ascii="宋体" w:hAnsi="宋体" w:cs="宋体"/>
                <w:color w:val="000000" w:themeColor="text1"/>
                <w:sz w:val="24"/>
                <w:highlight w:val="none"/>
                <w:lang w:eastAsia="zh-CN"/>
                <w14:textFill>
                  <w14:solidFill>
                    <w14:schemeClr w14:val="tx1"/>
                  </w14:solidFill>
                </w14:textFill>
              </w:rPr>
              <w:t>。</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在质保期内，</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有责任解决所提供的投标设备和软件系统的任何问题，在质保期满后，当需要时，</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仍须对因投标设备本身的固有缺陷和瑕疵承担相应责任。</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在质保期内的工作应包括对所有设备常规检查和维护</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每个月不少于2次的常规检查和维护</w:t>
            </w:r>
            <w:r>
              <w:rPr>
                <w:rFonts w:hint="eastAsia" w:ascii="宋体" w:hAnsi="宋体" w:cs="宋体"/>
                <w:color w:val="000000" w:themeColor="text1"/>
                <w:sz w:val="24"/>
                <w:highlight w:val="none"/>
                <w14:textFill>
                  <w14:solidFill>
                    <w14:schemeClr w14:val="tx1"/>
                  </w14:solidFill>
                </w14:textFill>
              </w:rPr>
              <w:t>，具体的操作程序和内容须在投标时说明。</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质保期内，</w:t>
            </w:r>
            <w:r>
              <w:rPr>
                <w:rFonts w:hint="eastAsia" w:ascii="宋体" w:hAnsi="宋体" w:cs="宋体"/>
                <w:color w:val="000000" w:themeColor="text1"/>
                <w:sz w:val="24"/>
                <w:highlight w:val="none"/>
                <w:lang w:eastAsia="zh-CN"/>
                <w14:textFill>
                  <w14:solidFill>
                    <w14:schemeClr w14:val="tx1"/>
                  </w14:solidFill>
                </w14:textFill>
              </w:rPr>
              <w:t>为更好地</w:t>
            </w:r>
            <w:r>
              <w:rPr>
                <w:rFonts w:hint="eastAsia" w:ascii="宋体" w:hAnsi="宋体" w:cs="宋体"/>
                <w:color w:val="000000" w:themeColor="text1"/>
                <w:sz w:val="24"/>
                <w:highlight w:val="none"/>
                <w14:textFill>
                  <w14:solidFill>
                    <w14:schemeClr w14:val="tx1"/>
                  </w14:solidFill>
                </w14:textFill>
              </w:rPr>
              <w:t>做好项目的服务工作，</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提供专门的负责</w:t>
            </w:r>
            <w:r>
              <w:rPr>
                <w:rFonts w:hint="eastAsia" w:ascii="宋体" w:hAnsi="宋体" w:cs="宋体"/>
                <w:color w:val="000000" w:themeColor="text1"/>
                <w:sz w:val="24"/>
                <w:highlight w:val="none"/>
                <w:lang w:eastAsia="zh-CN"/>
                <w14:textFill>
                  <w14:solidFill>
                    <w14:schemeClr w14:val="tx1"/>
                  </w14:solidFill>
                </w14:textFill>
              </w:rPr>
              <w:t>人负责</w:t>
            </w:r>
            <w:r>
              <w:rPr>
                <w:rFonts w:hint="eastAsia" w:ascii="宋体" w:hAnsi="宋体" w:cs="宋体"/>
                <w:color w:val="000000" w:themeColor="text1"/>
                <w:sz w:val="24"/>
                <w:highlight w:val="none"/>
                <w14:textFill>
                  <w14:solidFill>
                    <w14:schemeClr w14:val="tx1"/>
                  </w14:solidFill>
                </w14:textFill>
              </w:rPr>
              <w:t>项目的</w:t>
            </w:r>
            <w:r>
              <w:rPr>
                <w:rFonts w:hint="eastAsia" w:ascii="宋体" w:hAnsi="宋体" w:cs="宋体"/>
                <w:color w:val="000000" w:themeColor="text1"/>
                <w:sz w:val="24"/>
                <w:highlight w:val="none"/>
                <w:lang w:eastAsia="zh-CN"/>
                <w14:textFill>
                  <w14:solidFill>
                    <w14:schemeClr w14:val="tx1"/>
                  </w14:solidFill>
                </w14:textFill>
              </w:rPr>
              <w:t>设备</w:t>
            </w:r>
            <w:r>
              <w:rPr>
                <w:rFonts w:hint="eastAsia" w:ascii="宋体" w:hAnsi="宋体" w:cs="宋体"/>
                <w:color w:val="000000" w:themeColor="text1"/>
                <w:sz w:val="24"/>
                <w:highlight w:val="none"/>
                <w14:textFill>
                  <w14:solidFill>
                    <w14:schemeClr w14:val="tx1"/>
                  </w14:solidFill>
                </w14:textFill>
              </w:rPr>
              <w:t>维护，具体人员由</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在</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项目实施人员中指定。</w:t>
            </w:r>
          </w:p>
        </w:tc>
      </w:tr>
    </w:tbl>
    <w:p>
      <w:pPr>
        <w:rPr>
          <w:rFonts w:hint="eastAsia"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br w:type="page"/>
      </w:r>
    </w:p>
    <w:p>
      <w:pPr>
        <w:widowControl/>
        <w:adjustRightInd/>
        <w:jc w:val="center"/>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第六部分</w:t>
      </w:r>
      <w:bookmarkEnd w:id="393"/>
      <w:r>
        <w:rPr>
          <w:rFonts w:hint="eastAsia" w:ascii="宋体" w:hAnsi="宋体" w:cs="宋体"/>
          <w:b/>
          <w:color w:val="000000" w:themeColor="text1"/>
          <w:sz w:val="36"/>
          <w:szCs w:val="20"/>
          <w:highlight w:val="none"/>
          <w14:textFill>
            <w14:solidFill>
              <w14:schemeClr w14:val="tx1"/>
            </w14:solidFill>
          </w14:textFill>
        </w:rPr>
        <w:t xml:space="preserve"> </w:t>
      </w:r>
      <w:bookmarkEnd w:id="394"/>
      <w:r>
        <w:rPr>
          <w:rFonts w:hint="eastAsia" w:ascii="宋体" w:hAnsi="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br w:type="page"/>
      </w:r>
      <w:r>
        <w:rPr>
          <w:rFonts w:hint="eastAsia" w:ascii="宋体" w:hAnsi="宋体" w:cs="宋体"/>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浙江泛亚工程咨询有限公司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我方参与</w:t>
      </w:r>
      <w:r>
        <w:rPr>
          <w:rFonts w:hint="eastAsia" w:ascii="宋体" w:hAnsi="宋体" w:cs="宋体"/>
          <w:color w:val="000000" w:themeColor="text1"/>
          <w:sz w:val="24"/>
          <w:highlight w:val="non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GZCG2023GKDL-21</w:t>
      </w:r>
      <w:r>
        <w:rPr>
          <w:rFonts w:hint="eastAsia" w:ascii="宋体" w:hAnsi="宋体" w:cs="宋体"/>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供应商名称(电子签名)：</w:t>
      </w:r>
    </w:p>
    <w:p>
      <w:pPr>
        <w:snapToGrid w:val="0"/>
        <w:spacing w:line="360" w:lineRule="auto"/>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firstLine="559" w:firstLineChars="233"/>
        <w:jc w:val="left"/>
        <w:rPr>
          <w:rFonts w:ascii="宋体" w:hAnsi="宋体" w:cs="宋体"/>
          <w:b/>
          <w:color w:val="000000" w:themeColor="text1"/>
          <w:kern w:val="0"/>
          <w:sz w:val="32"/>
          <w:szCs w:val="32"/>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注：根据《</w:t>
      </w:r>
      <w:r>
        <w:rPr>
          <w:rFonts w:cs="仿宋_GB2312" w:asciiTheme="minorEastAsia" w:hAnsiTheme="minorEastAsia" w:eastAsiaTheme="minorEastAsia"/>
          <w:color w:val="000000" w:themeColor="text1"/>
          <w:sz w:val="24"/>
          <w:highlight w:val="none"/>
          <w14:textFill>
            <w14:solidFill>
              <w14:schemeClr w14:val="tx1"/>
            </w14:solidFill>
          </w14:textFill>
        </w:rPr>
        <w:t>关于规范政府采购供应商资格设定及资格审查的通知</w:t>
      </w:r>
      <w:r>
        <w:rPr>
          <w:rFonts w:hint="eastAsia" w:cs="仿宋_GB2312" w:asciiTheme="minorEastAsia" w:hAnsiTheme="minorEastAsia" w:eastAsiaTheme="minorEastAsia"/>
          <w:color w:val="000000" w:themeColor="text1"/>
          <w:sz w:val="24"/>
          <w:highlight w:val="none"/>
          <w14:textFill>
            <w14:solidFill>
              <w14:schemeClr w14:val="tx1"/>
            </w14:solidFill>
          </w14:textFill>
        </w:rPr>
        <w:t>》（</w:t>
      </w:r>
      <w:r>
        <w:rPr>
          <w:rFonts w:cs="仿宋_GB2312" w:asciiTheme="minorEastAsia" w:hAnsiTheme="minorEastAsia" w:eastAsiaTheme="minorEastAsia"/>
          <w:color w:val="000000" w:themeColor="text1"/>
          <w:sz w:val="24"/>
          <w:highlight w:val="none"/>
          <w14:textFill>
            <w14:solidFill>
              <w14:schemeClr w14:val="tx1"/>
            </w14:solidFill>
          </w14:textFill>
        </w:rPr>
        <w:t>浙财采监[2013]24号</w:t>
      </w:r>
      <w:r>
        <w:rPr>
          <w:rFonts w:hint="eastAsia" w:cs="仿宋_GB2312" w:asciiTheme="minorEastAsia" w:hAnsiTheme="minorEastAsia" w:eastAsiaTheme="minorEastAsia"/>
          <w:color w:val="000000" w:themeColor="text1"/>
          <w:sz w:val="24"/>
          <w:highlight w:val="none"/>
          <w14:textFill>
            <w14:solidFill>
              <w14:schemeClr w14:val="tx1"/>
            </w14:solidFill>
          </w14:textFill>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000000" w:themeColor="text1"/>
          <w:sz w:val="24"/>
          <w:highlight w:val="none"/>
          <w:u w:val="single"/>
          <w14:textFill>
            <w14:solidFill>
              <w14:schemeClr w14:val="tx1"/>
            </w14:solidFill>
          </w14:textFill>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eastAsia="zh-CN"/>
          <w14:textFill>
            <w14:solidFill>
              <w14:schemeClr w14:val="tx1"/>
            </w14:solidFill>
          </w14:textFill>
        </w:rPr>
        <w:t>二</w:t>
      </w:r>
      <w:r>
        <w:rPr>
          <w:rFonts w:hint="eastAsia" w:ascii="宋体" w:hAnsi="宋体" w:cs="宋体"/>
          <w:b/>
          <w:color w:val="000000" w:themeColor="text1"/>
          <w:kern w:val="0"/>
          <w:sz w:val="32"/>
          <w:szCs w:val="32"/>
          <w:highlight w:val="none"/>
          <w14:textFill>
            <w14:solidFill>
              <w14:schemeClr w14:val="tx1"/>
            </w14:solidFill>
          </w14:textFill>
        </w:rPr>
        <w:t>、落实政府采购政策需满足的资格要求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.专门面向中小企业，服务全部由符合政策要求的中小企业（或小微企业）承接的，提供相应的中小企业声明函（附件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要求以联合体形式参加的，提供联合协议（附件</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C、</w:t>
      </w:r>
      <w:r>
        <w:rPr>
          <w:rFonts w:hint="eastAsia" w:ascii="宋体" w:hAnsi="宋体" w:cs="宋体"/>
          <w:color w:val="000000" w:themeColor="text1"/>
          <w:sz w:val="24"/>
          <w:highlight w:val="none"/>
          <w14:textFill>
            <w14:solidFill>
              <w14:schemeClr w14:val="tx1"/>
            </w14:solidFill>
          </w14:textFill>
        </w:rPr>
        <w:t>要求合同分包的，提供分包意向协议（附件6）和中小企业声明函（附件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四、本项目的特定资格要求</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6"/>
          <w:szCs w:val="36"/>
          <w:highlight w:val="none"/>
          <w14:textFill>
            <w14:solidFill>
              <w14:schemeClr w14:val="tx1"/>
            </w14:solidFill>
          </w14:textFill>
        </w:rPr>
      </w:pPr>
      <w:r>
        <w:rPr>
          <w:rFonts w:ascii="宋体" w:hAnsi="宋体" w:cs="宋体"/>
          <w:b/>
          <w:color w:val="000000" w:themeColor="text1"/>
          <w:kern w:val="0"/>
          <w:sz w:val="36"/>
          <w:szCs w:val="36"/>
          <w:highlight w:val="none"/>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4"/>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（1）投标函</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）符合性审查资料</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）评标标准相应的商务技术资料</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）投标标的清单</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）商务技术偏离表</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rPr>
          <w:rFonts w:ascii="宋体" w:hAnsi="宋体" w:cs="宋体"/>
          <w:b/>
          <w:color w:val="000000" w:themeColor="text1"/>
          <w:kern w:val="0"/>
          <w:sz w:val="32"/>
          <w:szCs w:val="32"/>
          <w:highlight w:val="none"/>
          <w:lang w:val="zh-CN"/>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一、投标</w:t>
      </w:r>
      <w:r>
        <w:rPr>
          <w:rFonts w:hint="eastAsia" w:ascii="宋体" w:hAnsi="宋体" w:cs="宋体"/>
          <w:b/>
          <w:color w:val="000000" w:themeColor="text1"/>
          <w:sz w:val="32"/>
          <w:szCs w:val="32"/>
          <w:highlight w:val="none"/>
          <w14:textFill>
            <w14:solidFill>
              <w14:schemeClr w14:val="tx1"/>
            </w14:solidFill>
          </w14:textFill>
        </w:rPr>
        <w:t>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浙江泛亚工程咨询有限公司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我方参加你方组织的</w:t>
      </w:r>
      <w:r>
        <w:rPr>
          <w:rFonts w:hint="eastAsia" w:ascii="宋体" w:hAnsi="宋体" w:cs="宋体"/>
          <w:color w:val="000000" w:themeColor="text1"/>
          <w:sz w:val="24"/>
          <w:highlight w:val="non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GZCG2023GKDL-21</w:t>
      </w:r>
      <w:r>
        <w:rPr>
          <w:rFonts w:hint="eastAsia" w:ascii="宋体" w:hAnsi="宋体" w:cs="宋体"/>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天（不少于90天）</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本投标文件在投标有效期满之前均具有约束力。</w:t>
      </w:r>
    </w:p>
    <w:p>
      <w:pPr>
        <w:snapToGrid w:val="0"/>
        <w:spacing w:line="24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2、我方的投标文件包括以下内容：</w:t>
      </w:r>
    </w:p>
    <w:p>
      <w:pPr>
        <w:snapToGrid w:val="0"/>
        <w:spacing w:line="240" w:lineRule="auto"/>
        <w:ind w:left="210" w:leftChars="1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2.1资格文件：</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2.1.1承诺函；</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落实政府采购政策需满足的资格要求；</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本项目的特定资格要求。</w:t>
      </w:r>
    </w:p>
    <w:p>
      <w:pPr>
        <w:snapToGrid w:val="0"/>
        <w:spacing w:line="240" w:lineRule="auto"/>
        <w:ind w:left="210" w:leftChars="100" w:firstLine="480" w:firstLineChars="200"/>
        <w:jc w:val="lef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2.2.2授权委托书或法定代表人（单位负责人）身份证明；</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240" w:lineRule="auto"/>
        <w:ind w:left="420" w:leftChars="200" w:firstLine="480" w:firstLineChars="200"/>
        <w:jc w:val="lef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240" w:lineRule="auto"/>
        <w:ind w:left="210" w:leftChars="1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3报价文件</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2.3.1开标一览表（报价表）；</w:t>
      </w:r>
    </w:p>
    <w:p>
      <w:pPr>
        <w:snapToGrid w:val="0"/>
        <w:spacing w:line="240" w:lineRule="auto"/>
        <w:ind w:left="420" w:leftChars="200"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2.3.2中小企业声明函。</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3、我方承诺除商务技术偏离表列出的偏离外，我方响应</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的全部要求。</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4.3按照</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 xml:space="preserve">要求提交履约保证金；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5、其他补充说明: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 xml:space="preserve">名称（电子签名）：                          </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highlight w:val="none"/>
          <w:u w:val="singl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ind w:firstLine="2872" w:firstLineChars="894"/>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cs="宋体"/>
          <w:color w:val="000000" w:themeColor="text1"/>
          <w:highlight w:val="none"/>
          <w14:textFill>
            <w14:solidFill>
              <w14:schemeClr w14:val="tx1"/>
            </w14:solidFill>
          </w14:textFill>
        </w:rPr>
        <w:t xml:space="preserve">                               </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浙江泛亚工程咨询有限公司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GZCG2023GKDL-21</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供应商名称(电子签名)：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cs="宋体"/>
          <w:b/>
          <w:color w:val="000000" w:themeColor="text1"/>
          <w:kern w:val="0"/>
          <w:sz w:val="32"/>
          <w:szCs w:val="32"/>
          <w:highlight w:val="none"/>
          <w14:textFill>
            <w14:solidFill>
              <w14:schemeClr w14:val="tx1"/>
            </w14:solidFill>
          </w14:textFill>
        </w:rPr>
        <w:t xml:space="preserve"> </w:t>
      </w: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浙江泛亚工程咨询有限公司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GZCG2023GKDL-21</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cs="宋体"/>
          <w:b/>
          <w:color w:val="000000" w:themeColor="text1"/>
          <w:sz w:val="30"/>
          <w:szCs w:val="30"/>
          <w:highlight w:val="none"/>
          <w14:textFill>
            <w14:solidFill>
              <w14:schemeClr w14:val="tx1"/>
            </w14:solidFill>
          </w14:textFill>
        </w:rPr>
        <w:t>的身份证明（适用于法定代表人、单位负责人或者自然人本人代表</w:t>
      </w:r>
      <w:r>
        <w:rPr>
          <w:rFonts w:hint="eastAsia" w:ascii="宋体" w:hAnsi="宋体" w:cs="宋体"/>
          <w:b/>
          <w:color w:val="000000" w:themeColor="text1"/>
          <w:sz w:val="30"/>
          <w:szCs w:val="30"/>
          <w:highlight w:val="none"/>
          <w:lang w:eastAsia="zh-CN"/>
          <w14:textFill>
            <w14:solidFill>
              <w14:schemeClr w14:val="tx1"/>
            </w14:solidFill>
          </w14:textFill>
        </w:rPr>
        <w:t>供应商</w:t>
      </w:r>
      <w:r>
        <w:rPr>
          <w:rFonts w:hint="eastAsia" w:ascii="宋体" w:hAnsi="宋体" w:cs="宋体"/>
          <w:b/>
          <w:color w:val="000000" w:themeColor="text1"/>
          <w:sz w:val="30"/>
          <w:szCs w:val="30"/>
          <w:highlight w:val="none"/>
          <w14:textFill>
            <w14:solidFill>
              <w14:schemeClr w14:val="tx1"/>
            </w14:solidFill>
          </w14:textFill>
        </w:rPr>
        <w:t>参加投标）</w:t>
      </w:r>
    </w:p>
    <w:p>
      <w:pPr>
        <w:pStyle w:val="151"/>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51"/>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供应商名称(电子签名)：                              </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highlight w:val="none"/>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eastAsia="zh-CN"/>
          <w14:textFill>
            <w14:solidFill>
              <w14:schemeClr w14:val="tx1"/>
            </w14:solidFill>
          </w14:textFill>
        </w:rPr>
        <w:t>三</w:t>
      </w:r>
      <w:r>
        <w:rPr>
          <w:rFonts w:hint="eastAsia" w:ascii="宋体" w:hAnsi="宋体" w:cs="宋体"/>
          <w:b/>
          <w:color w:val="000000" w:themeColor="text1"/>
          <w:kern w:val="0"/>
          <w:sz w:val="32"/>
          <w:szCs w:val="32"/>
          <w:highlight w:val="none"/>
          <w14:textFill>
            <w14:solidFill>
              <w14:schemeClr w14:val="tx1"/>
            </w14:solidFill>
          </w14:textFill>
        </w:rPr>
        <w:t>、符合性审查资料</w:t>
      </w:r>
    </w:p>
    <w:p>
      <w:pPr>
        <w:jc w:val="center"/>
        <w:rPr>
          <w:rFonts w:ascii="宋体" w:hAnsi="宋体" w:cs="宋体"/>
          <w:b/>
          <w:color w:val="000000" w:themeColor="text1"/>
          <w:kern w:val="0"/>
          <w:sz w:val="32"/>
          <w:szCs w:val="32"/>
          <w:highlight w:val="none"/>
          <w14:textFill>
            <w14:solidFill>
              <w14:schemeClr w14:val="tx1"/>
            </w14:solidFill>
          </w14:textFill>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投标文件按照</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要求签署、盖章。</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投标文件中承诺的投标有效期不少于</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中载明的投标有效期。</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投标文件满足</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的其它实质性要求。</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其它实质性要求相应的材料（“▲” 系指实质性要求条款，</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无其它实质性要求的，无需提供）</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left"/>
        <w:rPr>
          <w:rFonts w:hint="eastAsia" w:ascii="宋体" w:hAnsi="宋体" w:cs="宋体"/>
          <w:b/>
          <w:color w:val="000000" w:themeColor="text1"/>
          <w:kern w:val="0"/>
          <w:sz w:val="32"/>
          <w:szCs w:val="32"/>
          <w:highlight w:val="none"/>
          <w:lang w:eastAsia="zh-CN"/>
          <w14:textFill>
            <w14:solidFill>
              <w14:schemeClr w14:val="tx1"/>
            </w14:solidFill>
          </w14:textFill>
        </w:rPr>
      </w:pPr>
      <w:r>
        <w:rPr>
          <w:rFonts w:hint="eastAsia" w:ascii="宋体" w:hAnsi="宋体" w:cs="宋体"/>
          <w:b/>
          <w:color w:val="000000" w:themeColor="text1"/>
          <w:kern w:val="0"/>
          <w:sz w:val="32"/>
          <w:szCs w:val="32"/>
          <w:highlight w:val="none"/>
          <w:lang w:eastAsia="zh-CN"/>
          <w14:textFill>
            <w14:solidFill>
              <w14:schemeClr w14:val="tx1"/>
            </w14:solidFill>
          </w14:textFill>
        </w:rPr>
        <w:br w:type="page"/>
      </w: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eastAsia="zh-CN"/>
          <w14:textFill>
            <w14:solidFill>
              <w14:schemeClr w14:val="tx1"/>
            </w14:solidFill>
          </w14:textFill>
        </w:rPr>
        <w:t>四</w:t>
      </w:r>
      <w:r>
        <w:rPr>
          <w:rFonts w:hint="eastAsia" w:ascii="宋体" w:hAnsi="宋体" w:cs="宋体"/>
          <w:b/>
          <w:color w:val="000000" w:themeColor="text1"/>
          <w:kern w:val="0"/>
          <w:sz w:val="32"/>
          <w:szCs w:val="32"/>
          <w:highlight w:val="none"/>
          <w14:textFill>
            <w14:solidFill>
              <w14:schemeClr w14:val="tx1"/>
            </w14:solidFill>
          </w14:textFill>
        </w:rPr>
        <w:t>、评标标准相应的商务技术资料</w:t>
      </w:r>
    </w:p>
    <w:p>
      <w:pPr>
        <w:snapToGrid w:val="0"/>
        <w:spacing w:line="360" w:lineRule="auto"/>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w:t>
      </w:r>
      <w:r>
        <w:rPr>
          <w:rFonts w:hint="eastAsia" w:ascii="宋体" w:hAnsi="宋体" w:cs="宋体"/>
          <w:b/>
          <w:color w:val="000000" w:themeColor="text1"/>
          <w:sz w:val="24"/>
          <w:highlight w:val="none"/>
          <w:lang w:eastAsia="zh-CN"/>
          <w14:textFill>
            <w14:solidFill>
              <w14:schemeClr w14:val="tx1"/>
            </w14:solidFill>
          </w14:textFill>
        </w:rPr>
        <w:t>采购文件</w:t>
      </w:r>
      <w:r>
        <w:rPr>
          <w:rFonts w:hint="eastAsia" w:ascii="宋体" w:hAnsi="宋体" w:cs="宋体"/>
          <w:b/>
          <w:color w:val="000000" w:themeColor="text1"/>
          <w:sz w:val="24"/>
          <w:highlight w:val="none"/>
          <w14:textFill>
            <w14:solidFill>
              <w14:schemeClr w14:val="tx1"/>
            </w14:solidFill>
          </w14:textFill>
        </w:rPr>
        <w:t>第四部分评标办法前附表中“投标文件中评标标准相应的商务技术资料目录”提供资料。）</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ind w:firstLine="2891" w:firstLineChars="900"/>
        <w:rPr>
          <w:rFonts w:hint="eastAsia" w:ascii="宋体" w:hAnsi="宋体" w:eastAsia="宋体" w:cs="宋体"/>
          <w:b/>
          <w:color w:val="000000" w:themeColor="text1"/>
          <w:kern w:val="0"/>
          <w:sz w:val="32"/>
          <w:szCs w:val="32"/>
          <w:highlight w:val="none"/>
          <w:lang w:eastAsia="zh-CN"/>
          <w14:textFill>
            <w14:solidFill>
              <w14:schemeClr w14:val="tx1"/>
            </w14:solidFill>
          </w14:textFill>
        </w:rPr>
      </w:pPr>
      <w:r>
        <w:rPr>
          <w:rFonts w:hint="eastAsia" w:ascii="宋体" w:hAnsi="宋体" w:cs="宋体"/>
          <w:b/>
          <w:color w:val="000000" w:themeColor="text1"/>
          <w:kern w:val="0"/>
          <w:sz w:val="32"/>
          <w:szCs w:val="32"/>
          <w:highlight w:val="none"/>
          <w:lang w:eastAsia="zh-CN"/>
          <w14:textFill>
            <w14:solidFill>
              <w14:schemeClr w14:val="tx1"/>
            </w14:solidFill>
          </w14:textFill>
        </w:rPr>
        <w:t>五</w:t>
      </w:r>
      <w:r>
        <w:rPr>
          <w:rFonts w:hint="eastAsia" w:ascii="宋体" w:hAnsi="宋体" w:cs="宋体"/>
          <w:b/>
          <w:color w:val="000000" w:themeColor="text1"/>
          <w:kern w:val="0"/>
          <w:sz w:val="32"/>
          <w:szCs w:val="32"/>
          <w:highlight w:val="none"/>
          <w14:textFill>
            <w14:solidFill>
              <w14:schemeClr w14:val="tx1"/>
            </w14:solidFill>
          </w14:textFill>
        </w:rPr>
        <w:t>、投标标的清单</w:t>
      </w:r>
      <w:r>
        <w:rPr>
          <w:rFonts w:hint="eastAsia" w:ascii="宋体" w:hAnsi="宋体" w:cs="宋体"/>
          <w:b/>
          <w:color w:val="000000" w:themeColor="text1"/>
          <w:kern w:val="0"/>
          <w:sz w:val="32"/>
          <w:szCs w:val="32"/>
          <w:highlight w:val="none"/>
          <w:lang w:eastAsia="zh-CN"/>
          <w14:textFill>
            <w14:solidFill>
              <w14:schemeClr w14:val="tx1"/>
            </w14:solidFill>
          </w14:textFill>
        </w:rPr>
        <w:t>（</w:t>
      </w:r>
      <w:r>
        <w:rPr>
          <w:rFonts w:hint="eastAsia" w:ascii="宋体" w:hAnsi="宋体" w:cs="宋体"/>
          <w:b/>
          <w:color w:val="000000" w:themeColor="text1"/>
          <w:kern w:val="0"/>
          <w:sz w:val="32"/>
          <w:szCs w:val="32"/>
          <w:highlight w:val="none"/>
          <w:lang w:val="en-US" w:eastAsia="zh-CN"/>
          <w14:textFill>
            <w14:solidFill>
              <w14:schemeClr w14:val="tx1"/>
            </w14:solidFill>
          </w14:textFill>
        </w:rPr>
        <w:t>本项目不涉及</w:t>
      </w:r>
      <w:r>
        <w:rPr>
          <w:rFonts w:hint="eastAsia" w:ascii="宋体" w:hAnsi="宋体" w:cs="宋体"/>
          <w:b/>
          <w:color w:val="000000" w:themeColor="text1"/>
          <w:kern w:val="0"/>
          <w:sz w:val="32"/>
          <w:szCs w:val="32"/>
          <w:highlight w:val="none"/>
          <w:lang w:eastAsia="zh-CN"/>
          <w14:textFill>
            <w14:solidFill>
              <w14:schemeClr w14:val="tx1"/>
            </w14:solidFill>
          </w14:textFill>
        </w:rPr>
        <w:t>）</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备注（如果有）</w:t>
            </w:r>
          </w:p>
          <w:p>
            <w:pPr>
              <w:spacing w:line="360" w:lineRule="auto"/>
              <w:jc w:val="center"/>
              <w:rPr>
                <w:rFonts w:ascii="宋体" w:hAnsi="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eastAsia="zh-CN"/>
          <w14:textFill>
            <w14:solidFill>
              <w14:schemeClr w14:val="tx1"/>
            </w14:solidFill>
          </w14:textFill>
        </w:rPr>
        <w:t>六</w:t>
      </w:r>
      <w:r>
        <w:rPr>
          <w:rFonts w:hint="eastAsia" w:ascii="宋体" w:hAnsi="宋体" w:cs="宋体"/>
          <w:b/>
          <w:color w:val="000000" w:themeColor="text1"/>
          <w:kern w:val="0"/>
          <w:sz w:val="32"/>
          <w:szCs w:val="32"/>
          <w:highlight w:val="none"/>
          <w14:textFill>
            <w14:solidFill>
              <w14:schemeClr w14:val="tx1"/>
            </w14:solidFill>
          </w14:textFill>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3683"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采购文件</w:t>
            </w:r>
            <w:r>
              <w:rPr>
                <w:rFonts w:hint="eastAsia" w:ascii="宋体" w:hAnsi="宋体" w:cs="宋体"/>
                <w:b/>
                <w:bCs/>
                <w:color w:val="000000" w:themeColor="text1"/>
                <w:sz w:val="24"/>
                <w:highlight w:val="none"/>
                <w14:textFill>
                  <w14:solidFill>
                    <w14:schemeClr w14:val="tx1"/>
                  </w14:solidFill>
                </w14:textFill>
              </w:rPr>
              <w:t>章节及具体内容</w:t>
            </w:r>
          </w:p>
        </w:tc>
        <w:tc>
          <w:tcPr>
            <w:tcW w:w="354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bl>
    <w:p>
      <w:pPr>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保证：除商务技术偏离表列出的偏离外，</w:t>
      </w:r>
      <w:r>
        <w:rPr>
          <w:rFonts w:hint="eastAsia" w:ascii="宋体" w:hAnsi="宋体" w:cs="宋体"/>
          <w:color w:val="000000" w:themeColor="text1"/>
          <w:kern w:val="0"/>
          <w:sz w:val="24"/>
          <w:highlight w:val="none"/>
          <w:lang w:eastAsia="zh-CN"/>
          <w14:textFill>
            <w14:solidFill>
              <w14:schemeClr w14:val="tx1"/>
            </w14:solidFill>
          </w14:textFill>
        </w:rPr>
        <w:t>供应商</w:t>
      </w:r>
      <w:r>
        <w:rPr>
          <w:rFonts w:hint="eastAsia" w:ascii="宋体" w:hAnsi="宋体" w:cs="宋体"/>
          <w:color w:val="000000" w:themeColor="text1"/>
          <w:kern w:val="0"/>
          <w:sz w:val="24"/>
          <w:highlight w:val="none"/>
          <w14:textFill>
            <w14:solidFill>
              <w14:schemeClr w14:val="tx1"/>
            </w14:solidFill>
          </w14:textFill>
        </w:rPr>
        <w:t>响应</w:t>
      </w:r>
      <w:r>
        <w:rPr>
          <w:rFonts w:hint="eastAsia" w:ascii="宋体" w:hAnsi="宋体" w:cs="宋体"/>
          <w:color w:val="000000" w:themeColor="text1"/>
          <w:kern w:val="0"/>
          <w:sz w:val="24"/>
          <w:highlight w:val="none"/>
          <w:lang w:eastAsia="zh-CN"/>
          <w14:textFill>
            <w14:solidFill>
              <w14:schemeClr w14:val="tx1"/>
            </w14:solidFill>
          </w14:textFill>
        </w:rPr>
        <w:t>采购文件</w:t>
      </w:r>
      <w:r>
        <w:rPr>
          <w:rFonts w:hint="eastAsia" w:ascii="宋体" w:hAnsi="宋体" w:cs="宋体"/>
          <w:color w:val="000000" w:themeColor="text1"/>
          <w:kern w:val="0"/>
          <w:sz w:val="24"/>
          <w:highlight w:val="none"/>
          <w14:textFill>
            <w14:solidFill>
              <w14:schemeClr w14:val="tx1"/>
            </w14:solidFill>
          </w14:textFill>
        </w:rPr>
        <w:t>的全部要求</w:t>
      </w:r>
    </w:p>
    <w:p>
      <w:pPr>
        <w:jc w:val="center"/>
        <w:rPr>
          <w:rFonts w:ascii="宋体" w:hAnsi="宋体" w:cs="宋体"/>
          <w:b/>
          <w:color w:val="000000" w:themeColor="text1"/>
          <w:kern w:val="0"/>
          <w:sz w:val="32"/>
          <w:szCs w:val="32"/>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widowControl/>
        <w:adjustRightInd/>
        <w:jc w:val="left"/>
        <w:rPr>
          <w:rFonts w:ascii="宋体" w:hAnsi="宋体" w:cs="宋体"/>
          <w:b/>
          <w:bCs/>
          <w:color w:val="000000" w:themeColor="text1"/>
          <w:sz w:val="32"/>
          <w:szCs w:val="32"/>
          <w:highlight w:val="none"/>
          <w14:textFill>
            <w14:solidFill>
              <w14:schemeClr w14:val="tx1"/>
            </w14:solidFill>
          </w14:textFill>
        </w:rPr>
      </w:pPr>
      <w:r>
        <w:rPr>
          <w:rFonts w:ascii="宋体" w:hAnsi="宋体" w:cs="宋体"/>
          <w:b/>
          <w:bCs/>
          <w:color w:val="000000" w:themeColor="text1"/>
          <w:sz w:val="32"/>
          <w:szCs w:val="32"/>
          <w:highlight w:val="none"/>
          <w14:textFill>
            <w14:solidFill>
              <w14:schemeClr w14:val="tx1"/>
            </w14:solidFill>
          </w14:textFill>
        </w:rPr>
        <w:br w:type="page"/>
      </w:r>
    </w:p>
    <w:p>
      <w:pPr>
        <w:ind w:firstLine="1911" w:firstLineChars="595"/>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lang w:eastAsia="zh-CN"/>
          <w14:textFill>
            <w14:solidFill>
              <w14:schemeClr w14:val="tx1"/>
            </w14:solidFill>
          </w14:textFill>
        </w:rPr>
        <w:t>七</w:t>
      </w:r>
      <w:r>
        <w:rPr>
          <w:rFonts w:hint="eastAsia" w:ascii="宋体" w:hAnsi="宋体" w:cs="宋体"/>
          <w:b/>
          <w:color w:val="000000" w:themeColor="text1"/>
          <w:kern w:val="0"/>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浙江泛亚工程咨询有限公司</w:t>
      </w:r>
      <w:r>
        <w:rPr>
          <w:rFonts w:hint="eastAsia" w:ascii="宋体" w:hAnsi="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我单位响应你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六、严格遵守《</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政府采购法》《</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招标投标法》</w:t>
      </w:r>
      <w:r>
        <w:rPr>
          <w:rFonts w:hint="eastAsia" w:ascii="宋体" w:hAnsi="宋体" w:cs="宋体"/>
          <w:color w:val="000000" w:themeColor="text1"/>
          <w:sz w:val="24"/>
          <w:highlight w:val="none"/>
          <w:lang w:val="zh-CN"/>
          <w14:textFill>
            <w14:solidFill>
              <w14:schemeClr w14:val="tx1"/>
            </w14:solidFill>
          </w14:textFill>
        </w:rPr>
        <w:t>《中华人民共和国民法典》</w:t>
      </w:r>
      <w:r>
        <w:rPr>
          <w:rFonts w:hint="eastAsia" w:ascii="宋体" w:hAnsi="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如违反上述承诺，你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供应商名称（</w:t>
      </w:r>
      <w:r>
        <w:rPr>
          <w:rFonts w:hint="eastAsia" w:ascii="宋体" w:hAnsi="宋体" w:cs="宋体"/>
          <w:color w:val="000000" w:themeColor="text1"/>
          <w:sz w:val="24"/>
          <w:highlight w:val="none"/>
          <w14:textFill>
            <w14:solidFill>
              <w14:schemeClr w14:val="tx1"/>
            </w14:solidFill>
          </w14:textFill>
        </w:rPr>
        <w:t>电子签名</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pacing w:line="360" w:lineRule="auto"/>
        <w:jc w:val="center"/>
        <w:rPr>
          <w:rFonts w:ascii="宋体" w:hAnsi="宋体" w:cs="宋体"/>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（1）开标一览表（报价表）………………………………………………………（页码）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浙江泛亚工程咨询有限公司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按你方采购文件要求，我们，本投标文件签字方，谨此向你方发出要约如下：如你方接受本投标，我方承诺按照如下开标一览表（报价表）的价格完成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highlight w:val="non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kern w:val="0"/>
          <w:sz w:val="24"/>
          <w:highlight w:val="none"/>
          <w:lang w:val="zh-CN"/>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GZCG2023GKDL-21</w:t>
      </w:r>
      <w:r>
        <w:rPr>
          <w:rFonts w:hint="eastAsia" w:ascii="宋体" w:hAnsi="宋体" w:cs="宋体"/>
          <w:color w:val="000000" w:themeColor="text1"/>
          <w:sz w:val="24"/>
          <w:highlight w:val="none"/>
          <w14:textFill>
            <w14:solidFill>
              <w14:schemeClr w14:val="tx1"/>
            </w14:solidFill>
          </w14:textFill>
        </w:rPr>
        <w:t>】的实施</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开标一览表（报价表）(单位均为人民币元)</w:t>
      </w:r>
    </w:p>
    <w:tbl>
      <w:tblPr>
        <w:tblStyle w:val="63"/>
        <w:tblW w:w="11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523"/>
        <w:gridCol w:w="3166"/>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67" w:type="dxa"/>
            <w:noWrap w:val="0"/>
            <w:vAlign w:val="center"/>
          </w:tcPr>
          <w:p>
            <w:pPr>
              <w:jc w:val="both"/>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序号</w:t>
            </w:r>
          </w:p>
        </w:tc>
        <w:tc>
          <w:tcPr>
            <w:tcW w:w="3523" w:type="dxa"/>
            <w:noWrap w:val="0"/>
            <w:vAlign w:val="center"/>
          </w:tcPr>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分项内容</w:t>
            </w:r>
          </w:p>
        </w:tc>
        <w:tc>
          <w:tcPr>
            <w:tcW w:w="3166" w:type="dxa"/>
            <w:noWrap w:val="0"/>
            <w:vAlign w:val="center"/>
          </w:tcPr>
          <w:p>
            <w:pPr>
              <w:jc w:val="cente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 xml:space="preserve">   数量</w:t>
            </w:r>
          </w:p>
        </w:tc>
        <w:tc>
          <w:tcPr>
            <w:tcW w:w="3500" w:type="dxa"/>
            <w:noWrap w:val="0"/>
            <w:vAlign w:val="center"/>
          </w:tcPr>
          <w:p>
            <w:pPr>
              <w:jc w:val="cente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67"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3523" w:type="dxa"/>
            <w:noWrap w:val="0"/>
            <w:vAlign w:val="center"/>
          </w:tcPr>
          <w:p>
            <w:pPr>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设计费</w:t>
            </w:r>
          </w:p>
        </w:tc>
        <w:tc>
          <w:tcPr>
            <w:tcW w:w="31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1项</w:t>
            </w:r>
          </w:p>
        </w:tc>
        <w:tc>
          <w:tcPr>
            <w:tcW w:w="3500"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7" w:type="dxa"/>
            <w:noWrap w:val="0"/>
            <w:vAlign w:val="top"/>
          </w:tcPr>
          <w:p>
            <w:pPr>
              <w:jc w:val="center"/>
              <w:rPr>
                <w:rFonts w:hint="eastAsia" w:ascii="宋体" w:hAnsi="宋体" w:eastAsia="宋体" w:cs="宋体"/>
                <w:color w:val="000000" w:themeColor="text1"/>
                <w:sz w:val="24"/>
                <w:szCs w:val="24"/>
                <w:highlight w:val="none"/>
                <w14:textFill>
                  <w14:solidFill>
                    <w14:schemeClr w14:val="tx1"/>
                  </w14:solidFill>
                </w14:textFill>
              </w:rPr>
            </w:pPr>
          </w:p>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3523" w:type="dxa"/>
            <w:noWrap w:val="0"/>
            <w:vAlign w:val="center"/>
          </w:tcPr>
          <w:p>
            <w:pPr>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采购提升费</w:t>
            </w:r>
          </w:p>
        </w:tc>
        <w:tc>
          <w:tcPr>
            <w:tcW w:w="31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1项</w:t>
            </w:r>
          </w:p>
        </w:tc>
        <w:tc>
          <w:tcPr>
            <w:tcW w:w="3500"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7" w:type="dxa"/>
            <w:noWrap w:val="0"/>
            <w:vAlign w:val="top"/>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3523" w:type="dxa"/>
            <w:noWrap w:val="0"/>
            <w:vAlign w:val="center"/>
          </w:tcPr>
          <w:p>
            <w:pPr>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运营管理费</w:t>
            </w:r>
          </w:p>
        </w:tc>
        <w:tc>
          <w:tcPr>
            <w:tcW w:w="31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3年</w:t>
            </w:r>
          </w:p>
        </w:tc>
        <w:tc>
          <w:tcPr>
            <w:tcW w:w="3500"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67" w:type="dxa"/>
            <w:noWrap w:val="0"/>
            <w:vAlign w:val="top"/>
          </w:tcPr>
          <w:p>
            <w:pPr>
              <w:jc w:val="center"/>
              <w:rPr>
                <w:rFonts w:hint="eastAsia" w:ascii="宋体" w:hAnsi="宋体" w:eastAsia="宋体" w:cs="宋体"/>
                <w:color w:val="000000" w:themeColor="text1"/>
                <w:sz w:val="24"/>
                <w:szCs w:val="24"/>
                <w:highlight w:val="none"/>
                <w14:textFill>
                  <w14:solidFill>
                    <w14:schemeClr w14:val="tx1"/>
                  </w14:solidFill>
                </w14:textFill>
              </w:rPr>
            </w:pPr>
          </w:p>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6689" w:type="dxa"/>
            <w:gridSpan w:val="2"/>
            <w:noWrap w:val="0"/>
            <w:vAlign w:val="center"/>
          </w:tcPr>
          <w:p>
            <w:pPr>
              <w:jc w:val="center"/>
              <w:rPr>
                <w:rFonts w:hint="eastAsia" w:ascii="宋体" w:hAnsi="宋体" w:eastAsia="宋体" w:cs="宋体"/>
                <w:color w:val="000000" w:themeColor="text1"/>
                <w:sz w:val="24"/>
                <w:szCs w:val="24"/>
                <w:highlight w:val="none"/>
                <w:lang w:val="en-GB"/>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投标总报价（合计）</w:t>
            </w:r>
          </w:p>
        </w:tc>
        <w:tc>
          <w:tcPr>
            <w:tcW w:w="3500" w:type="dxa"/>
            <w:noWrap w:val="0"/>
            <w:vAlign w:val="center"/>
          </w:tcPr>
          <w:p>
            <w:pPr>
              <w:rPr>
                <w:rFonts w:hint="eastAsia" w:ascii="宋体" w:hAnsi="宋体" w:eastAsia="宋体" w:cs="宋体"/>
                <w:color w:val="000000" w:themeColor="text1"/>
                <w:sz w:val="24"/>
                <w:szCs w:val="24"/>
                <w:highlight w:val="none"/>
                <w:lang w:val="en-GB"/>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single"/>
                <w:lang w:val="en-US" w:eastAsia="zh-CN" w:bidi="ar"/>
                <w14:textFill>
                  <w14:solidFill>
                    <w14:schemeClr w14:val="tx1"/>
                  </w14:solidFill>
                </w14:textFill>
              </w:rPr>
              <w:t xml:space="preserve">  （按此价格唱标） </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1156" w:type="dxa"/>
            <w:gridSpan w:val="4"/>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项目负责人：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1156" w:type="dxa"/>
            <w:gridSpan w:val="4"/>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合同履约期限：</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总服务期85日历天（其中合同签订后20日历天内完成提升设计深化方案；深化方案完成后65日历天内完成设备材料的采购安装与现场施工）；运营期限3年。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1156" w:type="dxa"/>
            <w:gridSpan w:val="4"/>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投标报价明细详见附件：</w:t>
            </w:r>
            <w:r>
              <w:rPr>
                <w:rFonts w:hint="eastAsia" w:ascii="宋体" w:hAnsi="宋体" w:eastAsia="宋体" w:cs="宋体"/>
                <w:b w:val="0"/>
                <w:bCs w:val="0"/>
                <w:i w:val="0"/>
                <w:iCs w:val="0"/>
                <w:color w:val="000000" w:themeColor="text1"/>
                <w:kern w:val="0"/>
                <w:sz w:val="24"/>
                <w:szCs w:val="24"/>
                <w:highlight w:val="none"/>
                <w:u w:val="none"/>
                <w:lang w:val="en-US" w:eastAsia="zh-CN" w:bidi="ar"/>
                <w14:textFill>
                  <w14:solidFill>
                    <w14:schemeClr w14:val="tx1"/>
                  </w14:solidFill>
                </w14:textFill>
              </w:rPr>
              <w:t>投标报价明细表（一）、表（二）、表（三）</w:t>
            </w:r>
          </w:p>
        </w:tc>
      </w:tr>
    </w:tbl>
    <w:p>
      <w:pPr>
        <w:snapToGrid w:val="0"/>
        <w:spacing w:line="360" w:lineRule="auto"/>
        <w:ind w:left="480"/>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1、供应商需按本表格式填写</w:t>
      </w: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highlight w:val="none"/>
          <w:lang w:val="zh-CN"/>
          <w14:textFill>
            <w14:solidFill>
              <w14:schemeClr w14:val="tx1"/>
            </w14:solidFill>
          </w14:textFill>
        </w:rPr>
        <w:t>采购人将以合同形式有偿取得货物或服务，不接受供应商给予的赠品、回扣或者与采购无关的其他商品、服务；采购内容未包含在《开标一览表（报价表）》名称栏中，供应商不能作出合理解释的，</w:t>
      </w:r>
      <w:r>
        <w:rPr>
          <w:rFonts w:hint="eastAsia" w:ascii="宋体" w:hAnsi="宋体" w:cs="宋体"/>
          <w:b/>
          <w:color w:val="000000" w:themeColor="text1"/>
          <w:kern w:val="0"/>
          <w:sz w:val="24"/>
          <w:highlight w:val="none"/>
          <w14:textFill>
            <w14:solidFill>
              <w14:schemeClr w14:val="tx1"/>
            </w14:solidFill>
          </w14:textFill>
        </w:rPr>
        <w:t>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szCs w:val="22"/>
          <w:highlight w:val="none"/>
          <w:lang w:val="zh-CN"/>
          <w14:textFill>
            <w14:solidFill>
              <w14:schemeClr w14:val="tx1"/>
            </w14:solidFill>
          </w14:textFill>
        </w:rPr>
        <w:t>4</w:t>
      </w:r>
      <w:r>
        <w:rPr>
          <w:rFonts w:hint="eastAsia" w:ascii="宋体" w:hAnsi="宋体" w:cs="宋体"/>
          <w:color w:val="000000" w:themeColor="text1"/>
          <w:kern w:val="0"/>
          <w:sz w:val="24"/>
          <w:szCs w:val="22"/>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hint="default" w:ascii="宋体" w:hAnsi="宋体" w:eastAsia="宋体" w:cs="宋体"/>
          <w:b/>
          <w:color w:val="000000" w:themeColor="text1"/>
          <w:sz w:val="24"/>
          <w:highlight w:val="none"/>
          <w:shd w:val="clear" w:color="FFFFFF" w:fill="D9D9D9"/>
          <w:lang w:val="en-US"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5、特别说明：</w:t>
      </w:r>
      <w:r>
        <w:rPr>
          <w:rFonts w:hint="eastAsia" w:ascii="宋体" w:hAnsi="宋体" w:cs="宋体"/>
          <w:b/>
          <w:color w:val="000000" w:themeColor="text1"/>
          <w:sz w:val="24"/>
          <w:highlight w:val="none"/>
          <w:shd w:val="clear" w:color="FFFFFF" w:fill="D9D9D9"/>
          <w14:textFill>
            <w14:solidFill>
              <w14:schemeClr w14:val="tx1"/>
            </w14:solidFill>
          </w14:textFill>
        </w:rPr>
        <w:t>▲供应商报价低于项目预算50%的，应当在报价文件中详细阐述不影响产品质量或者诚信履约的具体原因</w:t>
      </w:r>
      <w:r>
        <w:rPr>
          <w:rFonts w:hint="eastAsia" w:ascii="宋体" w:hAnsi="宋体" w:cs="宋体"/>
          <w:b/>
          <w:color w:val="000000" w:themeColor="text1"/>
          <w:sz w:val="24"/>
          <w:highlight w:val="none"/>
          <w:shd w:val="clear" w:color="FFFFFF" w:fill="D9D9D9"/>
          <w:lang w:eastAsia="zh-CN"/>
          <w14:textFill>
            <w14:solidFill>
              <w14:schemeClr w14:val="tx1"/>
            </w14:solidFill>
          </w14:textFill>
        </w:rPr>
        <w:t>，</w:t>
      </w:r>
      <w:r>
        <w:rPr>
          <w:rFonts w:hint="eastAsia" w:ascii="宋体" w:hAnsi="宋体" w:cs="宋体"/>
          <w:b/>
          <w:color w:val="000000" w:themeColor="text1"/>
          <w:sz w:val="24"/>
          <w:highlight w:val="none"/>
          <w:shd w:val="clear" w:color="FFFFFF" w:fill="D9D9D9"/>
          <w:lang w:val="en-US" w:eastAsia="zh-CN"/>
          <w14:textFill>
            <w14:solidFill>
              <w14:schemeClr w14:val="tx1"/>
            </w14:solidFill>
          </w14:textFill>
        </w:rPr>
        <w:t>未做阐述说明的，投标无效。</w:t>
      </w:r>
    </w:p>
    <w:p>
      <w:pPr>
        <w:spacing w:line="360" w:lineRule="auto"/>
        <w:ind w:firstLine="482" w:firstLineChars="200"/>
        <w:rPr>
          <w:rFonts w:ascii="宋体" w:hAnsi="宋体" w:cs="宋体"/>
          <w:b/>
          <w:color w:val="000000" w:themeColor="text1"/>
          <w:kern w:val="0"/>
          <w:sz w:val="24"/>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jc w:val="left"/>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附件：</w:t>
      </w:r>
    </w:p>
    <w:p>
      <w:pPr>
        <w:pStyle w:val="692"/>
        <w:keepNext w:val="0"/>
        <w:pageBreakBefore w:val="0"/>
        <w:numPr>
          <w:ilvl w:val="0"/>
          <w:numId w:val="0"/>
        </w:numPr>
        <w:tabs>
          <w:tab w:val="clear" w:pos="720"/>
        </w:tabs>
        <w:kinsoku/>
        <w:overflowPunct/>
        <w:topLinePunct w:val="0"/>
        <w:bidi w:val="0"/>
        <w:snapToGrid w:val="0"/>
        <w:spacing w:before="120" w:after="120" w:line="360" w:lineRule="auto"/>
        <w:ind w:firstLine="1285" w:firstLineChars="400"/>
        <w:jc w:val="both"/>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32"/>
          <w:szCs w:val="32"/>
          <w:highlight w:val="none"/>
          <w14:textFill>
            <w14:solidFill>
              <w14:schemeClr w14:val="tx1"/>
            </w14:solidFill>
          </w14:textFill>
        </w:rPr>
        <w:t>投标报价明细表（一）</w:t>
      </w:r>
    </w:p>
    <w:p>
      <w:pPr>
        <w:pStyle w:val="692"/>
        <w:keepNext w:val="0"/>
        <w:pageBreakBefore w:val="0"/>
        <w:numPr>
          <w:ilvl w:val="0"/>
          <w:numId w:val="0"/>
        </w:numPr>
        <w:tabs>
          <w:tab w:val="clear" w:pos="720"/>
        </w:tabs>
        <w:kinsoku/>
        <w:overflowPunct/>
        <w:topLinePunct w:val="0"/>
        <w:bidi w:val="0"/>
        <w:snapToGrid w:val="0"/>
        <w:spacing w:before="120" w:after="120" w:line="360" w:lineRule="auto"/>
        <w:jc w:val="center"/>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（设计</w:t>
      </w:r>
      <w:r>
        <w:rPr>
          <w:rFonts w:hint="eastAsia" w:ascii="宋体" w:hAnsi="宋体" w:eastAsia="宋体" w:cs="宋体"/>
          <w:color w:val="000000" w:themeColor="text1"/>
          <w:kern w:val="2"/>
          <w:sz w:val="32"/>
          <w:szCs w:val="32"/>
          <w:highlight w:val="none"/>
          <w:lang w:val="en-US" w:eastAsia="zh-CN"/>
          <w14:textFill>
            <w14:solidFill>
              <w14:schemeClr w14:val="tx1"/>
            </w14:solidFill>
          </w14:textFill>
        </w:rPr>
        <w:t>费</w:t>
      </w:r>
      <w:r>
        <w:rPr>
          <w:rFonts w:hint="eastAsia" w:ascii="宋体" w:hAnsi="宋体" w:eastAsia="宋体" w:cs="宋体"/>
          <w:color w:val="000000" w:themeColor="text1"/>
          <w:kern w:val="2"/>
          <w:sz w:val="32"/>
          <w:szCs w:val="32"/>
          <w:highlight w:val="none"/>
          <w14:textFill>
            <w14:solidFill>
              <w14:schemeClr w14:val="tx1"/>
            </w14:solidFill>
          </w14:textFill>
        </w:rPr>
        <w:t>）</w:t>
      </w:r>
    </w:p>
    <w:tbl>
      <w:tblPr>
        <w:tblStyle w:val="63"/>
        <w:tblpPr w:leftFromText="180" w:rightFromText="180" w:vertAnchor="text" w:horzAnchor="page" w:tblpX="1339" w:tblpY="464"/>
        <w:tblOverlap w:val="never"/>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585"/>
        <w:gridCol w:w="1453"/>
        <w:gridCol w:w="973"/>
        <w:gridCol w:w="1305"/>
        <w:gridCol w:w="139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序号</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内容</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单位</w:t>
            </w: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数量</w:t>
            </w: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i w:val="0"/>
                <w:iCs w:val="0"/>
                <w:color w:val="000000" w:themeColor="text1"/>
                <w:kern w:val="0"/>
                <w:sz w:val="24"/>
                <w:szCs w:val="24"/>
                <w:highlight w:val="none"/>
                <w:u w:val="none"/>
                <w:lang w:val="en-US" w:eastAsia="zh-CN" w:bidi="ar"/>
                <w14:textFill>
                  <w14:solidFill>
                    <w14:schemeClr w14:val="tx1"/>
                  </w14:solidFill>
                </w14:textFill>
              </w:rPr>
              <w:t>综合单价</w:t>
            </w: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cs="宋体"/>
                <w:b/>
                <w:bCs w:val="0"/>
                <w:color w:val="000000" w:themeColor="text1"/>
                <w:sz w:val="24"/>
                <w:szCs w:val="24"/>
                <w:highlight w:val="none"/>
                <w:lang w:val="en-US" w:eastAsia="zh-CN"/>
                <w14:textFill>
                  <w14:solidFill>
                    <w14:schemeClr w14:val="tx1"/>
                  </w14:solidFill>
                </w14:textFill>
              </w:rPr>
              <w:t>小计</w:t>
            </w:r>
            <w:r>
              <w:rPr>
                <w:rFonts w:hint="eastAsia" w:ascii="宋体" w:hAnsi="宋体" w:eastAsia="宋体" w:cs="宋体"/>
                <w:b/>
                <w:bCs w:val="0"/>
                <w:color w:val="000000" w:themeColor="text1"/>
                <w:sz w:val="24"/>
                <w:szCs w:val="24"/>
                <w:highlight w:val="none"/>
                <w14:textFill>
                  <w14:solidFill>
                    <w14:schemeClr w14:val="tx1"/>
                  </w14:solidFill>
                </w14:textFill>
              </w:rPr>
              <w:t>（元）</w:t>
            </w:r>
          </w:p>
        </w:tc>
        <w:tc>
          <w:tcPr>
            <w:tcW w:w="1109"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cs="宋体"/>
                <w:b/>
                <w:bCs w:val="0"/>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1</w:t>
            </w:r>
          </w:p>
        </w:tc>
        <w:tc>
          <w:tcPr>
            <w:tcW w:w="2585"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Cs/>
                <w:color w:val="000000" w:themeColor="text1"/>
                <w:sz w:val="24"/>
                <w:szCs w:val="24"/>
                <w:highlight w:val="none"/>
                <w:lang w:val="en-US"/>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t>概念性方案</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t>深化农村土地制度改革探索方案</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t>一期提升设计方案</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4</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t>展陈设计方案</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5</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t>衍生产品应用设计方案</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6</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t>视觉系统</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7</w:t>
            </w:r>
          </w:p>
        </w:tc>
        <w:tc>
          <w:tcPr>
            <w:tcW w:w="2585"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w:t>
            </w:r>
          </w:p>
        </w:tc>
        <w:tc>
          <w:tcPr>
            <w:tcW w:w="5011" w:type="dxa"/>
            <w:gridSpan w:val="3"/>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合计</w:t>
            </w: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r>
        <w:rPr>
          <w:rFonts w:hint="eastAsia" w:ascii="宋体" w:hAnsi="宋体" w:eastAsia="宋体" w:cs="宋体"/>
          <w:bCs/>
          <w:color w:val="000000" w:themeColor="text1"/>
          <w:szCs w:val="21"/>
          <w:highlight w:val="none"/>
          <w:lang w:bidi="ar"/>
          <w14:textFill>
            <w14:solidFill>
              <w14:schemeClr w14:val="tx1"/>
            </w14:solidFill>
          </w14:textFill>
        </w:rPr>
        <w:t>注：上述报价中包含</w:t>
      </w:r>
      <w:r>
        <w:rPr>
          <w:rFonts w:hint="eastAsia" w:ascii="宋体" w:hAnsi="宋体" w:cs="宋体"/>
          <w:bCs/>
          <w:color w:val="000000" w:themeColor="text1"/>
          <w:szCs w:val="21"/>
          <w:highlight w:val="none"/>
          <w:lang w:eastAsia="zh-CN" w:bidi="ar"/>
          <w14:textFill>
            <w14:solidFill>
              <w14:schemeClr w14:val="tx1"/>
            </w14:solidFill>
          </w14:textFill>
        </w:rPr>
        <w:t>采购</w:t>
      </w:r>
      <w:r>
        <w:rPr>
          <w:rFonts w:hint="eastAsia" w:ascii="宋体" w:hAnsi="宋体" w:eastAsia="宋体" w:cs="宋体"/>
          <w:bCs/>
          <w:color w:val="000000" w:themeColor="text1"/>
          <w:szCs w:val="21"/>
          <w:highlight w:val="none"/>
          <w:lang w:eastAsia="zh-CN" w:bidi="ar"/>
          <w14:textFill>
            <w14:solidFill>
              <w14:schemeClr w14:val="tx1"/>
            </w14:solidFill>
          </w14:textFill>
        </w:rPr>
        <w:t>文件</w:t>
      </w:r>
      <w:r>
        <w:rPr>
          <w:rFonts w:hint="eastAsia" w:ascii="宋体" w:hAnsi="宋体" w:eastAsia="宋体" w:cs="宋体"/>
          <w:bCs/>
          <w:color w:val="000000" w:themeColor="text1"/>
          <w:szCs w:val="21"/>
          <w:highlight w:val="none"/>
          <w:lang w:bidi="ar"/>
          <w14:textFill>
            <w14:solidFill>
              <w14:schemeClr w14:val="tx1"/>
            </w14:solidFill>
          </w14:textFill>
        </w:rPr>
        <w:t>要求的所要求的所有费用。</w:t>
      </w:r>
    </w:p>
    <w:p>
      <w:pPr>
        <w:pageBreakBefore w:val="0"/>
        <w:kinsoku/>
        <w:overflowPunct/>
        <w:topLinePunct w:val="0"/>
        <w:bidi w:val="0"/>
        <w:spacing w:line="360" w:lineRule="auto"/>
        <w:rPr>
          <w:rFonts w:hint="default" w:ascii="宋体" w:hAnsi="宋体" w:eastAsia="宋体" w:cs="宋体"/>
          <w:bCs/>
          <w:color w:val="000000" w:themeColor="text1"/>
          <w:szCs w:val="21"/>
          <w:highlight w:val="none"/>
          <w:lang w:val="en-US" w:eastAsia="zh-CN" w:bidi="ar"/>
          <w14:textFill>
            <w14:solidFill>
              <w14:schemeClr w14:val="tx1"/>
            </w14:solidFill>
          </w14:textFill>
        </w:rPr>
      </w:pPr>
      <w:r>
        <w:rPr>
          <w:rFonts w:hint="eastAsia" w:ascii="宋体" w:hAnsi="宋体" w:eastAsia="宋体" w:cs="宋体"/>
          <w:bCs/>
          <w:color w:val="000000" w:themeColor="text1"/>
          <w:szCs w:val="21"/>
          <w:highlight w:val="none"/>
          <w:lang w:val="en-US" w:eastAsia="zh-CN" w:bidi="ar"/>
          <w14:textFill>
            <w14:solidFill>
              <w14:schemeClr w14:val="tx1"/>
            </w14:solidFill>
          </w14:textFill>
        </w:rPr>
        <w:t>2.设计费用最高限价为150万元（含概念性方案、深化农村土地制度改革探索方案、一期提升设计方案、展陈设计方案、衍生产品应用设计方案、视觉系统设计等）。</w:t>
      </w:r>
    </w:p>
    <w:p>
      <w:pPr>
        <w:pageBreakBefore w:val="0"/>
        <w:kinsoku/>
        <w:overflowPunct/>
        <w:topLinePunct w:val="0"/>
        <w:bidi w:val="0"/>
        <w:spacing w:line="360" w:lineRule="auto"/>
        <w:rPr>
          <w:rFonts w:hint="default" w:ascii="宋体" w:hAnsi="宋体" w:eastAsia="宋体" w:cs="宋体"/>
          <w:bCs/>
          <w:color w:val="000000" w:themeColor="text1"/>
          <w:szCs w:val="21"/>
          <w:highlight w:val="none"/>
          <w:shd w:val="clear" w:color="FFFFFF" w:fill="D9D9D9"/>
          <w:lang w:val="en-US" w:eastAsia="zh-CN" w:bidi="ar"/>
          <w14:textFill>
            <w14:solidFill>
              <w14:schemeClr w14:val="tx1"/>
            </w14:solidFill>
          </w14:textFill>
        </w:rPr>
      </w:pPr>
      <w:r>
        <w:rPr>
          <w:rFonts w:hint="eastAsia" w:ascii="宋体" w:hAnsi="宋体" w:eastAsia="宋体" w:cs="宋体"/>
          <w:bCs/>
          <w:color w:val="000000" w:themeColor="text1"/>
          <w:szCs w:val="21"/>
          <w:highlight w:val="none"/>
          <w:shd w:val="clear" w:color="FFFFFF" w:fill="D9D9D9"/>
          <w:lang w:val="en-US" w:eastAsia="zh-CN" w:bidi="ar"/>
          <w14:textFill>
            <w14:solidFill>
              <w14:schemeClr w14:val="tx1"/>
            </w14:solidFill>
          </w14:textFill>
        </w:rPr>
        <w:t>3.本表供参考，可根据实际需要修改本表。</w:t>
      </w:r>
    </w:p>
    <w:p>
      <w:pPr>
        <w:pStyle w:val="26"/>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autoSpaceDE w:val="0"/>
        <w:autoSpaceDN w:val="0"/>
        <w:bidi w:val="0"/>
        <w:spacing w:line="360" w:lineRule="auto"/>
        <w:ind w:right="1120"/>
        <w:jc w:val="left"/>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供应商</w:t>
      </w:r>
      <w:r>
        <w:rPr>
          <w:rFonts w:hint="eastAsia" w:ascii="宋体" w:hAnsi="宋体" w:eastAsia="宋体" w:cs="宋体"/>
          <w:color w:val="000000" w:themeColor="text1"/>
          <w:kern w:val="0"/>
          <w:szCs w:val="21"/>
          <w:highlight w:val="none"/>
          <w:lang w:val="zh-CN"/>
          <w14:textFill>
            <w14:solidFill>
              <w14:schemeClr w14:val="tx1"/>
            </w14:solidFill>
          </w14:textFill>
        </w:rPr>
        <w:t>名称（电子签名）：</w:t>
      </w:r>
    </w:p>
    <w:p>
      <w:pPr>
        <w:pageBreakBefore w:val="0"/>
        <w:kinsoku/>
        <w:overflowPunct/>
        <w:topLinePunct w:val="0"/>
        <w:bidi w:val="0"/>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zh-CN"/>
          <w14:textFill>
            <w14:solidFill>
              <w14:schemeClr w14:val="tx1"/>
            </w14:solidFill>
          </w14:textFill>
        </w:rPr>
        <w:t>日期</w:t>
      </w: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lang w:val="zh-CN"/>
          <w14:textFill>
            <w14:solidFill>
              <w14:schemeClr w14:val="tx1"/>
            </w14:solidFill>
          </w14:textFill>
        </w:rPr>
        <w:t xml:space="preserve">   年   月   日</w:t>
      </w:r>
    </w:p>
    <w:p>
      <w:pPr>
        <w:pStyle w:val="24"/>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pStyle w:val="25"/>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pStyle w:val="26"/>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pageBreakBefore w:val="0"/>
        <w:widowControl/>
        <w:kinsoku/>
        <w:overflowPunct/>
        <w:topLinePunct w:val="0"/>
        <w:bidi w:val="0"/>
        <w:adjustRightInd/>
        <w:spacing w:line="360" w:lineRule="auto"/>
        <w:jc w:val="left"/>
        <w:rPr>
          <w:rFonts w:hint="eastAsia" w:ascii="宋体" w:hAnsi="宋体" w:eastAsia="宋体" w:cs="宋体"/>
          <w:color w:val="000000" w:themeColor="text1"/>
          <w:sz w:val="32"/>
          <w:szCs w:val="32"/>
          <w:highlight w:val="none"/>
          <w14:textFill>
            <w14:solidFill>
              <w14:schemeClr w14:val="tx1"/>
            </w14:solidFill>
          </w14:textFill>
        </w:rPr>
      </w:pPr>
    </w:p>
    <w:p>
      <w:pPr>
        <w:pStyle w:val="25"/>
        <w:rPr>
          <w:rFonts w:hint="eastAsia" w:ascii="宋体" w:hAnsi="宋体" w:eastAsia="宋体" w:cs="宋体"/>
          <w:color w:val="000000" w:themeColor="text1"/>
          <w:sz w:val="32"/>
          <w:szCs w:val="32"/>
          <w:highlight w:val="none"/>
          <w14:textFill>
            <w14:solidFill>
              <w14:schemeClr w14:val="tx1"/>
            </w14:solidFill>
          </w14:textFill>
        </w:rPr>
      </w:pPr>
    </w:p>
    <w:p>
      <w:pPr>
        <w:jc w:val="center"/>
        <w:rPr>
          <w:rFonts w:hint="eastAsia" w:ascii="宋体" w:hAnsi="宋体" w:eastAsia="宋体" w:cs="宋体"/>
          <w:b/>
          <w:bCs/>
          <w:color w:val="000000" w:themeColor="text1"/>
          <w:kern w:val="2"/>
          <w:sz w:val="32"/>
          <w:szCs w:val="32"/>
          <w:highlight w:val="none"/>
          <w14:textFill>
            <w14:solidFill>
              <w14:schemeClr w14:val="tx1"/>
            </w14:solidFill>
          </w14:textFill>
        </w:rPr>
      </w:pPr>
      <w:r>
        <w:rPr>
          <w:rFonts w:hint="eastAsia" w:ascii="宋体" w:hAnsi="宋体" w:eastAsia="宋体" w:cs="宋体"/>
          <w:b/>
          <w:bCs/>
          <w:color w:val="000000" w:themeColor="text1"/>
          <w:kern w:val="2"/>
          <w:sz w:val="32"/>
          <w:szCs w:val="32"/>
          <w:highlight w:val="none"/>
          <w14:textFill>
            <w14:solidFill>
              <w14:schemeClr w14:val="tx1"/>
            </w14:solidFill>
          </w14:textFill>
        </w:rPr>
        <w:t>投标报价明细表（</w:t>
      </w:r>
      <w:r>
        <w:rPr>
          <w:rFonts w:hint="eastAsia" w:ascii="宋体" w:hAnsi="宋体" w:eastAsia="宋体" w:cs="宋体"/>
          <w:b/>
          <w:bCs/>
          <w:color w:val="000000" w:themeColor="text1"/>
          <w:kern w:val="2"/>
          <w:sz w:val="32"/>
          <w:szCs w:val="32"/>
          <w:highlight w:val="none"/>
          <w:lang w:val="en-US" w:eastAsia="zh-CN"/>
          <w14:textFill>
            <w14:solidFill>
              <w14:schemeClr w14:val="tx1"/>
            </w14:solidFill>
          </w14:textFill>
        </w:rPr>
        <w:t>二</w:t>
      </w:r>
      <w:r>
        <w:rPr>
          <w:rFonts w:hint="eastAsia" w:ascii="宋体" w:hAnsi="宋体" w:eastAsia="宋体" w:cs="宋体"/>
          <w:b/>
          <w:bCs/>
          <w:color w:val="000000" w:themeColor="text1"/>
          <w:kern w:val="2"/>
          <w:sz w:val="32"/>
          <w:szCs w:val="32"/>
          <w:highlight w:val="none"/>
          <w14:textFill>
            <w14:solidFill>
              <w14:schemeClr w14:val="tx1"/>
            </w14:solidFill>
          </w14:textFill>
        </w:rPr>
        <w:t>）</w:t>
      </w:r>
    </w:p>
    <w:p>
      <w:pPr>
        <w:pStyle w:val="692"/>
        <w:keepNext w:val="0"/>
        <w:pageBreakBefore w:val="0"/>
        <w:numPr>
          <w:ilvl w:val="0"/>
          <w:numId w:val="0"/>
        </w:numPr>
        <w:tabs>
          <w:tab w:val="clear" w:pos="720"/>
        </w:tabs>
        <w:kinsoku/>
        <w:overflowPunct/>
        <w:topLinePunct w:val="0"/>
        <w:bidi w:val="0"/>
        <w:snapToGrid w:val="0"/>
        <w:spacing w:before="120" w:after="120" w:line="360" w:lineRule="auto"/>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（采购提升）</w:t>
      </w:r>
    </w:p>
    <w:tbl>
      <w:tblPr>
        <w:tblStyle w:val="63"/>
        <w:tblpPr w:leftFromText="180" w:rightFromText="180" w:vertAnchor="text" w:horzAnchor="page" w:tblpX="1339" w:tblpY="464"/>
        <w:tblOverlap w:val="never"/>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585"/>
        <w:gridCol w:w="1453"/>
        <w:gridCol w:w="973"/>
        <w:gridCol w:w="1305"/>
        <w:gridCol w:w="139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序号</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内容</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单位</w:t>
            </w: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数量</w:t>
            </w: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i w:val="0"/>
                <w:iCs w:val="0"/>
                <w:color w:val="000000" w:themeColor="text1"/>
                <w:kern w:val="0"/>
                <w:sz w:val="24"/>
                <w:szCs w:val="24"/>
                <w:highlight w:val="none"/>
                <w:u w:val="none"/>
                <w:lang w:val="en-US" w:eastAsia="zh-CN" w:bidi="ar"/>
                <w14:textFill>
                  <w14:solidFill>
                    <w14:schemeClr w14:val="tx1"/>
                  </w14:solidFill>
                </w14:textFill>
              </w:rPr>
              <w:t>综合单价</w:t>
            </w: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cs="宋体"/>
                <w:b/>
                <w:bCs w:val="0"/>
                <w:color w:val="000000" w:themeColor="text1"/>
                <w:sz w:val="24"/>
                <w:szCs w:val="24"/>
                <w:highlight w:val="none"/>
                <w:lang w:val="en-US" w:eastAsia="zh-CN"/>
                <w14:textFill>
                  <w14:solidFill>
                    <w14:schemeClr w14:val="tx1"/>
                  </w14:solidFill>
                </w14:textFill>
              </w:rPr>
              <w:t>小计</w:t>
            </w:r>
            <w:r>
              <w:rPr>
                <w:rFonts w:hint="eastAsia" w:ascii="宋体" w:hAnsi="宋体" w:eastAsia="宋体" w:cs="宋体"/>
                <w:b/>
                <w:bCs w:val="0"/>
                <w:color w:val="000000" w:themeColor="text1"/>
                <w:sz w:val="24"/>
                <w:szCs w:val="24"/>
                <w:highlight w:val="none"/>
                <w14:textFill>
                  <w14:solidFill>
                    <w14:schemeClr w14:val="tx1"/>
                  </w14:solidFill>
                </w14:textFill>
              </w:rPr>
              <w:t>（元）</w:t>
            </w:r>
          </w:p>
        </w:tc>
        <w:tc>
          <w:tcPr>
            <w:tcW w:w="1109"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cs="宋体"/>
                <w:b/>
                <w:bCs w:val="0"/>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1</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4</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5</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6</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7</w:t>
            </w:r>
          </w:p>
        </w:tc>
        <w:tc>
          <w:tcPr>
            <w:tcW w:w="2585"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0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w:t>
            </w:r>
          </w:p>
        </w:tc>
        <w:tc>
          <w:tcPr>
            <w:tcW w:w="5011" w:type="dxa"/>
            <w:gridSpan w:val="3"/>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合计（元）</w:t>
            </w:r>
          </w:p>
        </w:tc>
        <w:tc>
          <w:tcPr>
            <w:tcW w:w="1305"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c>
          <w:tcPr>
            <w:tcW w:w="139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109"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r>
        <w:rPr>
          <w:rFonts w:hint="eastAsia" w:ascii="宋体" w:hAnsi="宋体" w:eastAsia="宋体" w:cs="宋体"/>
          <w:bCs/>
          <w:color w:val="000000" w:themeColor="text1"/>
          <w:szCs w:val="21"/>
          <w:highlight w:val="none"/>
          <w:lang w:bidi="ar"/>
          <w14:textFill>
            <w14:solidFill>
              <w14:schemeClr w14:val="tx1"/>
            </w14:solidFill>
          </w14:textFill>
        </w:rPr>
        <w:t>注：</w:t>
      </w:r>
      <w:r>
        <w:rPr>
          <w:rFonts w:hint="eastAsia" w:ascii="宋体" w:hAnsi="宋体" w:eastAsia="宋体" w:cs="宋体"/>
          <w:bCs/>
          <w:color w:val="000000" w:themeColor="text1"/>
          <w:szCs w:val="21"/>
          <w:highlight w:val="none"/>
          <w:lang w:val="en-US" w:eastAsia="zh-CN" w:bidi="ar"/>
          <w14:textFill>
            <w14:solidFill>
              <w14:schemeClr w14:val="tx1"/>
            </w14:solidFill>
          </w14:textFill>
        </w:rPr>
        <w:t>1.</w:t>
      </w:r>
      <w:r>
        <w:rPr>
          <w:rFonts w:hint="eastAsia" w:ascii="宋体" w:hAnsi="宋体" w:eastAsia="宋体" w:cs="宋体"/>
          <w:bCs/>
          <w:color w:val="000000" w:themeColor="text1"/>
          <w:szCs w:val="21"/>
          <w:highlight w:val="none"/>
          <w:lang w:bidi="ar"/>
          <w14:textFill>
            <w14:solidFill>
              <w14:schemeClr w14:val="tx1"/>
            </w14:solidFill>
          </w14:textFill>
        </w:rPr>
        <w:t>上述报价中包含</w:t>
      </w:r>
      <w:r>
        <w:rPr>
          <w:rFonts w:hint="eastAsia" w:ascii="宋体" w:hAnsi="宋体" w:cs="宋体"/>
          <w:bCs/>
          <w:color w:val="000000" w:themeColor="text1"/>
          <w:szCs w:val="21"/>
          <w:highlight w:val="none"/>
          <w:lang w:eastAsia="zh-CN" w:bidi="ar"/>
          <w14:textFill>
            <w14:solidFill>
              <w14:schemeClr w14:val="tx1"/>
            </w14:solidFill>
          </w14:textFill>
        </w:rPr>
        <w:t>采购</w:t>
      </w:r>
      <w:r>
        <w:rPr>
          <w:rFonts w:hint="eastAsia" w:ascii="宋体" w:hAnsi="宋体" w:eastAsia="宋体" w:cs="宋体"/>
          <w:bCs/>
          <w:color w:val="000000" w:themeColor="text1"/>
          <w:szCs w:val="21"/>
          <w:highlight w:val="none"/>
          <w:lang w:eastAsia="zh-CN" w:bidi="ar"/>
          <w14:textFill>
            <w14:solidFill>
              <w14:schemeClr w14:val="tx1"/>
            </w14:solidFill>
          </w14:textFill>
        </w:rPr>
        <w:t>文件</w:t>
      </w:r>
      <w:r>
        <w:rPr>
          <w:rFonts w:hint="eastAsia" w:ascii="宋体" w:hAnsi="宋体" w:eastAsia="宋体" w:cs="宋体"/>
          <w:bCs/>
          <w:color w:val="000000" w:themeColor="text1"/>
          <w:szCs w:val="21"/>
          <w:highlight w:val="none"/>
          <w:lang w:bidi="ar"/>
          <w14:textFill>
            <w14:solidFill>
              <w14:schemeClr w14:val="tx1"/>
            </w14:solidFill>
          </w14:textFill>
        </w:rPr>
        <w:t>要求的所要求的所有费用。</w:t>
      </w: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val="en-US" w:eastAsia="zh-CN" w:bidi="ar"/>
          <w14:textFill>
            <w14:solidFill>
              <w14:schemeClr w14:val="tx1"/>
            </w14:solidFill>
          </w14:textFill>
        </w:rPr>
      </w:pPr>
      <w:r>
        <w:rPr>
          <w:rFonts w:hint="eastAsia" w:ascii="宋体" w:hAnsi="宋体" w:eastAsia="宋体" w:cs="宋体"/>
          <w:bCs/>
          <w:color w:val="000000" w:themeColor="text1"/>
          <w:szCs w:val="21"/>
          <w:highlight w:val="none"/>
          <w:lang w:val="en-US" w:eastAsia="zh-CN" w:bidi="ar"/>
          <w14:textFill>
            <w14:solidFill>
              <w14:schemeClr w14:val="tx1"/>
            </w14:solidFill>
          </w14:textFill>
        </w:rPr>
        <w:t>2.采购提升费用最高限价为1350万元。其中美好生活东区：480万；深化农村土地制度改革示范点：400万；农科创与现代农业示范：200万；</w:t>
      </w:r>
      <w:r>
        <w:rPr>
          <w:rFonts w:hint="eastAsia" w:ascii="宋体" w:hAnsi="宋体" w:cs="宋体"/>
          <w:bCs/>
          <w:color w:val="000000" w:themeColor="text1"/>
          <w:szCs w:val="21"/>
          <w:highlight w:val="none"/>
          <w:lang w:val="en-US" w:eastAsia="zh-CN" w:bidi="ar"/>
          <w14:textFill>
            <w14:solidFill>
              <w14:schemeClr w14:val="tx1"/>
            </w14:solidFill>
          </w14:textFill>
        </w:rPr>
        <w:t>八里桥农事体验馆</w:t>
      </w:r>
      <w:r>
        <w:rPr>
          <w:rFonts w:hint="eastAsia" w:ascii="宋体" w:hAnsi="宋体" w:eastAsia="宋体" w:cs="宋体"/>
          <w:bCs/>
          <w:color w:val="000000" w:themeColor="text1"/>
          <w:szCs w:val="21"/>
          <w:highlight w:val="none"/>
          <w:lang w:val="en-US" w:eastAsia="zh-CN" w:bidi="ar"/>
          <w14:textFill>
            <w14:solidFill>
              <w14:schemeClr w14:val="tx1"/>
            </w14:solidFill>
          </w14:textFill>
        </w:rPr>
        <w:t>、产业优化示范区深化农村土地制度改革示范点：220万；农特产、文创衍生品打样与生产、经营性设施设备：50万元。</w:t>
      </w:r>
    </w:p>
    <w:p>
      <w:pPr>
        <w:pageBreakBefore w:val="0"/>
        <w:kinsoku/>
        <w:overflowPunct/>
        <w:topLinePunct w:val="0"/>
        <w:bidi w:val="0"/>
        <w:spacing w:line="360" w:lineRule="auto"/>
        <w:rPr>
          <w:rFonts w:hint="default" w:ascii="宋体" w:hAnsi="宋体" w:eastAsia="宋体" w:cs="宋体"/>
          <w:bCs/>
          <w:color w:val="000000" w:themeColor="text1"/>
          <w:szCs w:val="21"/>
          <w:highlight w:val="none"/>
          <w:shd w:val="clear" w:color="FFFFFF" w:fill="D9D9D9"/>
          <w:lang w:val="en-US" w:eastAsia="zh-CN" w:bidi="ar"/>
          <w14:textFill>
            <w14:solidFill>
              <w14:schemeClr w14:val="tx1"/>
            </w14:solidFill>
          </w14:textFill>
        </w:rPr>
      </w:pPr>
      <w:r>
        <w:rPr>
          <w:rFonts w:hint="eastAsia" w:ascii="宋体" w:hAnsi="宋体" w:eastAsia="宋体" w:cs="宋体"/>
          <w:bCs/>
          <w:color w:val="000000" w:themeColor="text1"/>
          <w:szCs w:val="21"/>
          <w:highlight w:val="none"/>
          <w:shd w:val="clear" w:color="FFFFFF" w:fill="D9D9D9"/>
          <w:lang w:val="en-US" w:eastAsia="zh-CN" w:bidi="ar"/>
          <w14:textFill>
            <w14:solidFill>
              <w14:schemeClr w14:val="tx1"/>
            </w14:solidFill>
          </w14:textFill>
        </w:rPr>
        <w:t>3.本表供参考，可根据实际需要修改本表。</w:t>
      </w:r>
    </w:p>
    <w:p>
      <w:pPr>
        <w:pStyle w:val="26"/>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autoSpaceDE w:val="0"/>
        <w:autoSpaceDN w:val="0"/>
        <w:bidi w:val="0"/>
        <w:spacing w:line="360" w:lineRule="auto"/>
        <w:ind w:right="1120"/>
        <w:jc w:val="left"/>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供应商</w:t>
      </w:r>
      <w:r>
        <w:rPr>
          <w:rFonts w:hint="eastAsia" w:ascii="宋体" w:hAnsi="宋体" w:eastAsia="宋体" w:cs="宋体"/>
          <w:color w:val="000000" w:themeColor="text1"/>
          <w:kern w:val="0"/>
          <w:szCs w:val="21"/>
          <w:highlight w:val="none"/>
          <w:lang w:val="zh-CN"/>
          <w14:textFill>
            <w14:solidFill>
              <w14:schemeClr w14:val="tx1"/>
            </w14:solidFill>
          </w14:textFill>
        </w:rPr>
        <w:t>名称（电子签名）：</w:t>
      </w:r>
    </w:p>
    <w:p>
      <w:pPr>
        <w:pageBreakBefore w:val="0"/>
        <w:kinsoku/>
        <w:overflowPunct/>
        <w:topLinePunct w:val="0"/>
        <w:bidi w:val="0"/>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zh-CN"/>
          <w14:textFill>
            <w14:solidFill>
              <w14:schemeClr w14:val="tx1"/>
            </w14:solidFill>
          </w14:textFill>
        </w:rPr>
        <w:t>日期</w:t>
      </w: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lang w:val="zh-CN"/>
          <w14:textFill>
            <w14:solidFill>
              <w14:schemeClr w14:val="tx1"/>
            </w14:solidFill>
          </w14:textFill>
        </w:rPr>
        <w:t xml:space="preserve">   年   月   日</w:t>
      </w:r>
    </w:p>
    <w:p>
      <w:pPr>
        <w:pStyle w:val="24"/>
        <w:pageBreakBefore w:val="0"/>
        <w:kinsoku/>
        <w:overflowPunct/>
        <w:topLinePunct w:val="0"/>
        <w:bidi w:val="0"/>
        <w:spacing w:line="360" w:lineRule="auto"/>
        <w:rPr>
          <w:rFonts w:hint="eastAsia" w:ascii="宋体" w:hAnsi="宋体" w:eastAsia="宋体" w:cs="宋体"/>
          <w:b/>
          <w:color w:val="000000" w:themeColor="text1"/>
          <w:sz w:val="32"/>
          <w:szCs w:val="32"/>
          <w:highlight w:val="none"/>
          <w14:textFill>
            <w14:solidFill>
              <w14:schemeClr w14:val="tx1"/>
            </w14:solidFill>
          </w14:textFill>
        </w:rPr>
      </w:pPr>
    </w:p>
    <w:p>
      <w:pPr>
        <w:rPr>
          <w:rFonts w:hint="eastAsia" w:ascii="宋体" w:hAnsi="宋体" w:eastAsia="宋体" w:cs="宋体"/>
          <w:color w:val="000000" w:themeColor="text1"/>
          <w:kern w:val="2"/>
          <w:sz w:val="32"/>
          <w:szCs w:val="32"/>
          <w:highlight w:val="none"/>
          <w14:textFill>
            <w14:solidFill>
              <w14:schemeClr w14:val="tx1"/>
            </w14:solidFill>
          </w14:textFill>
        </w:rPr>
      </w:pPr>
    </w:p>
    <w:p>
      <w:pPr>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br w:type="page"/>
      </w:r>
    </w:p>
    <w:p>
      <w:pPr>
        <w:pStyle w:val="692"/>
        <w:keepNext w:val="0"/>
        <w:pageBreakBefore w:val="0"/>
        <w:numPr>
          <w:ilvl w:val="0"/>
          <w:numId w:val="0"/>
        </w:numPr>
        <w:tabs>
          <w:tab w:val="clear" w:pos="720"/>
        </w:tabs>
        <w:kinsoku/>
        <w:overflowPunct/>
        <w:topLinePunct w:val="0"/>
        <w:bidi w:val="0"/>
        <w:snapToGrid w:val="0"/>
        <w:spacing w:before="120" w:after="120" w:line="360" w:lineRule="auto"/>
        <w:jc w:val="center"/>
        <w:outlineLvl w:val="2"/>
        <w:rPr>
          <w:rFonts w:hint="eastAsia" w:ascii="宋体" w:hAnsi="宋体" w:eastAsia="宋体" w:cs="宋体"/>
          <w:color w:val="000000" w:themeColor="text1"/>
          <w:kern w:val="2"/>
          <w:sz w:val="32"/>
          <w:szCs w:val="32"/>
          <w:highlight w:val="none"/>
          <w:lang w:eastAsia="zh-CN"/>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投标报价明细表</w:t>
      </w:r>
      <w:r>
        <w:rPr>
          <w:rFonts w:hint="eastAsia" w:ascii="宋体" w:hAnsi="宋体" w:eastAsia="宋体" w:cs="宋体"/>
          <w:color w:val="000000" w:themeColor="text1"/>
          <w:kern w:val="2"/>
          <w:sz w:val="32"/>
          <w:szCs w:val="32"/>
          <w:highlight w:val="none"/>
          <w:lang w:eastAsia="zh-CN"/>
          <w14:textFill>
            <w14:solidFill>
              <w14:schemeClr w14:val="tx1"/>
            </w14:solidFill>
          </w14:textFill>
        </w:rPr>
        <w:t>（</w:t>
      </w:r>
      <w:r>
        <w:rPr>
          <w:rFonts w:hint="eastAsia" w:ascii="宋体" w:hAnsi="宋体" w:eastAsia="宋体" w:cs="宋体"/>
          <w:color w:val="000000" w:themeColor="text1"/>
          <w:kern w:val="2"/>
          <w:sz w:val="32"/>
          <w:szCs w:val="32"/>
          <w:highlight w:val="none"/>
          <w:lang w:val="en-US" w:eastAsia="zh-CN"/>
          <w14:textFill>
            <w14:solidFill>
              <w14:schemeClr w14:val="tx1"/>
            </w14:solidFill>
          </w14:textFill>
        </w:rPr>
        <w:t>三</w:t>
      </w:r>
      <w:r>
        <w:rPr>
          <w:rFonts w:hint="eastAsia" w:ascii="宋体" w:hAnsi="宋体" w:eastAsia="宋体" w:cs="宋体"/>
          <w:color w:val="000000" w:themeColor="text1"/>
          <w:kern w:val="2"/>
          <w:sz w:val="32"/>
          <w:szCs w:val="32"/>
          <w:highlight w:val="none"/>
          <w:lang w:eastAsia="zh-CN"/>
          <w14:textFill>
            <w14:solidFill>
              <w14:schemeClr w14:val="tx1"/>
            </w14:solidFill>
          </w14:textFill>
        </w:rPr>
        <w:t>）</w:t>
      </w:r>
    </w:p>
    <w:p>
      <w:pPr>
        <w:pStyle w:val="692"/>
        <w:keepNext w:val="0"/>
        <w:pageBreakBefore w:val="0"/>
        <w:numPr>
          <w:ilvl w:val="0"/>
          <w:numId w:val="0"/>
        </w:numPr>
        <w:tabs>
          <w:tab w:val="clear" w:pos="720"/>
        </w:tabs>
        <w:kinsoku/>
        <w:overflowPunct/>
        <w:topLinePunct w:val="0"/>
        <w:bidi w:val="0"/>
        <w:snapToGrid w:val="0"/>
        <w:spacing w:before="120" w:after="120" w:line="360" w:lineRule="auto"/>
        <w:outlineLvl w:val="2"/>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w:t>
      </w:r>
      <w:r>
        <w:rPr>
          <w:rFonts w:hint="eastAsia" w:ascii="宋体" w:hAnsi="宋体" w:eastAsia="宋体" w:cs="宋体"/>
          <w:color w:val="000000" w:themeColor="text1"/>
          <w:kern w:val="2"/>
          <w:sz w:val="32"/>
          <w:szCs w:val="32"/>
          <w:highlight w:val="none"/>
          <w:lang w:val="en-US" w:eastAsia="zh-CN"/>
          <w14:textFill>
            <w14:solidFill>
              <w14:schemeClr w14:val="tx1"/>
            </w14:solidFill>
          </w14:textFill>
        </w:rPr>
        <w:t>运营管理</w:t>
      </w:r>
      <w:r>
        <w:rPr>
          <w:rFonts w:hint="eastAsia" w:ascii="宋体" w:hAnsi="宋体" w:eastAsia="宋体" w:cs="宋体"/>
          <w:color w:val="000000" w:themeColor="text1"/>
          <w:kern w:val="2"/>
          <w:sz w:val="32"/>
          <w:szCs w:val="32"/>
          <w:highlight w:val="none"/>
          <w14:textFill>
            <w14:solidFill>
              <w14:schemeClr w14:val="tx1"/>
            </w14:solidFill>
          </w14:textFill>
        </w:rPr>
        <w:t>）</w:t>
      </w:r>
    </w:p>
    <w:tbl>
      <w:tblPr>
        <w:tblStyle w:val="63"/>
        <w:tblpPr w:leftFromText="180" w:rightFromText="180" w:vertAnchor="text" w:horzAnchor="page" w:tblpX="1339" w:tblpY="464"/>
        <w:tblOverlap w:val="never"/>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585"/>
        <w:gridCol w:w="1453"/>
        <w:gridCol w:w="973"/>
        <w:gridCol w:w="1707"/>
        <w:gridCol w:w="1417"/>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序号</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内容</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单位</w:t>
            </w: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数量</w:t>
            </w:r>
          </w:p>
        </w:tc>
        <w:tc>
          <w:tcPr>
            <w:tcW w:w="1707"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
                <w:bCs w:val="0"/>
                <w:color w:val="000000" w:themeColor="text1"/>
                <w:sz w:val="24"/>
                <w:szCs w:val="24"/>
                <w:highlight w:val="none"/>
                <w:lang w:val="en-US"/>
                <w14:textFill>
                  <w14:solidFill>
                    <w14:schemeClr w14:val="tx1"/>
                  </w14:solidFill>
                </w14:textFill>
              </w:rPr>
            </w:pPr>
            <w:r>
              <w:rPr>
                <w:rFonts w:hint="eastAsia" w:ascii="宋体" w:hAnsi="宋体" w:eastAsia="宋体" w:cs="宋体"/>
                <w:b/>
                <w:bCs w:val="0"/>
                <w:i w:val="0"/>
                <w:iCs w:val="0"/>
                <w:color w:val="000000" w:themeColor="text1"/>
                <w:kern w:val="0"/>
                <w:sz w:val="24"/>
                <w:szCs w:val="24"/>
                <w:highlight w:val="none"/>
                <w:u w:val="none"/>
                <w:lang w:val="en-US" w:eastAsia="zh-CN" w:bidi="ar"/>
                <w14:textFill>
                  <w14:solidFill>
                    <w14:schemeClr w14:val="tx1"/>
                  </w14:solidFill>
                </w14:textFill>
              </w:rPr>
              <w:t>综合单价/年</w:t>
            </w: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cs="宋体"/>
                <w:b/>
                <w:bCs w:val="0"/>
                <w:color w:val="000000" w:themeColor="text1"/>
                <w:sz w:val="24"/>
                <w:szCs w:val="24"/>
                <w:highlight w:val="none"/>
                <w:lang w:val="en-US" w:eastAsia="zh-CN"/>
                <w14:textFill>
                  <w14:solidFill>
                    <w14:schemeClr w14:val="tx1"/>
                  </w14:solidFill>
                </w14:textFill>
              </w:rPr>
              <w:t>小计/3年</w:t>
            </w:r>
            <w:r>
              <w:rPr>
                <w:rFonts w:hint="eastAsia" w:ascii="宋体" w:hAnsi="宋体" w:eastAsia="宋体" w:cs="宋体"/>
                <w:b/>
                <w:bCs w:val="0"/>
                <w:color w:val="000000" w:themeColor="text1"/>
                <w:sz w:val="24"/>
                <w:szCs w:val="24"/>
                <w:highlight w:val="none"/>
                <w14:textFill>
                  <w14:solidFill>
                    <w14:schemeClr w14:val="tx1"/>
                  </w14:solidFill>
                </w14:textFill>
              </w:rPr>
              <w:t>（元）</w:t>
            </w:r>
          </w:p>
        </w:tc>
        <w:tc>
          <w:tcPr>
            <w:tcW w:w="95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cs="宋体"/>
                <w:b/>
                <w:bCs w:val="0"/>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1</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3年</w:t>
            </w: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3</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4</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5</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6</w:t>
            </w:r>
          </w:p>
        </w:tc>
        <w:tc>
          <w:tcPr>
            <w:tcW w:w="2585"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bidi="ar"/>
                <w14:textFill>
                  <w14:solidFill>
                    <w14:schemeClr w14:val="tx1"/>
                  </w14:solidFill>
                </w14:textFill>
              </w:rPr>
            </w:pP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7</w:t>
            </w:r>
          </w:p>
        </w:tc>
        <w:tc>
          <w:tcPr>
            <w:tcW w:w="2585"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w:t>
            </w:r>
          </w:p>
        </w:tc>
        <w:tc>
          <w:tcPr>
            <w:tcW w:w="145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73"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0" w:type="dxa"/>
            <w:noWrap w:val="0"/>
            <w:vAlign w:val="center"/>
          </w:tcPr>
          <w:p>
            <w:pPr>
              <w:pageBreakBefore w:val="0"/>
              <w:kinsoku/>
              <w:overflowPunct/>
              <w:topLinePunct w:val="0"/>
              <w:bidi w:val="0"/>
              <w:snapToGrid w:val="0"/>
              <w:spacing w:line="360" w:lineRule="auto"/>
              <w:jc w:val="center"/>
              <w:rPr>
                <w:rFonts w:hint="default"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w:t>
            </w:r>
          </w:p>
        </w:tc>
        <w:tc>
          <w:tcPr>
            <w:tcW w:w="5011" w:type="dxa"/>
            <w:gridSpan w:val="3"/>
            <w:noWrap w:val="0"/>
            <w:vAlign w:val="center"/>
          </w:tcPr>
          <w:p>
            <w:pPr>
              <w:pageBreakBefore w:val="0"/>
              <w:kinsoku/>
              <w:overflowPunct/>
              <w:topLinePunct w:val="0"/>
              <w:bidi w:val="0"/>
              <w:snapToGrid w:val="0"/>
              <w:spacing w:line="360" w:lineRule="auto"/>
              <w:jc w:val="center"/>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合计（元）</w:t>
            </w:r>
          </w:p>
        </w:tc>
        <w:tc>
          <w:tcPr>
            <w:tcW w:w="170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1417" w:type="dxa"/>
            <w:noWrap w:val="0"/>
            <w:vAlign w:val="center"/>
          </w:tcPr>
          <w:p>
            <w:pPr>
              <w:pageBreakBefore w:val="0"/>
              <w:kinsoku/>
              <w:overflowPunct/>
              <w:topLinePunct w:val="0"/>
              <w:bidi w:val="0"/>
              <w:snapToGrid w:val="0"/>
              <w:spacing w:line="360" w:lineRule="auto"/>
              <w:jc w:val="center"/>
              <w:rPr>
                <w:rFonts w:hint="eastAsia" w:ascii="宋体" w:hAnsi="宋体" w:eastAsia="宋体" w:cs="宋体"/>
                <w:b/>
                <w:color w:val="000000" w:themeColor="text1"/>
                <w:sz w:val="24"/>
                <w:szCs w:val="24"/>
                <w:highlight w:val="none"/>
                <w14:textFill>
                  <w14:solidFill>
                    <w14:schemeClr w14:val="tx1"/>
                  </w14:solidFill>
                </w14:textFill>
              </w:rPr>
            </w:pPr>
          </w:p>
        </w:tc>
        <w:tc>
          <w:tcPr>
            <w:tcW w:w="950" w:type="dxa"/>
            <w:noWrap w:val="0"/>
            <w:vAlign w:val="center"/>
          </w:tcPr>
          <w:p>
            <w:pPr>
              <w:pageBreakBefore w:val="0"/>
              <w:kinsoku/>
              <w:overflowPunct/>
              <w:topLinePunct w:val="0"/>
              <w:bidi w:val="0"/>
              <w:snapToGrid w:val="0"/>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r>
        <w:rPr>
          <w:rFonts w:hint="eastAsia" w:ascii="宋体" w:hAnsi="宋体" w:eastAsia="宋体" w:cs="宋体"/>
          <w:bCs/>
          <w:color w:val="000000" w:themeColor="text1"/>
          <w:szCs w:val="21"/>
          <w:highlight w:val="none"/>
          <w:lang w:bidi="ar"/>
          <w14:textFill>
            <w14:solidFill>
              <w14:schemeClr w14:val="tx1"/>
            </w14:solidFill>
          </w14:textFill>
        </w:rPr>
        <w:t>注：</w:t>
      </w:r>
      <w:r>
        <w:rPr>
          <w:rFonts w:hint="eastAsia" w:ascii="宋体" w:hAnsi="宋体" w:eastAsia="宋体" w:cs="宋体"/>
          <w:bCs/>
          <w:color w:val="000000" w:themeColor="text1"/>
          <w:szCs w:val="21"/>
          <w:highlight w:val="none"/>
          <w:lang w:val="en-US" w:eastAsia="zh-CN" w:bidi="ar"/>
          <w14:textFill>
            <w14:solidFill>
              <w14:schemeClr w14:val="tx1"/>
            </w14:solidFill>
          </w14:textFill>
        </w:rPr>
        <w:t>1.</w:t>
      </w:r>
      <w:r>
        <w:rPr>
          <w:rFonts w:hint="eastAsia" w:ascii="宋体" w:hAnsi="宋体" w:eastAsia="宋体" w:cs="宋体"/>
          <w:bCs/>
          <w:color w:val="000000" w:themeColor="text1"/>
          <w:szCs w:val="21"/>
          <w:highlight w:val="none"/>
          <w:lang w:bidi="ar"/>
          <w14:textFill>
            <w14:solidFill>
              <w14:schemeClr w14:val="tx1"/>
            </w14:solidFill>
          </w14:textFill>
        </w:rPr>
        <w:t>上述报价中包含</w:t>
      </w:r>
      <w:r>
        <w:rPr>
          <w:rFonts w:hint="eastAsia" w:ascii="宋体" w:hAnsi="宋体" w:cs="宋体"/>
          <w:bCs/>
          <w:color w:val="000000" w:themeColor="text1"/>
          <w:szCs w:val="21"/>
          <w:highlight w:val="none"/>
          <w:lang w:eastAsia="zh-CN" w:bidi="ar"/>
          <w14:textFill>
            <w14:solidFill>
              <w14:schemeClr w14:val="tx1"/>
            </w14:solidFill>
          </w14:textFill>
        </w:rPr>
        <w:t>采购</w:t>
      </w:r>
      <w:r>
        <w:rPr>
          <w:rFonts w:hint="eastAsia" w:ascii="宋体" w:hAnsi="宋体" w:eastAsia="宋体" w:cs="宋体"/>
          <w:bCs/>
          <w:color w:val="000000" w:themeColor="text1"/>
          <w:szCs w:val="21"/>
          <w:highlight w:val="none"/>
          <w:lang w:eastAsia="zh-CN" w:bidi="ar"/>
          <w14:textFill>
            <w14:solidFill>
              <w14:schemeClr w14:val="tx1"/>
            </w14:solidFill>
          </w14:textFill>
        </w:rPr>
        <w:t>文件</w:t>
      </w:r>
      <w:r>
        <w:rPr>
          <w:rFonts w:hint="eastAsia" w:ascii="宋体" w:hAnsi="宋体" w:eastAsia="宋体" w:cs="宋体"/>
          <w:bCs/>
          <w:color w:val="000000" w:themeColor="text1"/>
          <w:szCs w:val="21"/>
          <w:highlight w:val="none"/>
          <w:lang w:bidi="ar"/>
          <w14:textFill>
            <w14:solidFill>
              <w14:schemeClr w14:val="tx1"/>
            </w14:solidFill>
          </w14:textFill>
        </w:rPr>
        <w:t>要求的所要求的所有费用。</w:t>
      </w:r>
    </w:p>
    <w:p>
      <w:pPr>
        <w:pageBreakBefore w:val="0"/>
        <w:kinsoku/>
        <w:overflowPunct/>
        <w:topLinePunct w:val="0"/>
        <w:bidi w:val="0"/>
        <w:spacing w:line="360" w:lineRule="auto"/>
        <w:rPr>
          <w:rFonts w:hint="eastAsia" w:ascii="宋体" w:hAnsi="宋体" w:eastAsia="宋体" w:cs="宋体"/>
          <w:bCs/>
          <w:color w:val="000000" w:themeColor="text1"/>
          <w:szCs w:val="21"/>
          <w:highlight w:val="none"/>
          <w:lang w:val="en-US" w:eastAsia="zh-CN" w:bidi="ar"/>
          <w14:textFill>
            <w14:solidFill>
              <w14:schemeClr w14:val="tx1"/>
            </w14:solidFill>
          </w14:textFill>
        </w:rPr>
      </w:pPr>
      <w:r>
        <w:rPr>
          <w:rFonts w:hint="eastAsia" w:ascii="宋体" w:hAnsi="宋体" w:eastAsia="宋体" w:cs="宋体"/>
          <w:bCs/>
          <w:color w:val="000000" w:themeColor="text1"/>
          <w:szCs w:val="21"/>
          <w:highlight w:val="none"/>
          <w:lang w:val="en-US" w:eastAsia="zh-CN" w:bidi="ar"/>
          <w14:textFill>
            <w14:solidFill>
              <w14:schemeClr w14:val="tx1"/>
            </w14:solidFill>
          </w14:textFill>
        </w:rPr>
        <w:t>2.运营管理费用最高限价为500万元（运营期限3年）。</w:t>
      </w:r>
    </w:p>
    <w:p>
      <w:pPr>
        <w:pageBreakBefore w:val="0"/>
        <w:kinsoku/>
        <w:overflowPunct/>
        <w:topLinePunct w:val="0"/>
        <w:bidi w:val="0"/>
        <w:spacing w:line="360" w:lineRule="auto"/>
        <w:rPr>
          <w:rFonts w:hint="default" w:ascii="宋体" w:hAnsi="宋体" w:eastAsia="宋体" w:cs="宋体"/>
          <w:bCs/>
          <w:color w:val="000000" w:themeColor="text1"/>
          <w:szCs w:val="21"/>
          <w:highlight w:val="none"/>
          <w:shd w:val="clear" w:color="FFFFFF" w:fill="D9D9D9"/>
          <w:lang w:val="en-US" w:eastAsia="zh-CN" w:bidi="ar"/>
          <w14:textFill>
            <w14:solidFill>
              <w14:schemeClr w14:val="tx1"/>
            </w14:solidFill>
          </w14:textFill>
        </w:rPr>
      </w:pPr>
      <w:r>
        <w:rPr>
          <w:rFonts w:hint="eastAsia" w:ascii="宋体" w:hAnsi="宋体" w:eastAsia="宋体" w:cs="宋体"/>
          <w:bCs/>
          <w:color w:val="000000" w:themeColor="text1"/>
          <w:szCs w:val="21"/>
          <w:highlight w:val="none"/>
          <w:shd w:val="clear" w:color="FFFFFF" w:fill="D9D9D9"/>
          <w:lang w:val="en-US" w:eastAsia="zh-CN" w:bidi="ar"/>
          <w14:textFill>
            <w14:solidFill>
              <w14:schemeClr w14:val="tx1"/>
            </w14:solidFill>
          </w14:textFill>
        </w:rPr>
        <w:t>3.本表供参考，可根据实际需要修改本表。</w:t>
      </w:r>
    </w:p>
    <w:p>
      <w:pPr>
        <w:pStyle w:val="26"/>
        <w:pageBreakBefore w:val="0"/>
        <w:kinsoku/>
        <w:overflowPunct/>
        <w:topLinePunct w:val="0"/>
        <w:bidi w:val="0"/>
        <w:spacing w:line="360" w:lineRule="auto"/>
        <w:rPr>
          <w:rFonts w:hint="eastAsia" w:ascii="宋体" w:hAnsi="宋体" w:eastAsia="宋体" w:cs="宋体"/>
          <w:bCs/>
          <w:color w:val="000000" w:themeColor="text1"/>
          <w:szCs w:val="21"/>
          <w:highlight w:val="none"/>
          <w:lang w:bidi="ar"/>
          <w14:textFill>
            <w14:solidFill>
              <w14:schemeClr w14:val="tx1"/>
            </w14:solidFill>
          </w14:textFill>
        </w:rPr>
      </w:pPr>
    </w:p>
    <w:p>
      <w:pPr>
        <w:pageBreakBefore w:val="0"/>
        <w:kinsoku/>
        <w:overflowPunct/>
        <w:topLinePunct w:val="0"/>
        <w:bidi w:val="0"/>
        <w:spacing w:line="360" w:lineRule="auto"/>
        <w:rPr>
          <w:rFonts w:hint="eastAsia" w:ascii="宋体" w:hAnsi="宋体" w:eastAsia="宋体" w:cs="宋体"/>
          <w:color w:val="000000" w:themeColor="text1"/>
          <w:highlight w:val="none"/>
          <w14:textFill>
            <w14:solidFill>
              <w14:schemeClr w14:val="tx1"/>
            </w14:solidFill>
          </w14:textFill>
        </w:rPr>
      </w:pPr>
    </w:p>
    <w:p>
      <w:pPr>
        <w:pageBreakBefore w:val="0"/>
        <w:kinsoku/>
        <w:overflowPunct/>
        <w:topLinePunct w:val="0"/>
        <w:autoSpaceDE w:val="0"/>
        <w:autoSpaceDN w:val="0"/>
        <w:bidi w:val="0"/>
        <w:spacing w:line="360" w:lineRule="auto"/>
        <w:ind w:right="1120"/>
        <w:jc w:val="left"/>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供应商</w:t>
      </w:r>
      <w:r>
        <w:rPr>
          <w:rFonts w:hint="eastAsia" w:ascii="宋体" w:hAnsi="宋体" w:eastAsia="宋体" w:cs="宋体"/>
          <w:color w:val="000000" w:themeColor="text1"/>
          <w:kern w:val="0"/>
          <w:szCs w:val="21"/>
          <w:highlight w:val="none"/>
          <w:lang w:val="zh-CN"/>
          <w14:textFill>
            <w14:solidFill>
              <w14:schemeClr w14:val="tx1"/>
            </w14:solidFill>
          </w14:textFill>
        </w:rPr>
        <w:t>名称（电子签名）：</w:t>
      </w:r>
    </w:p>
    <w:p>
      <w:pPr>
        <w:pageBreakBefore w:val="0"/>
        <w:kinsoku/>
        <w:overflowPunct/>
        <w:topLinePunct w:val="0"/>
        <w:bidi w:val="0"/>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zh-CN"/>
          <w14:textFill>
            <w14:solidFill>
              <w14:schemeClr w14:val="tx1"/>
            </w14:solidFill>
          </w14:textFill>
        </w:rPr>
        <w:t>日期</w:t>
      </w:r>
      <w:r>
        <w:rPr>
          <w:rFonts w:hint="eastAsia" w:ascii="宋体" w:hAnsi="宋体" w:eastAsia="宋体" w:cs="宋体"/>
          <w:color w:val="000000" w:themeColor="text1"/>
          <w:kern w:val="0"/>
          <w:szCs w:val="21"/>
          <w:highlight w:val="none"/>
          <w14:textFill>
            <w14:solidFill>
              <w14:schemeClr w14:val="tx1"/>
            </w14:solidFill>
          </w14:textFill>
        </w:rPr>
        <w:t>：</w:t>
      </w:r>
      <w:r>
        <w:rPr>
          <w:rFonts w:hint="eastAsia" w:ascii="宋体" w:hAnsi="宋体" w:eastAsia="宋体" w:cs="宋体"/>
          <w:color w:val="000000" w:themeColor="text1"/>
          <w:kern w:val="0"/>
          <w:szCs w:val="21"/>
          <w:highlight w:val="none"/>
          <w:lang w:val="zh-CN"/>
          <w14:textFill>
            <w14:solidFill>
              <w14:schemeClr w14:val="tx1"/>
            </w14:solidFill>
          </w14:textFill>
        </w:rPr>
        <w:t xml:space="preserve">   年   月   日</w:t>
      </w:r>
    </w:p>
    <w:p>
      <w:pPr>
        <w:rPr>
          <w:rFonts w:hint="eastAsia" w:ascii="宋体" w:hAnsi="宋体" w:eastAsia="宋体" w:cs="宋体"/>
          <w:color w:val="000000" w:themeColor="text1"/>
          <w:kern w:val="2"/>
          <w:sz w:val="32"/>
          <w:szCs w:val="32"/>
          <w:highlight w:val="none"/>
          <w14:textFill>
            <w14:solidFill>
              <w14:schemeClr w14:val="tx1"/>
            </w14:solidFill>
          </w14:textFill>
        </w:rPr>
      </w:pPr>
    </w:p>
    <w:p>
      <w:pPr>
        <w:rPr>
          <w:rFonts w:hint="eastAsia"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br w:type="page"/>
      </w: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中小企业声明函（如果有）</w:t>
      </w:r>
    </w:p>
    <w:p>
      <w:pPr>
        <w:widowControl/>
        <w:spacing w:line="360" w:lineRule="auto"/>
        <w:ind w:firstLine="120" w:firstLineChars="5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highlight w:val="none"/>
          <w14:textFill>
            <w14:solidFill>
              <w14:schemeClr w14:val="tx1"/>
            </w14:solidFill>
          </w14:textFill>
        </w:rPr>
        <w:t>7</w:t>
      </w:r>
      <w:r>
        <w:rPr>
          <w:rFonts w:hint="eastAsia" w:ascii="宋体" w:hAnsi="宋体" w:cs="宋体"/>
          <w:b/>
          <w:color w:val="000000" w:themeColor="text1"/>
          <w:sz w:val="24"/>
          <w:highlight w:val="none"/>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附件</w:t>
      </w:r>
    </w:p>
    <w:p>
      <w:pPr>
        <w:spacing w:line="360" w:lineRule="auto"/>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附件1：</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bookmarkStart w:id="504" w:name="OLE_LINK14"/>
      <w:bookmarkStart w:id="505" w:name="OLE_LINK13"/>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p>
    <w:bookmarkEnd w:id="504"/>
    <w:bookmarkEnd w:id="505"/>
    <w:p>
      <w:pPr>
        <w:spacing w:line="360" w:lineRule="auto"/>
        <w:rPr>
          <w:rFonts w:ascii="宋体" w:hAnsi="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_单位的_</w:t>
      </w:r>
      <w:r>
        <w:rPr>
          <w:rFonts w:hint="eastAsia" w:ascii="宋体" w:hAnsi="宋体" w:cs="宋体"/>
          <w:color w:val="000000" w:themeColor="text1"/>
          <w:sz w:val="24"/>
          <w:highlight w:val="none"/>
          <w:u w:val="singl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供应商名称（电子签名）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一、质疑供应商基本信息</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质疑供应商：</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地址： </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二、质疑项目基本情况</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采购文件获取日期：</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三、质疑事项具体内容</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质疑事项1：</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质疑事项2</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投诉书范本</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一、投诉相关主体基本情况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法定代表人/主要负责人：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tabs>
          <w:tab w:val="left" w:pos="6510"/>
        </w:tabs>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被投诉人1：</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相关供应商：</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二、投诉项目基本情况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代理机构名称：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采购结果公告: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日,向</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提出质疑，质疑事项为：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采购人/代理机构</w:t>
      </w:r>
      <w:r>
        <w:rPr>
          <w:rFonts w:hint="eastAsia" w:ascii="宋体" w:hAnsi="宋体" w:cs="宋体"/>
          <w:color w:val="000000" w:themeColor="text1"/>
          <w:sz w:val="24"/>
          <w:highlight w:val="none"/>
          <w14:textFill>
            <w14:solidFill>
              <w14:schemeClr w14:val="tx1"/>
            </w14:solidFill>
          </w14:textFill>
        </w:rPr>
        <w:t>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四、投诉事项具体内容</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 1：</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五、与投诉事项相关的投诉请求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附件4：</w:t>
      </w:r>
      <w:r>
        <w:rPr>
          <w:rFonts w:hint="eastAsia" w:ascii="宋体" w:hAnsi="宋体" w:cs="宋体"/>
          <w:b/>
          <w:bCs/>
          <w:color w:val="000000" w:themeColor="text1"/>
          <w:sz w:val="32"/>
          <w:szCs w:val="32"/>
          <w:highlight w:val="none"/>
          <w14:textFill>
            <w14:solidFill>
              <w14:schemeClr w14:val="tx1"/>
            </w14:solidFill>
          </w14:textFill>
        </w:rPr>
        <w:t>业务专用章使用说明函</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eastAsia="zh-CN"/>
          <w14:textFill>
            <w14:solidFill>
              <w14:schemeClr w14:val="tx1"/>
            </w14:solidFill>
          </w14:textFill>
        </w:rPr>
        <w:t>浙江泛亚工程咨询有限公司</w:t>
      </w:r>
      <w:r>
        <w:rPr>
          <w:rFonts w:hint="eastAsia" w:ascii="宋体" w:hAnsi="宋体" w:cs="宋体"/>
          <w:color w:val="000000" w:themeColor="text1"/>
          <w:sz w:val="24"/>
          <w:highlight w:val="none"/>
          <w:u w:val="singl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我方</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全称)</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是中华人民共和国依法登记注册的合法企业，</w:t>
      </w:r>
      <w:r>
        <w:rPr>
          <w:rFonts w:hint="eastAsia" w:ascii="宋体" w:hAnsi="宋体" w:cs="宋体"/>
          <w:bCs/>
          <w:color w:val="000000" w:themeColor="text1"/>
          <w:sz w:val="24"/>
          <w:highlight w:val="none"/>
          <w14:textFill>
            <w14:solidFill>
              <w14:schemeClr w14:val="tx1"/>
            </w14:solidFill>
          </w14:textFill>
        </w:rPr>
        <w:t>在参加</w:t>
      </w:r>
      <w:r>
        <w:rPr>
          <w:rFonts w:hint="eastAsia" w:ascii="宋体" w:hAnsi="宋体" w:cs="宋体"/>
          <w:color w:val="000000" w:themeColor="text1"/>
          <w:sz w:val="24"/>
          <w:highlight w:val="none"/>
          <w14:textFill>
            <w14:solidFill>
              <w14:schemeClr w14:val="tx1"/>
            </w14:solidFill>
          </w14:textFill>
        </w:rPr>
        <w:t>你方组织的</w:t>
      </w:r>
      <w:r>
        <w:rPr>
          <w:rFonts w:hint="eastAsia" w:ascii="宋体" w:hAnsi="宋体" w:cs="宋体"/>
          <w:color w:val="000000" w:themeColor="text1"/>
          <w:sz w:val="24"/>
          <w:highlight w:val="non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GZCG2023GKDL-21</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投标活动中作如下说明：</w:t>
      </w:r>
      <w:r>
        <w:rPr>
          <w:rFonts w:hint="eastAsia" w:ascii="宋体" w:hAnsi="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特此说明。</w:t>
      </w: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right="480" w:firstLine="4080" w:firstLineChars="17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（法定名称章）：</w:t>
      </w:r>
    </w:p>
    <w:p>
      <w:pPr>
        <w:ind w:right="1440" w:firstLine="494"/>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p>
      <w:pPr>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 xml:space="preserve">法定名称章（印模）                </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“XX专用章”（印模）</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widowControl/>
        <w:adjustRightInd/>
        <w:jc w:val="left"/>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rPr>
          <w:rFonts w:hint="eastAsia"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br w:type="page"/>
      </w:r>
    </w:p>
    <w:p>
      <w:pPr>
        <w:spacing w:line="360" w:lineRule="auto"/>
        <w:jc w:val="left"/>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附件</w:t>
      </w:r>
      <w:r>
        <w:rPr>
          <w:rFonts w:hint="eastAsia" w:ascii="宋体" w:hAnsi="宋体" w:cs="宋体"/>
          <w:b/>
          <w:color w:val="000000" w:themeColor="text1"/>
          <w:sz w:val="36"/>
          <w:szCs w:val="20"/>
          <w:highlight w:val="none"/>
          <w:lang w:val="en-US" w:eastAsia="zh-CN"/>
          <w14:textFill>
            <w14:solidFill>
              <w14:schemeClr w14:val="tx1"/>
            </w14:solidFill>
          </w14:textFill>
        </w:rPr>
        <w:t>5</w:t>
      </w:r>
      <w:r>
        <w:rPr>
          <w:rFonts w:hint="eastAsia" w:ascii="宋体" w:hAnsi="宋体" w:cs="宋体"/>
          <w:b/>
          <w:color w:val="000000" w:themeColor="text1"/>
          <w:sz w:val="36"/>
          <w:szCs w:val="20"/>
          <w:highlight w:val="none"/>
          <w14:textFill>
            <w14:solidFill>
              <w14:schemeClr w14:val="tx1"/>
            </w14:solidFill>
          </w14:textFill>
        </w:rPr>
        <w:t>：中小企业声明函</w:t>
      </w:r>
    </w:p>
    <w:p>
      <w:pPr>
        <w:spacing w:line="360" w:lineRule="auto"/>
        <w:jc w:val="center"/>
        <w:rPr>
          <w:rFonts w:ascii="宋体" w:hAnsi="宋体" w:cs="宋体"/>
          <w:color w:val="000000" w:themeColor="text1"/>
          <w:sz w:val="24"/>
          <w:highlight w:val="none"/>
          <w:u w:val="singl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中小企业声明函（服务）</w:t>
      </w:r>
    </w:p>
    <w:p>
      <w:pPr>
        <w:spacing w:line="360" w:lineRule="auto"/>
        <w:ind w:firstLine="360" w:firstLineChars="1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highlight w:val="none"/>
          <w:u w:val="single"/>
          <w:lang w:eastAsia="zh-CN"/>
          <w14:textFill>
            <w14:solidFill>
              <w14:schemeClr w14:val="tx1"/>
            </w14:solidFill>
          </w14:textFill>
        </w:rPr>
        <w:t>杭州市萧山区瓜沥镇人民政府</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大梅林共同富裕示范带设计采购提升运营一体化服务项目</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，属于</w:t>
      </w:r>
      <w:r>
        <w:rPr>
          <w:rFonts w:hint="eastAsia" w:ascii="宋体" w:hAnsi="宋体" w:cs="宋体"/>
          <w:color w:val="000000" w:themeColor="text1"/>
          <w:sz w:val="24"/>
          <w:highlight w:val="none"/>
          <w:u w:val="single"/>
          <w14:textFill>
            <w14:solidFill>
              <w14:schemeClr w14:val="tx1"/>
            </w14:solidFill>
          </w14:textFill>
        </w:rPr>
        <w:t xml:space="preserve"> （采购文件中明确的所属行业）</w:t>
      </w:r>
      <w:r>
        <w:rPr>
          <w:rFonts w:hint="eastAsia" w:ascii="宋体" w:hAnsi="宋体" w:cs="宋体"/>
          <w:color w:val="000000" w:themeColor="text1"/>
          <w:sz w:val="24"/>
          <w:highlight w:val="none"/>
          <w14:textFill>
            <w14:solidFill>
              <w14:schemeClr w14:val="tx1"/>
            </w14:solidFill>
          </w14:textFill>
        </w:rPr>
        <w:t xml:space="preserve"> ；承建（承接）企业为 </w:t>
      </w:r>
      <w:r>
        <w:rPr>
          <w:rFonts w:hint="eastAsia" w:ascii="宋体" w:hAnsi="宋体" w:cs="宋体"/>
          <w:color w:val="000000" w:themeColor="text1"/>
          <w:sz w:val="24"/>
          <w:highlight w:val="none"/>
          <w:u w:val="single"/>
          <w14:textFill>
            <w14:solidFill>
              <w14:schemeClr w14:val="tx1"/>
            </w14:solidFill>
          </w14:textFill>
        </w:rPr>
        <w:t>（企业名称）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 xml:space="preserve"> （标的名称），</w:t>
      </w:r>
      <w:r>
        <w:rPr>
          <w:rFonts w:hint="eastAsia" w:ascii="宋体" w:hAnsi="宋体" w:cs="宋体"/>
          <w:color w:val="000000" w:themeColor="text1"/>
          <w:sz w:val="24"/>
          <w:highlight w:val="none"/>
          <w14:textFill>
            <w14:solidFill>
              <w14:schemeClr w14:val="tx1"/>
            </w14:solidFill>
          </w14:textFill>
        </w:rPr>
        <w:t xml:space="preserve">属于 </w:t>
      </w:r>
      <w:r>
        <w:rPr>
          <w:rFonts w:hint="eastAsia" w:ascii="宋体" w:hAnsi="宋体" w:cs="宋体"/>
          <w:color w:val="000000" w:themeColor="text1"/>
          <w:sz w:val="24"/>
          <w:highlight w:val="none"/>
          <w:u w:val="single"/>
          <w14:textFill>
            <w14:solidFill>
              <w14:schemeClr w14:val="tx1"/>
            </w14:solidFill>
          </w14:textFill>
        </w:rPr>
        <w:t xml:space="preserve">（采购文件中明确的所属行业） </w:t>
      </w:r>
      <w:r>
        <w:rPr>
          <w:rFonts w:hint="eastAsia" w:ascii="宋体" w:hAnsi="宋体" w:cs="宋体"/>
          <w:color w:val="000000" w:themeColor="text1"/>
          <w:sz w:val="24"/>
          <w:highlight w:val="none"/>
          <w14:textFill>
            <w14:solidFill>
              <w14:schemeClr w14:val="tx1"/>
            </w14:solidFill>
          </w14:textFill>
        </w:rPr>
        <w:t xml:space="preserve">；承建（承接）企业为 </w:t>
      </w:r>
      <w:r>
        <w:rPr>
          <w:rFonts w:hint="eastAsia" w:ascii="宋体" w:hAnsi="宋体" w:cs="宋体"/>
          <w:color w:val="000000" w:themeColor="text1"/>
          <w:sz w:val="24"/>
          <w:highlight w:val="none"/>
          <w:u w:val="single"/>
          <w14:textFill>
            <w14:solidFill>
              <w14:schemeClr w14:val="tx1"/>
            </w14:solidFill>
          </w14:textFill>
        </w:rPr>
        <w:t>（企业名称）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名称（电子签名）：</w:t>
      </w:r>
    </w:p>
    <w:p>
      <w:pPr>
        <w:spacing w:line="360" w:lineRule="auto"/>
        <w:ind w:right="1120" w:firstLine="4680" w:firstLineChars="19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 期：</w:t>
      </w:r>
    </w:p>
    <w:p>
      <w:pPr>
        <w:spacing w:line="360" w:lineRule="auto"/>
        <w:ind w:firstLine="310" w:firstLineChars="147"/>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注：</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1、填写要求：①“标的名称”、“采购文件中明确的所属行业”依据</w:t>
      </w:r>
      <w:r>
        <w:rPr>
          <w:rFonts w:hint="eastAsia" w:ascii="宋体" w:hAnsi="宋体" w:cs="宋体"/>
          <w:color w:val="000000" w:themeColor="text1"/>
          <w:sz w:val="24"/>
          <w:highlight w:val="none"/>
          <w:lang w:eastAsia="zh-CN"/>
          <w14:textFill>
            <w14:solidFill>
              <w14:schemeClr w14:val="tx1"/>
            </w14:solidFill>
          </w14:textFill>
        </w:rPr>
        <w:t>采购文件</w:t>
      </w:r>
      <w:r>
        <w:rPr>
          <w:rFonts w:hint="eastAsia" w:ascii="宋体" w:hAnsi="宋体" w:cs="宋体"/>
          <w:color w:val="000000" w:themeColor="text1"/>
          <w:sz w:val="24"/>
          <w:highlight w:val="none"/>
          <w14:textFill>
            <w14:solidFill>
              <w14:schemeClr w14:val="tx1"/>
            </w14:solidFill>
          </w14:textFill>
        </w:rPr>
        <w:t>第二部分</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color w:val="000000" w:themeColor="text1"/>
          <w:sz w:val="24"/>
          <w:highlight w:val="none"/>
          <w:lang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提供由省级以上监狱管理局、戒毒管理局（含新疆生产建设兵团）出具的属于监狱企业证明文件的，视同为小型和微型企业。</w:t>
      </w:r>
    </w:p>
    <w:p>
      <w:pPr>
        <w:pStyle w:val="82"/>
        <w:rPr>
          <w:rFonts w:hint="eastAsia" w:ascii="宋体" w:hAnsi="宋体" w:cs="宋体"/>
          <w:color w:val="000000" w:themeColor="text1"/>
          <w:sz w:val="24"/>
          <w:highlight w:val="none"/>
          <w14:textFill>
            <w14:solidFill>
              <w14:schemeClr w14:val="tx1"/>
            </w14:solidFill>
          </w14:textFill>
        </w:rPr>
      </w:pPr>
    </w:p>
    <w:p>
      <w:pPr>
        <w:pStyle w:val="82"/>
        <w:rPr>
          <w:rFonts w:hint="eastAsia" w:ascii="宋体" w:hAnsi="宋体" w:cs="宋体"/>
          <w:color w:val="000000" w:themeColor="text1"/>
          <w:sz w:val="24"/>
          <w:highlight w:val="none"/>
          <w14:textFill>
            <w14:solidFill>
              <w14:schemeClr w14:val="tx1"/>
            </w14:solidFill>
          </w14:textFill>
        </w:rPr>
      </w:pPr>
    </w:p>
    <w:p>
      <w:pPr>
        <w:pStyle w:val="82"/>
        <w:rPr>
          <w:rFonts w:hint="eastAsia" w:ascii="宋体" w:hAnsi="宋体" w:cs="宋体"/>
          <w:color w:val="000000" w:themeColor="text1"/>
          <w:sz w:val="24"/>
          <w:highlight w:val="none"/>
          <w14:textFill>
            <w14:solidFill>
              <w14:schemeClr w14:val="tx1"/>
            </w14:solidFill>
          </w14:textFill>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pStyle w:val="82"/>
        <w:rPr>
          <w:rFonts w:hint="eastAsia" w:ascii="宋体" w:hAnsi="宋体" w:cs="宋体"/>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1312" behindDoc="0" locked="0" layoutInCell="1" allowOverlap="1">
            <wp:simplePos x="0" y="0"/>
            <wp:positionH relativeFrom="column">
              <wp:posOffset>704850</wp:posOffset>
            </wp:positionH>
            <wp:positionV relativeFrom="page">
              <wp:posOffset>1894840</wp:posOffset>
            </wp:positionV>
            <wp:extent cx="8671560" cy="5244465"/>
            <wp:effectExtent l="0" t="0" r="15240" b="133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8671560" cy="5244465"/>
                    </a:xfrm>
                    <a:prstGeom prst="rect">
                      <a:avLst/>
                    </a:prstGeom>
                    <a:noFill/>
                    <a:ln>
                      <a:noFill/>
                    </a:ln>
                  </pic:spPr>
                </pic:pic>
              </a:graphicData>
            </a:graphic>
          </wp:anchor>
        </w:drawing>
      </w:r>
    </w:p>
    <w:p>
      <w:pPr>
        <w:rPr>
          <w:rFonts w:ascii="宋体" w:hAnsi="宋体" w:cs="宋体"/>
          <w:bCs/>
          <w:color w:val="000000" w:themeColor="text1"/>
          <w:sz w:val="24"/>
          <w:highlight w:val="none"/>
          <w14:textFill>
            <w14:solidFill>
              <w14:schemeClr w14:val="tx1"/>
            </w14:solidFill>
          </w14:textFill>
        </w:rPr>
      </w:pPr>
    </w:p>
    <w:bookmarkEnd w:id="510"/>
    <w:sectPr>
      <w:pgSz w:w="16838" w:h="11906" w:orient="landscape"/>
      <w:pgMar w:top="1418" w:right="1276" w:bottom="1418"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ksdb"/>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06" w:name="_Toc131845147"/>
    <w:bookmarkStart w:id="507" w:name="_Toc164085800"/>
    <w:bookmarkStart w:id="508" w:name="_Toc91899912"/>
    <w:bookmarkStart w:id="509" w:name="_Toc36110187"/>
    <w:r>
      <w:rPr>
        <w:rFonts w:hint="eastAsia" w:ascii="仿宋_GB2312" w:eastAsia="仿宋_GB2312"/>
        <w:kern w:val="0"/>
        <w:szCs w:val="21"/>
      </w:rPr>
      <w:t xml:space="preserve"> 页</w:t>
    </w:r>
    <w:bookmarkEnd w:id="506"/>
    <w:bookmarkEnd w:id="507"/>
    <w:bookmarkEnd w:id="508"/>
    <w:bookmarkEnd w:id="5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rPr>
        <w:rFonts w:hint="eastAsia" w:eastAsia="宋体"/>
        <w:lang w:eastAsia="zh-CN"/>
      </w:rPr>
    </w:pPr>
    <w:r>
      <w:t></w:t>
    </w:r>
    <w:r>
      <w:rPr>
        <w:rFonts w:hint="eastAsia"/>
      </w:rPr>
      <w:t xml:space="preserve">             </w:t>
    </w:r>
    <w:r>
      <w:t>杭州市政府采购公开</w:t>
    </w:r>
    <w:r>
      <w:rPr>
        <w:rFonts w:hint="eastAsia"/>
        <w:lang w:eastAsia="zh-CN"/>
      </w:rPr>
      <w:t>采购文件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hint="eastAsia" w:eastAsia="宋体"/>
        <w:lang w:eastAsia="zh-CN"/>
      </w:rPr>
    </w:pPr>
    <w:r>
      <w:t></w:t>
    </w:r>
    <w:r>
      <w:rPr>
        <w:rFonts w:hint="eastAsia"/>
      </w:rPr>
      <w:t xml:space="preserve">                                             </w:t>
    </w:r>
    <w:r>
      <w:t>杭州市政府采购公开</w:t>
    </w:r>
    <w:r>
      <w:rPr>
        <w:rFonts w:hint="eastAsia"/>
        <w:lang w:eastAsia="zh-CN"/>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w:t>
    </w:r>
    <w:r>
      <w:rPr>
        <w:rFonts w:hint="eastAsia"/>
        <w:lang w:val="zh-CN"/>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hint="eastAsia" w:ascii="仿宋_GB2312" w:eastAsia="宋体"/>
        <w:b/>
        <w:i/>
        <w:u w:val="single"/>
        <w:lang w:eastAsia="zh-CN"/>
      </w:rPr>
    </w:pPr>
    <w:r>
      <w:t></w:t>
    </w:r>
    <w:r>
      <w:rPr>
        <w:rFonts w:hint="eastAsia"/>
      </w:rPr>
      <w:t xml:space="preserve">                                                  </w:t>
    </w:r>
    <w:r>
      <w:t xml:space="preserve">             杭州市政府采购公开</w:t>
    </w:r>
    <w:r>
      <w:rPr>
        <w:rFonts w:hint="eastAsia"/>
        <w:lang w:eastAsia="zh-CN"/>
      </w:rPr>
      <w:t>采购文件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rPr>
        <w:rFonts w:hint="eastAsia" w:eastAsia="宋体"/>
        <w:lang w:eastAsia="zh-CN"/>
      </w:rPr>
    </w:pPr>
    <w:r>
      <w:rPr>
        <w:rFonts w:hint="eastAsia"/>
      </w:rPr>
      <w:t xml:space="preserve">                                                                  </w:t>
    </w:r>
    <w:r>
      <w:t>杭州市政府采购公开</w:t>
    </w:r>
    <w:r>
      <w:rPr>
        <w:rFonts w:hint="eastAsia"/>
        <w:lang w:eastAsia="zh-CN"/>
      </w:rPr>
      <w:t>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hint="eastAsia" w:ascii="仿宋_GB2312" w:eastAsia="宋体"/>
        <w:b/>
        <w:i/>
        <w:u w:val="single"/>
        <w:lang w:eastAsia="zh-CN"/>
      </w:rPr>
    </w:pPr>
    <w:r>
      <w:t></w:t>
    </w:r>
    <w:r>
      <w:rPr>
        <w:rFonts w:hint="eastAsia"/>
      </w:rPr>
      <w:t xml:space="preserve">                                                  </w:t>
    </w:r>
    <w:r>
      <w:t>杭州市政府采购公开</w:t>
    </w:r>
    <w:r>
      <w:rPr>
        <w:rFonts w:hint="eastAsia"/>
        <w:lang w:eastAsia="zh-CN"/>
      </w:rPr>
      <w:t>采购文件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eastAsia="宋体"/>
        <w:lang w:eastAsia="zh-CN"/>
      </w:rPr>
    </w:pPr>
    <w:r>
      <w:t></w:t>
    </w:r>
    <w:r>
      <w:rPr>
        <w:rFonts w:hint="eastAsia"/>
      </w:rPr>
      <w:t xml:space="preserve">                 </w:t>
    </w:r>
    <w:r>
      <w:t xml:space="preserve">                                </w:t>
    </w:r>
    <w:r>
      <w:rPr>
        <w:rFonts w:hint="eastAsia"/>
      </w:rPr>
      <w:t xml:space="preserve">         </w:t>
    </w:r>
    <w:r>
      <w:t>杭州市政府采购公开</w:t>
    </w:r>
    <w:r>
      <w:rPr>
        <w:rFonts w:hint="eastAsia"/>
        <w:lang w:eastAsia="zh-CN"/>
      </w:rPr>
      <w:t>采购文件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ascii="仿宋_GB2312" w:eastAsia="宋体"/>
        <w:b/>
        <w:i/>
        <w:u w:val="single"/>
        <w:lang w:eastAsia="zh-CN"/>
      </w:rPr>
    </w:pPr>
    <w:r>
      <w:rPr>
        <w:rFonts w:hint="eastAsia"/>
      </w:rPr>
      <w:t xml:space="preserve">                                  </w:t>
    </w:r>
    <w:r>
      <w:t>杭州市政府采购公开</w:t>
    </w:r>
    <w:r>
      <w:rPr>
        <w:rFonts w:hint="eastAsia"/>
        <w:lang w:eastAsia="zh-CN"/>
      </w:rPr>
      <w:t>采购文件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eastAsia="宋体"/>
        <w:lang w:eastAsia="zh-CN"/>
      </w:rPr>
    </w:pPr>
    <w:r>
      <w:rPr>
        <w:rFonts w:hint="eastAsia"/>
      </w:rPr>
      <w:t xml:space="preserve">                                                                                                        </w:t>
    </w:r>
    <w:r>
      <w:t>杭州市政府采购公开</w:t>
    </w:r>
    <w:r>
      <w:rPr>
        <w:rFonts w:hint="eastAsia"/>
        <w:lang w:eastAsia="zh-CN"/>
      </w:rPr>
      <w:t>采购文件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ascii="仿宋_GB2312" w:eastAsia="宋体"/>
        <w:b/>
        <w:i/>
        <w:iCs/>
        <w:u w:val="single"/>
        <w:lang w:eastAsia="zh-CN"/>
      </w:rPr>
    </w:pPr>
    <w:r>
      <w:t>杭州市政府采购公开</w:t>
    </w:r>
    <w:r>
      <w:rPr>
        <w:rFonts w:hint="eastAsia"/>
        <w:lang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2E39C"/>
    <w:multiLevelType w:val="singleLevel"/>
    <w:tmpl w:val="9CE2E39C"/>
    <w:lvl w:ilvl="0" w:tentative="0">
      <w:start w:val="2"/>
      <w:numFmt w:val="decimal"/>
      <w:suff w:val="nothing"/>
      <w:lvlText w:val="%1、"/>
      <w:lvlJc w:val="left"/>
      <w:pPr>
        <w:ind w:left="120" w:firstLine="0"/>
      </w:pPr>
    </w:lvl>
  </w:abstractNum>
  <w:abstractNum w:abstractNumId="1">
    <w:nsid w:val="12337B42"/>
    <w:multiLevelType w:val="singleLevel"/>
    <w:tmpl w:val="12337B42"/>
    <w:lvl w:ilvl="0" w:tentative="0">
      <w:start w:val="1"/>
      <w:numFmt w:val="decimal"/>
      <w:suff w:val="nothing"/>
      <w:lvlText w:val="（%1）"/>
      <w:lvlJc w:val="left"/>
    </w:lvl>
  </w:abstractNum>
  <w:abstractNum w:abstractNumId="2">
    <w:nsid w:val="29B5EAC4"/>
    <w:multiLevelType w:val="singleLevel"/>
    <w:tmpl w:val="29B5EAC4"/>
    <w:lvl w:ilvl="0" w:tentative="0">
      <w:start w:val="3"/>
      <w:numFmt w:val="decimal"/>
      <w:lvlText w:val="%1."/>
      <w:lvlJc w:val="left"/>
      <w:pPr>
        <w:tabs>
          <w:tab w:val="left" w:pos="312"/>
        </w:tabs>
        <w:ind w:left="480" w:leftChars="0" w:firstLine="0" w:firstLineChars="0"/>
      </w:pPr>
    </w:lvl>
  </w:abstractNum>
  <w:abstractNum w:abstractNumId="3">
    <w:nsid w:val="39113F7F"/>
    <w:multiLevelType w:val="singleLevel"/>
    <w:tmpl w:val="39113F7F"/>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MGJlMDZjZTJjNmExODA2NjMyODUxYjlhZGIyYm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283E"/>
    <w:rsid w:val="02824D4D"/>
    <w:rsid w:val="02DC4B10"/>
    <w:rsid w:val="02DD76CE"/>
    <w:rsid w:val="02F36323"/>
    <w:rsid w:val="02F5619C"/>
    <w:rsid w:val="03084CFA"/>
    <w:rsid w:val="0326446A"/>
    <w:rsid w:val="032D5555"/>
    <w:rsid w:val="036634D2"/>
    <w:rsid w:val="03DB41BC"/>
    <w:rsid w:val="03DD35E4"/>
    <w:rsid w:val="04076900"/>
    <w:rsid w:val="040B651A"/>
    <w:rsid w:val="041A5A3B"/>
    <w:rsid w:val="042311BA"/>
    <w:rsid w:val="042A28FC"/>
    <w:rsid w:val="042B157A"/>
    <w:rsid w:val="04386C8B"/>
    <w:rsid w:val="0451287C"/>
    <w:rsid w:val="048162A0"/>
    <w:rsid w:val="048F763B"/>
    <w:rsid w:val="049F330E"/>
    <w:rsid w:val="04AA775C"/>
    <w:rsid w:val="04AF1889"/>
    <w:rsid w:val="04B769D7"/>
    <w:rsid w:val="04F66F48"/>
    <w:rsid w:val="05043453"/>
    <w:rsid w:val="051E25B2"/>
    <w:rsid w:val="05251E14"/>
    <w:rsid w:val="05A16594"/>
    <w:rsid w:val="05A7762D"/>
    <w:rsid w:val="06021ED4"/>
    <w:rsid w:val="060E5941"/>
    <w:rsid w:val="06110FAF"/>
    <w:rsid w:val="06493CA7"/>
    <w:rsid w:val="065A6178"/>
    <w:rsid w:val="06694871"/>
    <w:rsid w:val="066F1CF3"/>
    <w:rsid w:val="0680104B"/>
    <w:rsid w:val="0687062B"/>
    <w:rsid w:val="06930BB8"/>
    <w:rsid w:val="06B570D2"/>
    <w:rsid w:val="06C47189"/>
    <w:rsid w:val="07245D42"/>
    <w:rsid w:val="07264C62"/>
    <w:rsid w:val="07317C67"/>
    <w:rsid w:val="0764344E"/>
    <w:rsid w:val="077416B5"/>
    <w:rsid w:val="0779354C"/>
    <w:rsid w:val="07A1571D"/>
    <w:rsid w:val="07A50FDA"/>
    <w:rsid w:val="07D16002"/>
    <w:rsid w:val="07FB307F"/>
    <w:rsid w:val="08061376"/>
    <w:rsid w:val="08452D77"/>
    <w:rsid w:val="086401F8"/>
    <w:rsid w:val="08751CAA"/>
    <w:rsid w:val="0878647D"/>
    <w:rsid w:val="087D3A94"/>
    <w:rsid w:val="087E4C40"/>
    <w:rsid w:val="08A871D0"/>
    <w:rsid w:val="08D31906"/>
    <w:rsid w:val="08D66AD6"/>
    <w:rsid w:val="08DA33A3"/>
    <w:rsid w:val="08DD4532"/>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90521"/>
    <w:rsid w:val="0A5B7E63"/>
    <w:rsid w:val="0AA374A5"/>
    <w:rsid w:val="0AAB7649"/>
    <w:rsid w:val="0ABC5606"/>
    <w:rsid w:val="0B30404E"/>
    <w:rsid w:val="0B4C6C14"/>
    <w:rsid w:val="0B4D1E43"/>
    <w:rsid w:val="0B547599"/>
    <w:rsid w:val="0B631A88"/>
    <w:rsid w:val="0B683D45"/>
    <w:rsid w:val="0B7F3F11"/>
    <w:rsid w:val="0B884417"/>
    <w:rsid w:val="0BF6188C"/>
    <w:rsid w:val="0BF73C91"/>
    <w:rsid w:val="0C170175"/>
    <w:rsid w:val="0C571A41"/>
    <w:rsid w:val="0C5C1171"/>
    <w:rsid w:val="0C5E1CBC"/>
    <w:rsid w:val="0C615B50"/>
    <w:rsid w:val="0C7E427E"/>
    <w:rsid w:val="0C8445DA"/>
    <w:rsid w:val="0C87121B"/>
    <w:rsid w:val="0CB101B0"/>
    <w:rsid w:val="0CC007F7"/>
    <w:rsid w:val="0CC617AC"/>
    <w:rsid w:val="0CE618DF"/>
    <w:rsid w:val="0CFE707A"/>
    <w:rsid w:val="0D063BDA"/>
    <w:rsid w:val="0D08375F"/>
    <w:rsid w:val="0D184CFB"/>
    <w:rsid w:val="0D4903E8"/>
    <w:rsid w:val="0D4A7419"/>
    <w:rsid w:val="0D827401"/>
    <w:rsid w:val="0D84094E"/>
    <w:rsid w:val="0D8A00E9"/>
    <w:rsid w:val="0D8D589E"/>
    <w:rsid w:val="0DA01C73"/>
    <w:rsid w:val="0DC43CFC"/>
    <w:rsid w:val="0DD63300"/>
    <w:rsid w:val="0DF50604"/>
    <w:rsid w:val="0DF702FE"/>
    <w:rsid w:val="0DFC545B"/>
    <w:rsid w:val="0E060E51"/>
    <w:rsid w:val="0E0D58BA"/>
    <w:rsid w:val="0E5604B2"/>
    <w:rsid w:val="0E6D5D79"/>
    <w:rsid w:val="0E9D0089"/>
    <w:rsid w:val="0EB803EE"/>
    <w:rsid w:val="0ED463D8"/>
    <w:rsid w:val="0EF94D4B"/>
    <w:rsid w:val="0F4958DC"/>
    <w:rsid w:val="0F515DF7"/>
    <w:rsid w:val="0F596BA8"/>
    <w:rsid w:val="0F6248D2"/>
    <w:rsid w:val="0F693536"/>
    <w:rsid w:val="0F7B0511"/>
    <w:rsid w:val="0F7B76D9"/>
    <w:rsid w:val="0F816ACD"/>
    <w:rsid w:val="0F9832DB"/>
    <w:rsid w:val="0FAE35ED"/>
    <w:rsid w:val="0FBF3FD2"/>
    <w:rsid w:val="0FBF7FF3"/>
    <w:rsid w:val="101A2510"/>
    <w:rsid w:val="101A66BB"/>
    <w:rsid w:val="101C784D"/>
    <w:rsid w:val="10646583"/>
    <w:rsid w:val="107D4B15"/>
    <w:rsid w:val="107E2DB0"/>
    <w:rsid w:val="108A3C80"/>
    <w:rsid w:val="10C26171"/>
    <w:rsid w:val="10DC28FF"/>
    <w:rsid w:val="10F33360"/>
    <w:rsid w:val="10FC16EA"/>
    <w:rsid w:val="110F1D40"/>
    <w:rsid w:val="11266F33"/>
    <w:rsid w:val="114F6141"/>
    <w:rsid w:val="114F7C08"/>
    <w:rsid w:val="118963A1"/>
    <w:rsid w:val="11AB78C4"/>
    <w:rsid w:val="11C6522A"/>
    <w:rsid w:val="11E104CC"/>
    <w:rsid w:val="11E20309"/>
    <w:rsid w:val="11F2137A"/>
    <w:rsid w:val="121F5BBC"/>
    <w:rsid w:val="12255233"/>
    <w:rsid w:val="122D02D9"/>
    <w:rsid w:val="12415B32"/>
    <w:rsid w:val="12530213"/>
    <w:rsid w:val="12656690"/>
    <w:rsid w:val="127557DC"/>
    <w:rsid w:val="127723A9"/>
    <w:rsid w:val="12862074"/>
    <w:rsid w:val="12883966"/>
    <w:rsid w:val="128D0D77"/>
    <w:rsid w:val="129E45B4"/>
    <w:rsid w:val="12D81596"/>
    <w:rsid w:val="13072A44"/>
    <w:rsid w:val="13317598"/>
    <w:rsid w:val="13545D39"/>
    <w:rsid w:val="135F4BE2"/>
    <w:rsid w:val="13817701"/>
    <w:rsid w:val="139B1A0A"/>
    <w:rsid w:val="139D25C7"/>
    <w:rsid w:val="13BF3CE4"/>
    <w:rsid w:val="13F27AB4"/>
    <w:rsid w:val="141008D8"/>
    <w:rsid w:val="14125FE6"/>
    <w:rsid w:val="146D271E"/>
    <w:rsid w:val="14861F22"/>
    <w:rsid w:val="14982588"/>
    <w:rsid w:val="149A5AD9"/>
    <w:rsid w:val="14A7619D"/>
    <w:rsid w:val="14CF1B1B"/>
    <w:rsid w:val="150536C3"/>
    <w:rsid w:val="150C1963"/>
    <w:rsid w:val="151447A0"/>
    <w:rsid w:val="15474FAC"/>
    <w:rsid w:val="154A6454"/>
    <w:rsid w:val="15762120"/>
    <w:rsid w:val="1585042C"/>
    <w:rsid w:val="15C07179"/>
    <w:rsid w:val="15C10692"/>
    <w:rsid w:val="1632430B"/>
    <w:rsid w:val="16840CA4"/>
    <w:rsid w:val="16A8729C"/>
    <w:rsid w:val="16B33777"/>
    <w:rsid w:val="16BC70A7"/>
    <w:rsid w:val="16C6339E"/>
    <w:rsid w:val="17033CFE"/>
    <w:rsid w:val="172F2D79"/>
    <w:rsid w:val="17557BEF"/>
    <w:rsid w:val="17D349C1"/>
    <w:rsid w:val="17D81FF2"/>
    <w:rsid w:val="181C1A30"/>
    <w:rsid w:val="1830729E"/>
    <w:rsid w:val="1870062C"/>
    <w:rsid w:val="18817102"/>
    <w:rsid w:val="18830A15"/>
    <w:rsid w:val="18852B28"/>
    <w:rsid w:val="188B5321"/>
    <w:rsid w:val="189E35C3"/>
    <w:rsid w:val="18FC4B14"/>
    <w:rsid w:val="1927785E"/>
    <w:rsid w:val="195F3B3E"/>
    <w:rsid w:val="19836A30"/>
    <w:rsid w:val="19932372"/>
    <w:rsid w:val="19A20DD5"/>
    <w:rsid w:val="19AE03F1"/>
    <w:rsid w:val="19E2098A"/>
    <w:rsid w:val="1A071A03"/>
    <w:rsid w:val="1A1F16AE"/>
    <w:rsid w:val="1A3366A8"/>
    <w:rsid w:val="1A3B5C77"/>
    <w:rsid w:val="1A50687F"/>
    <w:rsid w:val="1A8A3DEE"/>
    <w:rsid w:val="1A984BAD"/>
    <w:rsid w:val="1AA66E7A"/>
    <w:rsid w:val="1AAE3F81"/>
    <w:rsid w:val="1AB8220E"/>
    <w:rsid w:val="1AE4166C"/>
    <w:rsid w:val="1AEA0BD6"/>
    <w:rsid w:val="1AF06CFB"/>
    <w:rsid w:val="1AF11B8D"/>
    <w:rsid w:val="1B11359C"/>
    <w:rsid w:val="1B2A271F"/>
    <w:rsid w:val="1B530544"/>
    <w:rsid w:val="1B713184"/>
    <w:rsid w:val="1BA209CF"/>
    <w:rsid w:val="1BB4777D"/>
    <w:rsid w:val="1BCC0B62"/>
    <w:rsid w:val="1BD75AB8"/>
    <w:rsid w:val="1C0459C2"/>
    <w:rsid w:val="1C1B3B4A"/>
    <w:rsid w:val="1C88086E"/>
    <w:rsid w:val="1C9C6787"/>
    <w:rsid w:val="1CC3102C"/>
    <w:rsid w:val="1CCC104A"/>
    <w:rsid w:val="1CEC12BA"/>
    <w:rsid w:val="1D266CE1"/>
    <w:rsid w:val="1D3963AF"/>
    <w:rsid w:val="1D6A673C"/>
    <w:rsid w:val="1D7E2045"/>
    <w:rsid w:val="1D9247AE"/>
    <w:rsid w:val="1DB567EC"/>
    <w:rsid w:val="1DF51A98"/>
    <w:rsid w:val="1DF60118"/>
    <w:rsid w:val="1E2C58E8"/>
    <w:rsid w:val="1E3D060F"/>
    <w:rsid w:val="1E3F7D2E"/>
    <w:rsid w:val="1E4134E4"/>
    <w:rsid w:val="1E4427E1"/>
    <w:rsid w:val="1E5062B3"/>
    <w:rsid w:val="1E523514"/>
    <w:rsid w:val="1E714A66"/>
    <w:rsid w:val="1E802593"/>
    <w:rsid w:val="1E807EA0"/>
    <w:rsid w:val="1E8B6156"/>
    <w:rsid w:val="1EA703CC"/>
    <w:rsid w:val="1EB7330C"/>
    <w:rsid w:val="1EF02DBA"/>
    <w:rsid w:val="1F0A0FF3"/>
    <w:rsid w:val="1F5771FF"/>
    <w:rsid w:val="1F9C4CF0"/>
    <w:rsid w:val="1FD52DD5"/>
    <w:rsid w:val="1FE868A9"/>
    <w:rsid w:val="20034907"/>
    <w:rsid w:val="20173E4B"/>
    <w:rsid w:val="204E48BC"/>
    <w:rsid w:val="208921B3"/>
    <w:rsid w:val="20973DEB"/>
    <w:rsid w:val="20B26522"/>
    <w:rsid w:val="20B44310"/>
    <w:rsid w:val="211116EB"/>
    <w:rsid w:val="216133FC"/>
    <w:rsid w:val="2185666F"/>
    <w:rsid w:val="21A7036C"/>
    <w:rsid w:val="21B300CF"/>
    <w:rsid w:val="21D56769"/>
    <w:rsid w:val="21D73DBD"/>
    <w:rsid w:val="21E52EF3"/>
    <w:rsid w:val="21FB5D7B"/>
    <w:rsid w:val="22015E94"/>
    <w:rsid w:val="220B1C3D"/>
    <w:rsid w:val="221D1D20"/>
    <w:rsid w:val="22334A87"/>
    <w:rsid w:val="22995516"/>
    <w:rsid w:val="22AA7723"/>
    <w:rsid w:val="22BE6801"/>
    <w:rsid w:val="22F34A05"/>
    <w:rsid w:val="22FD5AA5"/>
    <w:rsid w:val="233500BF"/>
    <w:rsid w:val="23377FF7"/>
    <w:rsid w:val="236B425F"/>
    <w:rsid w:val="23812232"/>
    <w:rsid w:val="23836192"/>
    <w:rsid w:val="23897339"/>
    <w:rsid w:val="23901F29"/>
    <w:rsid w:val="239C0061"/>
    <w:rsid w:val="23B908A4"/>
    <w:rsid w:val="23E95BEF"/>
    <w:rsid w:val="23FD0064"/>
    <w:rsid w:val="24174945"/>
    <w:rsid w:val="24465B9C"/>
    <w:rsid w:val="245375B0"/>
    <w:rsid w:val="24612777"/>
    <w:rsid w:val="24642C0A"/>
    <w:rsid w:val="24784B20"/>
    <w:rsid w:val="24A3267C"/>
    <w:rsid w:val="24B22173"/>
    <w:rsid w:val="24B95AD9"/>
    <w:rsid w:val="24BE24DA"/>
    <w:rsid w:val="24CF5825"/>
    <w:rsid w:val="24D663E6"/>
    <w:rsid w:val="24D77F2B"/>
    <w:rsid w:val="24DD793C"/>
    <w:rsid w:val="258B00E2"/>
    <w:rsid w:val="25A917A6"/>
    <w:rsid w:val="25BE27CC"/>
    <w:rsid w:val="25F74A5C"/>
    <w:rsid w:val="26181471"/>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7C56BE"/>
    <w:rsid w:val="289F7086"/>
    <w:rsid w:val="28C32028"/>
    <w:rsid w:val="28CC490F"/>
    <w:rsid w:val="28DE40AA"/>
    <w:rsid w:val="29345E77"/>
    <w:rsid w:val="294C65AD"/>
    <w:rsid w:val="29806583"/>
    <w:rsid w:val="298B3C4C"/>
    <w:rsid w:val="29F26D24"/>
    <w:rsid w:val="2A15033F"/>
    <w:rsid w:val="2A1662C1"/>
    <w:rsid w:val="2A1C7367"/>
    <w:rsid w:val="2A2815FA"/>
    <w:rsid w:val="2A3224D8"/>
    <w:rsid w:val="2A6D6092"/>
    <w:rsid w:val="2A7D76B4"/>
    <w:rsid w:val="2ACB16D0"/>
    <w:rsid w:val="2B437463"/>
    <w:rsid w:val="2B5D2C79"/>
    <w:rsid w:val="2B7807EE"/>
    <w:rsid w:val="2B944ACD"/>
    <w:rsid w:val="2B98280F"/>
    <w:rsid w:val="2BA50BF7"/>
    <w:rsid w:val="2BBF00EC"/>
    <w:rsid w:val="2BC37CFD"/>
    <w:rsid w:val="2BD5237F"/>
    <w:rsid w:val="2BE536CE"/>
    <w:rsid w:val="2BE758D9"/>
    <w:rsid w:val="2C09049E"/>
    <w:rsid w:val="2C0A653C"/>
    <w:rsid w:val="2C191F85"/>
    <w:rsid w:val="2C7D37B3"/>
    <w:rsid w:val="2CE82D6F"/>
    <w:rsid w:val="2D1B54A6"/>
    <w:rsid w:val="2D2B1461"/>
    <w:rsid w:val="2D2F2CFF"/>
    <w:rsid w:val="2D343236"/>
    <w:rsid w:val="2DD15014"/>
    <w:rsid w:val="2DE826C9"/>
    <w:rsid w:val="2DF72DE4"/>
    <w:rsid w:val="2E0220AF"/>
    <w:rsid w:val="2E4B082A"/>
    <w:rsid w:val="2E5D4E86"/>
    <w:rsid w:val="2E5D790B"/>
    <w:rsid w:val="2E8C5F2F"/>
    <w:rsid w:val="2E9A3C18"/>
    <w:rsid w:val="2EBB0FEE"/>
    <w:rsid w:val="2EC63002"/>
    <w:rsid w:val="2EDD4D10"/>
    <w:rsid w:val="2EFA558F"/>
    <w:rsid w:val="2F0A6B38"/>
    <w:rsid w:val="2F946CCB"/>
    <w:rsid w:val="2FD25781"/>
    <w:rsid w:val="2FDC745C"/>
    <w:rsid w:val="2FFD7934"/>
    <w:rsid w:val="300B7369"/>
    <w:rsid w:val="305C1374"/>
    <w:rsid w:val="30733ACD"/>
    <w:rsid w:val="308C3862"/>
    <w:rsid w:val="309379D8"/>
    <w:rsid w:val="30A270F7"/>
    <w:rsid w:val="30DF1478"/>
    <w:rsid w:val="30EC586F"/>
    <w:rsid w:val="30F71D86"/>
    <w:rsid w:val="314550B7"/>
    <w:rsid w:val="3166515D"/>
    <w:rsid w:val="3192385D"/>
    <w:rsid w:val="319C6071"/>
    <w:rsid w:val="31A57A34"/>
    <w:rsid w:val="31AC537E"/>
    <w:rsid w:val="31C00DA6"/>
    <w:rsid w:val="31E3679B"/>
    <w:rsid w:val="31E732FD"/>
    <w:rsid w:val="32517576"/>
    <w:rsid w:val="32BE5C2C"/>
    <w:rsid w:val="32C1089D"/>
    <w:rsid w:val="32FB6478"/>
    <w:rsid w:val="33162750"/>
    <w:rsid w:val="33263B3F"/>
    <w:rsid w:val="336963EB"/>
    <w:rsid w:val="33816EEB"/>
    <w:rsid w:val="33EB55CD"/>
    <w:rsid w:val="33EC4C02"/>
    <w:rsid w:val="340D2360"/>
    <w:rsid w:val="3410665D"/>
    <w:rsid w:val="34211214"/>
    <w:rsid w:val="34254E5C"/>
    <w:rsid w:val="342E63AB"/>
    <w:rsid w:val="34950E68"/>
    <w:rsid w:val="34986E94"/>
    <w:rsid w:val="34AF62C9"/>
    <w:rsid w:val="34CB4388"/>
    <w:rsid w:val="34D348B8"/>
    <w:rsid w:val="34FA6E12"/>
    <w:rsid w:val="354D7158"/>
    <w:rsid w:val="35710E6D"/>
    <w:rsid w:val="358D5588"/>
    <w:rsid w:val="35936138"/>
    <w:rsid w:val="35A02E2C"/>
    <w:rsid w:val="35D408E8"/>
    <w:rsid w:val="36064819"/>
    <w:rsid w:val="363A3B40"/>
    <w:rsid w:val="365302AE"/>
    <w:rsid w:val="36607A0A"/>
    <w:rsid w:val="366E227C"/>
    <w:rsid w:val="366F2E0D"/>
    <w:rsid w:val="367B6A5C"/>
    <w:rsid w:val="369E0EF6"/>
    <w:rsid w:val="36A74ADA"/>
    <w:rsid w:val="36AD60D5"/>
    <w:rsid w:val="36B224F9"/>
    <w:rsid w:val="36EC0CC9"/>
    <w:rsid w:val="370F76FD"/>
    <w:rsid w:val="373F410B"/>
    <w:rsid w:val="37EE7094"/>
    <w:rsid w:val="38296C89"/>
    <w:rsid w:val="383002EB"/>
    <w:rsid w:val="38586797"/>
    <w:rsid w:val="38BC0149"/>
    <w:rsid w:val="38D5381C"/>
    <w:rsid w:val="38D87D1C"/>
    <w:rsid w:val="392E6561"/>
    <w:rsid w:val="39416E46"/>
    <w:rsid w:val="39636459"/>
    <w:rsid w:val="396B7F6C"/>
    <w:rsid w:val="39A959E1"/>
    <w:rsid w:val="39B417A9"/>
    <w:rsid w:val="39FC5695"/>
    <w:rsid w:val="3A006D8E"/>
    <w:rsid w:val="3A2D7A1A"/>
    <w:rsid w:val="3A3651E5"/>
    <w:rsid w:val="3A3C6A5B"/>
    <w:rsid w:val="3A744481"/>
    <w:rsid w:val="3A8C7BEF"/>
    <w:rsid w:val="3A906246"/>
    <w:rsid w:val="3A9E30F1"/>
    <w:rsid w:val="3AB331C1"/>
    <w:rsid w:val="3B2349B7"/>
    <w:rsid w:val="3B616CFF"/>
    <w:rsid w:val="3B6259F6"/>
    <w:rsid w:val="3B64626A"/>
    <w:rsid w:val="3B7C7A57"/>
    <w:rsid w:val="3B976654"/>
    <w:rsid w:val="3BAD1C8A"/>
    <w:rsid w:val="3BC01EFC"/>
    <w:rsid w:val="3BCA786A"/>
    <w:rsid w:val="3BD31E2F"/>
    <w:rsid w:val="3BF15831"/>
    <w:rsid w:val="3C105946"/>
    <w:rsid w:val="3C471448"/>
    <w:rsid w:val="3C487939"/>
    <w:rsid w:val="3C5F759A"/>
    <w:rsid w:val="3C6C525A"/>
    <w:rsid w:val="3CAC22EF"/>
    <w:rsid w:val="3CCE23CB"/>
    <w:rsid w:val="3CD17D17"/>
    <w:rsid w:val="3D107AC3"/>
    <w:rsid w:val="3D3C7F39"/>
    <w:rsid w:val="3D440F09"/>
    <w:rsid w:val="3D4504A0"/>
    <w:rsid w:val="3D4F4CF8"/>
    <w:rsid w:val="3D8734BB"/>
    <w:rsid w:val="3D9A11D4"/>
    <w:rsid w:val="3DA16D89"/>
    <w:rsid w:val="3DA364BE"/>
    <w:rsid w:val="3DD0408A"/>
    <w:rsid w:val="3DD1395F"/>
    <w:rsid w:val="3DE041CB"/>
    <w:rsid w:val="3E09134A"/>
    <w:rsid w:val="3E0D48F6"/>
    <w:rsid w:val="3E1868B4"/>
    <w:rsid w:val="3E377251"/>
    <w:rsid w:val="3E42664B"/>
    <w:rsid w:val="3E437D22"/>
    <w:rsid w:val="3E5A7334"/>
    <w:rsid w:val="3E726EF0"/>
    <w:rsid w:val="3E7B5D6B"/>
    <w:rsid w:val="3E843E66"/>
    <w:rsid w:val="3E8F51FE"/>
    <w:rsid w:val="3E926F87"/>
    <w:rsid w:val="3E9A59DE"/>
    <w:rsid w:val="3EAF4836"/>
    <w:rsid w:val="3EC33DFA"/>
    <w:rsid w:val="3F060E16"/>
    <w:rsid w:val="3F1D1096"/>
    <w:rsid w:val="3F1F0523"/>
    <w:rsid w:val="3F2F0234"/>
    <w:rsid w:val="3F36616F"/>
    <w:rsid w:val="3F6363FE"/>
    <w:rsid w:val="3F756B8F"/>
    <w:rsid w:val="3F95482B"/>
    <w:rsid w:val="3FAC6431"/>
    <w:rsid w:val="4019356B"/>
    <w:rsid w:val="403C5A07"/>
    <w:rsid w:val="40592157"/>
    <w:rsid w:val="40672358"/>
    <w:rsid w:val="406E1CAE"/>
    <w:rsid w:val="40A0133A"/>
    <w:rsid w:val="40BF1951"/>
    <w:rsid w:val="40C31A53"/>
    <w:rsid w:val="40FF545D"/>
    <w:rsid w:val="410067C8"/>
    <w:rsid w:val="418F0D2A"/>
    <w:rsid w:val="41D01505"/>
    <w:rsid w:val="422A3EDB"/>
    <w:rsid w:val="42474939"/>
    <w:rsid w:val="424C3C57"/>
    <w:rsid w:val="42613FF3"/>
    <w:rsid w:val="42660D96"/>
    <w:rsid w:val="428667D2"/>
    <w:rsid w:val="429947A2"/>
    <w:rsid w:val="42CD1CE0"/>
    <w:rsid w:val="42DA5063"/>
    <w:rsid w:val="42E1381E"/>
    <w:rsid w:val="42E65177"/>
    <w:rsid w:val="42ED6459"/>
    <w:rsid w:val="42FE58DD"/>
    <w:rsid w:val="43174B3D"/>
    <w:rsid w:val="4348021A"/>
    <w:rsid w:val="434B790E"/>
    <w:rsid w:val="4360274F"/>
    <w:rsid w:val="43670FED"/>
    <w:rsid w:val="43977AB6"/>
    <w:rsid w:val="43A3342B"/>
    <w:rsid w:val="43BD5855"/>
    <w:rsid w:val="43C77C27"/>
    <w:rsid w:val="43DE09EE"/>
    <w:rsid w:val="43E90A73"/>
    <w:rsid w:val="44002FAD"/>
    <w:rsid w:val="446217B4"/>
    <w:rsid w:val="449101DD"/>
    <w:rsid w:val="44AC2A30"/>
    <w:rsid w:val="44DE1391"/>
    <w:rsid w:val="451B225C"/>
    <w:rsid w:val="452410C9"/>
    <w:rsid w:val="45317DFB"/>
    <w:rsid w:val="456D3CE4"/>
    <w:rsid w:val="456D6663"/>
    <w:rsid w:val="4579042C"/>
    <w:rsid w:val="457F0571"/>
    <w:rsid w:val="45851176"/>
    <w:rsid w:val="45C63B94"/>
    <w:rsid w:val="460E7DA5"/>
    <w:rsid w:val="46422483"/>
    <w:rsid w:val="465313B5"/>
    <w:rsid w:val="4659254A"/>
    <w:rsid w:val="465A6BE7"/>
    <w:rsid w:val="465B0637"/>
    <w:rsid w:val="465E3F0D"/>
    <w:rsid w:val="466A16E6"/>
    <w:rsid w:val="46893F2B"/>
    <w:rsid w:val="46C4686E"/>
    <w:rsid w:val="46DC584E"/>
    <w:rsid w:val="470B1C8F"/>
    <w:rsid w:val="47503B46"/>
    <w:rsid w:val="477B778F"/>
    <w:rsid w:val="478203EC"/>
    <w:rsid w:val="47A53E92"/>
    <w:rsid w:val="47B025FA"/>
    <w:rsid w:val="47B70069"/>
    <w:rsid w:val="4809698F"/>
    <w:rsid w:val="4811697D"/>
    <w:rsid w:val="4850203D"/>
    <w:rsid w:val="486D24D6"/>
    <w:rsid w:val="487A3E25"/>
    <w:rsid w:val="488B5503"/>
    <w:rsid w:val="48937E21"/>
    <w:rsid w:val="489A0361"/>
    <w:rsid w:val="48A95C04"/>
    <w:rsid w:val="48B94FF3"/>
    <w:rsid w:val="48E37AAB"/>
    <w:rsid w:val="48FD4B4C"/>
    <w:rsid w:val="490A68E0"/>
    <w:rsid w:val="491055FE"/>
    <w:rsid w:val="4921579A"/>
    <w:rsid w:val="495F5B3E"/>
    <w:rsid w:val="496B4C67"/>
    <w:rsid w:val="496F77D7"/>
    <w:rsid w:val="497654FD"/>
    <w:rsid w:val="49AD5280"/>
    <w:rsid w:val="49B64211"/>
    <w:rsid w:val="49E56AF9"/>
    <w:rsid w:val="49F6167F"/>
    <w:rsid w:val="4A064FA0"/>
    <w:rsid w:val="4A16615C"/>
    <w:rsid w:val="4A2F3EE7"/>
    <w:rsid w:val="4A4424D7"/>
    <w:rsid w:val="4AB82D0F"/>
    <w:rsid w:val="4AEB7664"/>
    <w:rsid w:val="4AEC002A"/>
    <w:rsid w:val="4AFD7C19"/>
    <w:rsid w:val="4B0567D1"/>
    <w:rsid w:val="4B236AAE"/>
    <w:rsid w:val="4B363761"/>
    <w:rsid w:val="4B707271"/>
    <w:rsid w:val="4B920BD1"/>
    <w:rsid w:val="4B9739F7"/>
    <w:rsid w:val="4BEE2503"/>
    <w:rsid w:val="4C1635B0"/>
    <w:rsid w:val="4C245A30"/>
    <w:rsid w:val="4CB6685F"/>
    <w:rsid w:val="4CC367FE"/>
    <w:rsid w:val="4CE306C6"/>
    <w:rsid w:val="4D077F3C"/>
    <w:rsid w:val="4D123355"/>
    <w:rsid w:val="4D2A3B31"/>
    <w:rsid w:val="4D312C52"/>
    <w:rsid w:val="4D905305"/>
    <w:rsid w:val="4D964A72"/>
    <w:rsid w:val="4D9C1254"/>
    <w:rsid w:val="4DA5039B"/>
    <w:rsid w:val="4DE13DC5"/>
    <w:rsid w:val="4E3D6F1E"/>
    <w:rsid w:val="4E6F0D56"/>
    <w:rsid w:val="4E793892"/>
    <w:rsid w:val="4E800872"/>
    <w:rsid w:val="4EC569ED"/>
    <w:rsid w:val="4ED50EA1"/>
    <w:rsid w:val="4EDB463D"/>
    <w:rsid w:val="4EEC050C"/>
    <w:rsid w:val="4F104EC3"/>
    <w:rsid w:val="4F47354A"/>
    <w:rsid w:val="4F563CC4"/>
    <w:rsid w:val="4F672375"/>
    <w:rsid w:val="4F911C54"/>
    <w:rsid w:val="4FE625E0"/>
    <w:rsid w:val="4FF97471"/>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93851"/>
    <w:rsid w:val="5244713B"/>
    <w:rsid w:val="52615633"/>
    <w:rsid w:val="526F4DE4"/>
    <w:rsid w:val="528C228E"/>
    <w:rsid w:val="52977FD4"/>
    <w:rsid w:val="52A25790"/>
    <w:rsid w:val="52A96B6F"/>
    <w:rsid w:val="52B45975"/>
    <w:rsid w:val="52D94AA4"/>
    <w:rsid w:val="52EA3A62"/>
    <w:rsid w:val="52F50BB8"/>
    <w:rsid w:val="53097272"/>
    <w:rsid w:val="531B14AC"/>
    <w:rsid w:val="53544462"/>
    <w:rsid w:val="5391176E"/>
    <w:rsid w:val="5397158E"/>
    <w:rsid w:val="54013861"/>
    <w:rsid w:val="54134879"/>
    <w:rsid w:val="543211F5"/>
    <w:rsid w:val="54487265"/>
    <w:rsid w:val="544D6070"/>
    <w:rsid w:val="54605E1E"/>
    <w:rsid w:val="54776BB6"/>
    <w:rsid w:val="54B3506A"/>
    <w:rsid w:val="54CA0D16"/>
    <w:rsid w:val="54D2203E"/>
    <w:rsid w:val="54DD4057"/>
    <w:rsid w:val="54E7490F"/>
    <w:rsid w:val="54F522A6"/>
    <w:rsid w:val="550764A4"/>
    <w:rsid w:val="550B2BF6"/>
    <w:rsid w:val="55214EB5"/>
    <w:rsid w:val="55364EFD"/>
    <w:rsid w:val="555D4828"/>
    <w:rsid w:val="557A4C8B"/>
    <w:rsid w:val="558931E1"/>
    <w:rsid w:val="55923347"/>
    <w:rsid w:val="55925180"/>
    <w:rsid w:val="55983B1B"/>
    <w:rsid w:val="55A8376B"/>
    <w:rsid w:val="55DC29B6"/>
    <w:rsid w:val="55DD4241"/>
    <w:rsid w:val="55F85AD5"/>
    <w:rsid w:val="55FC09C4"/>
    <w:rsid w:val="566B6D1E"/>
    <w:rsid w:val="57032A2C"/>
    <w:rsid w:val="570F5219"/>
    <w:rsid w:val="571B3010"/>
    <w:rsid w:val="571F7091"/>
    <w:rsid w:val="575D12B5"/>
    <w:rsid w:val="57610A87"/>
    <w:rsid w:val="577B1140"/>
    <w:rsid w:val="577B7F21"/>
    <w:rsid w:val="577F181B"/>
    <w:rsid w:val="578A6C00"/>
    <w:rsid w:val="57914433"/>
    <w:rsid w:val="57921984"/>
    <w:rsid w:val="579655A5"/>
    <w:rsid w:val="579737F0"/>
    <w:rsid w:val="57AB7B30"/>
    <w:rsid w:val="57AF5251"/>
    <w:rsid w:val="57B26373"/>
    <w:rsid w:val="57B63F04"/>
    <w:rsid w:val="57CD20C2"/>
    <w:rsid w:val="57D6392D"/>
    <w:rsid w:val="57D675AB"/>
    <w:rsid w:val="57D95FDD"/>
    <w:rsid w:val="57F329F7"/>
    <w:rsid w:val="580E6203"/>
    <w:rsid w:val="58917D2F"/>
    <w:rsid w:val="5894085C"/>
    <w:rsid w:val="58AE4F0C"/>
    <w:rsid w:val="58B85899"/>
    <w:rsid w:val="58E363A9"/>
    <w:rsid w:val="5930071B"/>
    <w:rsid w:val="595E1678"/>
    <w:rsid w:val="5960230F"/>
    <w:rsid w:val="596D5BD4"/>
    <w:rsid w:val="597960B3"/>
    <w:rsid w:val="597E3DD8"/>
    <w:rsid w:val="59D92186"/>
    <w:rsid w:val="59F80043"/>
    <w:rsid w:val="5A09252F"/>
    <w:rsid w:val="5A0B2778"/>
    <w:rsid w:val="5A2A7C7B"/>
    <w:rsid w:val="5A2F1CE1"/>
    <w:rsid w:val="5A3E2560"/>
    <w:rsid w:val="5A5D3B6E"/>
    <w:rsid w:val="5A637A76"/>
    <w:rsid w:val="5A6D33BA"/>
    <w:rsid w:val="5A6E45B7"/>
    <w:rsid w:val="5A792B1F"/>
    <w:rsid w:val="5A874767"/>
    <w:rsid w:val="5AA85BE2"/>
    <w:rsid w:val="5AAD6F28"/>
    <w:rsid w:val="5AC06C30"/>
    <w:rsid w:val="5AD63A24"/>
    <w:rsid w:val="5B2E1A1D"/>
    <w:rsid w:val="5B767BC7"/>
    <w:rsid w:val="5B7C4AB2"/>
    <w:rsid w:val="5B843A1C"/>
    <w:rsid w:val="5B873E3F"/>
    <w:rsid w:val="5C02690E"/>
    <w:rsid w:val="5C196DA7"/>
    <w:rsid w:val="5C2A048C"/>
    <w:rsid w:val="5C61579B"/>
    <w:rsid w:val="5C80234E"/>
    <w:rsid w:val="5C8A680C"/>
    <w:rsid w:val="5C8F6A67"/>
    <w:rsid w:val="5CA53AB5"/>
    <w:rsid w:val="5D0C4701"/>
    <w:rsid w:val="5D0F0395"/>
    <w:rsid w:val="5D221076"/>
    <w:rsid w:val="5D397964"/>
    <w:rsid w:val="5D5A391C"/>
    <w:rsid w:val="5D5F10C0"/>
    <w:rsid w:val="5D891B7B"/>
    <w:rsid w:val="5DAD38EE"/>
    <w:rsid w:val="5DE057CC"/>
    <w:rsid w:val="5E006862"/>
    <w:rsid w:val="5E0207B9"/>
    <w:rsid w:val="5E1834A1"/>
    <w:rsid w:val="5E261785"/>
    <w:rsid w:val="5E4A7017"/>
    <w:rsid w:val="5E552BBA"/>
    <w:rsid w:val="5E611C10"/>
    <w:rsid w:val="5E7A0F3F"/>
    <w:rsid w:val="5EBB422E"/>
    <w:rsid w:val="5EE477F0"/>
    <w:rsid w:val="5EFC7377"/>
    <w:rsid w:val="5F06174D"/>
    <w:rsid w:val="5F3A3602"/>
    <w:rsid w:val="5F45733B"/>
    <w:rsid w:val="5F6277C6"/>
    <w:rsid w:val="5F6D0B1D"/>
    <w:rsid w:val="5F8D0B82"/>
    <w:rsid w:val="5F8E1258"/>
    <w:rsid w:val="5FB30413"/>
    <w:rsid w:val="5FCC5339"/>
    <w:rsid w:val="5FE13A7D"/>
    <w:rsid w:val="5FE34A5B"/>
    <w:rsid w:val="5FFE1E36"/>
    <w:rsid w:val="60232584"/>
    <w:rsid w:val="602E29D0"/>
    <w:rsid w:val="60596B48"/>
    <w:rsid w:val="607330CE"/>
    <w:rsid w:val="60825176"/>
    <w:rsid w:val="609F2AC4"/>
    <w:rsid w:val="60FA2EE8"/>
    <w:rsid w:val="61054A27"/>
    <w:rsid w:val="610A52BC"/>
    <w:rsid w:val="611D2366"/>
    <w:rsid w:val="613025C6"/>
    <w:rsid w:val="61421856"/>
    <w:rsid w:val="615227C4"/>
    <w:rsid w:val="61654E3F"/>
    <w:rsid w:val="616B7AA3"/>
    <w:rsid w:val="6182292A"/>
    <w:rsid w:val="6189617B"/>
    <w:rsid w:val="619F7F92"/>
    <w:rsid w:val="61A63211"/>
    <w:rsid w:val="61F94C26"/>
    <w:rsid w:val="62000E56"/>
    <w:rsid w:val="624F3E49"/>
    <w:rsid w:val="62632286"/>
    <w:rsid w:val="62885958"/>
    <w:rsid w:val="62F40B65"/>
    <w:rsid w:val="62FC2CFE"/>
    <w:rsid w:val="63024505"/>
    <w:rsid w:val="63220635"/>
    <w:rsid w:val="634D51A7"/>
    <w:rsid w:val="635600A5"/>
    <w:rsid w:val="635B1DB5"/>
    <w:rsid w:val="636724EC"/>
    <w:rsid w:val="636B1FDC"/>
    <w:rsid w:val="63711FED"/>
    <w:rsid w:val="63880DDC"/>
    <w:rsid w:val="638D750D"/>
    <w:rsid w:val="63A638D3"/>
    <w:rsid w:val="63AC6CC0"/>
    <w:rsid w:val="63C30448"/>
    <w:rsid w:val="63F518A5"/>
    <w:rsid w:val="64055776"/>
    <w:rsid w:val="64240056"/>
    <w:rsid w:val="643A3D28"/>
    <w:rsid w:val="643E143A"/>
    <w:rsid w:val="64491666"/>
    <w:rsid w:val="647A4AC8"/>
    <w:rsid w:val="647B7FFD"/>
    <w:rsid w:val="648B6EEF"/>
    <w:rsid w:val="64C158BF"/>
    <w:rsid w:val="64CE2EAA"/>
    <w:rsid w:val="64D8544F"/>
    <w:rsid w:val="653C3090"/>
    <w:rsid w:val="65854376"/>
    <w:rsid w:val="658767BE"/>
    <w:rsid w:val="65892531"/>
    <w:rsid w:val="65CD3930"/>
    <w:rsid w:val="65D976D1"/>
    <w:rsid w:val="66195831"/>
    <w:rsid w:val="662E75B1"/>
    <w:rsid w:val="66342C2E"/>
    <w:rsid w:val="663E784C"/>
    <w:rsid w:val="666D7E19"/>
    <w:rsid w:val="668B6A45"/>
    <w:rsid w:val="67011F07"/>
    <w:rsid w:val="672F3F24"/>
    <w:rsid w:val="673E055F"/>
    <w:rsid w:val="67551CE3"/>
    <w:rsid w:val="67A22552"/>
    <w:rsid w:val="67B143CB"/>
    <w:rsid w:val="67B22DCC"/>
    <w:rsid w:val="67BE71AA"/>
    <w:rsid w:val="67D90273"/>
    <w:rsid w:val="67DE5875"/>
    <w:rsid w:val="67E55852"/>
    <w:rsid w:val="67EB1AB4"/>
    <w:rsid w:val="67FA1285"/>
    <w:rsid w:val="68551F4F"/>
    <w:rsid w:val="687C10C9"/>
    <w:rsid w:val="68840C16"/>
    <w:rsid w:val="68872541"/>
    <w:rsid w:val="68876EFB"/>
    <w:rsid w:val="68884654"/>
    <w:rsid w:val="689A2A1B"/>
    <w:rsid w:val="689F444F"/>
    <w:rsid w:val="68B91F19"/>
    <w:rsid w:val="68B96DBB"/>
    <w:rsid w:val="68CA2805"/>
    <w:rsid w:val="68E937A3"/>
    <w:rsid w:val="69034A64"/>
    <w:rsid w:val="691664E5"/>
    <w:rsid w:val="693E15D3"/>
    <w:rsid w:val="69627681"/>
    <w:rsid w:val="696324F7"/>
    <w:rsid w:val="6965127B"/>
    <w:rsid w:val="6977531D"/>
    <w:rsid w:val="69CC2BFF"/>
    <w:rsid w:val="69FD55B8"/>
    <w:rsid w:val="6A0B1C62"/>
    <w:rsid w:val="6A2406C8"/>
    <w:rsid w:val="6A26698B"/>
    <w:rsid w:val="6A462E5B"/>
    <w:rsid w:val="6ADE0BD1"/>
    <w:rsid w:val="6ADE3093"/>
    <w:rsid w:val="6AE82164"/>
    <w:rsid w:val="6AE96859"/>
    <w:rsid w:val="6B147746"/>
    <w:rsid w:val="6B24787C"/>
    <w:rsid w:val="6B573233"/>
    <w:rsid w:val="6B5B6274"/>
    <w:rsid w:val="6B935D53"/>
    <w:rsid w:val="6BFB7BD7"/>
    <w:rsid w:val="6C196F71"/>
    <w:rsid w:val="6C226FCB"/>
    <w:rsid w:val="6C31226F"/>
    <w:rsid w:val="6C552F0B"/>
    <w:rsid w:val="6C8C67B7"/>
    <w:rsid w:val="6C8F23DA"/>
    <w:rsid w:val="6C9D744C"/>
    <w:rsid w:val="6D054300"/>
    <w:rsid w:val="6D167928"/>
    <w:rsid w:val="6D1C273C"/>
    <w:rsid w:val="6D26299B"/>
    <w:rsid w:val="6D4772EC"/>
    <w:rsid w:val="6D711AC2"/>
    <w:rsid w:val="6D9078AF"/>
    <w:rsid w:val="6DAA3FEF"/>
    <w:rsid w:val="6DC0172B"/>
    <w:rsid w:val="6DCB690C"/>
    <w:rsid w:val="6DD41A5B"/>
    <w:rsid w:val="6DF43C2E"/>
    <w:rsid w:val="6DF51CA3"/>
    <w:rsid w:val="6E405E13"/>
    <w:rsid w:val="6E4D6A7E"/>
    <w:rsid w:val="6E8335BD"/>
    <w:rsid w:val="6E8D5E4E"/>
    <w:rsid w:val="6E8E12EF"/>
    <w:rsid w:val="6E972936"/>
    <w:rsid w:val="6ED446C5"/>
    <w:rsid w:val="6F2A7D94"/>
    <w:rsid w:val="6F5E252A"/>
    <w:rsid w:val="6F8331F1"/>
    <w:rsid w:val="6FAE1A09"/>
    <w:rsid w:val="6FD75BF8"/>
    <w:rsid w:val="6FF173C5"/>
    <w:rsid w:val="70441517"/>
    <w:rsid w:val="707723D0"/>
    <w:rsid w:val="70C42D2B"/>
    <w:rsid w:val="70F5661B"/>
    <w:rsid w:val="71241A1C"/>
    <w:rsid w:val="712437CA"/>
    <w:rsid w:val="71360107"/>
    <w:rsid w:val="713B688E"/>
    <w:rsid w:val="717710F1"/>
    <w:rsid w:val="71D43752"/>
    <w:rsid w:val="71F1796A"/>
    <w:rsid w:val="72154626"/>
    <w:rsid w:val="72262B5D"/>
    <w:rsid w:val="72283FF7"/>
    <w:rsid w:val="722E7212"/>
    <w:rsid w:val="723A0474"/>
    <w:rsid w:val="72485A07"/>
    <w:rsid w:val="725923E4"/>
    <w:rsid w:val="725F3FE6"/>
    <w:rsid w:val="72864BF7"/>
    <w:rsid w:val="729023FC"/>
    <w:rsid w:val="73C0646E"/>
    <w:rsid w:val="742064CB"/>
    <w:rsid w:val="742222F5"/>
    <w:rsid w:val="74476126"/>
    <w:rsid w:val="74706664"/>
    <w:rsid w:val="747F3682"/>
    <w:rsid w:val="74936C9D"/>
    <w:rsid w:val="749C4185"/>
    <w:rsid w:val="74A4534E"/>
    <w:rsid w:val="74FF4332"/>
    <w:rsid w:val="75067759"/>
    <w:rsid w:val="752E6DCD"/>
    <w:rsid w:val="7551380D"/>
    <w:rsid w:val="75600BE5"/>
    <w:rsid w:val="7564475C"/>
    <w:rsid w:val="75705230"/>
    <w:rsid w:val="7583797F"/>
    <w:rsid w:val="75D20F1D"/>
    <w:rsid w:val="75DA2C18"/>
    <w:rsid w:val="75F54412"/>
    <w:rsid w:val="761D08E0"/>
    <w:rsid w:val="765D347C"/>
    <w:rsid w:val="76826699"/>
    <w:rsid w:val="76B44018"/>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3622EC"/>
    <w:rsid w:val="797E66A9"/>
    <w:rsid w:val="798518A4"/>
    <w:rsid w:val="79A97383"/>
    <w:rsid w:val="79C97604"/>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967CCA"/>
    <w:rsid w:val="7BE73C58"/>
    <w:rsid w:val="7BEE0103"/>
    <w:rsid w:val="7C0A0FE4"/>
    <w:rsid w:val="7C254906"/>
    <w:rsid w:val="7C590818"/>
    <w:rsid w:val="7C7C10F6"/>
    <w:rsid w:val="7C853BEA"/>
    <w:rsid w:val="7C881368"/>
    <w:rsid w:val="7CB24380"/>
    <w:rsid w:val="7CE27788"/>
    <w:rsid w:val="7D0C32F1"/>
    <w:rsid w:val="7D0F408D"/>
    <w:rsid w:val="7D491C6C"/>
    <w:rsid w:val="7D5429C0"/>
    <w:rsid w:val="7D6E6D43"/>
    <w:rsid w:val="7DB57A34"/>
    <w:rsid w:val="7DC425BD"/>
    <w:rsid w:val="7DDC7906"/>
    <w:rsid w:val="7DE60973"/>
    <w:rsid w:val="7DEF0916"/>
    <w:rsid w:val="7DF06F0E"/>
    <w:rsid w:val="7E1E5218"/>
    <w:rsid w:val="7E511A4F"/>
    <w:rsid w:val="7E5D031B"/>
    <w:rsid w:val="7E9A4E1F"/>
    <w:rsid w:val="7EA7723A"/>
    <w:rsid w:val="7EF56FBB"/>
    <w:rsid w:val="7F0768EB"/>
    <w:rsid w:val="7F143BEC"/>
    <w:rsid w:val="7F177E9D"/>
    <w:rsid w:val="7F1B445E"/>
    <w:rsid w:val="7F517E80"/>
    <w:rsid w:val="7F625014"/>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6">
    <w:name w:val="Normal Indent"/>
    <w:basedOn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0"/>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28"/>
    <w:link w:val="265"/>
    <w:qFormat/>
    <w:uiPriority w:val="0"/>
    <w:pPr>
      <w:spacing w:line="480" w:lineRule="exact"/>
      <w:ind w:firstLine="480" w:firstLineChars="200"/>
    </w:pPr>
    <w:rPr>
      <w:rFonts w:ascii="宋体" w:hAnsi="宋体"/>
      <w:sz w:val="24"/>
    </w:rPr>
  </w:style>
  <w:style w:type="paragraph" w:styleId="28">
    <w:name w:val="envelope return"/>
    <w:basedOn w:val="1"/>
    <w:qFormat/>
    <w:uiPriority w:val="99"/>
    <w:pPr>
      <w:snapToGrid w:val="0"/>
    </w:pPr>
    <w:rPr>
      <w:rFonts w:ascii="Arial" w:hAnsi="Arial" w:cs="Arial"/>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7"/>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3"/>
    <w:qFormat/>
    <w:uiPriority w:val="0"/>
    <w:pPr>
      <w:ind w:left="100" w:leftChars="2500"/>
    </w:pPr>
    <w:rPr>
      <w:rFonts w:ascii="宋体"/>
      <w:sz w:val="24"/>
      <w:szCs w:val="21"/>
      <w:lang w:val="zh-CN"/>
    </w:rPr>
  </w:style>
  <w:style w:type="paragraph" w:styleId="40">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1">
    <w:name w:val="endnote text"/>
    <w:basedOn w:val="1"/>
    <w:link w:val="931"/>
    <w:qFormat/>
    <w:uiPriority w:val="0"/>
    <w:rPr>
      <w:lang w:val="zh-CN"/>
    </w:rPr>
  </w:style>
  <w:style w:type="paragraph" w:styleId="42">
    <w:name w:val="Balloon Text"/>
    <w:basedOn w:val="1"/>
    <w:link w:val="190"/>
    <w:qFormat/>
    <w:uiPriority w:val="0"/>
    <w:rPr>
      <w:sz w:val="18"/>
      <w:szCs w:val="18"/>
    </w:rPr>
  </w:style>
  <w:style w:type="paragraph" w:styleId="43">
    <w:name w:val="footer"/>
    <w:basedOn w:val="1"/>
    <w:link w:val="382"/>
    <w:qFormat/>
    <w:uiPriority w:val="99"/>
    <w:pPr>
      <w:tabs>
        <w:tab w:val="center" w:pos="4153"/>
        <w:tab w:val="right" w:pos="8306"/>
      </w:tabs>
      <w:snapToGrid w:val="0"/>
      <w:jc w:val="left"/>
    </w:pPr>
    <w:rPr>
      <w:sz w:val="18"/>
      <w:szCs w:val="18"/>
    </w:rPr>
  </w:style>
  <w:style w:type="paragraph" w:styleId="44">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8"/>
    <w:qFormat/>
    <w:uiPriority w:val="0"/>
    <w:rPr>
      <w:b/>
      <w:bCs/>
    </w:rPr>
  </w:style>
  <w:style w:type="paragraph" w:styleId="62">
    <w:name w:val="Body Text First Indent 2"/>
    <w:basedOn w:val="27"/>
    <w:link w:val="12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Sample"/>
    <w:basedOn w:val="70"/>
    <w:qFormat/>
    <w:uiPriority w:val="0"/>
    <w:rPr>
      <w:rFonts w:ascii="Courier New" w:hAnsi="Courier New"/>
    </w:rPr>
  </w:style>
  <w:style w:type="character" w:customStyle="1" w:styleId="81">
    <w:name w:val="标题 1 Char"/>
    <w:link w:val="3"/>
    <w:qFormat/>
    <w:uiPriority w:val="9"/>
    <w:rPr>
      <w:b/>
      <w:bCs/>
      <w:kern w:val="44"/>
      <w:sz w:val="44"/>
      <w:szCs w:val="44"/>
    </w:rPr>
  </w:style>
  <w:style w:type="paragraph" w:customStyle="1" w:styleId="82">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83">
    <w:name w:val="List Paragraph"/>
    <w:basedOn w:val="1"/>
    <w:qFormat/>
    <w:uiPriority w:val="34"/>
    <w:pPr>
      <w:spacing w:line="360" w:lineRule="auto"/>
      <w:ind w:firstLine="200" w:firstLineChars="200"/>
    </w:pPr>
    <w:rPr>
      <w:rFonts w:eastAsia="楷体_GB2312" w:cs="Lucida Sans"/>
      <w:sz w:val="24"/>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1"/>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2"/>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qFormat/>
    <w:uiPriority w:val="0"/>
    <w:rPr>
      <w:rFonts w:ascii="Arial" w:hAnsi="Arial" w:eastAsia="黑体" w:cs="Arial"/>
      <w:snapToGrid w:val="0"/>
      <w:kern w:val="0"/>
      <w:szCs w:val="21"/>
    </w:rPr>
  </w:style>
  <w:style w:type="character" w:customStyle="1" w:styleId="127">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9"/>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9"/>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4"/>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9"/>
    <w:qFormat/>
    <w:uiPriority w:val="0"/>
    <w:rPr>
      <w:rFonts w:ascii="宋体"/>
      <w:kern w:val="2"/>
      <w:sz w:val="24"/>
      <w:szCs w:val="21"/>
      <w:lang w:val="zh-CN"/>
    </w:rPr>
  </w:style>
  <w:style w:type="character" w:customStyle="1" w:styleId="184">
    <w:name w:val="标题 9 Char"/>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2"/>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6"/>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0"/>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3"/>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82"/>
    <w:qFormat/>
    <w:uiPriority w:val="0"/>
    <w:rPr>
      <w:rFonts w:ascii="仿宋_GB2312"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83"/>
    <w:link w:val="257"/>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7"/>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40"/>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99"/>
    <w:rPr>
      <w:kern w:val="2"/>
      <w:sz w:val="21"/>
      <w:szCs w:val="24"/>
    </w:rPr>
  </w:style>
  <w:style w:type="character" w:customStyle="1" w:styleId="344">
    <w:name w:val="签名 Char"/>
    <w:link w:val="45"/>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3"/>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4"/>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8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82"/>
    <w:next w:val="82"/>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82"/>
    <w:next w:val="82"/>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83"/>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41"/>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83"/>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不明显强调1"/>
    <w:qFormat/>
    <w:uiPriority w:val="19"/>
    <w:rPr>
      <w:i/>
      <w:iCs/>
    </w:rPr>
  </w:style>
  <w:style w:type="character" w:customStyle="1" w:styleId="965">
    <w:name w:val="NormalCharacter"/>
    <w:link w:val="966"/>
    <w:qFormat/>
    <w:uiPriority w:val="0"/>
    <w:rPr>
      <w:rFonts w:ascii="Calibri"/>
      <w:szCs w:val="22"/>
    </w:rPr>
  </w:style>
  <w:style w:type="paragraph" w:customStyle="1" w:styleId="966">
    <w:name w:val="UserStyle_127"/>
    <w:basedOn w:val="1"/>
    <w:link w:val="965"/>
    <w:qFormat/>
    <w:uiPriority w:val="0"/>
    <w:pPr>
      <w:spacing w:after="160" w:line="240" w:lineRule="exact"/>
      <w:jc w:val="left"/>
    </w:pPr>
    <w:rPr>
      <w:rFonts w:ascii="Calibri"/>
      <w:szCs w:val="22"/>
    </w:rPr>
  </w:style>
  <w:style w:type="paragraph" w:customStyle="1" w:styleId="967">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49615</Words>
  <Characters>52763</Characters>
  <Lines>281</Lines>
  <Paragraphs>79</Paragraphs>
  <TotalTime>23</TotalTime>
  <ScaleCrop>false</ScaleCrop>
  <LinksUpToDate>false</LinksUpToDate>
  <CharactersWithSpaces>57115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喵妙妙</cp:lastModifiedBy>
  <cp:lastPrinted>2021-12-27T03:06:00Z</cp:lastPrinted>
  <dcterms:modified xsi:type="dcterms:W3CDTF">2023-06-05T11:16:13Z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C35C8276A3EE454EBFDBEAB219444BD8_13</vt:lpwstr>
  </property>
</Properties>
</file>